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33AD" w14:textId="5CC6A7FB" w:rsidR="00EE1AB6" w:rsidRDefault="00EE1AB6" w:rsidP="00781253">
      <w:pPr>
        <w:pStyle w:val="ListParagraph"/>
        <w:ind w:left="0"/>
        <w:rPr>
          <w:color w:val="336699" w:themeColor="text2"/>
          <w:sz w:val="32"/>
          <w:szCs w:val="32"/>
        </w:rPr>
      </w:pPr>
      <w:r>
        <w:rPr>
          <w:noProof/>
        </w:rPr>
        <w:drawing>
          <wp:inline distT="0" distB="0" distL="0" distR="0" wp14:anchorId="2F364A08" wp14:editId="3EF44482">
            <wp:extent cx="756234" cy="948905"/>
            <wp:effectExtent l="0" t="0" r="6350" b="3810"/>
            <wp:docPr id="186563382" name="Picture 186563382"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3382" name="Picture 186563382" descr="Queensland Governm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588" cy="960642"/>
                    </a:xfrm>
                    <a:prstGeom prst="rect">
                      <a:avLst/>
                    </a:prstGeom>
                    <a:noFill/>
                    <a:ln>
                      <a:noFill/>
                    </a:ln>
                  </pic:spPr>
                </pic:pic>
              </a:graphicData>
            </a:graphic>
          </wp:inline>
        </w:drawing>
      </w:r>
    </w:p>
    <w:sdt>
      <w:sdtPr>
        <w:rPr>
          <w:color w:val="336699" w:themeColor="text2"/>
          <w:sz w:val="32"/>
          <w:szCs w:val="32"/>
        </w:rPr>
        <w:id w:val="-874617159"/>
        <w:docPartObj>
          <w:docPartGallery w:val="Cover Pages"/>
          <w:docPartUnique/>
        </w:docPartObj>
      </w:sdtPr>
      <w:sdtEndPr/>
      <w:sdtContent>
        <w:p w14:paraId="104D9097" w14:textId="12BFD014" w:rsidR="00781253" w:rsidRDefault="00781253" w:rsidP="00315325">
          <w:pPr>
            <w:pStyle w:val="ListParagraph"/>
            <w:ind w:left="0"/>
          </w:pPr>
          <w:r>
            <w:rPr>
              <w:noProof/>
            </w:rPr>
            <w:drawing>
              <wp:anchor distT="0" distB="0" distL="114300" distR="114300" simplePos="0" relativeHeight="251658240" behindDoc="1" locked="0" layoutInCell="1" allowOverlap="1" wp14:anchorId="0ECE6865" wp14:editId="1269E3E7">
                <wp:simplePos x="0" y="0"/>
                <wp:positionH relativeFrom="page">
                  <wp:posOffset>-10160</wp:posOffset>
                </wp:positionH>
                <wp:positionV relativeFrom="margin">
                  <wp:posOffset>-878840</wp:posOffset>
                </wp:positionV>
                <wp:extent cx="7570470" cy="107086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B09EB7" w14:textId="77777777" w:rsidR="00781253" w:rsidRDefault="00781253" w:rsidP="00315325">
          <w:pPr>
            <w:pStyle w:val="ListParagraph"/>
            <w:ind w:left="0"/>
          </w:pPr>
        </w:p>
        <w:p w14:paraId="128F60A8" w14:textId="782D4524" w:rsidR="006D06E9" w:rsidRPr="00ED3DA7" w:rsidRDefault="00781253" w:rsidP="00781253">
          <w:pPr>
            <w:pStyle w:val="Title"/>
            <w:tabs>
              <w:tab w:val="left" w:pos="6379"/>
            </w:tabs>
            <w:spacing w:after="120" w:line="720" w:lineRule="exact"/>
            <w:ind w:right="1982"/>
            <w:rPr>
              <w:b w:val="0"/>
              <w:bCs/>
              <w:sz w:val="48"/>
              <w:szCs w:val="28"/>
            </w:rPr>
          </w:pPr>
          <w:r w:rsidRPr="00ED3DA7">
            <w:rPr>
              <w:color w:val="336699" w:themeColor="text2"/>
            </w:rPr>
            <w:t>National Planning Reform Blueprint</w:t>
          </w:r>
          <w:r w:rsidRPr="00ED3DA7">
            <w:br/>
          </w:r>
          <w:r w:rsidR="008D5FE6" w:rsidRPr="00ED3DA7">
            <w:rPr>
              <w:b w:val="0"/>
              <w:bCs/>
              <w:sz w:val="48"/>
              <w:szCs w:val="28"/>
            </w:rPr>
            <w:t xml:space="preserve">Queensland </w:t>
          </w:r>
          <w:r w:rsidR="00FE78F0" w:rsidRPr="00ED3DA7">
            <w:rPr>
              <w:b w:val="0"/>
              <w:bCs/>
              <w:sz w:val="48"/>
              <w:szCs w:val="28"/>
            </w:rPr>
            <w:t>July</w:t>
          </w:r>
          <w:r w:rsidR="006D06E9" w:rsidRPr="00ED3DA7">
            <w:rPr>
              <w:b w:val="0"/>
              <w:bCs/>
              <w:sz w:val="48"/>
              <w:szCs w:val="28"/>
            </w:rPr>
            <w:t xml:space="preserve"> 2025</w:t>
          </w:r>
        </w:p>
        <w:p w14:paraId="34C58C40" w14:textId="44F3DE8B" w:rsidR="00781253" w:rsidRPr="006923DF" w:rsidRDefault="00781253" w:rsidP="00781253">
          <w:pPr>
            <w:pStyle w:val="Title"/>
            <w:tabs>
              <w:tab w:val="left" w:pos="6379"/>
            </w:tabs>
            <w:spacing w:after="120" w:line="720" w:lineRule="exact"/>
            <w:ind w:right="1982"/>
          </w:pPr>
          <w:r w:rsidRPr="00ED3DA7">
            <w:rPr>
              <w:b w:val="0"/>
              <w:bCs/>
              <w:sz w:val="48"/>
              <w:szCs w:val="28"/>
            </w:rPr>
            <w:t>progress report</w:t>
          </w:r>
        </w:p>
        <w:p w14:paraId="02B65A0F" w14:textId="4050B73C" w:rsidR="00781253" w:rsidRPr="002F26A5" w:rsidRDefault="00781253" w:rsidP="00526D7C">
          <w:pPr>
            <w:pStyle w:val="ReportDate"/>
            <w:sectPr w:rsidR="00781253" w:rsidRPr="002F26A5" w:rsidSect="00D51EE3">
              <w:footerReference w:type="even" r:id="rId10"/>
              <w:footerReference w:type="first" r:id="rId11"/>
              <w:pgSz w:w="11906" w:h="16838" w:code="9"/>
              <w:pgMar w:top="1418" w:right="1418" w:bottom="1418" w:left="1418" w:header="709" w:footer="709" w:gutter="0"/>
              <w:pgNumType w:fmt="lowerRoman" w:start="0"/>
              <w:cols w:space="708"/>
              <w:vAlign w:val="center"/>
              <w:titlePg/>
              <w:docGrid w:linePitch="360"/>
            </w:sectPr>
          </w:pPr>
          <w:r>
            <w:br w:type="page"/>
          </w:r>
        </w:p>
      </w:sdtContent>
    </w:sdt>
    <w:p w14:paraId="56B0FBE1" w14:textId="77777777" w:rsidR="00044665" w:rsidRDefault="00044665" w:rsidP="00044665">
      <w:pPr>
        <w:pStyle w:val="copyright"/>
        <w:rPr>
          <w:rStyle w:val="Bold9pt"/>
          <w:rFonts w:asciiTheme="minorHAnsi" w:hAnsiTheme="minorHAnsi" w:cstheme="minorHAnsi"/>
          <w:sz w:val="20"/>
          <w:szCs w:val="20"/>
        </w:rPr>
      </w:pPr>
      <w:bookmarkStart w:id="0" w:name="_Toc168064953"/>
      <w:bookmarkStart w:id="1" w:name="_Toc168065264"/>
    </w:p>
    <w:p w14:paraId="5EBBCD17" w14:textId="069E26EF" w:rsidR="00044665" w:rsidRPr="007C31B8" w:rsidRDefault="00044665" w:rsidP="00044665">
      <w:pPr>
        <w:pStyle w:val="copyright"/>
        <w:rPr>
          <w:rFonts w:asciiTheme="minorHAnsi" w:hAnsiTheme="minorHAnsi" w:cstheme="minorHAnsi"/>
          <w:sz w:val="20"/>
          <w:szCs w:val="20"/>
        </w:rPr>
      </w:pPr>
      <w:r>
        <w:rPr>
          <w:rStyle w:val="Bold9pt"/>
          <w:rFonts w:asciiTheme="minorHAnsi" w:hAnsiTheme="minorHAnsi" w:cstheme="minorHAnsi"/>
          <w:sz w:val="20"/>
          <w:szCs w:val="20"/>
        </w:rPr>
        <w:t xml:space="preserve">National Planning Reform Blueprint: Queensland Progress Report </w:t>
      </w:r>
      <w:r w:rsidR="00FE78F0">
        <w:rPr>
          <w:rStyle w:val="Bold9pt"/>
          <w:rFonts w:asciiTheme="minorHAnsi" w:hAnsiTheme="minorHAnsi" w:cstheme="minorHAnsi"/>
          <w:sz w:val="20"/>
          <w:szCs w:val="20"/>
        </w:rPr>
        <w:t>July</w:t>
      </w:r>
      <w:r w:rsidR="006D06E9">
        <w:rPr>
          <w:rStyle w:val="Bold9pt"/>
          <w:rFonts w:asciiTheme="minorHAnsi" w:hAnsiTheme="minorHAnsi" w:cstheme="minorHAnsi"/>
          <w:sz w:val="20"/>
          <w:szCs w:val="20"/>
        </w:rPr>
        <w:t xml:space="preserve"> 2025</w:t>
      </w:r>
    </w:p>
    <w:p w14:paraId="65B7C9D7" w14:textId="56A34450" w:rsidR="00044665" w:rsidRPr="007C31B8" w:rsidRDefault="00044665" w:rsidP="001C4AD8">
      <w:pPr>
        <w:pStyle w:val="copyright"/>
        <w:rPr>
          <w:rFonts w:asciiTheme="minorHAnsi" w:hAnsiTheme="minorHAnsi" w:cstheme="minorHAnsi"/>
          <w:sz w:val="20"/>
          <w:szCs w:val="20"/>
        </w:rPr>
      </w:pPr>
      <w:r w:rsidRPr="007C31B8">
        <w:rPr>
          <w:rFonts w:asciiTheme="minorHAnsi" w:hAnsiTheme="minorHAnsi" w:cstheme="minorHAnsi"/>
          <w:sz w:val="20"/>
          <w:szCs w:val="20"/>
        </w:rPr>
        <w:t>© State of Queensland (</w:t>
      </w:r>
      <w:r w:rsidR="006D06E9">
        <w:rPr>
          <w:rFonts w:asciiTheme="minorHAnsi" w:hAnsiTheme="minorHAnsi" w:cstheme="minorHAnsi"/>
          <w:sz w:val="20"/>
          <w:szCs w:val="20"/>
        </w:rPr>
        <w:t>c</w:t>
      </w:r>
      <w:r w:rsidRPr="007C31B8">
        <w:rPr>
          <w:rFonts w:asciiTheme="minorHAnsi" w:hAnsiTheme="minorHAnsi" w:cstheme="minorHAnsi"/>
          <w:sz w:val="20"/>
          <w:szCs w:val="20"/>
        </w:rPr>
        <w:t>) 202</w:t>
      </w:r>
      <w:r w:rsidR="006D06E9">
        <w:rPr>
          <w:rFonts w:asciiTheme="minorHAnsi" w:hAnsiTheme="minorHAnsi" w:cstheme="minorHAnsi"/>
          <w:sz w:val="20"/>
          <w:szCs w:val="20"/>
        </w:rPr>
        <w:t>5</w:t>
      </w:r>
      <w:r w:rsidRPr="007C31B8">
        <w:rPr>
          <w:rFonts w:asciiTheme="minorHAnsi" w:hAnsiTheme="minorHAnsi" w:cstheme="minorHAnsi"/>
          <w:sz w:val="20"/>
          <w:szCs w:val="20"/>
        </w:rPr>
        <w:t>.</w:t>
      </w:r>
    </w:p>
    <w:p w14:paraId="56C718D1" w14:textId="22172EDC" w:rsidR="00044665" w:rsidRDefault="00044665" w:rsidP="001C4AD8">
      <w:pPr>
        <w:pStyle w:val="copyright"/>
        <w:rPr>
          <w:rFonts w:asciiTheme="minorHAnsi" w:hAnsiTheme="minorHAnsi" w:cstheme="minorHAnsi"/>
          <w:sz w:val="20"/>
          <w:szCs w:val="20"/>
        </w:rPr>
      </w:pPr>
      <w:r w:rsidRPr="007C31B8">
        <w:rPr>
          <w:rFonts w:asciiTheme="minorHAnsi" w:hAnsiTheme="minorHAnsi" w:cstheme="minorHAnsi"/>
          <w:sz w:val="20"/>
          <w:szCs w:val="20"/>
        </w:rPr>
        <w:t xml:space="preserve">Published by the Queensland Government, </w:t>
      </w:r>
      <w:r w:rsidR="006D06E9" w:rsidRPr="007C31B8">
        <w:rPr>
          <w:rFonts w:asciiTheme="minorHAnsi" w:hAnsiTheme="minorHAnsi" w:cstheme="minorHAnsi"/>
          <w:sz w:val="20"/>
          <w:szCs w:val="20"/>
        </w:rPr>
        <w:t xml:space="preserve">Department of </w:t>
      </w:r>
      <w:r w:rsidR="006D06E9">
        <w:rPr>
          <w:rFonts w:asciiTheme="minorHAnsi" w:hAnsiTheme="minorHAnsi" w:cstheme="minorHAnsi"/>
          <w:sz w:val="20"/>
          <w:szCs w:val="20"/>
        </w:rPr>
        <w:t>State D</w:t>
      </w:r>
      <w:r w:rsidR="00356AE0">
        <w:rPr>
          <w:rFonts w:asciiTheme="minorHAnsi" w:hAnsiTheme="minorHAnsi" w:cstheme="minorHAnsi"/>
          <w:sz w:val="20"/>
          <w:szCs w:val="20"/>
        </w:rPr>
        <w:t>eve</w:t>
      </w:r>
      <w:r w:rsidR="006D06E9">
        <w:rPr>
          <w:rFonts w:asciiTheme="minorHAnsi" w:hAnsiTheme="minorHAnsi" w:cstheme="minorHAnsi"/>
          <w:sz w:val="20"/>
          <w:szCs w:val="20"/>
        </w:rPr>
        <w:t>lopment, Infrastructure and Planning</w:t>
      </w:r>
      <w:r w:rsidRPr="007C31B8">
        <w:rPr>
          <w:rFonts w:asciiTheme="minorHAnsi" w:hAnsiTheme="minorHAnsi" w:cstheme="minorHAnsi"/>
          <w:sz w:val="20"/>
          <w:szCs w:val="20"/>
        </w:rPr>
        <w:t xml:space="preserve">, </w:t>
      </w:r>
      <w:r w:rsidR="00CB516E">
        <w:rPr>
          <w:rFonts w:asciiTheme="minorHAnsi" w:hAnsiTheme="minorHAnsi" w:cstheme="minorHAnsi"/>
          <w:sz w:val="20"/>
          <w:szCs w:val="20"/>
        </w:rPr>
        <w:br/>
      </w:r>
      <w:r w:rsidRPr="007C31B8">
        <w:rPr>
          <w:rFonts w:asciiTheme="minorHAnsi" w:hAnsiTheme="minorHAnsi" w:cstheme="minorHAnsi"/>
          <w:sz w:val="20"/>
          <w:szCs w:val="20"/>
        </w:rPr>
        <w:t>1 William Street, Brisbane Qld 4000, Australia.</w:t>
      </w:r>
    </w:p>
    <w:p w14:paraId="2F0FF05B" w14:textId="77777777" w:rsidR="00044665" w:rsidRPr="007C31B8" w:rsidRDefault="00044665" w:rsidP="001C4AD8">
      <w:pPr>
        <w:pStyle w:val="copyright"/>
        <w:rPr>
          <w:rFonts w:asciiTheme="minorHAnsi" w:hAnsiTheme="minorHAnsi" w:cstheme="minorHAnsi"/>
          <w:sz w:val="20"/>
          <w:szCs w:val="20"/>
        </w:rPr>
      </w:pPr>
    </w:p>
    <w:p w14:paraId="11849227" w14:textId="77777777" w:rsidR="00044665" w:rsidRPr="007C31B8" w:rsidRDefault="00044665" w:rsidP="001C4AD8">
      <w:pPr>
        <w:pStyle w:val="copyright"/>
        <w:rPr>
          <w:rFonts w:asciiTheme="minorHAnsi" w:hAnsiTheme="minorHAnsi" w:cstheme="minorHAnsi"/>
          <w:sz w:val="20"/>
          <w:szCs w:val="20"/>
        </w:rPr>
      </w:pPr>
      <w:r w:rsidRPr="007C31B8">
        <w:rPr>
          <w:rStyle w:val="Bold9pt"/>
          <w:rFonts w:asciiTheme="minorHAnsi" w:hAnsiTheme="minorHAnsi" w:cstheme="minorHAnsi"/>
          <w:sz w:val="20"/>
          <w:szCs w:val="20"/>
        </w:rPr>
        <w:t>Licence</w:t>
      </w:r>
    </w:p>
    <w:p w14:paraId="25E79366" w14:textId="77777777" w:rsidR="00044665" w:rsidRDefault="00044665" w:rsidP="001C4AD8">
      <w:pPr>
        <w:pStyle w:val="copyright"/>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9775BAF" wp14:editId="1033B3F7">
            <wp:extent cx="895350" cy="318182"/>
            <wp:effectExtent l="0" t="0" r="0" b="5715"/>
            <wp:docPr id="427073058" name="Picture 427073058"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73058" name="Picture 427073058" descr="Creative Commons logo"/>
                    <pic:cNvPicPr/>
                  </pic:nvPicPr>
                  <pic:blipFill>
                    <a:blip r:embed="rId12">
                      <a:extLst>
                        <a:ext uri="{28A0092B-C50C-407E-A947-70E740481C1C}">
                          <a14:useLocalDpi xmlns:a14="http://schemas.microsoft.com/office/drawing/2010/main" val="0"/>
                        </a:ext>
                      </a:extLst>
                    </a:blip>
                    <a:stretch>
                      <a:fillRect/>
                    </a:stretch>
                  </pic:blipFill>
                  <pic:spPr>
                    <a:xfrm>
                      <a:off x="0" y="0"/>
                      <a:ext cx="904246" cy="321343"/>
                    </a:xfrm>
                    <a:prstGeom prst="rect">
                      <a:avLst/>
                    </a:prstGeom>
                  </pic:spPr>
                </pic:pic>
              </a:graphicData>
            </a:graphic>
          </wp:inline>
        </w:drawing>
      </w:r>
    </w:p>
    <w:p w14:paraId="400E707E" w14:textId="77777777" w:rsidR="00044665" w:rsidRPr="007C31B8" w:rsidRDefault="00044665" w:rsidP="001C4AD8">
      <w:pPr>
        <w:pStyle w:val="copyright"/>
        <w:rPr>
          <w:rFonts w:asciiTheme="minorHAnsi" w:hAnsiTheme="minorHAnsi" w:cstheme="minorHAnsi"/>
          <w:sz w:val="20"/>
          <w:szCs w:val="20"/>
        </w:rPr>
      </w:pPr>
    </w:p>
    <w:p w14:paraId="04FE73B5" w14:textId="724844C6" w:rsidR="00044665" w:rsidRPr="007C31B8" w:rsidRDefault="00044665" w:rsidP="001C4AD8">
      <w:pPr>
        <w:pStyle w:val="copyright"/>
        <w:rPr>
          <w:rFonts w:asciiTheme="minorHAnsi" w:hAnsiTheme="minorHAnsi" w:cstheme="minorHAnsi"/>
          <w:sz w:val="20"/>
          <w:szCs w:val="20"/>
        </w:rPr>
      </w:pPr>
      <w:r w:rsidRPr="007C31B8">
        <w:rPr>
          <w:rFonts w:asciiTheme="minorHAnsi" w:hAnsiTheme="minorHAnsi" w:cstheme="minorHAnsi"/>
          <w:sz w:val="20"/>
          <w:szCs w:val="20"/>
        </w:rPr>
        <w:t>Licence: This work is licensed under the Creative Commons CC BY 4.0 Australia Licence. In essence, you are free to copy, communicate and adapt this work, as long as you attribute the work to the State of Queensland (</w:t>
      </w:r>
      <w:r w:rsidR="006D06E9" w:rsidRPr="007C31B8">
        <w:rPr>
          <w:rFonts w:asciiTheme="minorHAnsi" w:hAnsiTheme="minorHAnsi" w:cstheme="minorHAnsi"/>
          <w:sz w:val="20"/>
          <w:szCs w:val="20"/>
        </w:rPr>
        <w:t xml:space="preserve">Department of </w:t>
      </w:r>
      <w:r w:rsidR="006D06E9">
        <w:rPr>
          <w:rFonts w:asciiTheme="minorHAnsi" w:hAnsiTheme="minorHAnsi" w:cstheme="minorHAnsi"/>
          <w:sz w:val="20"/>
          <w:szCs w:val="20"/>
        </w:rPr>
        <w:t xml:space="preserve">State </w:t>
      </w:r>
      <w:r w:rsidR="005C459F">
        <w:rPr>
          <w:rFonts w:asciiTheme="minorHAnsi" w:hAnsiTheme="minorHAnsi" w:cstheme="minorHAnsi"/>
          <w:sz w:val="20"/>
          <w:szCs w:val="20"/>
        </w:rPr>
        <w:t>Development</w:t>
      </w:r>
      <w:r w:rsidR="006D06E9">
        <w:rPr>
          <w:rFonts w:asciiTheme="minorHAnsi" w:hAnsiTheme="minorHAnsi" w:cstheme="minorHAnsi"/>
          <w:sz w:val="20"/>
          <w:szCs w:val="20"/>
        </w:rPr>
        <w:t>, Infrastructure and Planning</w:t>
      </w:r>
      <w:r w:rsidRPr="007C31B8">
        <w:rPr>
          <w:rFonts w:asciiTheme="minorHAnsi" w:hAnsiTheme="minorHAnsi" w:cstheme="minorHAnsi"/>
          <w:sz w:val="20"/>
          <w:szCs w:val="20"/>
        </w:rPr>
        <w:t>) 202</w:t>
      </w:r>
      <w:r w:rsidR="006D06E9">
        <w:rPr>
          <w:rFonts w:asciiTheme="minorHAnsi" w:hAnsiTheme="minorHAnsi" w:cstheme="minorHAnsi"/>
          <w:sz w:val="20"/>
          <w:szCs w:val="20"/>
        </w:rPr>
        <w:t>5</w:t>
      </w:r>
      <w:r w:rsidRPr="007C31B8">
        <w:rPr>
          <w:rFonts w:asciiTheme="minorHAnsi" w:hAnsiTheme="minorHAnsi" w:cstheme="minorHAnsi"/>
          <w:sz w:val="20"/>
          <w:szCs w:val="20"/>
        </w:rPr>
        <w:t>. You must keep intact any and all copyright notices in the works as indicated by the symbol ©.</w:t>
      </w:r>
    </w:p>
    <w:p w14:paraId="30A9A9BE" w14:textId="77777777" w:rsidR="00044665" w:rsidRDefault="00044665" w:rsidP="001C4AD8">
      <w:pPr>
        <w:pStyle w:val="copyright"/>
        <w:rPr>
          <w:rFonts w:asciiTheme="minorHAnsi" w:hAnsiTheme="minorHAnsi" w:cstheme="minorHAnsi"/>
          <w:sz w:val="20"/>
          <w:szCs w:val="20"/>
        </w:rPr>
      </w:pPr>
      <w:r w:rsidRPr="007C31B8">
        <w:rPr>
          <w:rFonts w:asciiTheme="minorHAnsi" w:hAnsiTheme="minorHAnsi" w:cstheme="minorHAnsi"/>
          <w:sz w:val="20"/>
          <w:szCs w:val="20"/>
        </w:rPr>
        <w:t xml:space="preserve">To view a copy of this licence, visit </w:t>
      </w:r>
      <w:hyperlink r:id="rId13" w:history="1">
        <w:r w:rsidRPr="002730EE">
          <w:rPr>
            <w:rStyle w:val="Hyperlink"/>
            <w:rFonts w:asciiTheme="minorHAnsi" w:hAnsiTheme="minorHAnsi" w:cstheme="minorHAnsi"/>
            <w:sz w:val="20"/>
            <w:szCs w:val="20"/>
          </w:rPr>
          <w:t>http://creativecommons.org/licenses/by/4.0/</w:t>
        </w:r>
      </w:hyperlink>
      <w:r w:rsidRPr="007C31B8">
        <w:rPr>
          <w:rFonts w:asciiTheme="minorHAnsi" w:hAnsiTheme="minorHAnsi" w:cstheme="minorHAnsi"/>
          <w:sz w:val="20"/>
          <w:szCs w:val="20"/>
        </w:rPr>
        <w:t xml:space="preserve"> </w:t>
      </w:r>
    </w:p>
    <w:p w14:paraId="77E1A055" w14:textId="77777777" w:rsidR="00044665" w:rsidRPr="007C31B8" w:rsidRDefault="00044665" w:rsidP="001C4AD8">
      <w:pPr>
        <w:pStyle w:val="copyright"/>
        <w:rPr>
          <w:rFonts w:asciiTheme="minorHAnsi" w:hAnsiTheme="minorHAnsi" w:cstheme="minorHAnsi"/>
          <w:sz w:val="20"/>
          <w:szCs w:val="20"/>
        </w:rPr>
      </w:pPr>
    </w:p>
    <w:p w14:paraId="25D0D391" w14:textId="77777777" w:rsidR="00044665" w:rsidRPr="007C31B8" w:rsidRDefault="00044665" w:rsidP="001C4AD8">
      <w:pPr>
        <w:pStyle w:val="copyright"/>
        <w:rPr>
          <w:rFonts w:asciiTheme="minorHAnsi" w:hAnsiTheme="minorHAnsi" w:cstheme="minorHAnsi"/>
          <w:sz w:val="20"/>
          <w:szCs w:val="20"/>
        </w:rPr>
      </w:pPr>
      <w:r w:rsidRPr="007C31B8">
        <w:rPr>
          <w:rStyle w:val="Bold9pt"/>
          <w:rFonts w:asciiTheme="minorHAnsi" w:hAnsiTheme="minorHAnsi" w:cstheme="minorHAnsi"/>
          <w:sz w:val="20"/>
          <w:szCs w:val="20"/>
        </w:rPr>
        <w:t>Attribution</w:t>
      </w:r>
    </w:p>
    <w:p w14:paraId="575130B9" w14:textId="3D9E32E1" w:rsidR="00044665" w:rsidRDefault="00044665" w:rsidP="001C4AD8">
      <w:pPr>
        <w:pStyle w:val="copyright"/>
        <w:rPr>
          <w:rFonts w:asciiTheme="minorHAnsi" w:hAnsiTheme="minorHAnsi" w:cstheme="minorHAnsi"/>
          <w:sz w:val="20"/>
          <w:szCs w:val="20"/>
        </w:rPr>
      </w:pPr>
      <w:r w:rsidRPr="007C31B8">
        <w:rPr>
          <w:rFonts w:asciiTheme="minorHAnsi" w:hAnsiTheme="minorHAnsi" w:cstheme="minorHAnsi"/>
          <w:sz w:val="20"/>
          <w:szCs w:val="20"/>
        </w:rPr>
        <w:t xml:space="preserve">Content from this work should be attributed as: The State of Queensland, </w:t>
      </w:r>
      <w:r w:rsidR="006D06E9" w:rsidRPr="007C31B8">
        <w:rPr>
          <w:rFonts w:asciiTheme="minorHAnsi" w:hAnsiTheme="minorHAnsi" w:cstheme="minorHAnsi"/>
          <w:sz w:val="20"/>
          <w:szCs w:val="20"/>
        </w:rPr>
        <w:t xml:space="preserve">Department of </w:t>
      </w:r>
      <w:r w:rsidR="006D06E9">
        <w:rPr>
          <w:rFonts w:asciiTheme="minorHAnsi" w:hAnsiTheme="minorHAnsi" w:cstheme="minorHAnsi"/>
          <w:sz w:val="20"/>
          <w:szCs w:val="20"/>
        </w:rPr>
        <w:t xml:space="preserve">State </w:t>
      </w:r>
      <w:r w:rsidR="005C459F">
        <w:rPr>
          <w:rFonts w:asciiTheme="minorHAnsi" w:hAnsiTheme="minorHAnsi" w:cstheme="minorHAnsi"/>
          <w:sz w:val="20"/>
          <w:szCs w:val="20"/>
        </w:rPr>
        <w:t>Development</w:t>
      </w:r>
      <w:r w:rsidR="006D06E9">
        <w:rPr>
          <w:rFonts w:asciiTheme="minorHAnsi" w:hAnsiTheme="minorHAnsi" w:cstheme="minorHAnsi"/>
          <w:sz w:val="20"/>
          <w:szCs w:val="20"/>
        </w:rPr>
        <w:t>, Infrastructure and Planning</w:t>
      </w:r>
      <w:r w:rsidRPr="007C31B8">
        <w:rPr>
          <w:rFonts w:asciiTheme="minorHAnsi" w:hAnsiTheme="minorHAnsi" w:cstheme="minorHAnsi"/>
          <w:sz w:val="20"/>
          <w:szCs w:val="20"/>
        </w:rPr>
        <w:t>, 202</w:t>
      </w:r>
      <w:r w:rsidR="006D06E9">
        <w:rPr>
          <w:rFonts w:asciiTheme="minorHAnsi" w:hAnsiTheme="minorHAnsi" w:cstheme="minorHAnsi"/>
          <w:sz w:val="20"/>
          <w:szCs w:val="20"/>
        </w:rPr>
        <w:t>5</w:t>
      </w:r>
      <w:r w:rsidRPr="007C31B8">
        <w:rPr>
          <w:rFonts w:asciiTheme="minorHAnsi" w:hAnsiTheme="minorHAnsi" w:cstheme="minorHAnsi"/>
          <w:sz w:val="20"/>
          <w:szCs w:val="20"/>
        </w:rPr>
        <w:t>.</w:t>
      </w:r>
    </w:p>
    <w:p w14:paraId="60C71B3F" w14:textId="77777777" w:rsidR="00044665" w:rsidRPr="007C31B8" w:rsidRDefault="00044665" w:rsidP="001C4AD8">
      <w:pPr>
        <w:pStyle w:val="copyright"/>
        <w:rPr>
          <w:rFonts w:asciiTheme="minorHAnsi" w:hAnsiTheme="minorHAnsi" w:cstheme="minorHAnsi"/>
          <w:sz w:val="20"/>
          <w:szCs w:val="20"/>
        </w:rPr>
      </w:pPr>
    </w:p>
    <w:p w14:paraId="516D2B42" w14:textId="77777777" w:rsidR="00044665" w:rsidRPr="007C31B8" w:rsidRDefault="00044665" w:rsidP="001C4AD8">
      <w:pPr>
        <w:pStyle w:val="copyright"/>
        <w:rPr>
          <w:rFonts w:asciiTheme="minorHAnsi" w:hAnsiTheme="minorHAnsi" w:cstheme="minorHAnsi"/>
          <w:sz w:val="20"/>
          <w:szCs w:val="20"/>
        </w:rPr>
      </w:pPr>
      <w:r w:rsidRPr="007C31B8">
        <w:rPr>
          <w:rStyle w:val="Bold9pt"/>
          <w:rFonts w:asciiTheme="minorHAnsi" w:hAnsiTheme="minorHAnsi" w:cstheme="minorHAnsi"/>
          <w:sz w:val="20"/>
          <w:szCs w:val="20"/>
        </w:rPr>
        <w:t>Interpreter</w:t>
      </w:r>
    </w:p>
    <w:p w14:paraId="642167FA" w14:textId="77777777" w:rsidR="00044665" w:rsidRPr="007C31B8" w:rsidRDefault="00044665" w:rsidP="001C4AD8">
      <w:pPr>
        <w:pStyle w:val="copyright"/>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422C460C" wp14:editId="644ED2A7">
            <wp:extent cx="547688" cy="547688"/>
            <wp:effectExtent l="0" t="0" r="5080" b="5080"/>
            <wp:docPr id="2" name="Picture 2" descr="Interpreter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terpreter logo&#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9804" cy="549804"/>
                    </a:xfrm>
                    <a:prstGeom prst="rect">
                      <a:avLst/>
                    </a:prstGeom>
                  </pic:spPr>
                </pic:pic>
              </a:graphicData>
            </a:graphic>
          </wp:inline>
        </w:drawing>
      </w:r>
    </w:p>
    <w:p w14:paraId="28364317" w14:textId="77777777" w:rsidR="00A11374" w:rsidRDefault="00044665" w:rsidP="001C4AD8">
      <w:pPr>
        <w:rPr>
          <w:rFonts w:cstheme="minorHAnsi"/>
          <w:sz w:val="20"/>
        </w:rPr>
      </w:pPr>
      <w:r w:rsidRPr="007C31B8">
        <w:rPr>
          <w:rFonts w:cstheme="minorHAnsi"/>
          <w:sz w:val="20"/>
        </w:rPr>
        <w:t>The Queensland Government is committed to providing accessible services to Queenslanders from all culturally and linguistically diverse backgrounds. If you have difficulty in understanding this document, you can contact us on 13 QGOV (13 74 68) and we will arrange an interpreter to communicate the report to you.</w:t>
      </w:r>
      <w:r>
        <w:rPr>
          <w:rFonts w:cstheme="minorHAnsi"/>
          <w:sz w:val="20"/>
        </w:rPr>
        <w:t xml:space="preserve"> </w:t>
      </w:r>
      <w:hyperlink r:id="rId15" w:history="1">
        <w:r w:rsidRPr="002730EE">
          <w:rPr>
            <w:rStyle w:val="Hyperlink"/>
            <w:rFonts w:cstheme="minorHAnsi"/>
            <w:sz w:val="20"/>
          </w:rPr>
          <w:t>www.qld.gov.au/languages</w:t>
        </w:r>
      </w:hyperlink>
      <w:r>
        <w:rPr>
          <w:rFonts w:cstheme="minorHAnsi"/>
          <w:sz w:val="20"/>
        </w:rPr>
        <w:t xml:space="preserve"> </w:t>
      </w:r>
    </w:p>
    <w:p w14:paraId="0515B12E" w14:textId="77777777" w:rsidR="00A11374" w:rsidRPr="004F2684" w:rsidRDefault="00A11374" w:rsidP="001C4AD8">
      <w:pPr>
        <w:rPr>
          <w:rFonts w:cstheme="minorHAnsi"/>
          <w:b/>
          <w:bCs/>
          <w:sz w:val="20"/>
        </w:rPr>
      </w:pPr>
      <w:r w:rsidRPr="004F2684">
        <w:rPr>
          <w:rFonts w:cstheme="minorHAnsi"/>
          <w:b/>
          <w:bCs/>
          <w:sz w:val="20"/>
        </w:rPr>
        <w:t>Disclaimer</w:t>
      </w:r>
    </w:p>
    <w:p w14:paraId="54B3BE73" w14:textId="43B14297" w:rsidR="00207D2C" w:rsidRPr="00A11374" w:rsidRDefault="00A11374" w:rsidP="001C4AD8">
      <w:pPr>
        <w:rPr>
          <w:rFonts w:cstheme="minorHAnsi"/>
          <w:sz w:val="20"/>
        </w:rPr>
      </w:pPr>
      <w:r w:rsidRPr="004F2684">
        <w:rPr>
          <w:color w:val="auto"/>
          <w:sz w:val="20"/>
          <w:szCs w:val="18"/>
        </w:rPr>
        <w:t xml:space="preserve">In Queensland, </w:t>
      </w:r>
      <w:r w:rsidR="00726068" w:rsidRPr="004F2684">
        <w:rPr>
          <w:color w:val="auto"/>
          <w:sz w:val="20"/>
          <w:szCs w:val="18"/>
        </w:rPr>
        <w:t xml:space="preserve">following </w:t>
      </w:r>
      <w:r w:rsidR="00AA1D3B" w:rsidRPr="004F2684">
        <w:rPr>
          <w:color w:val="auto"/>
          <w:sz w:val="20"/>
          <w:szCs w:val="18"/>
        </w:rPr>
        <w:t>the</w:t>
      </w:r>
      <w:r w:rsidRPr="004F2684">
        <w:rPr>
          <w:color w:val="auto"/>
          <w:sz w:val="20"/>
          <w:szCs w:val="18"/>
        </w:rPr>
        <w:t xml:space="preserve"> State General Election on Saturday 26 October 2024, </w:t>
      </w:r>
      <w:r w:rsidR="00726068" w:rsidRPr="004F2684">
        <w:rPr>
          <w:color w:val="auto"/>
          <w:sz w:val="20"/>
          <w:szCs w:val="18"/>
        </w:rPr>
        <w:t>a new government was formed</w:t>
      </w:r>
      <w:r w:rsidRPr="004F2684">
        <w:rPr>
          <w:color w:val="auto"/>
          <w:sz w:val="20"/>
          <w:szCs w:val="18"/>
        </w:rPr>
        <w:t xml:space="preserve">. </w:t>
      </w:r>
      <w:r w:rsidR="00726068" w:rsidRPr="004F2684">
        <w:rPr>
          <w:color w:val="auto"/>
          <w:sz w:val="20"/>
          <w:szCs w:val="18"/>
        </w:rPr>
        <w:t>I</w:t>
      </w:r>
      <w:r w:rsidRPr="004F2684">
        <w:rPr>
          <w:color w:val="auto"/>
          <w:sz w:val="20"/>
          <w:szCs w:val="18"/>
        </w:rPr>
        <w:t xml:space="preserve">nformation in this </w:t>
      </w:r>
      <w:r w:rsidR="00726068" w:rsidRPr="004F2684">
        <w:rPr>
          <w:color w:val="auto"/>
          <w:sz w:val="20"/>
          <w:szCs w:val="18"/>
        </w:rPr>
        <w:t>progress report</w:t>
      </w:r>
      <w:r w:rsidRPr="004F2684">
        <w:rPr>
          <w:color w:val="auto"/>
          <w:sz w:val="20"/>
          <w:szCs w:val="18"/>
        </w:rPr>
        <w:t xml:space="preserve"> reflects the initiatives from the incumbent governmen</w:t>
      </w:r>
      <w:r w:rsidR="00CB0A01" w:rsidRPr="004F2684">
        <w:rPr>
          <w:color w:val="auto"/>
          <w:sz w:val="20"/>
          <w:szCs w:val="18"/>
        </w:rPr>
        <w:t>t</w:t>
      </w:r>
      <w:r w:rsidRPr="004F2684">
        <w:rPr>
          <w:color w:val="auto"/>
          <w:sz w:val="20"/>
          <w:szCs w:val="18"/>
        </w:rPr>
        <w:t xml:space="preserve">. Information in this publication is based on </w:t>
      </w:r>
      <w:r w:rsidR="00726068" w:rsidRPr="004F2684">
        <w:rPr>
          <w:color w:val="auto"/>
          <w:sz w:val="20"/>
          <w:szCs w:val="18"/>
        </w:rPr>
        <w:t>project status</w:t>
      </w:r>
      <w:r w:rsidRPr="004F2684">
        <w:rPr>
          <w:color w:val="auto"/>
          <w:sz w:val="20"/>
          <w:szCs w:val="18"/>
        </w:rPr>
        <w:t xml:space="preserve"> </w:t>
      </w:r>
      <w:r w:rsidR="00726068" w:rsidRPr="004F2684">
        <w:rPr>
          <w:color w:val="auto"/>
          <w:sz w:val="20"/>
          <w:szCs w:val="18"/>
        </w:rPr>
        <w:t>in</w:t>
      </w:r>
      <w:r w:rsidRPr="004F2684">
        <w:rPr>
          <w:color w:val="auto"/>
          <w:sz w:val="20"/>
          <w:szCs w:val="18"/>
        </w:rPr>
        <w:t xml:space="preserve"> May 2025, and is subject to change.</w:t>
      </w:r>
      <w:r w:rsidR="00207D2C" w:rsidRPr="00A11374">
        <w:rPr>
          <w:color w:val="FF0000"/>
        </w:rPr>
        <w:br w:type="page"/>
      </w:r>
    </w:p>
    <w:sdt>
      <w:sdtPr>
        <w:id w:val="657355207"/>
        <w:docPartObj>
          <w:docPartGallery w:val="Table of Contents"/>
          <w:docPartUnique/>
        </w:docPartObj>
      </w:sdtPr>
      <w:sdtEndPr>
        <w:rPr>
          <w:b/>
          <w:bCs/>
          <w:noProof/>
        </w:rPr>
      </w:sdtEndPr>
      <w:sdtContent>
        <w:p w14:paraId="54934B6B" w14:textId="4A20A771" w:rsidR="00833019" w:rsidRPr="00207D2C" w:rsidRDefault="00833019" w:rsidP="00207D2C">
          <w:pPr>
            <w:rPr>
              <w:rStyle w:val="Heading1Char"/>
            </w:rPr>
          </w:pPr>
          <w:r w:rsidRPr="00207D2C">
            <w:rPr>
              <w:rStyle w:val="Heading1Char"/>
            </w:rPr>
            <w:t>Contents</w:t>
          </w:r>
        </w:p>
        <w:p w14:paraId="5C97EA33" w14:textId="3E8767AF" w:rsidR="006A11DC" w:rsidRDefault="00833019">
          <w:pPr>
            <w:pStyle w:val="TOC1"/>
            <w:rPr>
              <w:rFonts w:eastAsiaTheme="minorEastAsia" w:cstheme="minorBidi"/>
              <w:b w:val="0"/>
              <w:color w:val="auto"/>
              <w:kern w:val="2"/>
              <w:szCs w:val="24"/>
              <w14:ligatures w14:val="standardContextual"/>
            </w:rPr>
          </w:pPr>
          <w:r>
            <w:fldChar w:fldCharType="begin"/>
          </w:r>
          <w:r>
            <w:instrText xml:space="preserve"> TOC \o "1-3" \h \z \u </w:instrText>
          </w:r>
          <w:r>
            <w:fldChar w:fldCharType="separate"/>
          </w:r>
          <w:hyperlink w:anchor="_Toc201835776" w:history="1">
            <w:r w:rsidR="006A11DC" w:rsidRPr="001B6451">
              <w:rPr>
                <w:rStyle w:val="Hyperlink"/>
                <w:lang w:eastAsia="en-US"/>
              </w:rPr>
              <w:t>Measure 2</w:t>
            </w:r>
            <w:r w:rsidR="006A11DC">
              <w:rPr>
                <w:webHidden/>
              </w:rPr>
              <w:tab/>
            </w:r>
            <w:r w:rsidR="006A11DC">
              <w:rPr>
                <w:webHidden/>
              </w:rPr>
              <w:fldChar w:fldCharType="begin"/>
            </w:r>
            <w:r w:rsidR="006A11DC">
              <w:rPr>
                <w:webHidden/>
              </w:rPr>
              <w:instrText xml:space="preserve"> PAGEREF _Toc201835776 \h </w:instrText>
            </w:r>
            <w:r w:rsidR="006A11DC">
              <w:rPr>
                <w:webHidden/>
              </w:rPr>
            </w:r>
            <w:r w:rsidR="006A11DC">
              <w:rPr>
                <w:webHidden/>
              </w:rPr>
              <w:fldChar w:fldCharType="separate"/>
            </w:r>
            <w:r w:rsidR="00ED3DA7">
              <w:rPr>
                <w:webHidden/>
              </w:rPr>
              <w:t>1</w:t>
            </w:r>
            <w:r w:rsidR="006A11DC">
              <w:rPr>
                <w:webHidden/>
              </w:rPr>
              <w:fldChar w:fldCharType="end"/>
            </w:r>
          </w:hyperlink>
        </w:p>
        <w:p w14:paraId="4B009186" w14:textId="32F25176" w:rsidR="006A11DC" w:rsidRDefault="006A11DC">
          <w:pPr>
            <w:pStyle w:val="TOC2"/>
            <w:rPr>
              <w:rFonts w:eastAsiaTheme="minorEastAsia" w:cstheme="minorBidi"/>
              <w:color w:val="auto"/>
              <w:kern w:val="2"/>
              <w:sz w:val="24"/>
              <w:szCs w:val="24"/>
              <w14:ligatures w14:val="standardContextual"/>
            </w:rPr>
          </w:pPr>
          <w:hyperlink w:anchor="_Toc201835777" w:history="1">
            <w:r w:rsidRPr="001B6451">
              <w:rPr>
                <w:rStyle w:val="Hyperlink"/>
              </w:rPr>
              <w:t>How Queensland’s strategic plans will deliver on housing supply targets</w:t>
            </w:r>
            <w:r>
              <w:rPr>
                <w:webHidden/>
              </w:rPr>
              <w:tab/>
            </w:r>
            <w:r>
              <w:rPr>
                <w:webHidden/>
              </w:rPr>
              <w:fldChar w:fldCharType="begin"/>
            </w:r>
            <w:r>
              <w:rPr>
                <w:webHidden/>
              </w:rPr>
              <w:instrText xml:space="preserve"> PAGEREF _Toc201835777 \h </w:instrText>
            </w:r>
            <w:r>
              <w:rPr>
                <w:webHidden/>
              </w:rPr>
            </w:r>
            <w:r>
              <w:rPr>
                <w:webHidden/>
              </w:rPr>
              <w:fldChar w:fldCharType="separate"/>
            </w:r>
            <w:r w:rsidR="00ED3DA7">
              <w:rPr>
                <w:webHidden/>
              </w:rPr>
              <w:t>1</w:t>
            </w:r>
            <w:r>
              <w:rPr>
                <w:webHidden/>
              </w:rPr>
              <w:fldChar w:fldCharType="end"/>
            </w:r>
          </w:hyperlink>
        </w:p>
        <w:p w14:paraId="6FDBAA34" w14:textId="5363E814" w:rsidR="006A11DC" w:rsidRDefault="006A11DC">
          <w:pPr>
            <w:pStyle w:val="TOC2"/>
            <w:rPr>
              <w:rFonts w:eastAsiaTheme="minorEastAsia" w:cstheme="minorBidi"/>
              <w:color w:val="auto"/>
              <w:kern w:val="2"/>
              <w:sz w:val="24"/>
              <w:szCs w:val="24"/>
              <w14:ligatures w14:val="standardContextual"/>
            </w:rPr>
          </w:pPr>
          <w:hyperlink w:anchor="_Toc201835778" w:history="1">
            <w:r w:rsidRPr="001B6451">
              <w:rPr>
                <w:rStyle w:val="Hyperlink"/>
              </w:rPr>
              <w:t>Regional Plans</w:t>
            </w:r>
            <w:r>
              <w:rPr>
                <w:webHidden/>
              </w:rPr>
              <w:tab/>
            </w:r>
            <w:r>
              <w:rPr>
                <w:webHidden/>
              </w:rPr>
              <w:fldChar w:fldCharType="begin"/>
            </w:r>
            <w:r>
              <w:rPr>
                <w:webHidden/>
              </w:rPr>
              <w:instrText xml:space="preserve"> PAGEREF _Toc201835778 \h </w:instrText>
            </w:r>
            <w:r>
              <w:rPr>
                <w:webHidden/>
              </w:rPr>
            </w:r>
            <w:r>
              <w:rPr>
                <w:webHidden/>
              </w:rPr>
              <w:fldChar w:fldCharType="separate"/>
            </w:r>
            <w:r w:rsidR="00ED3DA7">
              <w:rPr>
                <w:webHidden/>
              </w:rPr>
              <w:t>1</w:t>
            </w:r>
            <w:r>
              <w:rPr>
                <w:webHidden/>
              </w:rPr>
              <w:fldChar w:fldCharType="end"/>
            </w:r>
          </w:hyperlink>
        </w:p>
        <w:p w14:paraId="591D75A4" w14:textId="2006805C" w:rsidR="006A11DC" w:rsidRDefault="006A11DC">
          <w:pPr>
            <w:pStyle w:val="TOC2"/>
            <w:rPr>
              <w:rFonts w:eastAsiaTheme="minorEastAsia" w:cstheme="minorBidi"/>
              <w:color w:val="auto"/>
              <w:kern w:val="2"/>
              <w:sz w:val="24"/>
              <w:szCs w:val="24"/>
              <w14:ligatures w14:val="standardContextual"/>
            </w:rPr>
          </w:pPr>
          <w:hyperlink w:anchor="_Toc201835779" w:history="1">
            <w:r w:rsidRPr="001B6451">
              <w:rPr>
                <w:rStyle w:val="Hyperlink"/>
              </w:rPr>
              <w:t>Local strategic plans</w:t>
            </w:r>
            <w:r>
              <w:rPr>
                <w:webHidden/>
              </w:rPr>
              <w:tab/>
            </w:r>
            <w:r>
              <w:rPr>
                <w:webHidden/>
              </w:rPr>
              <w:fldChar w:fldCharType="begin"/>
            </w:r>
            <w:r>
              <w:rPr>
                <w:webHidden/>
              </w:rPr>
              <w:instrText xml:space="preserve"> PAGEREF _Toc201835779 \h </w:instrText>
            </w:r>
            <w:r>
              <w:rPr>
                <w:webHidden/>
              </w:rPr>
            </w:r>
            <w:r>
              <w:rPr>
                <w:webHidden/>
              </w:rPr>
              <w:fldChar w:fldCharType="separate"/>
            </w:r>
            <w:r w:rsidR="00ED3DA7">
              <w:rPr>
                <w:webHidden/>
              </w:rPr>
              <w:t>2</w:t>
            </w:r>
            <w:r>
              <w:rPr>
                <w:webHidden/>
              </w:rPr>
              <w:fldChar w:fldCharType="end"/>
            </w:r>
          </w:hyperlink>
        </w:p>
        <w:p w14:paraId="5A36EC05" w14:textId="557A4216" w:rsidR="006A11DC" w:rsidRDefault="006A11DC">
          <w:pPr>
            <w:pStyle w:val="TOC1"/>
            <w:rPr>
              <w:rFonts w:eastAsiaTheme="minorEastAsia" w:cstheme="minorBidi"/>
              <w:b w:val="0"/>
              <w:color w:val="auto"/>
              <w:kern w:val="2"/>
              <w:szCs w:val="24"/>
              <w14:ligatures w14:val="standardContextual"/>
            </w:rPr>
          </w:pPr>
          <w:hyperlink w:anchor="_Toc201835780" w:history="1">
            <w:r w:rsidRPr="001B6451">
              <w:rPr>
                <w:rStyle w:val="Hyperlink"/>
                <w:lang w:eastAsia="en-US"/>
              </w:rPr>
              <w:t>Measure 3</w:t>
            </w:r>
            <w:r>
              <w:rPr>
                <w:webHidden/>
              </w:rPr>
              <w:tab/>
            </w:r>
            <w:r>
              <w:rPr>
                <w:webHidden/>
              </w:rPr>
              <w:fldChar w:fldCharType="begin"/>
            </w:r>
            <w:r>
              <w:rPr>
                <w:webHidden/>
              </w:rPr>
              <w:instrText xml:space="preserve"> PAGEREF _Toc201835780 \h </w:instrText>
            </w:r>
            <w:r>
              <w:rPr>
                <w:webHidden/>
              </w:rPr>
            </w:r>
            <w:r>
              <w:rPr>
                <w:webHidden/>
              </w:rPr>
              <w:fldChar w:fldCharType="separate"/>
            </w:r>
            <w:r w:rsidR="00ED3DA7">
              <w:rPr>
                <w:webHidden/>
              </w:rPr>
              <w:t>4</w:t>
            </w:r>
            <w:r>
              <w:rPr>
                <w:webHidden/>
              </w:rPr>
              <w:fldChar w:fldCharType="end"/>
            </w:r>
          </w:hyperlink>
        </w:p>
        <w:p w14:paraId="080954AF" w14:textId="73C43A19" w:rsidR="006A11DC" w:rsidRDefault="006A11DC">
          <w:pPr>
            <w:pStyle w:val="TOC2"/>
            <w:rPr>
              <w:rFonts w:eastAsiaTheme="minorEastAsia" w:cstheme="minorBidi"/>
              <w:color w:val="auto"/>
              <w:kern w:val="2"/>
              <w:sz w:val="24"/>
              <w:szCs w:val="24"/>
              <w14:ligatures w14:val="standardContextual"/>
            </w:rPr>
          </w:pPr>
          <w:hyperlink w:anchor="_Toc201835781" w:history="1">
            <w:r w:rsidRPr="001B6451">
              <w:rPr>
                <w:rStyle w:val="Hyperlink"/>
              </w:rPr>
              <w:t>Summary of planning reforms</w:t>
            </w:r>
            <w:r>
              <w:rPr>
                <w:webHidden/>
              </w:rPr>
              <w:tab/>
            </w:r>
            <w:r>
              <w:rPr>
                <w:webHidden/>
              </w:rPr>
              <w:fldChar w:fldCharType="begin"/>
            </w:r>
            <w:r>
              <w:rPr>
                <w:webHidden/>
              </w:rPr>
              <w:instrText xml:space="preserve"> PAGEREF _Toc201835781 \h </w:instrText>
            </w:r>
            <w:r>
              <w:rPr>
                <w:webHidden/>
              </w:rPr>
            </w:r>
            <w:r>
              <w:rPr>
                <w:webHidden/>
              </w:rPr>
              <w:fldChar w:fldCharType="separate"/>
            </w:r>
            <w:r w:rsidR="00ED3DA7">
              <w:rPr>
                <w:webHidden/>
              </w:rPr>
              <w:t>4</w:t>
            </w:r>
            <w:r>
              <w:rPr>
                <w:webHidden/>
              </w:rPr>
              <w:fldChar w:fldCharType="end"/>
            </w:r>
          </w:hyperlink>
        </w:p>
        <w:p w14:paraId="69028162" w14:textId="76AFAC29" w:rsidR="006A11DC" w:rsidRDefault="006A11DC">
          <w:pPr>
            <w:pStyle w:val="TOC1"/>
            <w:rPr>
              <w:rFonts w:eastAsiaTheme="minorEastAsia" w:cstheme="minorBidi"/>
              <w:b w:val="0"/>
              <w:color w:val="auto"/>
              <w:kern w:val="2"/>
              <w:szCs w:val="24"/>
              <w14:ligatures w14:val="standardContextual"/>
            </w:rPr>
          </w:pPr>
          <w:hyperlink w:anchor="_Toc201835782" w:history="1">
            <w:r w:rsidRPr="001B6451">
              <w:rPr>
                <w:rStyle w:val="Hyperlink"/>
                <w:lang w:eastAsia="en-US"/>
              </w:rPr>
              <w:t>Measure 4</w:t>
            </w:r>
            <w:r>
              <w:rPr>
                <w:webHidden/>
              </w:rPr>
              <w:tab/>
            </w:r>
            <w:r>
              <w:rPr>
                <w:webHidden/>
              </w:rPr>
              <w:fldChar w:fldCharType="begin"/>
            </w:r>
            <w:r>
              <w:rPr>
                <w:webHidden/>
              </w:rPr>
              <w:instrText xml:space="preserve"> PAGEREF _Toc201835782 \h </w:instrText>
            </w:r>
            <w:r>
              <w:rPr>
                <w:webHidden/>
              </w:rPr>
            </w:r>
            <w:r>
              <w:rPr>
                <w:webHidden/>
              </w:rPr>
              <w:fldChar w:fldCharType="separate"/>
            </w:r>
            <w:r w:rsidR="00ED3DA7">
              <w:rPr>
                <w:webHidden/>
              </w:rPr>
              <w:t>7</w:t>
            </w:r>
            <w:r>
              <w:rPr>
                <w:webHidden/>
              </w:rPr>
              <w:fldChar w:fldCharType="end"/>
            </w:r>
          </w:hyperlink>
        </w:p>
        <w:p w14:paraId="202A7534" w14:textId="7C1448EE" w:rsidR="006A11DC" w:rsidRDefault="006A11DC">
          <w:pPr>
            <w:pStyle w:val="TOC2"/>
            <w:rPr>
              <w:rFonts w:eastAsiaTheme="minorEastAsia" w:cstheme="minorBidi"/>
              <w:color w:val="auto"/>
              <w:kern w:val="2"/>
              <w:sz w:val="24"/>
              <w:szCs w:val="24"/>
              <w14:ligatures w14:val="standardContextual"/>
            </w:rPr>
          </w:pPr>
          <w:hyperlink w:anchor="_Toc201835783" w:history="1">
            <w:r w:rsidRPr="001B6451">
              <w:rPr>
                <w:rStyle w:val="Hyperlink"/>
              </w:rPr>
              <w:t>Key findings from a development ready land stocktake</w:t>
            </w:r>
            <w:r>
              <w:rPr>
                <w:webHidden/>
              </w:rPr>
              <w:tab/>
            </w:r>
            <w:r>
              <w:rPr>
                <w:webHidden/>
              </w:rPr>
              <w:fldChar w:fldCharType="begin"/>
            </w:r>
            <w:r>
              <w:rPr>
                <w:webHidden/>
              </w:rPr>
              <w:instrText xml:space="preserve"> PAGEREF _Toc201835783 \h </w:instrText>
            </w:r>
            <w:r>
              <w:rPr>
                <w:webHidden/>
              </w:rPr>
            </w:r>
            <w:r>
              <w:rPr>
                <w:webHidden/>
              </w:rPr>
              <w:fldChar w:fldCharType="separate"/>
            </w:r>
            <w:r w:rsidR="00ED3DA7">
              <w:rPr>
                <w:webHidden/>
              </w:rPr>
              <w:t>7</w:t>
            </w:r>
            <w:r>
              <w:rPr>
                <w:webHidden/>
              </w:rPr>
              <w:fldChar w:fldCharType="end"/>
            </w:r>
          </w:hyperlink>
        </w:p>
        <w:p w14:paraId="17DF1540" w14:textId="510242A4" w:rsidR="006A11DC" w:rsidRDefault="006A11DC">
          <w:pPr>
            <w:pStyle w:val="TOC1"/>
            <w:rPr>
              <w:rFonts w:eastAsiaTheme="minorEastAsia" w:cstheme="minorBidi"/>
              <w:b w:val="0"/>
              <w:color w:val="auto"/>
              <w:kern w:val="2"/>
              <w:szCs w:val="24"/>
              <w14:ligatures w14:val="standardContextual"/>
            </w:rPr>
          </w:pPr>
          <w:hyperlink w:anchor="_Toc201835784" w:history="1">
            <w:r w:rsidRPr="001B6451">
              <w:rPr>
                <w:rStyle w:val="Hyperlink"/>
                <w:lang w:eastAsia="en-US"/>
              </w:rPr>
              <w:t>Measure 5</w:t>
            </w:r>
            <w:r>
              <w:rPr>
                <w:webHidden/>
              </w:rPr>
              <w:tab/>
            </w:r>
            <w:r>
              <w:rPr>
                <w:webHidden/>
              </w:rPr>
              <w:fldChar w:fldCharType="begin"/>
            </w:r>
            <w:r>
              <w:rPr>
                <w:webHidden/>
              </w:rPr>
              <w:instrText xml:space="preserve"> PAGEREF _Toc201835784 \h </w:instrText>
            </w:r>
            <w:r>
              <w:rPr>
                <w:webHidden/>
              </w:rPr>
            </w:r>
            <w:r>
              <w:rPr>
                <w:webHidden/>
              </w:rPr>
              <w:fldChar w:fldCharType="separate"/>
            </w:r>
            <w:r w:rsidR="00ED3DA7">
              <w:rPr>
                <w:webHidden/>
              </w:rPr>
              <w:t>8</w:t>
            </w:r>
            <w:r>
              <w:rPr>
                <w:webHidden/>
              </w:rPr>
              <w:fldChar w:fldCharType="end"/>
            </w:r>
          </w:hyperlink>
        </w:p>
        <w:p w14:paraId="643EE50E" w14:textId="0A8B583A" w:rsidR="006A11DC" w:rsidRDefault="006A11DC">
          <w:pPr>
            <w:pStyle w:val="TOC2"/>
            <w:rPr>
              <w:rFonts w:eastAsiaTheme="minorEastAsia" w:cstheme="minorBidi"/>
              <w:color w:val="auto"/>
              <w:kern w:val="2"/>
              <w:sz w:val="24"/>
              <w:szCs w:val="24"/>
              <w14:ligatures w14:val="standardContextual"/>
            </w:rPr>
          </w:pPr>
          <w:hyperlink w:anchor="_Toc201835785" w:history="1">
            <w:r w:rsidRPr="001B6451">
              <w:rPr>
                <w:rStyle w:val="Hyperlink"/>
              </w:rPr>
              <w:t>Zoning, planning and other amendments to support dense, well-located housing</w:t>
            </w:r>
            <w:r>
              <w:rPr>
                <w:webHidden/>
              </w:rPr>
              <w:tab/>
            </w:r>
            <w:r>
              <w:rPr>
                <w:webHidden/>
              </w:rPr>
              <w:fldChar w:fldCharType="begin"/>
            </w:r>
            <w:r>
              <w:rPr>
                <w:webHidden/>
              </w:rPr>
              <w:instrText xml:space="preserve"> PAGEREF _Toc201835785 \h </w:instrText>
            </w:r>
            <w:r>
              <w:rPr>
                <w:webHidden/>
              </w:rPr>
            </w:r>
            <w:r>
              <w:rPr>
                <w:webHidden/>
              </w:rPr>
              <w:fldChar w:fldCharType="separate"/>
            </w:r>
            <w:r w:rsidR="00ED3DA7">
              <w:rPr>
                <w:webHidden/>
              </w:rPr>
              <w:t>8</w:t>
            </w:r>
            <w:r>
              <w:rPr>
                <w:webHidden/>
              </w:rPr>
              <w:fldChar w:fldCharType="end"/>
            </w:r>
          </w:hyperlink>
        </w:p>
        <w:p w14:paraId="5BE63BC0" w14:textId="6DAF1D93" w:rsidR="006A11DC" w:rsidRDefault="006A11DC">
          <w:pPr>
            <w:pStyle w:val="TOC1"/>
            <w:rPr>
              <w:rFonts w:eastAsiaTheme="minorEastAsia" w:cstheme="minorBidi"/>
              <w:b w:val="0"/>
              <w:color w:val="auto"/>
              <w:kern w:val="2"/>
              <w:szCs w:val="24"/>
              <w14:ligatures w14:val="standardContextual"/>
            </w:rPr>
          </w:pPr>
          <w:hyperlink w:anchor="_Toc201835786" w:history="1">
            <w:r w:rsidRPr="001B6451">
              <w:rPr>
                <w:rStyle w:val="Hyperlink"/>
                <w:lang w:eastAsia="en-US"/>
              </w:rPr>
              <w:t>Measure 6</w:t>
            </w:r>
            <w:r>
              <w:rPr>
                <w:webHidden/>
              </w:rPr>
              <w:tab/>
            </w:r>
            <w:r>
              <w:rPr>
                <w:webHidden/>
              </w:rPr>
              <w:fldChar w:fldCharType="begin"/>
            </w:r>
            <w:r>
              <w:rPr>
                <w:webHidden/>
              </w:rPr>
              <w:instrText xml:space="preserve"> PAGEREF _Toc201835786 \h </w:instrText>
            </w:r>
            <w:r>
              <w:rPr>
                <w:webHidden/>
              </w:rPr>
            </w:r>
            <w:r>
              <w:rPr>
                <w:webHidden/>
              </w:rPr>
              <w:fldChar w:fldCharType="separate"/>
            </w:r>
            <w:r w:rsidR="00ED3DA7">
              <w:rPr>
                <w:webHidden/>
              </w:rPr>
              <w:t>9</w:t>
            </w:r>
            <w:r>
              <w:rPr>
                <w:webHidden/>
              </w:rPr>
              <w:fldChar w:fldCharType="end"/>
            </w:r>
          </w:hyperlink>
        </w:p>
        <w:p w14:paraId="2A8F23A5" w14:textId="2F143294" w:rsidR="006A11DC" w:rsidRDefault="006A11DC">
          <w:pPr>
            <w:pStyle w:val="TOC3"/>
            <w:rPr>
              <w:rFonts w:eastAsiaTheme="minorEastAsia" w:cstheme="minorBidi"/>
              <w:color w:val="auto"/>
              <w:kern w:val="2"/>
              <w:sz w:val="24"/>
              <w:szCs w:val="24"/>
              <w14:ligatures w14:val="standardContextual"/>
            </w:rPr>
          </w:pPr>
          <w:hyperlink w:anchor="_Toc201835787" w:history="1">
            <w:r w:rsidRPr="001B6451">
              <w:rPr>
                <w:rStyle w:val="Hyperlink"/>
              </w:rPr>
              <w:t>Identifying barriers in development</w:t>
            </w:r>
            <w:r>
              <w:rPr>
                <w:webHidden/>
              </w:rPr>
              <w:tab/>
            </w:r>
            <w:r>
              <w:rPr>
                <w:webHidden/>
              </w:rPr>
              <w:fldChar w:fldCharType="begin"/>
            </w:r>
            <w:r>
              <w:rPr>
                <w:webHidden/>
              </w:rPr>
              <w:instrText xml:space="preserve"> PAGEREF _Toc201835787 \h </w:instrText>
            </w:r>
            <w:r>
              <w:rPr>
                <w:webHidden/>
              </w:rPr>
            </w:r>
            <w:r>
              <w:rPr>
                <w:webHidden/>
              </w:rPr>
              <w:fldChar w:fldCharType="separate"/>
            </w:r>
            <w:r w:rsidR="00ED3DA7">
              <w:rPr>
                <w:webHidden/>
              </w:rPr>
              <w:t>9</w:t>
            </w:r>
            <w:r>
              <w:rPr>
                <w:webHidden/>
              </w:rPr>
              <w:fldChar w:fldCharType="end"/>
            </w:r>
          </w:hyperlink>
        </w:p>
        <w:p w14:paraId="50574430" w14:textId="553FF4EA" w:rsidR="006A11DC" w:rsidRDefault="006A11DC">
          <w:pPr>
            <w:pStyle w:val="TOC3"/>
            <w:rPr>
              <w:rFonts w:eastAsiaTheme="minorEastAsia" w:cstheme="minorBidi"/>
              <w:color w:val="auto"/>
              <w:kern w:val="2"/>
              <w:sz w:val="24"/>
              <w:szCs w:val="24"/>
              <w14:ligatures w14:val="standardContextual"/>
            </w:rPr>
          </w:pPr>
          <w:hyperlink w:anchor="_Toc201835788" w:history="1">
            <w:r w:rsidRPr="001B6451">
              <w:rPr>
                <w:rStyle w:val="Hyperlink"/>
              </w:rPr>
              <w:t>Barriers to delivering housing where development approvals have been granted</w:t>
            </w:r>
            <w:r>
              <w:rPr>
                <w:webHidden/>
              </w:rPr>
              <w:tab/>
            </w:r>
            <w:r>
              <w:rPr>
                <w:webHidden/>
              </w:rPr>
              <w:fldChar w:fldCharType="begin"/>
            </w:r>
            <w:r>
              <w:rPr>
                <w:webHidden/>
              </w:rPr>
              <w:instrText xml:space="preserve"> PAGEREF _Toc201835788 \h </w:instrText>
            </w:r>
            <w:r>
              <w:rPr>
                <w:webHidden/>
              </w:rPr>
            </w:r>
            <w:r>
              <w:rPr>
                <w:webHidden/>
              </w:rPr>
              <w:fldChar w:fldCharType="separate"/>
            </w:r>
            <w:r w:rsidR="00ED3DA7">
              <w:rPr>
                <w:webHidden/>
              </w:rPr>
              <w:t>9</w:t>
            </w:r>
            <w:r>
              <w:rPr>
                <w:webHidden/>
              </w:rPr>
              <w:fldChar w:fldCharType="end"/>
            </w:r>
          </w:hyperlink>
        </w:p>
        <w:p w14:paraId="3EDFB7B6" w14:textId="4BC59FD4" w:rsidR="006A11DC" w:rsidRDefault="006A11DC">
          <w:pPr>
            <w:pStyle w:val="TOC2"/>
            <w:rPr>
              <w:rFonts w:eastAsiaTheme="minorEastAsia" w:cstheme="minorBidi"/>
              <w:color w:val="auto"/>
              <w:kern w:val="2"/>
              <w:sz w:val="24"/>
              <w:szCs w:val="24"/>
              <w14:ligatures w14:val="standardContextual"/>
            </w:rPr>
          </w:pPr>
          <w:hyperlink w:anchor="_Toc201835789" w:history="1">
            <w:r w:rsidRPr="001B6451">
              <w:rPr>
                <w:rStyle w:val="Hyperlink"/>
              </w:rPr>
              <w:t>Reforms to development approvals</w:t>
            </w:r>
            <w:r>
              <w:rPr>
                <w:webHidden/>
              </w:rPr>
              <w:tab/>
            </w:r>
            <w:r>
              <w:rPr>
                <w:webHidden/>
              </w:rPr>
              <w:fldChar w:fldCharType="begin"/>
            </w:r>
            <w:r>
              <w:rPr>
                <w:webHidden/>
              </w:rPr>
              <w:instrText xml:space="preserve"> PAGEREF _Toc201835789 \h </w:instrText>
            </w:r>
            <w:r>
              <w:rPr>
                <w:webHidden/>
              </w:rPr>
            </w:r>
            <w:r>
              <w:rPr>
                <w:webHidden/>
              </w:rPr>
              <w:fldChar w:fldCharType="separate"/>
            </w:r>
            <w:r w:rsidR="00ED3DA7">
              <w:rPr>
                <w:webHidden/>
              </w:rPr>
              <w:t>10</w:t>
            </w:r>
            <w:r>
              <w:rPr>
                <w:webHidden/>
              </w:rPr>
              <w:fldChar w:fldCharType="end"/>
            </w:r>
          </w:hyperlink>
        </w:p>
        <w:p w14:paraId="27978587" w14:textId="220A41B6" w:rsidR="006A11DC" w:rsidRDefault="006A11DC">
          <w:pPr>
            <w:pStyle w:val="TOC3"/>
            <w:rPr>
              <w:rFonts w:eastAsiaTheme="minorEastAsia" w:cstheme="minorBidi"/>
              <w:color w:val="auto"/>
              <w:kern w:val="2"/>
              <w:sz w:val="24"/>
              <w:szCs w:val="24"/>
              <w14:ligatures w14:val="standardContextual"/>
            </w:rPr>
          </w:pPr>
          <w:hyperlink w:anchor="_Toc201835790" w:history="1">
            <w:r w:rsidRPr="001B6451">
              <w:rPr>
                <w:rStyle w:val="Hyperlink"/>
              </w:rPr>
              <w:t>Reforms to social and affordable housing approval pathways</w:t>
            </w:r>
            <w:r>
              <w:rPr>
                <w:webHidden/>
              </w:rPr>
              <w:tab/>
            </w:r>
            <w:r>
              <w:rPr>
                <w:webHidden/>
              </w:rPr>
              <w:fldChar w:fldCharType="begin"/>
            </w:r>
            <w:r>
              <w:rPr>
                <w:webHidden/>
              </w:rPr>
              <w:instrText xml:space="preserve"> PAGEREF _Toc201835790 \h </w:instrText>
            </w:r>
            <w:r>
              <w:rPr>
                <w:webHidden/>
              </w:rPr>
            </w:r>
            <w:r>
              <w:rPr>
                <w:webHidden/>
              </w:rPr>
              <w:fldChar w:fldCharType="separate"/>
            </w:r>
            <w:r w:rsidR="00ED3DA7">
              <w:rPr>
                <w:webHidden/>
              </w:rPr>
              <w:t>10</w:t>
            </w:r>
            <w:r>
              <w:rPr>
                <w:webHidden/>
              </w:rPr>
              <w:fldChar w:fldCharType="end"/>
            </w:r>
          </w:hyperlink>
        </w:p>
        <w:p w14:paraId="7AEA5FA9" w14:textId="3657EC79" w:rsidR="006A11DC" w:rsidRDefault="006A11DC">
          <w:pPr>
            <w:pStyle w:val="TOC1"/>
            <w:rPr>
              <w:rFonts w:eastAsiaTheme="minorEastAsia" w:cstheme="minorBidi"/>
              <w:b w:val="0"/>
              <w:color w:val="auto"/>
              <w:kern w:val="2"/>
              <w:szCs w:val="24"/>
              <w14:ligatures w14:val="standardContextual"/>
            </w:rPr>
          </w:pPr>
          <w:hyperlink w:anchor="_Toc201835791" w:history="1">
            <w:r w:rsidRPr="001B6451">
              <w:rPr>
                <w:rStyle w:val="Hyperlink"/>
                <w:lang w:eastAsia="en-US"/>
              </w:rPr>
              <w:t>Measure 10</w:t>
            </w:r>
            <w:r>
              <w:rPr>
                <w:webHidden/>
              </w:rPr>
              <w:tab/>
            </w:r>
            <w:r>
              <w:rPr>
                <w:webHidden/>
              </w:rPr>
              <w:fldChar w:fldCharType="begin"/>
            </w:r>
            <w:r>
              <w:rPr>
                <w:webHidden/>
              </w:rPr>
              <w:instrText xml:space="preserve"> PAGEREF _Toc201835791 \h </w:instrText>
            </w:r>
            <w:r>
              <w:rPr>
                <w:webHidden/>
              </w:rPr>
            </w:r>
            <w:r>
              <w:rPr>
                <w:webHidden/>
              </w:rPr>
              <w:fldChar w:fldCharType="separate"/>
            </w:r>
            <w:r w:rsidR="00ED3DA7">
              <w:rPr>
                <w:webHidden/>
              </w:rPr>
              <w:t>10</w:t>
            </w:r>
            <w:r>
              <w:rPr>
                <w:webHidden/>
              </w:rPr>
              <w:fldChar w:fldCharType="end"/>
            </w:r>
          </w:hyperlink>
        </w:p>
        <w:p w14:paraId="0C64CB83" w14:textId="358E6ED2" w:rsidR="006A11DC" w:rsidRDefault="006A11DC">
          <w:pPr>
            <w:pStyle w:val="TOC2"/>
            <w:rPr>
              <w:rFonts w:eastAsiaTheme="minorEastAsia" w:cstheme="minorBidi"/>
              <w:color w:val="auto"/>
              <w:kern w:val="2"/>
              <w:sz w:val="24"/>
              <w:szCs w:val="24"/>
              <w14:ligatures w14:val="standardContextual"/>
            </w:rPr>
          </w:pPr>
          <w:hyperlink w:anchor="_Toc201835792" w:history="1">
            <w:r w:rsidRPr="001B6451">
              <w:rPr>
                <w:rStyle w:val="Hyperlink"/>
              </w:rPr>
              <w:t>Well located Government land suitable for housing</w:t>
            </w:r>
            <w:r>
              <w:rPr>
                <w:webHidden/>
              </w:rPr>
              <w:tab/>
            </w:r>
            <w:r>
              <w:rPr>
                <w:webHidden/>
              </w:rPr>
              <w:fldChar w:fldCharType="begin"/>
            </w:r>
            <w:r>
              <w:rPr>
                <w:webHidden/>
              </w:rPr>
              <w:instrText xml:space="preserve"> PAGEREF _Toc201835792 \h </w:instrText>
            </w:r>
            <w:r>
              <w:rPr>
                <w:webHidden/>
              </w:rPr>
            </w:r>
            <w:r>
              <w:rPr>
                <w:webHidden/>
              </w:rPr>
              <w:fldChar w:fldCharType="separate"/>
            </w:r>
            <w:r w:rsidR="00ED3DA7">
              <w:rPr>
                <w:webHidden/>
              </w:rPr>
              <w:t>10</w:t>
            </w:r>
            <w:r>
              <w:rPr>
                <w:webHidden/>
              </w:rPr>
              <w:fldChar w:fldCharType="end"/>
            </w:r>
          </w:hyperlink>
        </w:p>
        <w:p w14:paraId="31C133B2" w14:textId="5914B011" w:rsidR="00833019" w:rsidRDefault="00833019">
          <w:r>
            <w:rPr>
              <w:bCs/>
              <w:noProof/>
              <w:sz w:val="24"/>
              <w:szCs w:val="22"/>
            </w:rPr>
            <w:fldChar w:fldCharType="end"/>
          </w:r>
        </w:p>
      </w:sdtContent>
    </w:sdt>
    <w:p w14:paraId="4EDC18B0" w14:textId="5C693708" w:rsidR="001A032D" w:rsidRDefault="001A032D">
      <w:pPr>
        <w:spacing w:before="0" w:after="160" w:line="259" w:lineRule="auto"/>
        <w:rPr>
          <w:b/>
        </w:rPr>
      </w:pPr>
    </w:p>
    <w:p w14:paraId="4F9F07A4" w14:textId="339CBCB8" w:rsidR="006677AC" w:rsidRPr="006677AC" w:rsidRDefault="006677AC" w:rsidP="00086C2D">
      <w:pPr>
        <w:rPr>
          <w:b/>
        </w:rPr>
        <w:sectPr w:rsidR="006677AC" w:rsidRPr="006677AC" w:rsidSect="009C5401">
          <w:footerReference w:type="default" r:id="rId16"/>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022ABD">
            <w:pPr>
              <w:pStyle w:val="Heading1"/>
              <w:rPr>
                <w:sz w:val="22"/>
              </w:rPr>
            </w:pPr>
            <w:r>
              <w:rPr>
                <w:sz w:val="22"/>
              </w:rPr>
              <w:lastRenderedPageBreak/>
              <w:br w:type="page"/>
            </w:r>
            <w:bookmarkStart w:id="2" w:name="_Toc178667451"/>
            <w:bookmarkStart w:id="3" w:name="_Toc201835776"/>
            <w:r w:rsidR="004B063A">
              <w:rPr>
                <w:lang w:eastAsia="en-US"/>
              </w:rPr>
              <w:t>Measure 2</w:t>
            </w:r>
            <w:bookmarkEnd w:id="0"/>
            <w:bookmarkEnd w:id="1"/>
            <w:bookmarkEnd w:id="2"/>
            <w:bookmarkEnd w:id="3"/>
          </w:p>
          <w:p w14:paraId="744AE214" w14:textId="3BF3200E"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66B9B04A" w:rsidR="00475BC8" w:rsidRDefault="007F1871" w:rsidP="00BD495D">
      <w:pPr>
        <w:pStyle w:val="Heading2"/>
        <w:spacing w:before="280" w:after="0" w:line="240" w:lineRule="auto"/>
      </w:pPr>
      <w:bookmarkStart w:id="4" w:name="_Toc201835777"/>
      <w:r>
        <w:t>How Queensland’s strategic plans will deliver on housing supply targets</w:t>
      </w:r>
      <w:bookmarkEnd w:id="4"/>
    </w:p>
    <w:p w14:paraId="030C3209" w14:textId="4C905261" w:rsidR="00A560BB" w:rsidRPr="002741C8" w:rsidRDefault="00A96ACB" w:rsidP="00BD495D">
      <w:pPr>
        <w:spacing w:before="200" w:after="160"/>
      </w:pPr>
      <w:r>
        <w:t>The</w:t>
      </w:r>
      <w:r w:rsidR="00A560BB" w:rsidRPr="00475BC8">
        <w:t xml:space="preserve"> Queensland Government </w:t>
      </w:r>
      <w:r>
        <w:t>is committed to securing housing</w:t>
      </w:r>
      <w:r w:rsidR="009A27B7">
        <w:t xml:space="preserve"> </w:t>
      </w:r>
      <w:r>
        <w:t>for Queenslanders</w:t>
      </w:r>
      <w:r w:rsidR="009A27B7">
        <w:t xml:space="preserve">. The </w:t>
      </w:r>
      <w:r w:rsidR="00463843">
        <w:t>Go</w:t>
      </w:r>
      <w:r w:rsidR="009A27B7">
        <w:t xml:space="preserve">vernment’s </w:t>
      </w:r>
      <w:r w:rsidR="00FC2CA1">
        <w:rPr>
          <w:i/>
          <w:iCs/>
        </w:rPr>
        <w:t>S</w:t>
      </w:r>
      <w:r w:rsidR="009A27B7" w:rsidRPr="005C459F">
        <w:rPr>
          <w:i/>
          <w:iCs/>
        </w:rPr>
        <w:t xml:space="preserve">ecuring our Housing Foundations </w:t>
      </w:r>
      <w:r w:rsidR="009A27B7" w:rsidRPr="00360E4B">
        <w:t>Plan</w:t>
      </w:r>
      <w:r w:rsidR="009A27B7">
        <w:t xml:space="preserve"> sets a target </w:t>
      </w:r>
      <w:r w:rsidR="009A27B7" w:rsidRPr="00377F9E">
        <w:t xml:space="preserve">of </w:t>
      </w:r>
      <w:r w:rsidR="007810D0" w:rsidRPr="00377F9E">
        <w:t xml:space="preserve">deliver </w:t>
      </w:r>
      <w:r w:rsidRPr="00377F9E">
        <w:t>1</w:t>
      </w:r>
      <w:r>
        <w:t xml:space="preserve"> million new homes by 2044, with 53,500 homes dedicated to social and community housing</w:t>
      </w:r>
      <w:r w:rsidR="00463843">
        <w:t>. The plan also inclu</w:t>
      </w:r>
      <w:r w:rsidR="00FC2CA1">
        <w:t>d</w:t>
      </w:r>
      <w:r w:rsidR="00463843">
        <w:t>e</w:t>
      </w:r>
      <w:r w:rsidR="00FC2CA1">
        <w:t>s</w:t>
      </w:r>
      <w:r w:rsidR="00A560BB" w:rsidRPr="00475BC8">
        <w:t xml:space="preserve"> implementation initiatives to support reaching these targets to both the Housing Accord and the </w:t>
      </w:r>
      <w:r w:rsidR="00FC2CA1">
        <w:t xml:space="preserve">Planning </w:t>
      </w:r>
      <w:r w:rsidR="00A560BB" w:rsidRPr="00475BC8">
        <w:t xml:space="preserve">Reform Blueprint. Implementation initiatives intended to support Queensland to meet its </w:t>
      </w:r>
      <w:r w:rsidR="00A560BB" w:rsidRPr="002741C8">
        <w:t xml:space="preserve">housing target are discussed under the relevant blueprint measures. </w:t>
      </w:r>
    </w:p>
    <w:p w14:paraId="78E4F031" w14:textId="52B31F1D" w:rsidR="00A560BB" w:rsidRPr="00475BC8" w:rsidRDefault="00A560BB" w:rsidP="00693536">
      <w:pPr>
        <w:spacing w:before="120" w:after="160"/>
      </w:pPr>
      <w:r w:rsidRPr="002741C8">
        <w:t xml:space="preserve">When preparing and amending </w:t>
      </w:r>
      <w:r w:rsidR="00FC2CA1">
        <w:t>local</w:t>
      </w:r>
      <w:r w:rsidRPr="002741C8">
        <w:t xml:space="preserve"> planning schemes, the 77 </w:t>
      </w:r>
      <w:r w:rsidR="00531C38">
        <w:t>L</w:t>
      </w:r>
      <w:r w:rsidRPr="002741C8">
        <w:t xml:space="preserve">ocal </w:t>
      </w:r>
      <w:r w:rsidR="00531C38">
        <w:t>G</w:t>
      </w:r>
      <w:r w:rsidRPr="002741C8">
        <w:t xml:space="preserve">overnments in Queensland are required to consider and balance state interests set out in the </w:t>
      </w:r>
      <w:hyperlink r:id="rId17" w:history="1">
        <w:r w:rsidRPr="002741C8">
          <w:rPr>
            <w:rStyle w:val="Hyperlink"/>
          </w:rPr>
          <w:t>State Planning Policy</w:t>
        </w:r>
      </w:hyperlink>
      <w:r w:rsidR="00FC2CA1" w:rsidRPr="00FC2CA1">
        <w:rPr>
          <w:rStyle w:val="Hyperlink"/>
        </w:rPr>
        <w:t xml:space="preserve"> 2017</w:t>
      </w:r>
      <w:r w:rsidRPr="002741C8">
        <w:t xml:space="preserve"> and </w:t>
      </w:r>
      <w:hyperlink r:id="rId18" w:history="1">
        <w:r w:rsidRPr="002741C8">
          <w:rPr>
            <w:rStyle w:val="Hyperlink"/>
          </w:rPr>
          <w:t>regional plans</w:t>
        </w:r>
      </w:hyperlink>
      <w:r w:rsidRPr="002741C8">
        <w:t xml:space="preserve"> and undertake consultation with their communities. The </w:t>
      </w:r>
      <w:r w:rsidR="00B65D52">
        <w:t>S</w:t>
      </w:r>
      <w:r w:rsidRPr="002741C8">
        <w:t xml:space="preserve">tate </w:t>
      </w:r>
      <w:r w:rsidR="00B65D52">
        <w:t>Planning Policy guidance material for</w:t>
      </w:r>
      <w:r w:rsidR="0035752A">
        <w:t xml:space="preserve"> H</w:t>
      </w:r>
      <w:r w:rsidRPr="002741C8">
        <w:t xml:space="preserve">ousing </w:t>
      </w:r>
      <w:r w:rsidR="0035752A">
        <w:t>S</w:t>
      </w:r>
      <w:r w:rsidRPr="002741C8">
        <w:t xml:space="preserve">upply and </w:t>
      </w:r>
      <w:r w:rsidR="0035752A">
        <w:t>D</w:t>
      </w:r>
      <w:r w:rsidRPr="002741C8">
        <w:t xml:space="preserve">iversity </w:t>
      </w:r>
      <w:r w:rsidR="0035752A">
        <w:t>outline</w:t>
      </w:r>
      <w:r w:rsidR="00FC2CA1">
        <w:t>d</w:t>
      </w:r>
      <w:r w:rsidR="0035752A">
        <w:t xml:space="preserve"> under </w:t>
      </w:r>
      <w:r w:rsidR="007E1769" w:rsidRPr="002741C8">
        <w:t>P</w:t>
      </w:r>
      <w:r w:rsidRPr="002741C8">
        <w:t>olicy 3</w:t>
      </w:r>
      <w:r w:rsidR="00FC2CA1">
        <w:t>,</w:t>
      </w:r>
      <w:r w:rsidRPr="002741C8">
        <w:t xml:space="preserve"> </w:t>
      </w:r>
      <w:r w:rsidR="00FC2CA1">
        <w:t xml:space="preserve">provides </w:t>
      </w:r>
      <w:r w:rsidR="0035752A">
        <w:t>that</w:t>
      </w:r>
      <w:r w:rsidRPr="002741C8">
        <w:t xml:space="preserve"> planning schemes</w:t>
      </w:r>
      <w:r w:rsidR="0035752A">
        <w:t xml:space="preserve"> should facilitate</w:t>
      </w:r>
      <w:r w:rsidRPr="002741C8">
        <w:t xml:space="preserve"> a diverse, affordable and comprehensive range of housing in accessible and well-serviced locations.</w:t>
      </w:r>
      <w:r>
        <w:t xml:space="preserve"> </w:t>
      </w:r>
    </w:p>
    <w:p w14:paraId="75361249" w14:textId="1E01386B" w:rsidR="00044665" w:rsidRPr="00475BC8" w:rsidRDefault="00044665" w:rsidP="00BD495D">
      <w:pPr>
        <w:pStyle w:val="Heading2"/>
        <w:spacing w:before="240"/>
      </w:pPr>
      <w:bookmarkStart w:id="5" w:name="_Toc164435410"/>
      <w:bookmarkStart w:id="6" w:name="_Toc178667453"/>
      <w:bookmarkStart w:id="7" w:name="_Toc201835778"/>
      <w:r>
        <w:t xml:space="preserve">Regional </w:t>
      </w:r>
      <w:r w:rsidR="00A92558">
        <w:t>P</w:t>
      </w:r>
      <w:r>
        <w:t>lans</w:t>
      </w:r>
      <w:bookmarkEnd w:id="5"/>
      <w:bookmarkEnd w:id="6"/>
      <w:bookmarkEnd w:id="7"/>
    </w:p>
    <w:p w14:paraId="0995D348" w14:textId="31FDC662" w:rsidR="00A96ACB" w:rsidRDefault="00A96ACB" w:rsidP="00A96ACB">
      <w:r w:rsidRPr="00A96ACB">
        <w:t>Supporting the delivery of</w:t>
      </w:r>
      <w:r w:rsidR="00FC2CA1">
        <w:t xml:space="preserve"> Queensland’s targets under the </w:t>
      </w:r>
      <w:r w:rsidR="00FC2CA1">
        <w:rPr>
          <w:i/>
          <w:iCs/>
        </w:rPr>
        <w:t xml:space="preserve">Securing our Housing Foundations </w:t>
      </w:r>
      <w:r w:rsidR="002D66EA">
        <w:t>p</w:t>
      </w:r>
      <w:r w:rsidR="00FC2CA1" w:rsidRPr="00416412">
        <w:t>lan</w:t>
      </w:r>
      <w:r w:rsidRPr="00A96ACB">
        <w:t xml:space="preserve"> is a commitment to develop new regional plans which cover every corner of the State, in conjunction with infrastructure plans that protect the lifestyle of our communities and appropriately cater for growth</w:t>
      </w:r>
      <w:r w:rsidRPr="00677615">
        <w:t xml:space="preserve">. </w:t>
      </w:r>
      <w:r w:rsidRPr="00677615">
        <w:rPr>
          <w:rFonts w:ascii="Calibri" w:eastAsia="Calibri" w:hAnsi="Calibri" w:cs="Calibri"/>
          <w:szCs w:val="22"/>
        </w:rPr>
        <w:t xml:space="preserve"> This includes a review of </w:t>
      </w:r>
      <w:r w:rsidR="00174F48">
        <w:rPr>
          <w:rFonts w:ascii="Calibri" w:eastAsia="Calibri" w:hAnsi="Calibri" w:cs="Calibri"/>
          <w:szCs w:val="22"/>
        </w:rPr>
        <w:t xml:space="preserve">all 13 </w:t>
      </w:r>
      <w:r w:rsidRPr="00677615">
        <w:rPr>
          <w:rFonts w:ascii="Calibri" w:eastAsia="Calibri" w:hAnsi="Calibri" w:cs="Calibri"/>
          <w:szCs w:val="22"/>
        </w:rPr>
        <w:t>regional plans</w:t>
      </w:r>
      <w:r w:rsidR="00174F48">
        <w:rPr>
          <w:rFonts w:ascii="Calibri" w:eastAsia="Calibri" w:hAnsi="Calibri" w:cs="Calibri"/>
          <w:szCs w:val="22"/>
        </w:rPr>
        <w:t xml:space="preserve"> currently in place across Queensland</w:t>
      </w:r>
      <w:r w:rsidRPr="00677615">
        <w:rPr>
          <w:rFonts w:ascii="Calibri" w:eastAsia="Calibri" w:hAnsi="Calibri" w:cs="Calibri"/>
          <w:szCs w:val="22"/>
        </w:rPr>
        <w:t xml:space="preserve">. </w:t>
      </w:r>
      <w:r w:rsidRPr="00677615">
        <w:t>The</w:t>
      </w:r>
      <w:r w:rsidRPr="00A96ACB">
        <w:t xml:space="preserve"> Queensland Government will partner with local government when reviewing or developing regional plans, engaging closely with First Nations peoples, the community</w:t>
      </w:r>
      <w:r w:rsidR="00FC2CA1">
        <w:t>,</w:t>
      </w:r>
      <w:r w:rsidRPr="00A96ACB">
        <w:t xml:space="preserve"> and key industry/sector groups to ensure a balance of interests are considered. </w:t>
      </w:r>
    </w:p>
    <w:p w14:paraId="17704CD0" w14:textId="23447D69" w:rsidR="00972F60" w:rsidRPr="00972F60" w:rsidRDefault="00972F60" w:rsidP="00A96ACB">
      <w:pPr>
        <w:rPr>
          <w:rStyle w:val="Strong"/>
          <w:rFonts w:ascii="Calibri Light" w:hAnsi="Calibri Light" w:cs="Arial"/>
          <w:bCs w:val="0"/>
          <w:kern w:val="32"/>
          <w:sz w:val="28"/>
          <w:szCs w:val="26"/>
        </w:rPr>
      </w:pPr>
      <w:r w:rsidRPr="00972F60">
        <w:rPr>
          <w:rStyle w:val="Strong"/>
          <w:rFonts w:ascii="Calibri Light" w:hAnsi="Calibri Light" w:cs="Arial"/>
          <w:bCs w:val="0"/>
          <w:kern w:val="32"/>
          <w:sz w:val="28"/>
          <w:szCs w:val="26"/>
        </w:rPr>
        <w:t>Far North Queensland</w:t>
      </w:r>
    </w:p>
    <w:p w14:paraId="53D73497" w14:textId="40239611" w:rsidR="00A96ACB" w:rsidRPr="00A96ACB" w:rsidRDefault="00A96ACB" w:rsidP="00A96ACB">
      <w:r w:rsidRPr="00A96ACB">
        <w:t>The F</w:t>
      </w:r>
      <w:r w:rsidR="00FC2CA1">
        <w:t xml:space="preserve">ar </w:t>
      </w:r>
      <w:r w:rsidRPr="00A96ACB">
        <w:t>N</w:t>
      </w:r>
      <w:r w:rsidR="00FC2CA1">
        <w:t xml:space="preserve">orth </w:t>
      </w:r>
      <w:r w:rsidRPr="00A96ACB">
        <w:t>Q</w:t>
      </w:r>
      <w:r w:rsidR="00FC2CA1">
        <w:t>ueensland</w:t>
      </w:r>
      <w:r w:rsidRPr="00A96ACB">
        <w:t xml:space="preserve"> </w:t>
      </w:r>
      <w:r w:rsidR="00FC2CA1">
        <w:t xml:space="preserve">(FNQ) </w:t>
      </w:r>
      <w:r w:rsidRPr="00A96ACB">
        <w:t xml:space="preserve">Regional Plan is substantially advanced with key stakeholders reviewing the draft policy and maps. This draft plan will identify responses to ongoing and emerging housing challenges in </w:t>
      </w:r>
      <w:r w:rsidR="00174F48">
        <w:t>the region</w:t>
      </w:r>
      <w:r w:rsidRPr="00A96ACB">
        <w:t xml:space="preserve">. The FNQ region </w:t>
      </w:r>
      <w:r w:rsidR="00FC2CA1">
        <w:t>encompasses</w:t>
      </w:r>
      <w:r w:rsidRPr="00A96ACB">
        <w:t xml:space="preserve"> </w:t>
      </w:r>
      <w:r w:rsidR="00C66467">
        <w:t>eight (8)</w:t>
      </w:r>
      <w:r w:rsidRPr="00A96ACB">
        <w:t xml:space="preserve"> </w:t>
      </w:r>
      <w:r w:rsidR="005B3214">
        <w:t>L</w:t>
      </w:r>
      <w:r w:rsidRPr="00A96ACB">
        <w:t xml:space="preserve">ocal </w:t>
      </w:r>
      <w:r w:rsidR="005B3214">
        <w:t>G</w:t>
      </w:r>
      <w:r w:rsidRPr="00A96ACB">
        <w:t xml:space="preserve">overnment </w:t>
      </w:r>
      <w:r w:rsidR="005B3214">
        <w:t>A</w:t>
      </w:r>
      <w:r w:rsidRPr="00A96ACB">
        <w:t xml:space="preserve">reas </w:t>
      </w:r>
      <w:r w:rsidR="006E31D6">
        <w:t xml:space="preserve">(LGA) </w:t>
      </w:r>
      <w:r w:rsidRPr="00A96ACB">
        <w:t>including Carins, Cassowary, Douglas, Etheridge, Mareeba, Tablelands, Wujal Wujal</w:t>
      </w:r>
      <w:r w:rsidR="00FC2CA1">
        <w:t>,</w:t>
      </w:r>
      <w:r w:rsidRPr="00A96ACB">
        <w:t xml:space="preserve"> and Yarrabah. </w:t>
      </w:r>
    </w:p>
    <w:p w14:paraId="583D3E1D" w14:textId="466A5900" w:rsidR="0014262E" w:rsidRPr="00972F60" w:rsidRDefault="00ED2C35" w:rsidP="00972F60">
      <w:pPr>
        <w:rPr>
          <w:rStyle w:val="Strong"/>
          <w:rFonts w:ascii="Calibri Light" w:hAnsi="Calibri Light" w:cs="Arial"/>
          <w:bCs w:val="0"/>
          <w:kern w:val="32"/>
          <w:sz w:val="28"/>
          <w:szCs w:val="26"/>
        </w:rPr>
      </w:pPr>
      <w:r w:rsidRPr="00CF1B0D">
        <w:rPr>
          <w:rStyle w:val="Strong"/>
          <w:rFonts w:ascii="Calibri Light" w:hAnsi="Calibri Light" w:cs="Arial"/>
          <w:bCs w:val="0"/>
          <w:kern w:val="32"/>
          <w:sz w:val="28"/>
          <w:szCs w:val="26"/>
        </w:rPr>
        <w:t>South East Queensland (</w:t>
      </w:r>
      <w:r w:rsidR="0014262E" w:rsidRPr="00ED2C35">
        <w:rPr>
          <w:rStyle w:val="Strong"/>
          <w:rFonts w:ascii="Calibri Light" w:hAnsi="Calibri Light" w:cs="Arial"/>
          <w:bCs w:val="0"/>
          <w:kern w:val="32"/>
          <w:sz w:val="28"/>
          <w:szCs w:val="26"/>
        </w:rPr>
        <w:t>SEQ</w:t>
      </w:r>
      <w:r w:rsidRPr="00ED2C35">
        <w:rPr>
          <w:rStyle w:val="Strong"/>
          <w:rFonts w:ascii="Calibri Light" w:hAnsi="Calibri Light" w:cs="Arial"/>
          <w:bCs w:val="0"/>
          <w:kern w:val="32"/>
          <w:sz w:val="28"/>
          <w:szCs w:val="26"/>
        </w:rPr>
        <w:t>)</w:t>
      </w:r>
      <w:r w:rsidR="0014262E" w:rsidRPr="00ED2C35">
        <w:rPr>
          <w:rStyle w:val="Strong"/>
          <w:rFonts w:ascii="Calibri Light" w:hAnsi="Calibri Light" w:cs="Arial"/>
          <w:bCs w:val="0"/>
          <w:kern w:val="32"/>
          <w:sz w:val="28"/>
          <w:szCs w:val="26"/>
        </w:rPr>
        <w:t xml:space="preserve"> </w:t>
      </w:r>
      <w:r w:rsidR="0015460A" w:rsidRPr="00ED2C35">
        <w:rPr>
          <w:rStyle w:val="Strong"/>
          <w:rFonts w:ascii="Calibri Light" w:hAnsi="Calibri Light" w:cs="Arial"/>
          <w:bCs w:val="0"/>
          <w:kern w:val="32"/>
          <w:sz w:val="28"/>
          <w:szCs w:val="26"/>
        </w:rPr>
        <w:t>g</w:t>
      </w:r>
      <w:r w:rsidR="0014262E" w:rsidRPr="00ED2C35">
        <w:rPr>
          <w:rStyle w:val="Strong"/>
          <w:rFonts w:ascii="Calibri Light" w:hAnsi="Calibri Light" w:cs="Arial"/>
          <w:bCs w:val="0"/>
          <w:kern w:val="32"/>
          <w:sz w:val="28"/>
          <w:szCs w:val="26"/>
        </w:rPr>
        <w:t>ro</w:t>
      </w:r>
      <w:r w:rsidR="0014262E" w:rsidRPr="00972F60">
        <w:rPr>
          <w:rStyle w:val="Strong"/>
          <w:rFonts w:ascii="Calibri Light" w:hAnsi="Calibri Light" w:cs="Arial"/>
          <w:bCs w:val="0"/>
          <w:kern w:val="32"/>
          <w:sz w:val="28"/>
          <w:szCs w:val="26"/>
        </w:rPr>
        <w:t>wth monitoring</w:t>
      </w:r>
    </w:p>
    <w:p w14:paraId="480D9B1F" w14:textId="711691C2" w:rsidR="00C66467" w:rsidRDefault="00C66467" w:rsidP="00A96ACB">
      <w:pPr>
        <w:spacing w:before="120" w:after="120"/>
      </w:pPr>
      <w:r>
        <w:t xml:space="preserve">The Growth Monitoring Unit within the Department of State Development, Infrastructure and Planning (DSDIP) is responsible for tracking progress against SEQ dwelling supply and </w:t>
      </w:r>
      <w:r w:rsidRPr="00CF1B0D">
        <w:rPr>
          <w:i/>
          <w:iCs/>
        </w:rPr>
        <w:t xml:space="preserve">ShapingSEQ </w:t>
      </w:r>
      <w:r>
        <w:t xml:space="preserve">housing and economic policy. This includes tracking progress against the dwelling supply targets in </w:t>
      </w:r>
      <w:r w:rsidRPr="00CF1B0D">
        <w:rPr>
          <w:i/>
          <w:iCs/>
        </w:rPr>
        <w:lastRenderedPageBreak/>
        <w:t>ShapingSEQ</w:t>
      </w:r>
      <w:r>
        <w:t xml:space="preserve">. The Growth Monitoring Unit also tracks development activity across SEQ as at </w:t>
      </w:r>
      <w:r w:rsidR="002D66EA">
        <w:br/>
      </w:r>
      <w:r>
        <w:t>31 December for the previous year.</w:t>
      </w:r>
    </w:p>
    <w:p w14:paraId="02328A1A" w14:textId="34AD342A" w:rsidR="00174F48" w:rsidRDefault="00C66467" w:rsidP="00A96ACB">
      <w:pPr>
        <w:spacing w:before="120" w:after="120"/>
      </w:pPr>
      <w:r>
        <w:t>Annual Land Supply and Development Monitoring (LSDM) reports have previously been publicly disseminated from 2018 through to 2021. Work on a 2024 SEQ Growth Monitoring Report is currently underway</w:t>
      </w:r>
      <w:r w:rsidR="0015460A">
        <w:t xml:space="preserve"> </w:t>
      </w:r>
      <w:r w:rsidR="0015460A" w:rsidRPr="004F2684">
        <w:t>with a final position paper on the new approach to SEQ growth monitoring publicly released in May 2025</w:t>
      </w:r>
      <w:r w:rsidRPr="004F2684">
        <w:t>.</w:t>
      </w:r>
      <w:r>
        <w:t xml:space="preserve">  </w:t>
      </w:r>
    </w:p>
    <w:p w14:paraId="28D8160A" w14:textId="2D098A16" w:rsidR="00A560BB" w:rsidRDefault="00A560BB" w:rsidP="0074489F">
      <w:pPr>
        <w:pStyle w:val="Heading2"/>
        <w:spacing w:before="280"/>
      </w:pPr>
      <w:bookmarkStart w:id="8" w:name="_Toc164435411"/>
      <w:bookmarkStart w:id="9" w:name="_Toc178667454"/>
      <w:bookmarkStart w:id="10" w:name="_Toc201835779"/>
      <w:r>
        <w:t>Local strategic plans</w:t>
      </w:r>
      <w:bookmarkEnd w:id="8"/>
      <w:bookmarkEnd w:id="9"/>
      <w:bookmarkEnd w:id="10"/>
    </w:p>
    <w:p w14:paraId="2FF4D9C2" w14:textId="089C5E4D" w:rsidR="0044107B" w:rsidRDefault="00AD2531" w:rsidP="0044107B">
      <w:pPr>
        <w:spacing w:before="120"/>
      </w:pPr>
      <w:r>
        <w:t>L</w:t>
      </w:r>
      <w:r w:rsidR="0044107B">
        <w:t xml:space="preserve">ocal </w:t>
      </w:r>
      <w:r>
        <w:t>G</w:t>
      </w:r>
      <w:r w:rsidR="0044107B">
        <w:t>overnments are encouraged to undertake a housing strategy that identifies and undertakes an in-depth analysis of the local growth pressures and existing and future housing needs in the LGA and be founded on a clear evidence base. The completion of a housing strategy will provide a finer grain detail about the likely housing need, including the required quantities of different dwelling types, sizes, tenures and affordability levels to best cater to the projected resident demographics and socio-economic characteristics in the LGA over the life of the housing strategy.</w:t>
      </w:r>
    </w:p>
    <w:p w14:paraId="4F1777C7" w14:textId="6770B23B" w:rsidR="00CA0637" w:rsidRDefault="00CA0637" w:rsidP="0044107B">
      <w:pPr>
        <w:spacing w:before="120"/>
      </w:pPr>
      <w:r w:rsidRPr="00377F9E">
        <w:t xml:space="preserve">The Queensland </w:t>
      </w:r>
      <w:r w:rsidR="00690AD7" w:rsidRPr="00377F9E">
        <w:t>Government is also providing funding to local governments to support planning scheme improvements for local housing supply.</w:t>
      </w:r>
    </w:p>
    <w:p w14:paraId="75697E2D" w14:textId="630014AF" w:rsidR="00C13A02" w:rsidRPr="007E1C88" w:rsidRDefault="00C13A02" w:rsidP="00C13A02">
      <w:pPr>
        <w:pStyle w:val="Heading4"/>
      </w:pPr>
      <w:r w:rsidRPr="007E1C88">
        <w:t>Streamlin</w:t>
      </w:r>
      <w:r w:rsidR="00842323">
        <w:t>ing</w:t>
      </w:r>
      <w:r w:rsidRPr="007E1C88">
        <w:t xml:space="preserve"> planning scheme amendment process</w:t>
      </w:r>
    </w:p>
    <w:p w14:paraId="0E1A8181" w14:textId="45E76736" w:rsidR="00AC6D21" w:rsidRPr="00651145" w:rsidRDefault="00AC6D21" w:rsidP="00AC6D21">
      <w:r w:rsidRPr="00651145">
        <w:t>Under section 18 of the</w:t>
      </w:r>
      <w:r w:rsidR="00416412">
        <w:t xml:space="preserve"> </w:t>
      </w:r>
      <w:r w:rsidRPr="00D4492A">
        <w:rPr>
          <w:i/>
          <w:iCs/>
        </w:rPr>
        <w:t>Planning Act</w:t>
      </w:r>
      <w:r w:rsidR="001C2AA0" w:rsidRPr="00D4492A">
        <w:rPr>
          <w:i/>
          <w:iCs/>
        </w:rPr>
        <w:t xml:space="preserve"> 2016</w:t>
      </w:r>
      <w:r w:rsidR="00D4492A">
        <w:rPr>
          <w:i/>
          <w:iCs/>
        </w:rPr>
        <w:t xml:space="preserve"> </w:t>
      </w:r>
      <w:r w:rsidR="00D4492A">
        <w:t>(Planning Act)</w:t>
      </w:r>
      <w:r w:rsidRPr="00651145">
        <w:t xml:space="preserve">, </w:t>
      </w:r>
      <w:r w:rsidR="00201D6D">
        <w:t>L</w:t>
      </w:r>
      <w:r w:rsidRPr="00651145">
        <w:t xml:space="preserve">ocal </w:t>
      </w:r>
      <w:r w:rsidR="00201D6D">
        <w:t>G</w:t>
      </w:r>
      <w:r w:rsidRPr="00651145">
        <w:t xml:space="preserve">overnments can establish a customised local planning scheme amendment process in collaboration with the Queensland Government, allowing for shorter assessment and decision timeframes compared to standard processes. </w:t>
      </w:r>
    </w:p>
    <w:p w14:paraId="29E6F4ED" w14:textId="0C69B8B5" w:rsidR="00AC6D21" w:rsidRPr="00651145" w:rsidRDefault="00AC6D21" w:rsidP="00AC6D21">
      <w:r w:rsidRPr="00651145">
        <w:t xml:space="preserve">The Queensland Government </w:t>
      </w:r>
      <w:r w:rsidR="00EC6BAC">
        <w:t>has prepared</w:t>
      </w:r>
      <w:r w:rsidRPr="00651145">
        <w:t xml:space="preserve"> new guidance material and templates to facilitate this streamlined local planning scheme amendment process, enabling local planning scheme amendments to be completed in as little as 3 to 12 months. </w:t>
      </w:r>
    </w:p>
    <w:p w14:paraId="49F84AEB" w14:textId="36F3B7E9" w:rsidR="009F6DF6" w:rsidRDefault="00AC6D21" w:rsidP="00AC6D21">
      <w:r w:rsidRPr="00651145">
        <w:t xml:space="preserve">The Queensland Government's template Section 18 notice and guidance materials will assist local stakeholders in navigating the expedited planning scheme amendment process. Local </w:t>
      </w:r>
      <w:r w:rsidR="009E37D0">
        <w:t>G</w:t>
      </w:r>
      <w:r w:rsidRPr="00651145">
        <w:t xml:space="preserve">overnments are encouraged to leverage this streamlined approach to fast-track amendments that align with </w:t>
      </w:r>
      <w:r w:rsidR="004A4FD6" w:rsidRPr="004F2684">
        <w:t>housing outcomes.</w:t>
      </w:r>
    </w:p>
    <w:p w14:paraId="16781618" w14:textId="51AD2324" w:rsidR="009F6DF6" w:rsidRPr="007E1C88" w:rsidRDefault="009F6DF6" w:rsidP="009F6DF6">
      <w:pPr>
        <w:pStyle w:val="Heading4"/>
      </w:pPr>
      <w:r w:rsidRPr="007E1C88">
        <w:t>Scheme Supply Fund</w:t>
      </w:r>
      <w:r>
        <w:t xml:space="preserve"> </w:t>
      </w:r>
      <w:r w:rsidR="002D3674">
        <w:t>(the Fund)</w:t>
      </w:r>
    </w:p>
    <w:p w14:paraId="17F461E0" w14:textId="77777777" w:rsidR="009F6DF6" w:rsidRDefault="009F6DF6" w:rsidP="009F6DF6">
      <w:pPr>
        <w:spacing w:before="0" w:after="160"/>
      </w:pPr>
      <w:r>
        <w:t>The Queensland Government has provided Local Governments access to $12.5 million of targeted, needs-based funding for strategic planning projects that result in local planning scheme amendments that promote housing supply and diversity. This will help Local Governments ensure schemes meet residents’ housing needs and unlock homes in the right locations.</w:t>
      </w:r>
    </w:p>
    <w:p w14:paraId="155B88F9" w14:textId="3EE33418" w:rsidR="009F6DF6" w:rsidRDefault="009F6DF6" w:rsidP="009F6DF6">
      <w:pPr>
        <w:spacing w:before="0" w:after="160"/>
      </w:pPr>
      <w:r>
        <w:t xml:space="preserve">The Fund helps to plan for housing supply at the grassroots by providing financial assistance to local governments for undertaking planning scheme improvements to meet their communities’ housing needs, deliver planning outcomes or facilitate housing outcomes in Aboriginal and Torres Strait Islander LGA. </w:t>
      </w:r>
    </w:p>
    <w:p w14:paraId="50C3591A" w14:textId="77777777" w:rsidR="002D3674" w:rsidRDefault="002D3674">
      <w:pPr>
        <w:spacing w:before="0" w:after="160" w:line="259" w:lineRule="auto"/>
      </w:pPr>
      <w:r>
        <w:br w:type="page"/>
      </w:r>
    </w:p>
    <w:p w14:paraId="2801A049" w14:textId="79A88355" w:rsidR="009F6DF6" w:rsidRPr="009F6DF6" w:rsidRDefault="009F6DF6" w:rsidP="00F91EC6">
      <w:pPr>
        <w:spacing w:before="0" w:after="160"/>
      </w:pPr>
      <w:r>
        <w:lastRenderedPageBreak/>
        <w:t>The Fund is designed to assist with investigations and strategic planning activities such as housing needs assessments and master planning that will result in improvements through an amendment to a Local Government’s strategic plan or local planning scheme. The aim is to remove regulatory barriers and identify key areas for development or redevelopment to unlock more homes on the ground</w:t>
      </w:r>
      <w:r w:rsidR="0021554E">
        <w:t xml:space="preserve"> sooner</w:t>
      </w:r>
      <w:r>
        <w:t>.</w:t>
      </w:r>
    </w:p>
    <w:p w14:paraId="658B9F88" w14:textId="77777777" w:rsidR="00A560BB" w:rsidRPr="00DA4B5C" w:rsidRDefault="00A560BB" w:rsidP="00A560BB">
      <w:pPr>
        <w:pStyle w:val="Heading4"/>
        <w:rPr>
          <w:rStyle w:val="Strong"/>
          <w:b/>
          <w:bCs w:val="0"/>
        </w:rPr>
      </w:pPr>
      <w:r w:rsidRPr="00DA4B5C">
        <w:rPr>
          <w:rStyle w:val="Strong"/>
          <w:b/>
          <w:bCs w:val="0"/>
        </w:rPr>
        <w:t>Priority Development Areas (PDAs)</w:t>
      </w:r>
    </w:p>
    <w:p w14:paraId="18D40F19" w14:textId="1B921D2F" w:rsidR="006759F6" w:rsidRPr="001C1B84" w:rsidRDefault="006759F6" w:rsidP="006759F6">
      <w:pPr>
        <w:pStyle w:val="Default"/>
        <w:rPr>
          <w:rFonts w:ascii="Calibri" w:hAnsi="Calibri" w:cs="Calibri"/>
          <w:sz w:val="22"/>
          <w:szCs w:val="22"/>
        </w:rPr>
      </w:pPr>
      <w:r w:rsidRPr="001C1B84">
        <w:rPr>
          <w:rFonts w:ascii="Calibri" w:hAnsi="Calibri" w:cs="Calibri"/>
          <w:sz w:val="22"/>
          <w:szCs w:val="22"/>
        </w:rPr>
        <w:t xml:space="preserve">The Queensland Government has declared 37 PDAs, with 36 currently operating after the </w:t>
      </w:r>
      <w:r w:rsidR="002D3674">
        <w:rPr>
          <w:rFonts w:ascii="Calibri" w:hAnsi="Calibri" w:cs="Calibri"/>
          <w:sz w:val="22"/>
          <w:szCs w:val="22"/>
        </w:rPr>
        <w:br/>
      </w:r>
      <w:r w:rsidRPr="001C1B84">
        <w:rPr>
          <w:rFonts w:ascii="Calibri" w:hAnsi="Calibri" w:cs="Calibri"/>
          <w:sz w:val="22"/>
          <w:szCs w:val="22"/>
        </w:rPr>
        <w:t xml:space="preserve">February 2025 revocation of Moranbah. Once land is declared as a PDA, it enables the </w:t>
      </w:r>
      <w:r w:rsidR="002D3674">
        <w:rPr>
          <w:rFonts w:ascii="Calibri" w:hAnsi="Calibri" w:cs="Calibri"/>
          <w:sz w:val="22"/>
          <w:szCs w:val="22"/>
        </w:rPr>
        <w:br/>
      </w:r>
      <w:r w:rsidRPr="001C1B84">
        <w:rPr>
          <w:rFonts w:ascii="Calibri" w:hAnsi="Calibri" w:cs="Calibri"/>
          <w:sz w:val="22"/>
          <w:szCs w:val="22"/>
        </w:rPr>
        <w:t>Queensland Government’s land use planning and property development agency, Economic Development Queensland (EDQ)</w:t>
      </w:r>
      <w:r>
        <w:rPr>
          <w:rFonts w:ascii="Calibri" w:hAnsi="Calibri" w:cs="Calibri"/>
          <w:sz w:val="22"/>
          <w:szCs w:val="22"/>
        </w:rPr>
        <w:t>,</w:t>
      </w:r>
      <w:r w:rsidRPr="001C1B84">
        <w:rPr>
          <w:rFonts w:ascii="Calibri" w:hAnsi="Calibri" w:cs="Calibri"/>
          <w:sz w:val="22"/>
          <w:szCs w:val="22"/>
        </w:rPr>
        <w:t xml:space="preserve"> to take the lead as the planning authority to coordinate land use and infrastructure planning. </w:t>
      </w:r>
      <w:r w:rsidRPr="00CB7B6D">
        <w:rPr>
          <w:rFonts w:ascii="Calibri" w:hAnsi="Calibri" w:cs="Calibri"/>
          <w:sz w:val="22"/>
          <w:szCs w:val="22"/>
        </w:rPr>
        <w:t>The PDA process helps to cut red tape which improves land supply and gets new homes built sooner.</w:t>
      </w:r>
    </w:p>
    <w:p w14:paraId="1A53F5F8" w14:textId="77777777" w:rsidR="006759F6" w:rsidRPr="001C1B84" w:rsidRDefault="006759F6" w:rsidP="006759F6">
      <w:pPr>
        <w:pStyle w:val="Default"/>
        <w:rPr>
          <w:rFonts w:ascii="Calibri" w:hAnsi="Calibri" w:cs="Calibri"/>
          <w:sz w:val="22"/>
          <w:szCs w:val="22"/>
        </w:rPr>
      </w:pPr>
    </w:p>
    <w:p w14:paraId="220FF44D" w14:textId="040E684C" w:rsidR="006759F6" w:rsidRPr="001C1B84" w:rsidRDefault="006759F6" w:rsidP="006759F6">
      <w:pPr>
        <w:pStyle w:val="Default"/>
        <w:rPr>
          <w:rFonts w:ascii="Calibri" w:hAnsi="Calibri" w:cs="Calibri"/>
          <w:sz w:val="22"/>
          <w:szCs w:val="22"/>
        </w:rPr>
      </w:pPr>
      <w:r w:rsidRPr="001C1B84">
        <w:rPr>
          <w:rFonts w:ascii="Calibri" w:hAnsi="Calibri" w:cs="Calibri"/>
          <w:sz w:val="22"/>
          <w:szCs w:val="22"/>
        </w:rPr>
        <w:t xml:space="preserve">Waraba (formerly Caboolture West) is identified as a major expansion growth area in </w:t>
      </w:r>
      <w:r w:rsidRPr="00CF1B0D">
        <w:rPr>
          <w:rFonts w:ascii="Calibri" w:hAnsi="Calibri" w:cs="Calibri"/>
          <w:i/>
          <w:sz w:val="22"/>
          <w:szCs w:val="22"/>
        </w:rPr>
        <w:t>ShapingSEQ</w:t>
      </w:r>
      <w:r w:rsidRPr="001C1B84">
        <w:rPr>
          <w:rFonts w:ascii="Calibri" w:hAnsi="Calibri" w:cs="Calibri"/>
          <w:sz w:val="22"/>
          <w:szCs w:val="22"/>
        </w:rPr>
        <w:t xml:space="preserve">. The Waraba PDA was declared on 2 August 2024 and includes approximately 2,900 hectares of land enabling 30,000 homes for approximately 70,000 people in the Moreton Bay LGA. An Interim Land Use Plan (ILUP) is currently in effect. The Infrastructure Funding Framework (IFF) establishes interim infrastructure plans and charging policies to fund delivery of a range of local and state infrastructure and services required to support future development in the Waraba PDA. The ILUP and IFF applies to PDA applications in the Waraba PDA until such time as a Development Scheme, comprising a land use plan, infrastructure plan and implementation strategy takes effect. Public notification of the proposed Development Scheme is expected in April 2026. </w:t>
      </w:r>
    </w:p>
    <w:p w14:paraId="591BF335" w14:textId="0B67DF44" w:rsidR="006759F6" w:rsidRDefault="006759F6" w:rsidP="006759F6">
      <w:pPr>
        <w:rPr>
          <w:rFonts w:ascii="Calibri" w:hAnsi="Calibri" w:cs="Calibri"/>
        </w:rPr>
      </w:pPr>
      <w:r w:rsidRPr="001C1B84">
        <w:rPr>
          <w:rFonts w:ascii="Calibri" w:hAnsi="Calibri" w:cs="Calibri"/>
        </w:rPr>
        <w:t xml:space="preserve">The Southern Thornlands PDA was declared on 4 April 2025 and includes approximately 890 hectares of land enabling 8,000 homes for approximately 20,000 people in the Redland LGA. An ILUP, </w:t>
      </w:r>
      <w:bookmarkStart w:id="11" w:name="_Hlk196920095"/>
      <w:r w:rsidRPr="001C1B84">
        <w:rPr>
          <w:rFonts w:ascii="Calibri" w:hAnsi="Calibri" w:cs="Calibri"/>
        </w:rPr>
        <w:t>that includes an Early Release Area for 800-900 homes</w:t>
      </w:r>
      <w:bookmarkEnd w:id="11"/>
      <w:r w:rsidRPr="001C1B84">
        <w:rPr>
          <w:rFonts w:ascii="Calibri" w:hAnsi="Calibri" w:cs="Calibri"/>
        </w:rPr>
        <w:t>, and IFF are currently in effect. Public notification of the proposed Development Scheme is expected in February 2026.</w:t>
      </w:r>
    </w:p>
    <w:p w14:paraId="204E0BCD" w14:textId="2AECDDE4" w:rsidR="006759F6" w:rsidRDefault="006759F6" w:rsidP="006759F6">
      <w:pPr>
        <w:rPr>
          <w:rFonts w:ascii="Calibri" w:hAnsi="Calibri" w:cs="Calibri"/>
        </w:rPr>
      </w:pPr>
      <w:r w:rsidRPr="00CB7B6D">
        <w:rPr>
          <w:rFonts w:ascii="Calibri" w:hAnsi="Calibri" w:cs="Calibri"/>
        </w:rPr>
        <w:t>A further PDA is proposed for North Harbour, in the Moreton Bay region. The PDA will enable more than 3,700 new homes with up to 200 homes to be built in an early release area while the more detailed planning for the rest of the PDA is undertaken.</w:t>
      </w:r>
    </w:p>
    <w:p w14:paraId="605018A6" w14:textId="13F1EABA" w:rsidR="00651145" w:rsidRDefault="00651145" w:rsidP="001C1B84">
      <w:pPr>
        <w:rPr>
          <w:rFonts w:ascii="Calibri" w:hAnsi="Calibri" w:cs="Calibri"/>
        </w:rPr>
      </w:pPr>
    </w:p>
    <w:p w14:paraId="0AB85157" w14:textId="42C6AADA" w:rsidR="00651145" w:rsidRDefault="00651145" w:rsidP="001C1B84">
      <w:pPr>
        <w:rPr>
          <w:rFonts w:ascii="Calibri" w:hAnsi="Calibri" w:cs="Calibri"/>
        </w:rPr>
      </w:pPr>
    </w:p>
    <w:p w14:paraId="698347C2" w14:textId="5A9544E6" w:rsidR="00651145" w:rsidRDefault="00651145" w:rsidP="001C1B84">
      <w:pPr>
        <w:rPr>
          <w:rFonts w:ascii="Calibri" w:hAnsi="Calibri" w:cs="Calibri"/>
        </w:rPr>
      </w:pPr>
    </w:p>
    <w:p w14:paraId="4D8E9C1D" w14:textId="2B8109AB" w:rsidR="00651145" w:rsidRDefault="00651145" w:rsidP="001C1B84">
      <w:pPr>
        <w:rPr>
          <w:rFonts w:ascii="Calibri" w:hAnsi="Calibri" w:cs="Calibri"/>
        </w:rPr>
      </w:pPr>
    </w:p>
    <w:p w14:paraId="65867EB9" w14:textId="105C9DFF" w:rsidR="00651145" w:rsidRDefault="00651145" w:rsidP="001C1B84">
      <w:pPr>
        <w:rPr>
          <w:rFonts w:ascii="Calibri" w:hAnsi="Calibri" w:cs="Calibri"/>
        </w:rPr>
      </w:pPr>
    </w:p>
    <w:p w14:paraId="1F526D46" w14:textId="4ED50CB3" w:rsidR="00651145" w:rsidRDefault="00651145" w:rsidP="001C1B84">
      <w:pPr>
        <w:rPr>
          <w:rFonts w:ascii="Calibri" w:hAnsi="Calibri" w:cs="Calibri"/>
        </w:r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12" w:name="_Toc168064957"/>
            <w:bookmarkStart w:id="13" w:name="_Toc168065268"/>
            <w:bookmarkStart w:id="14" w:name="_Toc178667455"/>
            <w:bookmarkStart w:id="15" w:name="_Toc201835780"/>
            <w:r>
              <w:rPr>
                <w:lang w:eastAsia="en-US"/>
              </w:rPr>
              <w:lastRenderedPageBreak/>
              <w:t>Measure 3</w:t>
            </w:r>
            <w:bookmarkEnd w:id="12"/>
            <w:bookmarkEnd w:id="13"/>
            <w:bookmarkEnd w:id="14"/>
            <w:bookmarkEnd w:id="15"/>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7C285416" w:rsidR="00FE50BE" w:rsidRDefault="00366EB7" w:rsidP="000B03B1">
      <w:pPr>
        <w:pStyle w:val="Heading2"/>
      </w:pPr>
      <w:bookmarkStart w:id="16" w:name="_Toc168064959"/>
      <w:bookmarkStart w:id="17" w:name="_Toc168065270"/>
      <w:bookmarkStart w:id="18" w:name="_Toc178667456"/>
      <w:bookmarkStart w:id="19" w:name="_Toc201835781"/>
      <w:r>
        <w:t>Summary of p</w:t>
      </w:r>
      <w:r w:rsidR="00FE50BE">
        <w:t>lanning reforms</w:t>
      </w:r>
      <w:bookmarkEnd w:id="16"/>
      <w:bookmarkEnd w:id="17"/>
      <w:bookmarkEnd w:id="18"/>
      <w:bookmarkEnd w:id="19"/>
    </w:p>
    <w:p w14:paraId="6E580F1D" w14:textId="55DA6DBA" w:rsidR="00F04B69" w:rsidRPr="005C459F" w:rsidRDefault="00610747" w:rsidP="00DD24DA">
      <w:pPr>
        <w:spacing w:before="0" w:after="160"/>
        <w:rPr>
          <w:rStyle w:val="Strong"/>
          <w:rFonts w:ascii="Calibri Light" w:hAnsi="Calibri Light" w:cs="Calibri Light"/>
          <w:sz w:val="28"/>
          <w:szCs w:val="28"/>
        </w:rPr>
      </w:pPr>
      <w:r w:rsidRPr="005C459F">
        <w:rPr>
          <w:rStyle w:val="Strong"/>
          <w:rFonts w:ascii="Calibri Light" w:hAnsi="Calibri Light" w:cs="Calibri Light"/>
          <w:sz w:val="28"/>
          <w:szCs w:val="28"/>
        </w:rPr>
        <w:t xml:space="preserve">Planning Regulation </w:t>
      </w:r>
      <w:r w:rsidR="00F04B69" w:rsidRPr="005C459F">
        <w:rPr>
          <w:rStyle w:val="Strong"/>
          <w:rFonts w:ascii="Calibri Light" w:hAnsi="Calibri Light" w:cs="Calibri Light"/>
          <w:sz w:val="28"/>
          <w:szCs w:val="28"/>
        </w:rPr>
        <w:t>Amendments to unlock church and charity-ow</w:t>
      </w:r>
      <w:r w:rsidR="00452D92" w:rsidRPr="005C459F">
        <w:rPr>
          <w:rStyle w:val="Strong"/>
          <w:rFonts w:ascii="Calibri Light" w:hAnsi="Calibri Light" w:cs="Calibri Light"/>
          <w:sz w:val="28"/>
          <w:szCs w:val="28"/>
        </w:rPr>
        <w:t>n</w:t>
      </w:r>
      <w:r w:rsidR="00F04B69" w:rsidRPr="005C459F">
        <w:rPr>
          <w:rStyle w:val="Strong"/>
          <w:rFonts w:ascii="Calibri Light" w:hAnsi="Calibri Light" w:cs="Calibri Light"/>
          <w:sz w:val="28"/>
          <w:szCs w:val="28"/>
        </w:rPr>
        <w:t>ed land for community housing</w:t>
      </w:r>
    </w:p>
    <w:p w14:paraId="70BBE5EA" w14:textId="0E87CCC0" w:rsidR="00452D92" w:rsidRDefault="00452D92" w:rsidP="00452D92">
      <w:pPr>
        <w:spacing w:after="200"/>
        <w:rPr>
          <w:rStyle w:val="Strong"/>
          <w:rFonts w:ascii="Calibri" w:hAnsi="Calibri" w:cs="Calibri"/>
          <w:b w:val="0"/>
          <w:bCs w:val="0"/>
          <w:color w:val="auto"/>
          <w:szCs w:val="22"/>
        </w:rPr>
      </w:pPr>
      <w:r w:rsidRPr="00452D92">
        <w:rPr>
          <w:rStyle w:val="Strong"/>
          <w:rFonts w:ascii="Calibri" w:hAnsi="Calibri" w:cs="Calibri"/>
          <w:b w:val="0"/>
          <w:bCs w:val="0"/>
          <w:color w:val="auto"/>
          <w:szCs w:val="22"/>
        </w:rPr>
        <w:t>The Queensland Government has amended the state’s planning framework to unlock church and charity-owned land for community housing, with changes taking effect from 20 December 2024.</w:t>
      </w:r>
      <w:r w:rsidR="00D97172">
        <w:rPr>
          <w:rStyle w:val="Strong"/>
          <w:rFonts w:ascii="Calibri" w:hAnsi="Calibri" w:cs="Calibri"/>
          <w:b w:val="0"/>
          <w:bCs w:val="0"/>
          <w:color w:val="auto"/>
          <w:szCs w:val="22"/>
        </w:rPr>
        <w:t xml:space="preserve"> </w:t>
      </w:r>
      <w:r w:rsidR="00D27F9E">
        <w:rPr>
          <w:rStyle w:val="Strong"/>
          <w:rFonts w:ascii="Calibri" w:hAnsi="Calibri" w:cs="Calibri"/>
          <w:b w:val="0"/>
          <w:bCs w:val="0"/>
          <w:color w:val="auto"/>
          <w:szCs w:val="22"/>
        </w:rPr>
        <w:t>Key changes include amending the Planning Regulation 2017 to:</w:t>
      </w:r>
    </w:p>
    <w:p w14:paraId="11981524" w14:textId="2D1F5402" w:rsidR="00D27F9E" w:rsidRDefault="00D27F9E" w:rsidP="00D27F9E">
      <w:pPr>
        <w:pStyle w:val="ListParagraph"/>
        <w:numPr>
          <w:ilvl w:val="0"/>
          <w:numId w:val="23"/>
        </w:numPr>
        <w:spacing w:after="200"/>
        <w:rPr>
          <w:rStyle w:val="Strong"/>
          <w:rFonts w:ascii="Calibri" w:hAnsi="Calibri" w:cs="Calibri"/>
          <w:b w:val="0"/>
          <w:bCs w:val="0"/>
          <w:color w:val="auto"/>
          <w:szCs w:val="22"/>
        </w:rPr>
      </w:pPr>
      <w:r>
        <w:rPr>
          <w:rStyle w:val="Strong"/>
          <w:rFonts w:ascii="Calibri" w:hAnsi="Calibri" w:cs="Calibri"/>
          <w:b w:val="0"/>
          <w:bCs w:val="0"/>
          <w:color w:val="auto"/>
          <w:szCs w:val="22"/>
        </w:rPr>
        <w:t>M</w:t>
      </w:r>
      <w:r w:rsidRPr="00D27F9E">
        <w:rPr>
          <w:rStyle w:val="Strong"/>
          <w:rFonts w:ascii="Calibri" w:hAnsi="Calibri" w:cs="Calibri"/>
          <w:b w:val="0"/>
          <w:bCs w:val="0"/>
          <w:color w:val="auto"/>
          <w:szCs w:val="22"/>
        </w:rPr>
        <w:t>ake it clear that a registered not-for-profit or a religious organisation registered with the Australian Charities and Not-for-profits Commission are now eligible for the Ministerial Infrastructure Designation (MID) assessment pathway.</w:t>
      </w:r>
    </w:p>
    <w:p w14:paraId="144A611D" w14:textId="244B8933" w:rsidR="00D27F9E" w:rsidRDefault="00D27F9E" w:rsidP="00D27F9E">
      <w:pPr>
        <w:pStyle w:val="ListParagraph"/>
        <w:numPr>
          <w:ilvl w:val="0"/>
          <w:numId w:val="23"/>
        </w:numPr>
        <w:spacing w:after="200"/>
        <w:rPr>
          <w:rStyle w:val="Strong"/>
          <w:rFonts w:ascii="Calibri" w:hAnsi="Calibri" w:cs="Calibri"/>
          <w:b w:val="0"/>
          <w:bCs w:val="0"/>
          <w:color w:val="auto"/>
          <w:szCs w:val="22"/>
        </w:rPr>
      </w:pPr>
      <w:r>
        <w:rPr>
          <w:rStyle w:val="Strong"/>
          <w:rFonts w:ascii="Calibri" w:hAnsi="Calibri" w:cs="Calibri"/>
          <w:b w:val="0"/>
          <w:bCs w:val="0"/>
          <w:color w:val="auto"/>
          <w:szCs w:val="22"/>
        </w:rPr>
        <w:t>I</w:t>
      </w:r>
      <w:r w:rsidRPr="00D27F9E">
        <w:rPr>
          <w:rStyle w:val="Strong"/>
          <w:rFonts w:ascii="Calibri" w:hAnsi="Calibri" w:cs="Calibri"/>
          <w:b w:val="0"/>
          <w:bCs w:val="0"/>
          <w:color w:val="auto"/>
          <w:szCs w:val="22"/>
        </w:rPr>
        <w:t>ntroduce new provisions to allow existing church and charity dwellings such as caretaker residences and presbyteries to be repurposed as housing without the need for a development application.</w:t>
      </w:r>
    </w:p>
    <w:p w14:paraId="5DC7B707" w14:textId="205A75C6" w:rsidR="00D27F9E" w:rsidRDefault="00D97172" w:rsidP="00D27F9E">
      <w:pPr>
        <w:pStyle w:val="ListParagraph"/>
        <w:numPr>
          <w:ilvl w:val="0"/>
          <w:numId w:val="23"/>
        </w:numPr>
        <w:spacing w:after="200"/>
        <w:rPr>
          <w:rStyle w:val="Strong"/>
          <w:rFonts w:ascii="Calibri" w:hAnsi="Calibri" w:cs="Calibri"/>
          <w:b w:val="0"/>
          <w:bCs w:val="0"/>
          <w:color w:val="auto"/>
          <w:szCs w:val="22"/>
        </w:rPr>
      </w:pPr>
      <w:r>
        <w:rPr>
          <w:rStyle w:val="Strong"/>
          <w:rFonts w:ascii="Calibri" w:hAnsi="Calibri" w:cs="Calibri"/>
          <w:b w:val="0"/>
          <w:bCs w:val="0"/>
          <w:color w:val="auto"/>
          <w:szCs w:val="22"/>
        </w:rPr>
        <w:t>A</w:t>
      </w:r>
      <w:r w:rsidRPr="00D97172">
        <w:rPr>
          <w:rStyle w:val="Strong"/>
          <w:rFonts w:ascii="Calibri" w:hAnsi="Calibri" w:cs="Calibri"/>
          <w:b w:val="0"/>
          <w:bCs w:val="0"/>
          <w:color w:val="auto"/>
          <w:szCs w:val="22"/>
        </w:rPr>
        <w:t>mend the purpose of the State-wide Community facilities zone to identify that</w:t>
      </w:r>
      <w:r w:rsidR="008170F9">
        <w:rPr>
          <w:rStyle w:val="Strong"/>
          <w:rFonts w:ascii="Calibri" w:hAnsi="Calibri" w:cs="Calibri"/>
          <w:b w:val="0"/>
          <w:bCs w:val="0"/>
          <w:color w:val="auto"/>
          <w:szCs w:val="22"/>
        </w:rPr>
        <w:t xml:space="preserve"> </w:t>
      </w:r>
      <w:r w:rsidRPr="00D97172">
        <w:rPr>
          <w:rStyle w:val="Strong"/>
          <w:rFonts w:ascii="Calibri" w:hAnsi="Calibri" w:cs="Calibri"/>
          <w:b w:val="0"/>
          <w:bCs w:val="0"/>
          <w:color w:val="auto"/>
          <w:szCs w:val="22"/>
        </w:rPr>
        <w:t>100 per cent affordable housing on church and charity-owned land as acceptable in the zone.</w:t>
      </w:r>
    </w:p>
    <w:p w14:paraId="22FC8BDE" w14:textId="733AD85F" w:rsidR="00D97172" w:rsidRPr="00D97172" w:rsidRDefault="00D97172" w:rsidP="00D97172">
      <w:pPr>
        <w:spacing w:after="200"/>
        <w:rPr>
          <w:rStyle w:val="Strong"/>
          <w:rFonts w:ascii="Calibri" w:hAnsi="Calibri" w:cs="Calibri"/>
          <w:b w:val="0"/>
          <w:bCs w:val="0"/>
          <w:color w:val="auto"/>
          <w:szCs w:val="22"/>
        </w:rPr>
      </w:pPr>
      <w:r w:rsidRPr="00D97172">
        <w:rPr>
          <w:rStyle w:val="Strong"/>
          <w:rFonts w:ascii="Calibri" w:hAnsi="Calibri" w:cs="Calibri"/>
          <w:b w:val="0"/>
          <w:bCs w:val="0"/>
          <w:color w:val="auto"/>
          <w:szCs w:val="22"/>
        </w:rPr>
        <w:t>As part of the amendments made to the planning framework,</w:t>
      </w:r>
      <w:r w:rsidRPr="00D97172">
        <w:t xml:space="preserve"> </w:t>
      </w:r>
      <w:r w:rsidRPr="00D97172">
        <w:rPr>
          <w:rStyle w:val="Strong"/>
          <w:rFonts w:ascii="Calibri" w:hAnsi="Calibri" w:cs="Calibri"/>
          <w:b w:val="0"/>
          <w:bCs w:val="0"/>
          <w:color w:val="auto"/>
          <w:szCs w:val="22"/>
        </w:rPr>
        <w:t xml:space="preserve">a streamlined </w:t>
      </w:r>
      <w:r>
        <w:rPr>
          <w:rStyle w:val="Strong"/>
          <w:rFonts w:ascii="Calibri" w:hAnsi="Calibri" w:cs="Calibri"/>
          <w:b w:val="0"/>
          <w:bCs w:val="0"/>
          <w:color w:val="auto"/>
          <w:szCs w:val="22"/>
        </w:rPr>
        <w:t>MID</w:t>
      </w:r>
      <w:r w:rsidRPr="00D97172">
        <w:rPr>
          <w:rStyle w:val="Strong"/>
          <w:rFonts w:ascii="Calibri" w:hAnsi="Calibri" w:cs="Calibri"/>
          <w:b w:val="0"/>
          <w:bCs w:val="0"/>
          <w:color w:val="auto"/>
          <w:szCs w:val="22"/>
        </w:rPr>
        <w:t xml:space="preserve"> pathway for social and/or affordable housing has also been introduced with supporting materials.</w:t>
      </w:r>
    </w:p>
    <w:p w14:paraId="2E1624BC" w14:textId="737025E2" w:rsidR="00610747" w:rsidRDefault="00452D92" w:rsidP="00452D92">
      <w:pPr>
        <w:spacing w:after="200"/>
        <w:rPr>
          <w:rStyle w:val="Strong"/>
          <w:rFonts w:ascii="Calibri" w:hAnsi="Calibri" w:cs="Calibri"/>
          <w:b w:val="0"/>
          <w:bCs w:val="0"/>
          <w:color w:val="auto"/>
          <w:szCs w:val="22"/>
        </w:rPr>
      </w:pPr>
      <w:r w:rsidRPr="00452D92">
        <w:rPr>
          <w:rStyle w:val="Strong"/>
          <w:rFonts w:ascii="Calibri" w:hAnsi="Calibri" w:cs="Calibri"/>
          <w:b w:val="0"/>
          <w:bCs w:val="0"/>
          <w:color w:val="auto"/>
          <w:szCs w:val="22"/>
        </w:rPr>
        <w:t>The changes are aligned to the government’s commitment to scale up the supply of housing stock across the state, meeting the demands of Queensland’s growing population.</w:t>
      </w:r>
    </w:p>
    <w:p w14:paraId="38D5DC40" w14:textId="2423EDBC" w:rsidR="00D97172" w:rsidRDefault="00D97172" w:rsidP="00AF3CCF">
      <w:pPr>
        <w:rPr>
          <w:rStyle w:val="Strong"/>
          <w:rFonts w:ascii="Calibri" w:hAnsi="Calibri" w:cs="Calibri"/>
          <w:b w:val="0"/>
          <w:bCs w:val="0"/>
          <w:i/>
          <w:iCs/>
          <w:color w:val="auto"/>
          <w:szCs w:val="22"/>
        </w:rPr>
      </w:pPr>
      <w:r w:rsidRPr="00D97172">
        <w:rPr>
          <w:rStyle w:val="Strong"/>
          <w:rFonts w:ascii="Calibri" w:hAnsi="Calibri" w:cs="Calibri"/>
          <w:color w:val="auto"/>
          <w:szCs w:val="22"/>
        </w:rPr>
        <w:t>Also see</w:t>
      </w:r>
      <w:r w:rsidRPr="00D97172">
        <w:rPr>
          <w:rStyle w:val="Strong"/>
          <w:rFonts w:ascii="Calibri" w:hAnsi="Calibri" w:cs="Calibri"/>
          <w:b w:val="0"/>
          <w:bCs w:val="0"/>
          <w:color w:val="auto"/>
          <w:szCs w:val="22"/>
        </w:rPr>
        <w:t>:</w:t>
      </w:r>
      <w:r w:rsidR="008170F9">
        <w:rPr>
          <w:rStyle w:val="Strong"/>
          <w:rFonts w:ascii="Calibri" w:hAnsi="Calibri" w:cs="Calibri"/>
          <w:b w:val="0"/>
          <w:bCs w:val="0"/>
          <w:color w:val="auto"/>
          <w:szCs w:val="22"/>
        </w:rPr>
        <w:t xml:space="preserve"> </w:t>
      </w:r>
      <w:r w:rsidRPr="00D97172">
        <w:rPr>
          <w:rStyle w:val="Strong"/>
          <w:rFonts w:ascii="Calibri" w:hAnsi="Calibri" w:cs="Calibri"/>
          <w:b w:val="0"/>
          <w:bCs w:val="0"/>
          <w:color w:val="auto"/>
          <w:szCs w:val="22"/>
        </w:rPr>
        <w:t>Meas</w:t>
      </w:r>
      <w:r w:rsidR="008170F9">
        <w:rPr>
          <w:rStyle w:val="Strong"/>
          <w:rFonts w:ascii="Calibri" w:hAnsi="Calibri" w:cs="Calibri"/>
          <w:b w:val="0"/>
          <w:bCs w:val="0"/>
          <w:color w:val="auto"/>
          <w:szCs w:val="22"/>
        </w:rPr>
        <w:t>u</w:t>
      </w:r>
      <w:r w:rsidRPr="00D97172">
        <w:rPr>
          <w:rStyle w:val="Strong"/>
          <w:rFonts w:ascii="Calibri" w:hAnsi="Calibri" w:cs="Calibri"/>
          <w:b w:val="0"/>
          <w:bCs w:val="0"/>
          <w:color w:val="auto"/>
          <w:szCs w:val="22"/>
        </w:rPr>
        <w:t xml:space="preserve">re 6 - </w:t>
      </w:r>
      <w:r w:rsidRPr="00D97172">
        <w:rPr>
          <w:rStyle w:val="Strong"/>
          <w:rFonts w:ascii="Calibri" w:hAnsi="Calibri" w:cs="Calibri"/>
          <w:b w:val="0"/>
          <w:bCs w:val="0"/>
          <w:i/>
          <w:iCs/>
          <w:color w:val="auto"/>
          <w:szCs w:val="22"/>
        </w:rPr>
        <w:t>Streamlined Ministerial Infrastructure Designation process for Social and Affordable Housing</w:t>
      </w:r>
    </w:p>
    <w:p w14:paraId="24B17352" w14:textId="55509F68" w:rsidR="00DD24DA" w:rsidRPr="00216C1F" w:rsidRDefault="00DD24DA" w:rsidP="00DD24DA">
      <w:pPr>
        <w:spacing w:before="0" w:after="160"/>
        <w:rPr>
          <w:rFonts w:ascii="Calibri Light" w:hAnsi="Calibri Light" w:cs="Calibri Light"/>
          <w:b/>
          <w:sz w:val="28"/>
          <w:szCs w:val="28"/>
        </w:rPr>
      </w:pPr>
      <w:r w:rsidRPr="00216C1F">
        <w:rPr>
          <w:rFonts w:ascii="Calibri Light" w:hAnsi="Calibri Light" w:cs="Calibri Light"/>
          <w:b/>
          <w:sz w:val="28"/>
          <w:szCs w:val="28"/>
        </w:rPr>
        <w:t>Streamlined Development Assessment</w:t>
      </w:r>
    </w:p>
    <w:p w14:paraId="3448ABCE" w14:textId="37B05149" w:rsidR="00F91EC6" w:rsidRPr="009F6DF6" w:rsidRDefault="00F91EC6" w:rsidP="00F91EC6">
      <w:r w:rsidRPr="009F6DF6">
        <w:t xml:space="preserve">The State Facilitated Development (SFD) pathway was introduced under the former Government commenced on </w:t>
      </w:r>
      <w:r w:rsidRPr="00506C00">
        <w:t>22 July 2024</w:t>
      </w:r>
      <w:r w:rsidRPr="00802E74">
        <w:t xml:space="preserve">, following the proclamation of </w:t>
      </w:r>
      <w:hyperlink r:id="rId19" w:history="1">
        <w:r w:rsidR="007B0146" w:rsidRPr="00506C00">
          <w:rPr>
            <w:rStyle w:val="Hyperlink"/>
            <w:i/>
            <w:iCs/>
          </w:rPr>
          <w:t>the Housing Availability and Affordability (Planning and Other Legislation Amendment) Act 2024</w:t>
        </w:r>
      </w:hyperlink>
      <w:r w:rsidR="007B0146" w:rsidRPr="00506C00">
        <w:t xml:space="preserve"> (HAAPOLA)</w:t>
      </w:r>
      <w:r w:rsidRPr="00506C00">
        <w:t xml:space="preserve">. </w:t>
      </w:r>
      <w:r w:rsidRPr="00802E74">
        <w:t xml:space="preserve">This included consequential amendments to the Planning Act, Planning Regulation, and the Development Assessment Rules </w:t>
      </w:r>
      <w:r w:rsidR="004C7492">
        <w:br/>
      </w:r>
      <w:r w:rsidRPr="00802E74">
        <w:t>(DA Rules).</w:t>
      </w:r>
    </w:p>
    <w:p w14:paraId="62F3DC8B" w14:textId="77777777" w:rsidR="00F91EC6" w:rsidRPr="009F6DF6" w:rsidRDefault="00F91EC6" w:rsidP="00F91EC6">
      <w:r w:rsidRPr="009F6DF6">
        <w:t>Working closely with Local Governments, the SFD pathway offers a streamlined planning approval process for residential led proposals. It targets applications that include affordable and/or social housing to incentivise sensible growth in the right locations.</w:t>
      </w:r>
    </w:p>
    <w:p w14:paraId="4060B11D" w14:textId="4F5391F4" w:rsidR="00F91EC6" w:rsidRPr="009F6DF6" w:rsidRDefault="00F91EC6" w:rsidP="00F91EC6">
      <w:r w:rsidRPr="009F6DF6">
        <w:t xml:space="preserve">The following developments have been approved under the SFD program, in consultation with </w:t>
      </w:r>
      <w:r w:rsidR="004C7492">
        <w:t>L</w:t>
      </w:r>
      <w:r w:rsidRPr="009F6DF6">
        <w:t xml:space="preserve">ocal </w:t>
      </w:r>
      <w:r w:rsidR="004C7492">
        <w:t>G</w:t>
      </w:r>
      <w:r w:rsidRPr="009F6DF6">
        <w:t xml:space="preserve">overnments and communities: </w:t>
      </w:r>
    </w:p>
    <w:p w14:paraId="58777F99" w14:textId="77777777" w:rsidR="00F91EC6" w:rsidRPr="009F6DF6" w:rsidRDefault="00F91EC6" w:rsidP="00CF1B0D">
      <w:pPr>
        <w:numPr>
          <w:ilvl w:val="0"/>
          <w:numId w:val="27"/>
        </w:numPr>
        <w:spacing w:before="0" w:after="120"/>
        <w:ind w:left="357" w:hanging="357"/>
      </w:pPr>
      <w:r w:rsidRPr="009F6DF6">
        <w:lastRenderedPageBreak/>
        <w:t xml:space="preserve">On 6 February 2025, following consultation with the local government and community, the first SFD application was approved by DSDIP, in Toowoomba City. The approved development, to be managed by community housing provider BHC, features 75 residential dwellings across 7 storeys, with 75 per cent of the units dedicated to social and affordable housing. The approval was issued in 63 business days. </w:t>
      </w:r>
    </w:p>
    <w:p w14:paraId="7B66F728" w14:textId="6A72C27B" w:rsidR="00F91EC6" w:rsidRPr="009F6DF6" w:rsidRDefault="00F91EC6" w:rsidP="00CF1B0D">
      <w:pPr>
        <w:numPr>
          <w:ilvl w:val="0"/>
          <w:numId w:val="27"/>
        </w:numPr>
        <w:spacing w:before="0" w:after="120"/>
        <w:ind w:left="357" w:hanging="357"/>
      </w:pPr>
      <w:r w:rsidRPr="009F6DF6">
        <w:t xml:space="preserve">In consultation with the Local Government, a second SFD application was approved on </w:t>
      </w:r>
      <w:r w:rsidR="004C7492">
        <w:br/>
      </w:r>
      <w:r w:rsidRPr="009F6DF6">
        <w:t xml:space="preserve">19 February 2025, the Woolloongabba development application was approved and will deliver 440 residential units across 35 storeys, with 22 per cent of the total units to be dedicated to affordable housing. The approval was issued in 48 business days. </w:t>
      </w:r>
    </w:p>
    <w:p w14:paraId="3824ACEC" w14:textId="2E1FB5FF" w:rsidR="00F91EC6" w:rsidRPr="009F6DF6" w:rsidRDefault="00F91EC6" w:rsidP="00CF1B0D">
      <w:pPr>
        <w:numPr>
          <w:ilvl w:val="0"/>
          <w:numId w:val="27"/>
        </w:numPr>
        <w:spacing w:before="0" w:after="120"/>
        <w:ind w:left="357" w:hanging="357"/>
      </w:pPr>
      <w:r w:rsidRPr="009F6DF6">
        <w:t xml:space="preserve">On 27 March 2025, the Wakerley development application was approved and will deliver </w:t>
      </w:r>
      <w:r w:rsidR="004C7492">
        <w:br/>
      </w:r>
      <w:r w:rsidRPr="009F6DF6">
        <w:t>44 well-located town homes, with 88 per cent allocated as affordable housing.</w:t>
      </w:r>
    </w:p>
    <w:p w14:paraId="720AA915" w14:textId="03F6F9FC" w:rsidR="00F91EC6" w:rsidRPr="009F6DF6" w:rsidRDefault="00F91EC6" w:rsidP="00CF1B0D">
      <w:pPr>
        <w:numPr>
          <w:ilvl w:val="0"/>
          <w:numId w:val="27"/>
        </w:numPr>
        <w:spacing w:before="0" w:after="120"/>
        <w:ind w:left="357" w:hanging="357"/>
      </w:pPr>
      <w:r w:rsidRPr="009F6DF6">
        <w:t xml:space="preserve">On 11 April 2025, the Indooroopilly development application was approved and will deliver </w:t>
      </w:r>
      <w:r w:rsidR="004C7492">
        <w:br/>
      </w:r>
      <w:r w:rsidRPr="009F6DF6">
        <w:t xml:space="preserve">478 new homes, with 20 per cent allocated as affordable housing.   </w:t>
      </w:r>
    </w:p>
    <w:p w14:paraId="1E05722F" w14:textId="66ADE273" w:rsidR="00F91EC6" w:rsidRDefault="00F91EC6" w:rsidP="00CF1B0D">
      <w:pPr>
        <w:numPr>
          <w:ilvl w:val="0"/>
          <w:numId w:val="27"/>
        </w:numPr>
        <w:spacing w:before="0" w:after="120"/>
        <w:ind w:left="357" w:hanging="357"/>
      </w:pPr>
      <w:r w:rsidRPr="009F6DF6">
        <w:t xml:space="preserve">On 19 May 2025, the Milton development application was approved and will deliver </w:t>
      </w:r>
      <w:r w:rsidR="004C7492">
        <w:br/>
      </w:r>
      <w:r w:rsidRPr="009F6DF6">
        <w:t>304 new homes, with 15 per cent allocated as affordable housing.</w:t>
      </w:r>
    </w:p>
    <w:p w14:paraId="2B511036" w14:textId="400A09B0" w:rsidR="008968A1" w:rsidRPr="009F6DF6" w:rsidRDefault="008968A1" w:rsidP="00CF1B0D">
      <w:pPr>
        <w:numPr>
          <w:ilvl w:val="0"/>
          <w:numId w:val="27"/>
        </w:numPr>
        <w:spacing w:before="0" w:after="120"/>
        <w:ind w:left="357" w:hanging="357"/>
      </w:pPr>
      <w:r>
        <w:t xml:space="preserve">On 30 June 2025, the Forest Lake development application was approved and will deliver 150 homes, with 15 per cent allocated as affordable housing. </w:t>
      </w:r>
    </w:p>
    <w:p w14:paraId="51FA29BF" w14:textId="77777777" w:rsidR="00F91EC6" w:rsidRPr="009F6DF6" w:rsidRDefault="00F91EC6" w:rsidP="00F91EC6">
      <w:r w:rsidRPr="009F6DF6">
        <w:t>This Government is committed to resetting the planning partnership with local communities and councils. This approach prioritises protecting the lifestyle of existing residents while ensuring growth is managed responsibly and sustainably.  The SFD process is not an alternate assessment pathway, but rather a mechanism that enables the State to support Local Governments in progressing complex or high-priority developments. It is particularly useful in cases where planning resources are limited or where comprehensive assessments require the expertise of State planners.  This collaborative approach ensures that both State interests and local priorities are effectively integrated into the planning assessment process for proposals deemed suitable for SFD. By working closely with local governments, the State ensures that desired planning outcomes are identified early, streamlining the overall assessment process.</w:t>
      </w:r>
    </w:p>
    <w:p w14:paraId="052078D4" w14:textId="77777777" w:rsidR="00F91EC6" w:rsidRPr="009F6DF6" w:rsidRDefault="00F91EC6" w:rsidP="00CF1B0D">
      <w:pPr>
        <w:spacing w:before="120" w:after="120"/>
      </w:pPr>
      <w:r w:rsidRPr="009F6DF6">
        <w:t xml:space="preserve">Key updates to the SFD pathway include: </w:t>
      </w:r>
    </w:p>
    <w:p w14:paraId="49C81AD5" w14:textId="59EFE8E9" w:rsidR="00F91EC6" w:rsidRPr="009F6DF6" w:rsidRDefault="00F91EC6" w:rsidP="00CF1B0D">
      <w:pPr>
        <w:numPr>
          <w:ilvl w:val="0"/>
          <w:numId w:val="28"/>
        </w:numPr>
        <w:spacing w:before="120" w:after="120"/>
      </w:pPr>
      <w:r w:rsidRPr="009F6DF6">
        <w:rPr>
          <w:b/>
          <w:bCs/>
        </w:rPr>
        <w:t>Mandatory Local Government Support</w:t>
      </w:r>
      <w:r w:rsidRPr="009F6DF6">
        <w:t xml:space="preserve">: Formal written support from the relevant </w:t>
      </w:r>
      <w:r w:rsidR="0008256D">
        <w:br/>
        <w:t>L</w:t>
      </w:r>
      <w:r w:rsidRPr="009F6DF6">
        <w:t>ocal</w:t>
      </w:r>
      <w:r w:rsidR="0008256D">
        <w:t xml:space="preserve"> G</w:t>
      </w:r>
      <w:r w:rsidRPr="009F6DF6">
        <w:t xml:space="preserve">overnment is now a mandatory requirement before an SFD declaration can be made. </w:t>
      </w:r>
      <w:r w:rsidR="0008256D">
        <w:br/>
      </w:r>
      <w:r w:rsidRPr="009F6DF6">
        <w:t>This ensures alignment with local priorities.</w:t>
      </w:r>
    </w:p>
    <w:p w14:paraId="1CBA319A" w14:textId="77777777" w:rsidR="00F91EC6" w:rsidRPr="00C91F96" w:rsidRDefault="00F91EC6" w:rsidP="00AF3CCF">
      <w:pPr>
        <w:numPr>
          <w:ilvl w:val="0"/>
          <w:numId w:val="28"/>
        </w:numPr>
        <w:spacing w:before="120"/>
        <w:ind w:left="357" w:hanging="357"/>
      </w:pPr>
      <w:r w:rsidRPr="009F6DF6">
        <w:rPr>
          <w:b/>
          <w:bCs/>
        </w:rPr>
        <w:t>Updated Eligibility Criteria</w:t>
      </w:r>
      <w:r w:rsidRPr="009F6DF6">
        <w:t>: The State will amend the </w:t>
      </w:r>
      <w:r w:rsidRPr="009F6DF6">
        <w:rPr>
          <w:i/>
          <w:iCs/>
        </w:rPr>
        <w:t>Planning Regulation 2017</w:t>
      </w:r>
      <w:r w:rsidRPr="009F6DF6">
        <w:t> to revise SFD eligibility criteria. Notably, the requirement to comply with the affordable housing definition will be removed, allowing a broader range of housing projects to be considered.</w:t>
      </w:r>
    </w:p>
    <w:p w14:paraId="04D7C932" w14:textId="42DD2E26" w:rsidR="003E4444" w:rsidRPr="00AF3CCF" w:rsidRDefault="003E4444" w:rsidP="00AF3CCF">
      <w:pPr>
        <w:spacing w:before="0" w:after="160"/>
        <w:rPr>
          <w:rFonts w:ascii="Calibri Light" w:hAnsi="Calibri Light" w:cs="Calibri Light"/>
          <w:b/>
          <w:sz w:val="28"/>
          <w:szCs w:val="28"/>
        </w:rPr>
      </w:pPr>
      <w:r w:rsidRPr="00AF3CCF">
        <w:rPr>
          <w:rFonts w:ascii="Calibri Light" w:hAnsi="Calibri Light" w:cs="Calibri Light"/>
          <w:b/>
          <w:sz w:val="28"/>
          <w:szCs w:val="28"/>
        </w:rPr>
        <w:t xml:space="preserve">Residential </w:t>
      </w:r>
      <w:r w:rsidRPr="0008256D">
        <w:rPr>
          <w:rFonts w:ascii="Calibri Light" w:hAnsi="Calibri Light" w:cs="Calibri Light"/>
          <w:b/>
          <w:sz w:val="28"/>
          <w:szCs w:val="28"/>
        </w:rPr>
        <w:t>Activation</w:t>
      </w:r>
      <w:r w:rsidRPr="00AF3CCF">
        <w:rPr>
          <w:rFonts w:ascii="Calibri Light" w:hAnsi="Calibri Light" w:cs="Calibri Light"/>
          <w:b/>
          <w:sz w:val="28"/>
          <w:szCs w:val="28"/>
        </w:rPr>
        <w:t xml:space="preserve"> Fund</w:t>
      </w:r>
      <w:r w:rsidR="00651145" w:rsidRPr="00AF3CCF">
        <w:rPr>
          <w:rFonts w:ascii="Calibri Light" w:hAnsi="Calibri Light" w:cs="Calibri Light"/>
          <w:b/>
          <w:sz w:val="28"/>
          <w:szCs w:val="28"/>
        </w:rPr>
        <w:t xml:space="preserve"> </w:t>
      </w:r>
      <w:r w:rsidR="00B84BFC" w:rsidRPr="00AF3CCF">
        <w:rPr>
          <w:rFonts w:ascii="Calibri Light" w:hAnsi="Calibri Light" w:cs="Calibri Light"/>
          <w:b/>
          <w:sz w:val="28"/>
          <w:szCs w:val="28"/>
        </w:rPr>
        <w:t>(RAF)</w:t>
      </w:r>
    </w:p>
    <w:p w14:paraId="1ACFA42F" w14:textId="69B2E9C4" w:rsidR="00B84BFC" w:rsidRPr="00377F9E" w:rsidRDefault="00B84BFC" w:rsidP="00377F9E">
      <w:pPr>
        <w:spacing w:before="0" w:after="160"/>
      </w:pPr>
      <w:r w:rsidRPr="00377F9E">
        <w:t>The RAF is a $2 billion fund dedicated to accelerating the delivery of critical trunk and essential infrastructure, which is fundamental to activating new residential developments. The RAF will be delivered over four years from 1 July 2025, with 50</w:t>
      </w:r>
      <w:r w:rsidR="004E1957">
        <w:t xml:space="preserve"> per cent</w:t>
      </w:r>
      <w:r w:rsidRPr="00377F9E">
        <w:t xml:space="preserve"> of the funds invested outside of South East Queensland (SEQ). The types of infrastructure funded under the RAF may include power supply and connections, water supply, sewerage, stormwater, and transport. </w:t>
      </w:r>
    </w:p>
    <w:p w14:paraId="27BCB0A8" w14:textId="1B208FD7" w:rsidR="008968A1" w:rsidRPr="00377F9E" w:rsidRDefault="00B84BFC" w:rsidP="00377F9E">
      <w:pPr>
        <w:spacing w:before="0" w:after="160"/>
      </w:pPr>
      <w:r w:rsidRPr="00377F9E">
        <w:t>Program Guidelines for Round 1 were published on 21 March 2025 and Round 1 applications closed on 23 May 2025.  </w:t>
      </w:r>
      <w:r w:rsidR="008968A1">
        <w:t xml:space="preserve">Due to the significant number of applications received for Round 1, the original allocated funding of $500 million was double to $1 billion in the recent 2025/26 Budget. 34 projects have been announced to date, unlocking 46,800 homes. </w:t>
      </w:r>
    </w:p>
    <w:p w14:paraId="25C452F6" w14:textId="5C228286" w:rsidR="009602A9" w:rsidRPr="008968A1" w:rsidRDefault="0008256D" w:rsidP="008968A1">
      <w:pPr>
        <w:spacing w:before="0" w:after="160" w:line="259" w:lineRule="auto"/>
        <w:rPr>
          <w:rFonts w:ascii="Calibri Light" w:hAnsi="Calibri Light" w:cs="Arial"/>
          <w:b/>
          <w:kern w:val="32"/>
          <w:sz w:val="28"/>
          <w:szCs w:val="26"/>
        </w:rPr>
      </w:pPr>
      <w:r>
        <w:rPr>
          <w:rFonts w:ascii="Calibri Light" w:hAnsi="Calibri Light" w:cs="Arial"/>
          <w:b/>
          <w:kern w:val="32"/>
          <w:sz w:val="28"/>
          <w:szCs w:val="26"/>
        </w:rPr>
        <w:br w:type="page"/>
      </w:r>
      <w:r w:rsidR="009602A9" w:rsidRPr="00AF3CCF">
        <w:rPr>
          <w:rFonts w:ascii="Calibri Light" w:hAnsi="Calibri Light" w:cs="Calibri Light"/>
          <w:b/>
          <w:sz w:val="28"/>
          <w:szCs w:val="28"/>
        </w:rPr>
        <w:lastRenderedPageBreak/>
        <w:t xml:space="preserve">Incentivising </w:t>
      </w:r>
      <w:r w:rsidR="009602A9" w:rsidRPr="00CF1B0D">
        <w:rPr>
          <w:rFonts w:ascii="Calibri Light" w:hAnsi="Calibri Light" w:cs="Calibri Light"/>
          <w:b/>
          <w:sz w:val="28"/>
          <w:szCs w:val="28"/>
        </w:rPr>
        <w:t>Infill</w:t>
      </w:r>
      <w:r w:rsidR="009602A9" w:rsidRPr="00AF3CCF">
        <w:rPr>
          <w:rFonts w:ascii="Calibri Light" w:hAnsi="Calibri Light" w:cs="Calibri Light"/>
          <w:b/>
          <w:sz w:val="28"/>
          <w:szCs w:val="28"/>
        </w:rPr>
        <w:t xml:space="preserve"> Development Fund </w:t>
      </w:r>
    </w:p>
    <w:p w14:paraId="226446C8" w14:textId="4F0C5530" w:rsidR="009602A9" w:rsidRPr="00216C1F" w:rsidRDefault="009602A9" w:rsidP="009602A9">
      <w:r w:rsidRPr="00216C1F">
        <w:t>The $350 million Incentivising Infill Development Fund (</w:t>
      </w:r>
      <w:r w:rsidR="00236D16">
        <w:t xml:space="preserve">the </w:t>
      </w:r>
      <w:r w:rsidRPr="00216C1F">
        <w:t>Fund) is designed to improve the financial viability of residential developments that promote increased housing density and diversity in underutilised areas with existing services and infrastructure. The Fund offers targeted support with relief from infrastructure charges and development assessment fees.</w:t>
      </w:r>
    </w:p>
    <w:p w14:paraId="7BFC345B" w14:textId="60C69569" w:rsidR="009602A9" w:rsidRPr="00216C1F" w:rsidRDefault="009602A9" w:rsidP="00CF1B0D">
      <w:pPr>
        <w:ind w:right="-144"/>
      </w:pPr>
      <w:r w:rsidRPr="00216C1F">
        <w:t xml:space="preserve">The Fund opened on 10 June 2024 and was closed after significant interest on 27 June 2024, when funding sought by the lodged applications exceeded the available $350 million allocation </w:t>
      </w:r>
      <w:r w:rsidR="0008256D">
        <w:t>(</w:t>
      </w:r>
      <w:r w:rsidRPr="00216C1F">
        <w:t>applications reached $350.54 million).</w:t>
      </w:r>
    </w:p>
    <w:p w14:paraId="15716EC3" w14:textId="77777777" w:rsidR="009602A9" w:rsidRPr="00216C1F" w:rsidRDefault="009602A9" w:rsidP="00CF1B0D">
      <w:pPr>
        <w:spacing w:before="0" w:after="160" w:line="259" w:lineRule="auto"/>
        <w:ind w:right="-144"/>
      </w:pPr>
      <w:r w:rsidRPr="00216C1F">
        <w:t>162 applications were approved under the fund, representing an estimated $225 million, fast-tracking the delivery of approximately 10,000 new homes.</w:t>
      </w:r>
    </w:p>
    <w:p w14:paraId="50967DC7" w14:textId="11A78189" w:rsidR="00EC6BAC" w:rsidRPr="004F2684" w:rsidRDefault="009602A9" w:rsidP="009602A9">
      <w:pPr>
        <w:spacing w:before="0" w:after="160" w:line="259" w:lineRule="auto"/>
      </w:pPr>
      <w:r w:rsidRPr="004F2684">
        <w:t xml:space="preserve">As </w:t>
      </w:r>
      <w:r w:rsidR="00046F89" w:rsidRPr="004F2684">
        <w:t>of</w:t>
      </w:r>
      <w:r w:rsidRPr="004F2684">
        <w:t xml:space="preserve"> </w:t>
      </w:r>
      <w:r w:rsidR="00EC6BAC" w:rsidRPr="004F2684">
        <w:t>28 May</w:t>
      </w:r>
      <w:r w:rsidRPr="004F2684">
        <w:t xml:space="preserve"> 2025, </w:t>
      </w:r>
      <w:r w:rsidR="00EC6BAC" w:rsidRPr="004F2684">
        <w:t>100</w:t>
      </w:r>
      <w:r w:rsidRPr="004F2684">
        <w:t xml:space="preserve"> funding agreements have been executed.</w:t>
      </w:r>
    </w:p>
    <w:p w14:paraId="638AAEC9" w14:textId="77777777" w:rsidR="003F598C" w:rsidRPr="00216C1F" w:rsidRDefault="003F598C" w:rsidP="00AF3CCF">
      <w:pPr>
        <w:spacing w:before="0"/>
        <w:rPr>
          <w:rFonts w:ascii="Calibri Light" w:hAnsi="Calibri Light" w:cs="Arial"/>
          <w:b/>
          <w:kern w:val="32"/>
          <w:sz w:val="28"/>
          <w:szCs w:val="26"/>
        </w:rPr>
      </w:pPr>
      <w:r w:rsidRPr="004F2684">
        <w:rPr>
          <w:b/>
          <w:bCs/>
        </w:rPr>
        <w:t>Also see:</w:t>
      </w:r>
      <w:r w:rsidRPr="004F2684">
        <w:t xml:space="preserve"> Measure 6 - Incentivising Infill Development Fund</w:t>
      </w:r>
      <w:r w:rsidRPr="00216C1F">
        <w:rPr>
          <w:rFonts w:ascii="Calibri Light" w:hAnsi="Calibri Light" w:cs="Arial"/>
          <w:b/>
          <w:kern w:val="32"/>
          <w:sz w:val="28"/>
          <w:szCs w:val="26"/>
        </w:rPr>
        <w:t xml:space="preserve"> </w:t>
      </w:r>
    </w:p>
    <w:p w14:paraId="4291A439" w14:textId="03DD9A80" w:rsidR="00C91F96" w:rsidRPr="00AF3CCF" w:rsidRDefault="009602A9" w:rsidP="00AF3CCF">
      <w:pPr>
        <w:spacing w:before="0" w:after="160"/>
        <w:rPr>
          <w:rFonts w:ascii="Calibri Light" w:hAnsi="Calibri Light" w:cs="Calibri Light"/>
          <w:b/>
          <w:bCs/>
          <w:sz w:val="28"/>
          <w:szCs w:val="28"/>
        </w:rPr>
      </w:pPr>
      <w:r w:rsidRPr="00AF3CCF">
        <w:rPr>
          <w:rFonts w:ascii="Calibri Light" w:hAnsi="Calibri Light" w:cs="Calibri Light"/>
          <w:b/>
          <w:bCs/>
          <w:sz w:val="28"/>
          <w:szCs w:val="28"/>
        </w:rPr>
        <w:t xml:space="preserve">Land acquisition and infrastructure delivery </w:t>
      </w:r>
    </w:p>
    <w:p w14:paraId="04FF8E1C" w14:textId="38660857" w:rsidR="009602A9" w:rsidRPr="00C91F96" w:rsidRDefault="008170F9" w:rsidP="00E7785E">
      <w:r w:rsidRPr="00C91F96">
        <w:t>HAAPOLA</w:t>
      </w:r>
      <w:r w:rsidR="009602A9" w:rsidRPr="00C91F96">
        <w:t xml:space="preserve"> established the authority for the Queensland Government to acquire land or an easement, or to create a new easement, to deliver development infrastructure under the Planning Act. These powers enable the Queensland Government to acquire land, even when there is a benefit for private entities such as developers or landowners. Consequently, the Queensland Government can procure land and/or create easements for critical infrastructure, such as water, transport, parks, and community facilities, to facilitate timely development in support of </w:t>
      </w:r>
      <w:r w:rsidR="00236D16">
        <w:t>L</w:t>
      </w:r>
      <w:r w:rsidRPr="00C91F96">
        <w:t xml:space="preserve">ocal </w:t>
      </w:r>
      <w:r w:rsidR="00236D16">
        <w:t>G</w:t>
      </w:r>
      <w:r w:rsidRPr="00C91F96">
        <w:t>overnments</w:t>
      </w:r>
      <w:r w:rsidR="009602A9" w:rsidRPr="00C91F96">
        <w:t>.</w:t>
      </w:r>
    </w:p>
    <w:p w14:paraId="5AFB7235" w14:textId="44CDA9DA" w:rsidR="009602A9" w:rsidRPr="00C91F96" w:rsidRDefault="00F67D1E" w:rsidP="00E7785E">
      <w:r>
        <w:t>DSDIP</w:t>
      </w:r>
      <w:r w:rsidR="009602A9" w:rsidRPr="00C91F96">
        <w:t xml:space="preserve">, in partnership with </w:t>
      </w:r>
      <w:r w:rsidR="008170F9" w:rsidRPr="00C91F96">
        <w:t>local government</w:t>
      </w:r>
      <w:r w:rsidR="009602A9" w:rsidRPr="00C91F96">
        <w:t xml:space="preserve">, has identified a portfolio of sites where it can support land acquisition and fund vital infrastructure to facilitate development fronts. </w:t>
      </w:r>
    </w:p>
    <w:p w14:paraId="7B593145" w14:textId="709F0599" w:rsidR="009602A9" w:rsidRDefault="009602A9" w:rsidP="00E7785E">
      <w:r w:rsidRPr="00C91F96">
        <w:t>Two pilot projects</w:t>
      </w:r>
      <w:r w:rsidR="00B61B17" w:rsidRPr="00C91F96">
        <w:t xml:space="preserve">, located in Pallara, Brisbane </w:t>
      </w:r>
      <w:r w:rsidR="00377F9E" w:rsidRPr="00C91F96">
        <w:t xml:space="preserve">City Council </w:t>
      </w:r>
      <w:r w:rsidR="005B3214">
        <w:t>LGA</w:t>
      </w:r>
      <w:r w:rsidR="00377F9E" w:rsidRPr="00C91F96">
        <w:t xml:space="preserve"> </w:t>
      </w:r>
      <w:r w:rsidR="00B61B17" w:rsidRPr="00C91F96">
        <w:t>and Logan Reserve, Logan</w:t>
      </w:r>
      <w:r w:rsidR="00377F9E" w:rsidRPr="00C91F96">
        <w:t xml:space="preserve"> City Council </w:t>
      </w:r>
      <w:r w:rsidR="005B3214">
        <w:t>LGA</w:t>
      </w:r>
      <w:r w:rsidR="00B61B17" w:rsidRPr="00C91F96">
        <w:t>,</w:t>
      </w:r>
      <w:r w:rsidRPr="00C91F96">
        <w:t xml:space="preserve"> are currently being pursued by </w:t>
      </w:r>
      <w:r w:rsidR="00F67D1E">
        <w:t>DSDIP</w:t>
      </w:r>
      <w:r w:rsidRPr="00C91F96">
        <w:t xml:space="preserve"> that will facilitate the construction of stormwater and sewerage connections. These projects have the potential to unlock 950 new homes. Should these pilot projects prove successful, </w:t>
      </w:r>
      <w:r w:rsidR="00236D16">
        <w:t>DSDIP</w:t>
      </w:r>
      <w:r w:rsidRPr="00C91F96">
        <w:t xml:space="preserve"> has identified additional sites that could help unlock the potential delivery of a further 2,000 homes across multiple </w:t>
      </w:r>
      <w:r w:rsidR="005B3214">
        <w:t>LGA</w:t>
      </w:r>
      <w:r w:rsidRPr="00C91F96">
        <w:t xml:space="preserve">s in SEQ. </w:t>
      </w:r>
    </w:p>
    <w:p w14:paraId="10B3CD31" w14:textId="0D6152A4" w:rsidR="009F6DF6" w:rsidRPr="00CF1B0D" w:rsidRDefault="009F6DF6" w:rsidP="009F6DF6">
      <w:pPr>
        <w:pStyle w:val="Heading4"/>
        <w:rPr>
          <w:rStyle w:val="Strong"/>
          <w:b/>
          <w:bCs w:val="0"/>
        </w:rPr>
      </w:pPr>
      <w:r w:rsidRPr="004F2684">
        <w:rPr>
          <w:rStyle w:val="Strong"/>
          <w:b/>
          <w:bCs w:val="0"/>
        </w:rPr>
        <w:t>New PDAs</w:t>
      </w:r>
    </w:p>
    <w:p w14:paraId="7D056446" w14:textId="65AD8A3A" w:rsidR="009F6DF6" w:rsidRDefault="009F6DF6" w:rsidP="009F6DF6">
      <w:pPr>
        <w:rPr>
          <w:rFonts w:ascii="Calibri" w:hAnsi="Calibri" w:cs="Calibri"/>
        </w:rPr>
      </w:pPr>
      <w:r w:rsidRPr="004F2684">
        <w:rPr>
          <w:rFonts w:ascii="Calibri" w:hAnsi="Calibri" w:cs="Calibri"/>
        </w:rPr>
        <w:t>The Southern Thornlands PDA was declared on 4 April 2025 and includes approximately 890 hectares of land enabling 8,000 homes for approximately 20,000 people in the Redland LGA. An ILUP, that includes an Early Release Area for 800-900 homes, and IFF are currently in effect. Public notification of the proposed Development Scheme is expected in February 2026.</w:t>
      </w:r>
    </w:p>
    <w:p w14:paraId="334FAECE" w14:textId="7B91C4EB" w:rsidR="004F5942" w:rsidRPr="004F2684" w:rsidRDefault="004F5942" w:rsidP="009F6DF6">
      <w:pPr>
        <w:rPr>
          <w:rFonts w:ascii="Calibri" w:hAnsi="Calibri" w:cs="Calibri"/>
        </w:rPr>
      </w:pPr>
      <w:r>
        <w:rPr>
          <w:rFonts w:ascii="Calibri" w:hAnsi="Calibri" w:cs="Calibri"/>
        </w:rPr>
        <w:t xml:space="preserve">The North Harbour and Mount Peter PDAs in Burpengary East and Southern Cairns respectively were also declared on 30 July 2025, unlocking at least 22,200 homes in important growth areas across the State.  </w:t>
      </w:r>
    </w:p>
    <w:p w14:paraId="07007EB4" w14:textId="77777777" w:rsidR="00AF3CCF" w:rsidRPr="00AF3CCF" w:rsidRDefault="00AF3CCF" w:rsidP="00AF3CCF">
      <w:pPr>
        <w:pStyle w:val="Heading4"/>
        <w:rPr>
          <w:rStyle w:val="Strong"/>
          <w:b/>
          <w:bCs w:val="0"/>
        </w:rPr>
      </w:pPr>
      <w:r w:rsidRPr="00AF3CCF">
        <w:rPr>
          <w:rStyle w:val="Strong"/>
          <w:b/>
          <w:bCs w:val="0"/>
        </w:rPr>
        <w:t>Catalyst Infrastructure Fund (CIF)</w:t>
      </w:r>
    </w:p>
    <w:p w14:paraId="3909671A" w14:textId="5177A507" w:rsidR="00AF3CCF" w:rsidRDefault="00AF3CCF" w:rsidP="00AF3CCF">
      <w:r w:rsidRPr="00AF3CCF">
        <w:t xml:space="preserve">The CIF was established in 2022 by the Queensland Government and provided $171.2 million in funding to help unlock land for housing in areas experiencing growth pressures. This investment is expected to unlock 59,000 residential lots in PDAs, supporting the construction of essential infrastructure such as trunk roads and water and sewerage systems. The CIF funds are repayable loans provided on a co-funding basis whereby the developer must contribute a minimum 50 per cent of the cost of the agreed infrastructure with their own funds.  </w:t>
      </w:r>
    </w:p>
    <w:p w14:paraId="03E36D8C" w14:textId="0649A49A" w:rsidR="004F5942" w:rsidRPr="00AF3CCF" w:rsidRDefault="004F5942" w:rsidP="00AF3CCF">
      <w:r>
        <w:t xml:space="preserve">The recent 2025/26 Budget has allocated $151.9m over the next four years to continue the delivery of the Catalyst Infrastructure Fund. </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20" w:name="_Toc168064964"/>
            <w:bookmarkStart w:id="21" w:name="_Toc168065275"/>
            <w:bookmarkStart w:id="22" w:name="_Toc178667459"/>
            <w:bookmarkStart w:id="23" w:name="_Toc201835782"/>
            <w:r>
              <w:rPr>
                <w:lang w:eastAsia="en-US"/>
              </w:rPr>
              <w:t>Measure 4</w:t>
            </w:r>
            <w:bookmarkEnd w:id="20"/>
            <w:bookmarkEnd w:id="21"/>
            <w:bookmarkEnd w:id="22"/>
            <w:bookmarkEnd w:id="23"/>
          </w:p>
          <w:p w14:paraId="6678853F" w14:textId="0FA84CB4" w:rsidR="005455D8" w:rsidRDefault="005455D8" w:rsidP="005455D8">
            <w:pPr>
              <w:pStyle w:val="Boxbullet"/>
              <w:numPr>
                <w:ilvl w:val="0"/>
                <w:numId w:val="0"/>
              </w:numPr>
            </w:pPr>
            <w:r w:rsidRPr="00694BF4">
              <w:rPr>
                <w:sz w:val="24"/>
                <w:szCs w:val="24"/>
              </w:rPr>
              <w:t xml:space="preserve">Planning Ministers will identify well-located ‘development ready’ land before </w:t>
            </w:r>
            <w:r w:rsidR="00C90FA9">
              <w:rPr>
                <w:sz w:val="24"/>
                <w:szCs w:val="24"/>
              </w:rPr>
              <w:br/>
            </w:r>
            <w:r w:rsidRPr="00694BF4">
              <w:rPr>
                <w:sz w:val="24"/>
                <w:szCs w:val="24"/>
              </w:rPr>
              <w:t>1 March 2024, having appropriate regard to the protection of land with key attributes e.g. environmental or economic.</w:t>
            </w:r>
          </w:p>
        </w:tc>
      </w:tr>
    </w:tbl>
    <w:p w14:paraId="54FE259A" w14:textId="77777777" w:rsidR="00A07CC6" w:rsidRDefault="00A07CC6" w:rsidP="00A07CC6">
      <w:pPr>
        <w:pStyle w:val="Heading2"/>
      </w:pPr>
      <w:bookmarkStart w:id="24" w:name="_Toc160799704"/>
      <w:bookmarkStart w:id="25" w:name="_Toc168064965"/>
      <w:bookmarkStart w:id="26" w:name="_Toc168065276"/>
      <w:bookmarkStart w:id="27" w:name="_Toc178667460"/>
      <w:bookmarkStart w:id="28" w:name="_Toc201835783"/>
      <w:r>
        <w:t>Key findings from a development ready land stocktake</w:t>
      </w:r>
      <w:r w:rsidRPr="005D0B86">
        <w:rPr>
          <w:szCs w:val="40"/>
          <w:vertAlign w:val="superscript"/>
        </w:rPr>
        <w:footnoteReference w:id="2"/>
      </w:r>
      <w:bookmarkEnd w:id="24"/>
      <w:bookmarkEnd w:id="25"/>
      <w:bookmarkEnd w:id="26"/>
      <w:bookmarkEnd w:id="27"/>
      <w:bookmarkEnd w:id="28"/>
    </w:p>
    <w:p w14:paraId="5A46EAE8" w14:textId="77777777" w:rsidR="00736B50" w:rsidRDefault="00736B50" w:rsidP="00736B50">
      <w:pPr>
        <w:pStyle w:val="Heading4"/>
      </w:pPr>
      <w:r>
        <w:t>Existing PDAs</w:t>
      </w:r>
    </w:p>
    <w:p w14:paraId="40E76F42" w14:textId="77777777" w:rsidR="001C1B84" w:rsidRPr="001C1B84" w:rsidRDefault="001C1B84" w:rsidP="001C1B84">
      <w:pPr>
        <w:pStyle w:val="Default"/>
        <w:rPr>
          <w:rFonts w:ascii="Calibri" w:hAnsi="Calibri" w:cs="Calibri"/>
          <w:sz w:val="22"/>
          <w:szCs w:val="22"/>
        </w:rPr>
      </w:pPr>
      <w:r w:rsidRPr="001C1B84">
        <w:rPr>
          <w:rFonts w:ascii="Calibri" w:hAnsi="Calibri" w:cs="Calibri"/>
          <w:sz w:val="22"/>
          <w:szCs w:val="22"/>
        </w:rPr>
        <w:t xml:space="preserve">The Queensland Government will continue to release appropriate ‘development-ready’ land within existing PDAs: </w:t>
      </w:r>
    </w:p>
    <w:p w14:paraId="09A40907" w14:textId="2CDEBC9F" w:rsidR="001C1B84" w:rsidRPr="001C1B84" w:rsidRDefault="001C1B84" w:rsidP="00CF1B0D">
      <w:pPr>
        <w:pStyle w:val="Default"/>
        <w:numPr>
          <w:ilvl w:val="0"/>
          <w:numId w:val="26"/>
        </w:numPr>
        <w:ind w:left="360"/>
        <w:jc w:val="both"/>
        <w:rPr>
          <w:rFonts w:ascii="Calibri" w:hAnsi="Calibri" w:cs="Calibri"/>
          <w:color w:val="auto"/>
          <w:sz w:val="22"/>
          <w:szCs w:val="22"/>
        </w:rPr>
      </w:pPr>
      <w:r w:rsidRPr="001C1B84">
        <w:rPr>
          <w:rFonts w:ascii="Calibri" w:hAnsi="Calibri" w:cs="Calibri"/>
          <w:color w:val="auto"/>
          <w:sz w:val="22"/>
          <w:szCs w:val="22"/>
        </w:rPr>
        <w:t xml:space="preserve">Sunshine Coast Council – Caloundra South PDA, 2,323.5 hectares, 20,000 dwellings. </w:t>
      </w:r>
    </w:p>
    <w:p w14:paraId="74FB010B" w14:textId="36B97075" w:rsidR="001C1B84" w:rsidRPr="001C1B84" w:rsidRDefault="001C1B84" w:rsidP="00CF1B0D">
      <w:pPr>
        <w:pStyle w:val="Default"/>
        <w:numPr>
          <w:ilvl w:val="0"/>
          <w:numId w:val="26"/>
        </w:numPr>
        <w:ind w:left="360"/>
        <w:jc w:val="both"/>
        <w:rPr>
          <w:rFonts w:ascii="Calibri" w:hAnsi="Calibri" w:cs="Calibri"/>
          <w:color w:val="auto"/>
          <w:sz w:val="22"/>
          <w:szCs w:val="22"/>
        </w:rPr>
      </w:pPr>
      <w:r w:rsidRPr="001C1B84">
        <w:rPr>
          <w:rFonts w:ascii="Calibri" w:hAnsi="Calibri" w:cs="Calibri"/>
          <w:color w:val="auto"/>
          <w:sz w:val="22"/>
          <w:szCs w:val="22"/>
        </w:rPr>
        <w:t xml:space="preserve">Logan City Council – Greater Flagstone PDA, 7,188 hectares, 51,500 dwellings. </w:t>
      </w:r>
    </w:p>
    <w:p w14:paraId="5C640957" w14:textId="031C13FF" w:rsidR="001C1B84" w:rsidRPr="001C1B84" w:rsidRDefault="001C1B84" w:rsidP="00CF1B0D">
      <w:pPr>
        <w:pStyle w:val="Default"/>
        <w:numPr>
          <w:ilvl w:val="0"/>
          <w:numId w:val="26"/>
        </w:numPr>
        <w:ind w:left="360"/>
        <w:jc w:val="both"/>
        <w:rPr>
          <w:rFonts w:ascii="Calibri" w:hAnsi="Calibri" w:cs="Calibri"/>
          <w:color w:val="auto"/>
          <w:sz w:val="22"/>
          <w:szCs w:val="22"/>
        </w:rPr>
      </w:pPr>
      <w:r w:rsidRPr="001C1B84">
        <w:rPr>
          <w:rFonts w:ascii="Calibri" w:hAnsi="Calibri" w:cs="Calibri"/>
          <w:color w:val="auto"/>
          <w:sz w:val="22"/>
          <w:szCs w:val="22"/>
        </w:rPr>
        <w:t xml:space="preserve">Logan City Council – Yarrabilba PDA, 2,222 hectares, 20,000 dwellings. </w:t>
      </w:r>
    </w:p>
    <w:p w14:paraId="04C742AC" w14:textId="77777777" w:rsidR="001C1B84" w:rsidRPr="001C1B84" w:rsidRDefault="001C1B84" w:rsidP="00CF1B0D">
      <w:pPr>
        <w:pStyle w:val="Default"/>
        <w:numPr>
          <w:ilvl w:val="0"/>
          <w:numId w:val="25"/>
        </w:numPr>
        <w:ind w:left="360"/>
        <w:jc w:val="both"/>
        <w:rPr>
          <w:rFonts w:ascii="Calibri" w:hAnsi="Calibri" w:cs="Calibri"/>
          <w:color w:val="auto"/>
          <w:sz w:val="22"/>
          <w:szCs w:val="22"/>
        </w:rPr>
      </w:pPr>
      <w:r w:rsidRPr="001C1B84">
        <w:rPr>
          <w:rFonts w:ascii="Calibri" w:hAnsi="Calibri" w:cs="Calibri"/>
          <w:color w:val="auto"/>
          <w:sz w:val="22"/>
          <w:szCs w:val="22"/>
        </w:rPr>
        <w:t>Ipswich City Council – Ripley Valley PDA, 4,680 hectares, 48,750 dwellings.</w:t>
      </w:r>
    </w:p>
    <w:p w14:paraId="40F68B00" w14:textId="72C90370" w:rsidR="0037767E" w:rsidRDefault="00AB4B38" w:rsidP="001C1B84">
      <w:pPr>
        <w:rPr>
          <w:rFonts w:ascii="Calibri" w:eastAsiaTheme="minorEastAsia" w:hAnsi="Calibri" w:cs="Calibri"/>
          <w:lang w:eastAsia="en-US"/>
        </w:rPr>
      </w:pPr>
      <w:r w:rsidRPr="004F2684">
        <w:rPr>
          <w:rFonts w:ascii="Calibri" w:eastAsiaTheme="minorEastAsia" w:hAnsi="Calibri" w:cs="Calibri"/>
          <w:lang w:eastAsia="en-US"/>
        </w:rPr>
        <w:t>Further to the above</w:t>
      </w:r>
      <w:r w:rsidR="0037767E" w:rsidRPr="004F2684">
        <w:rPr>
          <w:rFonts w:ascii="Calibri" w:eastAsiaTheme="minorEastAsia" w:hAnsi="Calibri" w:cs="Calibri"/>
          <w:lang w:eastAsia="en-US"/>
        </w:rPr>
        <w:t xml:space="preserve">, </w:t>
      </w:r>
      <w:r w:rsidR="007B0146" w:rsidRPr="004F2684">
        <w:rPr>
          <w:rFonts w:ascii="Calibri" w:eastAsiaTheme="minorEastAsia" w:hAnsi="Calibri" w:cs="Calibri"/>
          <w:lang w:eastAsia="en-US"/>
        </w:rPr>
        <w:t>t</w:t>
      </w:r>
      <w:r w:rsidRPr="004F2684">
        <w:rPr>
          <w:rFonts w:ascii="Calibri" w:eastAsiaTheme="minorEastAsia" w:hAnsi="Calibri" w:cs="Calibri"/>
          <w:lang w:eastAsia="en-US"/>
        </w:rPr>
        <w:t>he Waraba PDA was declared on 2 August 2024 and includes approximately 2,900 hectares of land enabling 30,000 homes for approximately 70,000 people in the</w:t>
      </w:r>
      <w:r w:rsidR="0037767E" w:rsidRPr="004F2684">
        <w:rPr>
          <w:rFonts w:ascii="Calibri" w:eastAsiaTheme="minorEastAsia" w:hAnsi="Calibri" w:cs="Calibri"/>
          <w:lang w:eastAsia="en-US"/>
        </w:rPr>
        <w:t xml:space="preserve"> Moreton Bay</w:t>
      </w:r>
      <w:r w:rsidR="00A15343" w:rsidRPr="004F2684">
        <w:rPr>
          <w:rFonts w:ascii="Calibri" w:eastAsiaTheme="minorEastAsia" w:hAnsi="Calibri" w:cs="Calibri"/>
          <w:lang w:eastAsia="en-US"/>
        </w:rPr>
        <w:t xml:space="preserve"> </w:t>
      </w:r>
      <w:r w:rsidRPr="004F2684">
        <w:rPr>
          <w:rFonts w:ascii="Calibri" w:eastAsiaTheme="minorEastAsia" w:hAnsi="Calibri" w:cs="Calibri"/>
          <w:lang w:eastAsia="en-US"/>
        </w:rPr>
        <w:t>LGA.</w:t>
      </w:r>
      <w:r w:rsidRPr="00AB4B38">
        <w:rPr>
          <w:rFonts w:ascii="Calibri" w:eastAsiaTheme="minorEastAsia" w:hAnsi="Calibri" w:cs="Calibri"/>
          <w:lang w:eastAsia="en-US"/>
        </w:rPr>
        <w:t xml:space="preserve"> </w:t>
      </w:r>
    </w:p>
    <w:p w14:paraId="6B5581D2" w14:textId="21AD2E4B" w:rsidR="001C1B84" w:rsidRDefault="0037767E" w:rsidP="001C1B84">
      <w:pPr>
        <w:rPr>
          <w:rFonts w:ascii="Calibri" w:hAnsi="Calibri" w:cs="Calibri"/>
        </w:rPr>
      </w:pPr>
      <w:r>
        <w:rPr>
          <w:rFonts w:ascii="Calibri" w:eastAsiaTheme="minorEastAsia" w:hAnsi="Calibri" w:cs="Calibri"/>
          <w:lang w:eastAsia="en-US"/>
        </w:rPr>
        <w:t>As</w:t>
      </w:r>
      <w:r w:rsidR="001C1B84" w:rsidRPr="001C1B84">
        <w:rPr>
          <w:rFonts w:ascii="Calibri" w:eastAsiaTheme="minorEastAsia" w:hAnsi="Calibri" w:cs="Calibri"/>
          <w:lang w:eastAsia="en-US"/>
        </w:rPr>
        <w:t xml:space="preserve"> identified under Measure 2,</w:t>
      </w:r>
      <w:r>
        <w:rPr>
          <w:rFonts w:ascii="Calibri" w:eastAsiaTheme="minorEastAsia" w:hAnsi="Calibri" w:cs="Calibri"/>
          <w:lang w:eastAsia="en-US"/>
        </w:rPr>
        <w:t xml:space="preserve"> t</w:t>
      </w:r>
      <w:r w:rsidR="001C1B84" w:rsidRPr="001C1B84">
        <w:rPr>
          <w:rFonts w:ascii="Calibri" w:eastAsiaTheme="minorEastAsia" w:hAnsi="Calibri" w:cs="Calibri"/>
          <w:lang w:eastAsia="en-US"/>
        </w:rPr>
        <w:t>he</w:t>
      </w:r>
      <w:r w:rsidR="001C1B84" w:rsidRPr="001C1B84">
        <w:rPr>
          <w:rFonts w:ascii="Calibri" w:hAnsi="Calibri" w:cs="Calibri"/>
        </w:rPr>
        <w:t xml:space="preserve"> Southern Thornlands PDA includes approximately 890 hectares of land in the Redland LGA, including an Early Release Area for 800-900 homes.</w:t>
      </w:r>
    </w:p>
    <w:p w14:paraId="37A9CA10" w14:textId="705B7444" w:rsidR="009F6DF6" w:rsidRPr="004F2684" w:rsidRDefault="001C2AA0" w:rsidP="001C1B84">
      <w:pPr>
        <w:rPr>
          <w:rFonts w:ascii="Calibri Light" w:hAnsi="Calibri Light" w:cs="Calibri Light"/>
          <w:b/>
          <w:bCs/>
          <w:sz w:val="28"/>
          <w:szCs w:val="28"/>
        </w:rPr>
      </w:pPr>
      <w:r w:rsidRPr="004F2684">
        <w:rPr>
          <w:rFonts w:ascii="Calibri Light" w:hAnsi="Calibri Light" w:cs="Calibri Light"/>
          <w:b/>
          <w:bCs/>
          <w:sz w:val="28"/>
          <w:szCs w:val="28"/>
        </w:rPr>
        <w:t xml:space="preserve">Review of </w:t>
      </w:r>
      <w:r w:rsidR="009F6DF6" w:rsidRPr="004F2684">
        <w:rPr>
          <w:rFonts w:ascii="Calibri Light" w:hAnsi="Calibri Light" w:cs="Calibri Light"/>
          <w:b/>
          <w:bCs/>
          <w:sz w:val="28"/>
          <w:szCs w:val="28"/>
        </w:rPr>
        <w:t xml:space="preserve">Regional </w:t>
      </w:r>
      <w:r w:rsidRPr="004F2684">
        <w:rPr>
          <w:rFonts w:ascii="Calibri Light" w:hAnsi="Calibri Light" w:cs="Calibri Light"/>
          <w:b/>
          <w:bCs/>
          <w:sz w:val="28"/>
          <w:szCs w:val="28"/>
        </w:rPr>
        <w:t>Pl</w:t>
      </w:r>
      <w:r w:rsidR="009F6DF6" w:rsidRPr="004F2684">
        <w:rPr>
          <w:rFonts w:ascii="Calibri Light" w:hAnsi="Calibri Light" w:cs="Calibri Light"/>
          <w:b/>
          <w:bCs/>
          <w:sz w:val="28"/>
          <w:szCs w:val="28"/>
        </w:rPr>
        <w:t>ans</w:t>
      </w:r>
    </w:p>
    <w:p w14:paraId="6DEBB14B" w14:textId="7A308D02" w:rsidR="007B0146" w:rsidRDefault="00350A08" w:rsidP="009F6DF6">
      <w:pPr>
        <w:rPr>
          <w:rFonts w:ascii="Calibri" w:eastAsia="Calibri" w:hAnsi="Calibri" w:cs="Calibri"/>
          <w:szCs w:val="22"/>
        </w:rPr>
      </w:pPr>
      <w:r w:rsidRPr="004F2684">
        <w:t>In addition to developing new regional plans as</w:t>
      </w:r>
      <w:r w:rsidR="001C2AA0" w:rsidRPr="004F2684">
        <w:t xml:space="preserve"> identified under Measure 2, the Queensland Government is committed to review all 13 regional plans currently in place across Queensland</w:t>
      </w:r>
      <w:r w:rsidR="007B0146" w:rsidRPr="004F2684">
        <w:t xml:space="preserve">, in conjunction with infrastructure plans that protect the lifestyle of our communities and appropriately cater for growth. </w:t>
      </w:r>
      <w:r w:rsidR="007B0146" w:rsidRPr="004F2684">
        <w:rPr>
          <w:rFonts w:ascii="Calibri" w:eastAsia="Calibri" w:hAnsi="Calibri" w:cs="Calibri"/>
          <w:szCs w:val="22"/>
        </w:rPr>
        <w:t xml:space="preserve"> </w:t>
      </w:r>
    </w:p>
    <w:p w14:paraId="709A6F42" w14:textId="5E27FF2B" w:rsidR="004F5942" w:rsidRPr="004F2684" w:rsidRDefault="004F5942" w:rsidP="009F6DF6">
      <w:r>
        <w:rPr>
          <w:rFonts w:ascii="Calibri" w:eastAsia="Calibri" w:hAnsi="Calibri" w:cs="Calibri"/>
          <w:szCs w:val="22"/>
        </w:rPr>
        <w:t xml:space="preserve">To facilitate the delivery of this work, the recent 2025/26 Budget has committed $31.3m to ensure that every regional plan is delivered within this term of Government. </w:t>
      </w:r>
    </w:p>
    <w:p w14:paraId="484B355B" w14:textId="0BD5B496" w:rsidR="001C2AA0" w:rsidRPr="004F2684" w:rsidRDefault="00350A08" w:rsidP="009F6DF6">
      <w:r w:rsidRPr="004F2684">
        <w:t>The Queensland Government will partner with local government when reviewing or developing regional plans, engaging closely with the community, and key industry/sector groups to ensure a balance of interests are considered.</w:t>
      </w:r>
    </w:p>
    <w:p w14:paraId="13A29D5D" w14:textId="39C9BB15" w:rsidR="009F6DF6" w:rsidRPr="007B0146" w:rsidRDefault="001C2AA0" w:rsidP="001C1B84">
      <w:r w:rsidRPr="004F2684">
        <w:rPr>
          <w:b/>
          <w:bCs/>
        </w:rPr>
        <w:t>Also see:</w:t>
      </w:r>
      <w:r w:rsidRPr="004F2684">
        <w:t xml:space="preserve"> Measure 2 – Regional Plans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29" w:name="_Toc168064966"/>
            <w:bookmarkStart w:id="30" w:name="_Toc168065277"/>
            <w:bookmarkStart w:id="31" w:name="_Toc178667461"/>
            <w:bookmarkStart w:id="32" w:name="_Toc201835784"/>
            <w:r w:rsidRPr="005455D8">
              <w:rPr>
                <w:lang w:eastAsia="en-US"/>
              </w:rPr>
              <w:t>Measure 5</w:t>
            </w:r>
            <w:bookmarkEnd w:id="29"/>
            <w:bookmarkEnd w:id="30"/>
            <w:bookmarkEnd w:id="31"/>
            <w:bookmarkEnd w:id="32"/>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6FA18C79" w14:textId="7280DF2F" w:rsidR="00736B50" w:rsidRDefault="00D631C2" w:rsidP="00117239">
      <w:pPr>
        <w:pStyle w:val="Heading2"/>
        <w:spacing w:line="240" w:lineRule="auto"/>
      </w:pPr>
      <w:bookmarkStart w:id="33" w:name="_Toc160799706"/>
      <w:bookmarkStart w:id="34" w:name="_Toc168064968"/>
      <w:bookmarkStart w:id="35" w:name="_Toc168065279"/>
      <w:bookmarkStart w:id="36" w:name="_Toc178667462"/>
      <w:bookmarkStart w:id="37" w:name="_Toc201835785"/>
      <w:r>
        <w:t>Z</w:t>
      </w:r>
      <w:r w:rsidRPr="005455D8">
        <w:t>oning, planning and other amendments</w:t>
      </w:r>
      <w:r>
        <w:t xml:space="preserve"> to support dense</w:t>
      </w:r>
      <w:r w:rsidR="00D86444">
        <w:t>, well</w:t>
      </w:r>
      <w:r w:rsidR="00FD4103">
        <w:t>-</w:t>
      </w:r>
      <w:r w:rsidR="00D86444">
        <w:t>located</w:t>
      </w:r>
      <w:r>
        <w:t xml:space="preserve"> housing</w:t>
      </w:r>
      <w:bookmarkEnd w:id="33"/>
      <w:bookmarkEnd w:id="34"/>
      <w:bookmarkEnd w:id="35"/>
      <w:bookmarkEnd w:id="36"/>
      <w:bookmarkEnd w:id="37"/>
      <w:r w:rsidRPr="005455D8">
        <w:t xml:space="preserve"> </w:t>
      </w:r>
    </w:p>
    <w:p w14:paraId="52D92CC3" w14:textId="77777777" w:rsidR="00857168" w:rsidRPr="004F2684" w:rsidRDefault="00857168" w:rsidP="00857168">
      <w:pPr>
        <w:pStyle w:val="Heading4"/>
      </w:pPr>
      <w:r w:rsidRPr="004F2684">
        <w:t>Streamlining planning scheme amendment process</w:t>
      </w:r>
    </w:p>
    <w:p w14:paraId="6586AF08" w14:textId="5EF25378" w:rsidR="00350A08" w:rsidRPr="004F2684" w:rsidRDefault="00350A08" w:rsidP="00857168">
      <w:r w:rsidRPr="004F2684">
        <w:t xml:space="preserve">As outlined in Measure 2, </w:t>
      </w:r>
      <w:r w:rsidR="007B0146" w:rsidRPr="004F2684">
        <w:t>t</w:t>
      </w:r>
      <w:r w:rsidRPr="004F2684">
        <w:t>he Planning Act</w:t>
      </w:r>
      <w:r w:rsidRPr="004F2684">
        <w:rPr>
          <w:i/>
          <w:iCs/>
        </w:rPr>
        <w:t xml:space="preserve"> </w:t>
      </w:r>
      <w:r w:rsidRPr="004F2684">
        <w:t>allow</w:t>
      </w:r>
      <w:r w:rsidR="007B0146" w:rsidRPr="004F2684">
        <w:t>s</w:t>
      </w:r>
      <w:r w:rsidRPr="004F2684">
        <w:t xml:space="preserve"> Local Governments to establish a customised local planning scheme amendment process in collaboration with the Queensland Government, allowing for shorter assessment and decision timeframes compared to standard processes.</w:t>
      </w:r>
    </w:p>
    <w:p w14:paraId="42576891" w14:textId="0FDDC53A" w:rsidR="007B0146" w:rsidRPr="004F2684" w:rsidRDefault="007B0146" w:rsidP="007B0146">
      <w:r w:rsidRPr="004F2684">
        <w:t xml:space="preserve">The Queensland Government's templates and guidance materials will assist local stakeholders in navigating the expedited planning scheme amendment process. Local Governments are encouraged to leverage this streamlined approach to fast-track amendments that deliver housing supply.  </w:t>
      </w:r>
    </w:p>
    <w:p w14:paraId="2CD2E0AA" w14:textId="37E74036" w:rsidR="00350A08" w:rsidRPr="004F2684" w:rsidRDefault="00350A08" w:rsidP="00857168">
      <w:r w:rsidRPr="004F2684">
        <w:rPr>
          <w:b/>
          <w:bCs/>
        </w:rPr>
        <w:t>Also see</w:t>
      </w:r>
      <w:r w:rsidRPr="004F2684">
        <w:t>: Measure 2 - Streamlining planning scheme amendment process</w:t>
      </w:r>
    </w:p>
    <w:p w14:paraId="44918EB8" w14:textId="7301E845" w:rsidR="00350A08" w:rsidRPr="004F2684" w:rsidRDefault="00350A08" w:rsidP="00350A08">
      <w:pPr>
        <w:pStyle w:val="Heading4"/>
      </w:pPr>
      <w:r w:rsidRPr="004F2684">
        <w:t xml:space="preserve">Scheme Supply Fund </w:t>
      </w:r>
    </w:p>
    <w:p w14:paraId="5FA3247D" w14:textId="358D6033" w:rsidR="00350A08" w:rsidRPr="004F2684" w:rsidRDefault="003428C3" w:rsidP="00857168">
      <w:r w:rsidRPr="004F2684">
        <w:t>As identified under Measure 2, the Queensland Government is providing funding to local governments to support planning scheme improvements for local housing supply.</w:t>
      </w:r>
    </w:p>
    <w:p w14:paraId="6F07DF06" w14:textId="1CF92ADE" w:rsidR="003428C3" w:rsidRPr="004F2684" w:rsidRDefault="006911E2" w:rsidP="00857168">
      <w:r w:rsidRPr="004F2684">
        <w:t>The funding is aimed at assisting Local Governments with investigations and strategic planning activities that will result in improvements through an amendment to a Local Government’s strategic plan or planning scheme, to reduce regulatory barriers and unlock more homes</w:t>
      </w:r>
      <w:r w:rsidR="0037767E" w:rsidRPr="004F2684">
        <w:t xml:space="preserve"> sooner</w:t>
      </w:r>
      <w:r w:rsidRPr="004F2684">
        <w:t>.</w:t>
      </w:r>
    </w:p>
    <w:p w14:paraId="510D8E37" w14:textId="616ED4F3" w:rsidR="003428C3" w:rsidRPr="004F2684" w:rsidRDefault="006911E2" w:rsidP="00857168">
      <w:r w:rsidRPr="004F2684">
        <w:rPr>
          <w:b/>
          <w:bCs/>
        </w:rPr>
        <w:t>Also see</w:t>
      </w:r>
      <w:r w:rsidRPr="004F2684">
        <w:t>: Measure 3 – Scheme Supply Fund</w:t>
      </w:r>
    </w:p>
    <w:p w14:paraId="7083FFFF" w14:textId="00CADA7F" w:rsidR="003428C3" w:rsidRPr="004F2684" w:rsidRDefault="003428C3" w:rsidP="003428C3">
      <w:pPr>
        <w:spacing w:before="0" w:after="0"/>
        <w:rPr>
          <w:rFonts w:ascii="Calibri Light" w:hAnsi="Calibri Light" w:cs="Arial"/>
          <w:b/>
          <w:kern w:val="32"/>
          <w:sz w:val="28"/>
          <w:szCs w:val="26"/>
        </w:rPr>
      </w:pPr>
      <w:r w:rsidRPr="004F2684">
        <w:rPr>
          <w:rFonts w:ascii="Calibri Light" w:hAnsi="Calibri Light" w:cs="Arial"/>
          <w:b/>
          <w:kern w:val="32"/>
          <w:sz w:val="28"/>
          <w:szCs w:val="26"/>
        </w:rPr>
        <w:t xml:space="preserve">Streamlined </w:t>
      </w:r>
      <w:r w:rsidR="00A15343" w:rsidRPr="004F2684">
        <w:rPr>
          <w:rFonts w:ascii="Calibri Light" w:hAnsi="Calibri Light" w:cs="Arial"/>
          <w:b/>
          <w:kern w:val="32"/>
          <w:sz w:val="28"/>
          <w:szCs w:val="26"/>
        </w:rPr>
        <w:t>MID</w:t>
      </w:r>
      <w:r w:rsidRPr="004F2684">
        <w:rPr>
          <w:rFonts w:ascii="Calibri Light" w:hAnsi="Calibri Light" w:cs="Arial"/>
          <w:b/>
          <w:kern w:val="32"/>
          <w:sz w:val="28"/>
          <w:szCs w:val="26"/>
        </w:rPr>
        <w:t xml:space="preserve"> process for Social and Affordable Housing </w:t>
      </w:r>
    </w:p>
    <w:p w14:paraId="20BCFB23" w14:textId="77777777" w:rsidR="003428C3" w:rsidRPr="004F2684" w:rsidRDefault="003428C3" w:rsidP="003428C3">
      <w:pPr>
        <w:spacing w:after="200"/>
      </w:pPr>
      <w:r w:rsidRPr="004F2684">
        <w:t>As identified under Measure 3, the Queensland Government recently enacted changes to the planning framework to unlock church and charity-owned land for vital community housing.</w:t>
      </w:r>
    </w:p>
    <w:p w14:paraId="0CFB2AEF" w14:textId="476BEEEF" w:rsidR="003428C3" w:rsidRPr="004F2684" w:rsidRDefault="003428C3" w:rsidP="003428C3">
      <w:pPr>
        <w:spacing w:before="0" w:after="0"/>
        <w:rPr>
          <w:rFonts w:ascii="Calibri Light" w:hAnsi="Calibri Light" w:cs="Arial"/>
          <w:b/>
          <w:kern w:val="32"/>
          <w:sz w:val="28"/>
          <w:szCs w:val="26"/>
        </w:rPr>
      </w:pPr>
      <w:r w:rsidRPr="004F2684">
        <w:t>One key aspect of these changes was to introduce new streamlined MID assessment option for social and affordable housing</w:t>
      </w:r>
      <w:r w:rsidR="00A15343" w:rsidRPr="004F2684">
        <w:t>,</w:t>
      </w:r>
      <w:r w:rsidRPr="004F2684">
        <w:t xml:space="preserve"> where undertaken by not-for-profit and charitable organisations. </w:t>
      </w:r>
    </w:p>
    <w:p w14:paraId="1AAAD5AA" w14:textId="012CF4CF" w:rsidR="003428C3" w:rsidRPr="004F2684" w:rsidRDefault="003428C3" w:rsidP="003428C3">
      <w:r w:rsidRPr="004F2684">
        <w:t xml:space="preserve">The streamlined MID is supported by the </w:t>
      </w:r>
      <w:r w:rsidR="00200DE4" w:rsidRPr="004F2684">
        <w:t>d</w:t>
      </w:r>
      <w:r w:rsidRPr="004F2684">
        <w:t xml:space="preserve">evelopment of new operational guidance for industry which is targeted at reducing technical reporting, improving certainty for community housing proponents, and facilitating a new three-month streamlined assessment timeframe. MID proposals that meet the eligibility criteria, can expect a streamlined assessment and a decision within </w:t>
      </w:r>
      <w:r w:rsidR="00A15343" w:rsidRPr="004F2684">
        <w:br/>
      </w:r>
      <w:r w:rsidRPr="004F2684">
        <w:t>three months of lodgement.</w:t>
      </w:r>
    </w:p>
    <w:p w14:paraId="26D38F22" w14:textId="77777777" w:rsidR="003428C3" w:rsidRPr="004F2684" w:rsidRDefault="003428C3" w:rsidP="003428C3">
      <w:r w:rsidRPr="004F2684">
        <w:t>DSDIP has already received applications for social and affordable housing that have sought to take advantage of the streamlined assessment process. The Planning Minister has approved one social and affordable housing project under the streamlined MID pathway, totalling 58 social housing units.</w:t>
      </w:r>
    </w:p>
    <w:p w14:paraId="644A3A84" w14:textId="6A840C5B" w:rsidR="00857168" w:rsidRPr="004F2684" w:rsidRDefault="003428C3" w:rsidP="00822976">
      <w:r w:rsidRPr="004F2684">
        <w:t xml:space="preserve">As of 2 May 2025, 12 more social and affordable housing projects are under assessment in various locations, including Gladstone, Gold Coast, Toowoomba, Townsville, Brisbane and Logan. If approved, these projects will provide a total of 505 units. </w:t>
      </w:r>
    </w:p>
    <w:p w14:paraId="3531D65C" w14:textId="3790759C" w:rsidR="00822976" w:rsidRPr="00822976" w:rsidRDefault="00822976" w:rsidP="00822976">
      <w:pPr>
        <w:spacing w:before="0" w:after="0"/>
        <w:rPr>
          <w:rFonts w:ascii="Calibri Light" w:hAnsi="Calibri Light" w:cs="Arial"/>
          <w:b/>
          <w:kern w:val="32"/>
          <w:sz w:val="28"/>
          <w:szCs w:val="26"/>
        </w:rPr>
      </w:pPr>
      <w:r w:rsidRPr="004F2684">
        <w:rPr>
          <w:b/>
          <w:bCs/>
        </w:rPr>
        <w:t>Also see</w:t>
      </w:r>
      <w:r w:rsidRPr="004F2684">
        <w:t>: Measure 3 – Streamlined Ministerial Infrastructure Designation process for Social and Affordable Housing</w:t>
      </w:r>
      <w:r w:rsidRPr="00D97172">
        <w:rPr>
          <w:rFonts w:ascii="Calibri Light" w:hAnsi="Calibri Light" w:cs="Arial"/>
          <w:b/>
          <w:kern w:val="32"/>
          <w:sz w:val="28"/>
          <w:szCs w:val="26"/>
        </w:rPr>
        <w:t xml:space="preserve"> </w:t>
      </w:r>
      <w:r>
        <w:rPr>
          <w:rFonts w:ascii="Calibri Light" w:hAnsi="Calibri Light" w:cs="Arial"/>
          <w:b/>
          <w:kern w:val="32"/>
          <w:sz w:val="28"/>
          <w:szCs w:val="26"/>
        </w:rPr>
        <w:t xml:space="preserve"> </w:t>
      </w:r>
    </w:p>
    <w:p w14:paraId="676DE2A5" w14:textId="77777777" w:rsidR="00DA408E" w:rsidRDefault="00DA408E" w:rsidP="00167ED0">
      <w:pPr>
        <w:spacing w:before="0" w:after="0"/>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BD495D">
        <w:trPr>
          <w:trHeight w:val="1976"/>
        </w:trPr>
        <w:tc>
          <w:tcPr>
            <w:tcW w:w="5000" w:type="pct"/>
            <w:shd w:val="clear" w:color="auto" w:fill="CEDBE6" w:themeFill="background2"/>
            <w:hideMark/>
          </w:tcPr>
          <w:p w14:paraId="66CAA1DD" w14:textId="5AD24FC7" w:rsidR="00440B1E" w:rsidRDefault="00C40C8B" w:rsidP="000D779E">
            <w:pPr>
              <w:pStyle w:val="Heading1"/>
              <w:rPr>
                <w:lang w:eastAsia="en-US"/>
              </w:rPr>
            </w:pPr>
            <w:bookmarkStart w:id="38" w:name="_Toc168064971"/>
            <w:bookmarkStart w:id="39" w:name="_Toc168065282"/>
            <w:bookmarkStart w:id="40" w:name="_Toc178667464"/>
            <w:bookmarkStart w:id="41" w:name="_Toc201835786"/>
            <w:r>
              <w:rPr>
                <w:lang w:eastAsia="en-US"/>
              </w:rPr>
              <w:t>Measure 6</w:t>
            </w:r>
            <w:bookmarkEnd w:id="38"/>
            <w:bookmarkEnd w:id="39"/>
            <w:bookmarkEnd w:id="40"/>
            <w:bookmarkEnd w:id="41"/>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55F9C7A" w14:textId="72536D05" w:rsidR="0021554E" w:rsidRPr="0021554E" w:rsidRDefault="00B3354D" w:rsidP="00822976">
      <w:pPr>
        <w:pStyle w:val="Heading3"/>
        <w:spacing w:before="200" w:line="240" w:lineRule="auto"/>
      </w:pPr>
      <w:bookmarkStart w:id="42" w:name="_Toc201835787"/>
      <w:bookmarkStart w:id="43" w:name="_Toc178667465"/>
      <w:bookmarkStart w:id="44" w:name="_Toc168064973"/>
      <w:bookmarkStart w:id="45" w:name="_Toc168065284"/>
      <w:bookmarkStart w:id="46" w:name="_Toc160799710"/>
      <w:r>
        <w:t>Identifying b</w:t>
      </w:r>
      <w:r w:rsidR="00D737A4">
        <w:t xml:space="preserve">arriers </w:t>
      </w:r>
      <w:r w:rsidR="007210B4">
        <w:t>in</w:t>
      </w:r>
      <w:r w:rsidR="006E4A0D">
        <w:t xml:space="preserve"> </w:t>
      </w:r>
      <w:r>
        <w:t>development</w:t>
      </w:r>
      <w:bookmarkEnd w:id="42"/>
      <w:r>
        <w:t xml:space="preserve"> </w:t>
      </w:r>
      <w:bookmarkEnd w:id="43"/>
    </w:p>
    <w:p w14:paraId="291C7386" w14:textId="1864EA52" w:rsidR="001C1B84" w:rsidRPr="004C28F3" w:rsidRDefault="001C1B84" w:rsidP="001C1B84">
      <w:pPr>
        <w:pStyle w:val="Default"/>
        <w:rPr>
          <w:b/>
          <w:sz w:val="28"/>
          <w:szCs w:val="28"/>
        </w:rPr>
      </w:pPr>
      <w:r w:rsidRPr="5067E061">
        <w:rPr>
          <w:b/>
          <w:sz w:val="28"/>
          <w:szCs w:val="28"/>
        </w:rPr>
        <w:t>PDAs</w:t>
      </w:r>
    </w:p>
    <w:p w14:paraId="7780545F" w14:textId="4BA0427C" w:rsidR="001C1B84" w:rsidRPr="001C1B84" w:rsidRDefault="001C1B84" w:rsidP="00E7785E">
      <w:pPr>
        <w:spacing w:after="200"/>
      </w:pPr>
      <w:r w:rsidRPr="001C1B84">
        <w:t>EDQ is pursuing a broad improvement program across policies, processes and systems to improve the timeliness of development approvals. An independent review has informed key pain points, opportunities and risks in the customer journey and work is underway to address these and improve the consistency, quality and timeliness of decision-making.</w:t>
      </w:r>
    </w:p>
    <w:p w14:paraId="24931AC9" w14:textId="06ABD086" w:rsidR="00A76481" w:rsidRDefault="00B3354D" w:rsidP="00BD495D">
      <w:pPr>
        <w:pStyle w:val="Heading3"/>
        <w:spacing w:before="240" w:line="235" w:lineRule="auto"/>
      </w:pPr>
      <w:bookmarkStart w:id="47" w:name="_Toc178667467"/>
      <w:bookmarkStart w:id="48" w:name="_Toc201835788"/>
      <w:r>
        <w:t xml:space="preserve">Barriers </w:t>
      </w:r>
      <w:r w:rsidR="001D1815">
        <w:t xml:space="preserve">to delivering housing where </w:t>
      </w:r>
      <w:r w:rsidR="00A76481">
        <w:t>development approvals have been granted</w:t>
      </w:r>
      <w:bookmarkEnd w:id="47"/>
      <w:bookmarkEnd w:id="48"/>
    </w:p>
    <w:p w14:paraId="3210C376" w14:textId="1C7795C6" w:rsidR="00942CB1" w:rsidRPr="00A54292" w:rsidRDefault="00942CB1" w:rsidP="00BD495D">
      <w:pPr>
        <w:spacing w:before="0" w:after="0"/>
        <w:rPr>
          <w:rFonts w:ascii="Calibri Light" w:hAnsi="Calibri Light" w:cs="Arial"/>
          <w:b/>
          <w:kern w:val="32"/>
          <w:sz w:val="28"/>
          <w:szCs w:val="26"/>
        </w:rPr>
      </w:pPr>
      <w:r w:rsidRPr="00A54292">
        <w:rPr>
          <w:rFonts w:ascii="Calibri Light" w:hAnsi="Calibri Light" w:cs="Arial"/>
          <w:b/>
          <w:kern w:val="32"/>
          <w:sz w:val="28"/>
          <w:szCs w:val="26"/>
        </w:rPr>
        <w:t>Incentivis</w:t>
      </w:r>
      <w:r>
        <w:rPr>
          <w:rFonts w:ascii="Calibri Light" w:hAnsi="Calibri Light" w:cs="Arial"/>
          <w:b/>
          <w:kern w:val="32"/>
          <w:sz w:val="28"/>
          <w:szCs w:val="26"/>
        </w:rPr>
        <w:t>ing</w:t>
      </w:r>
      <w:r w:rsidRPr="00A54292">
        <w:rPr>
          <w:rFonts w:ascii="Calibri Light" w:hAnsi="Calibri Light" w:cs="Arial"/>
          <w:b/>
          <w:kern w:val="32"/>
          <w:sz w:val="28"/>
          <w:szCs w:val="26"/>
        </w:rPr>
        <w:t xml:space="preserve"> Infill </w:t>
      </w:r>
      <w:r>
        <w:rPr>
          <w:rFonts w:ascii="Calibri Light" w:hAnsi="Calibri Light" w:cs="Arial"/>
          <w:b/>
          <w:kern w:val="32"/>
          <w:sz w:val="28"/>
          <w:szCs w:val="26"/>
        </w:rPr>
        <w:t xml:space="preserve">Development </w:t>
      </w:r>
      <w:r w:rsidRPr="00A54292">
        <w:rPr>
          <w:rFonts w:ascii="Calibri Light" w:hAnsi="Calibri Light" w:cs="Arial"/>
          <w:b/>
          <w:kern w:val="32"/>
          <w:sz w:val="28"/>
          <w:szCs w:val="26"/>
        </w:rPr>
        <w:t xml:space="preserve">Fund </w:t>
      </w:r>
      <w:r w:rsidR="00C90FA9">
        <w:rPr>
          <w:rFonts w:ascii="Calibri Light" w:hAnsi="Calibri Light" w:cs="Arial"/>
          <w:b/>
          <w:kern w:val="32"/>
          <w:sz w:val="28"/>
          <w:szCs w:val="26"/>
        </w:rPr>
        <w:t>(IIDF)</w:t>
      </w:r>
    </w:p>
    <w:p w14:paraId="250EC84A" w14:textId="697125F2" w:rsidR="00942CB1" w:rsidRDefault="00942CB1" w:rsidP="00E7785E">
      <w:pPr>
        <w:spacing w:after="200"/>
      </w:pPr>
      <w:r>
        <w:t xml:space="preserve">As identified under Measure 3, </w:t>
      </w:r>
      <w:r w:rsidR="00F50C96" w:rsidRPr="004F2684">
        <w:t>the Queensland Government</w:t>
      </w:r>
      <w:r w:rsidR="00F50C96">
        <w:t xml:space="preserve"> </w:t>
      </w:r>
      <w:r>
        <w:t xml:space="preserve">has been undertaking assessment of the </w:t>
      </w:r>
      <w:r w:rsidR="00C90FA9">
        <w:t>IIDF</w:t>
      </w:r>
      <w:r>
        <w:t>.</w:t>
      </w:r>
    </w:p>
    <w:p w14:paraId="432674D5" w14:textId="1557E1B6" w:rsidR="00942CB1" w:rsidRDefault="00942CB1" w:rsidP="00BD495D">
      <w:pPr>
        <w:spacing w:before="0" w:after="120"/>
      </w:pPr>
      <w:r>
        <w:t>The provision of targeted support through infrastructure charges relief, also applies to approved development. The provision of this funding could enable the delivery of development that was not previously economically viable.</w:t>
      </w:r>
    </w:p>
    <w:p w14:paraId="322D2858" w14:textId="4347FB6C" w:rsidR="00601C6E" w:rsidRDefault="00111B5C" w:rsidP="002376F1">
      <w:r w:rsidRPr="005C459F">
        <w:rPr>
          <w:b/>
          <w:bCs/>
          <w:szCs w:val="22"/>
        </w:rPr>
        <w:t>Also see:</w:t>
      </w:r>
      <w:r w:rsidR="008170F9">
        <w:t xml:space="preserve"> </w:t>
      </w:r>
      <w:r w:rsidRPr="00611705">
        <w:t>Measure 3 –</w:t>
      </w:r>
      <w:r>
        <w:t xml:space="preserve"> Incentivising Infill Development Fund.</w:t>
      </w:r>
      <w:bookmarkEnd w:id="44"/>
      <w:bookmarkEnd w:id="45"/>
      <w:bookmarkEnd w:id="46"/>
    </w:p>
    <w:p w14:paraId="1B79275C" w14:textId="63568284" w:rsidR="00857168" w:rsidRDefault="00F50C96" w:rsidP="002376F1">
      <w:pPr>
        <w:rPr>
          <w:rFonts w:ascii="Calibri Light" w:hAnsi="Calibri Light" w:cs="Calibri Light"/>
          <w:b/>
          <w:bCs/>
          <w:sz w:val="28"/>
          <w:szCs w:val="28"/>
        </w:rPr>
      </w:pPr>
      <w:r w:rsidRPr="00822976">
        <w:rPr>
          <w:rFonts w:ascii="Calibri Light" w:hAnsi="Calibri Light" w:cs="Calibri Light"/>
          <w:b/>
          <w:bCs/>
          <w:sz w:val="28"/>
          <w:szCs w:val="28"/>
        </w:rPr>
        <w:t>Residential Activation Fund</w:t>
      </w:r>
      <w:r w:rsidR="00FF38A0">
        <w:rPr>
          <w:rFonts w:ascii="Calibri Light" w:hAnsi="Calibri Light" w:cs="Calibri Light"/>
          <w:b/>
          <w:bCs/>
          <w:sz w:val="28"/>
          <w:szCs w:val="28"/>
        </w:rPr>
        <w:t xml:space="preserve"> (RAF)</w:t>
      </w:r>
    </w:p>
    <w:p w14:paraId="1ADD6FF7" w14:textId="6A907155" w:rsidR="00F50C96" w:rsidRDefault="00F50C96" w:rsidP="002376F1">
      <w:pPr>
        <w:rPr>
          <w:rFonts w:cstheme="minorHAnsi"/>
          <w:szCs w:val="22"/>
        </w:rPr>
      </w:pPr>
      <w:r>
        <w:rPr>
          <w:rFonts w:cstheme="minorHAnsi"/>
          <w:szCs w:val="22"/>
        </w:rPr>
        <w:t>As identified under Measure 3, the Queensland Government has</w:t>
      </w:r>
      <w:r w:rsidR="00FF38A0">
        <w:rPr>
          <w:rFonts w:cstheme="minorHAnsi"/>
          <w:szCs w:val="22"/>
        </w:rPr>
        <w:t xml:space="preserve"> recently</w:t>
      </w:r>
      <w:r>
        <w:rPr>
          <w:rFonts w:cstheme="minorHAnsi"/>
          <w:szCs w:val="22"/>
        </w:rPr>
        <w:t xml:space="preserve"> introduced</w:t>
      </w:r>
      <w:r w:rsidR="00FF38A0">
        <w:rPr>
          <w:rFonts w:cstheme="minorHAnsi"/>
          <w:szCs w:val="22"/>
        </w:rPr>
        <w:t xml:space="preserve"> the RAF, aimed at </w:t>
      </w:r>
      <w:r w:rsidR="00FF38A0" w:rsidRPr="00FF38A0">
        <w:rPr>
          <w:rFonts w:cstheme="minorHAnsi"/>
          <w:szCs w:val="22"/>
        </w:rPr>
        <w:t>accelerating the delivery of critical trunk and essential infrastructure</w:t>
      </w:r>
      <w:r w:rsidR="00FF38A0">
        <w:rPr>
          <w:rFonts w:cstheme="minorHAnsi"/>
          <w:szCs w:val="22"/>
        </w:rPr>
        <w:t xml:space="preserve"> </w:t>
      </w:r>
      <w:r w:rsidR="0021554E" w:rsidRPr="0021554E">
        <w:rPr>
          <w:rFonts w:cstheme="minorHAnsi"/>
          <w:szCs w:val="22"/>
        </w:rPr>
        <w:t>that is fundamental to getting more homes built sooner.</w:t>
      </w:r>
    </w:p>
    <w:p w14:paraId="2DAB3D55" w14:textId="230037B4" w:rsidR="00FF38A0" w:rsidRPr="00F50C96" w:rsidRDefault="0021554E" w:rsidP="002376F1">
      <w:pPr>
        <w:rPr>
          <w:rFonts w:cstheme="minorHAnsi"/>
          <w:szCs w:val="22"/>
        </w:rPr>
      </w:pPr>
      <w:r w:rsidRPr="00822976">
        <w:rPr>
          <w:rFonts w:cstheme="minorHAnsi"/>
          <w:b/>
          <w:bCs/>
          <w:szCs w:val="22"/>
        </w:rPr>
        <w:t>Also see</w:t>
      </w:r>
      <w:r>
        <w:rPr>
          <w:rFonts w:cstheme="minorHAnsi"/>
          <w:szCs w:val="22"/>
        </w:rPr>
        <w:t>: Measure 3 – Residential Activation Fund</w:t>
      </w:r>
    </w:p>
    <w:p w14:paraId="6A2E85AD" w14:textId="77777777" w:rsidR="003E4444" w:rsidRDefault="003E4444" w:rsidP="003E4444">
      <w:pPr>
        <w:pStyle w:val="Heading2"/>
      </w:pPr>
      <w:bookmarkStart w:id="49" w:name="_Toc201835789"/>
      <w:r>
        <w:t>Reforms to development approvals</w:t>
      </w:r>
      <w:bookmarkEnd w:id="49"/>
    </w:p>
    <w:p w14:paraId="15CB258D" w14:textId="77777777" w:rsidR="003E4444" w:rsidRDefault="003E4444" w:rsidP="003E4444">
      <w:pPr>
        <w:pStyle w:val="Heading3"/>
      </w:pPr>
      <w:bookmarkStart w:id="50" w:name="_Toc169256001"/>
      <w:bookmarkStart w:id="51" w:name="_Toc201835790"/>
      <w:r>
        <w:t>Reforms to social and affordable housing approval pathways</w:t>
      </w:r>
      <w:bookmarkEnd w:id="50"/>
      <w:bookmarkEnd w:id="51"/>
    </w:p>
    <w:p w14:paraId="1CBA5B86" w14:textId="7726510C" w:rsidR="008A7836" w:rsidRPr="008A7836" w:rsidRDefault="003E4444" w:rsidP="008A7836">
      <w:pPr>
        <w:spacing w:before="0" w:after="0"/>
        <w:rPr>
          <w:rFonts w:ascii="Calibri Light" w:hAnsi="Calibri Light" w:cs="Arial"/>
          <w:b/>
          <w:kern w:val="32"/>
          <w:sz w:val="28"/>
          <w:szCs w:val="26"/>
        </w:rPr>
      </w:pPr>
      <w:bookmarkStart w:id="52" w:name="_Hlk200011086"/>
      <w:r w:rsidRPr="00D97172">
        <w:rPr>
          <w:rFonts w:ascii="Calibri Light" w:hAnsi="Calibri Light" w:cs="Arial"/>
          <w:b/>
          <w:kern w:val="32"/>
          <w:sz w:val="28"/>
          <w:szCs w:val="26"/>
        </w:rPr>
        <w:t xml:space="preserve">Streamlined Ministerial Infrastructure Designation process for Social and Affordable Housing </w:t>
      </w:r>
    </w:p>
    <w:bookmarkEnd w:id="52"/>
    <w:p w14:paraId="4CB5356C" w14:textId="1B9D6EA9" w:rsidR="00216C1F" w:rsidRPr="00D97172" w:rsidRDefault="00216C1F" w:rsidP="00E7785E">
      <w:pPr>
        <w:spacing w:after="200"/>
      </w:pPr>
      <w:r>
        <w:t xml:space="preserve">As </w:t>
      </w:r>
      <w:r w:rsidR="00114FA3">
        <w:t xml:space="preserve">identified under </w:t>
      </w:r>
      <w:r w:rsidR="00C4207A">
        <w:t>M</w:t>
      </w:r>
      <w:r w:rsidR="00114FA3">
        <w:t>easure</w:t>
      </w:r>
      <w:r w:rsidR="00822976">
        <w:t>s</w:t>
      </w:r>
      <w:r w:rsidR="00114FA3">
        <w:t xml:space="preserve"> 3</w:t>
      </w:r>
      <w:r w:rsidR="00822976">
        <w:t xml:space="preserve"> </w:t>
      </w:r>
      <w:r w:rsidR="00822976" w:rsidRPr="004F2684">
        <w:t xml:space="preserve">and </w:t>
      </w:r>
      <w:r w:rsidR="0021554E" w:rsidRPr="004F2684">
        <w:t>5,</w:t>
      </w:r>
      <w:r w:rsidR="00114FA3">
        <w:t xml:space="preserve"> the Queensland Government </w:t>
      </w:r>
      <w:r w:rsidR="008A7836" w:rsidRPr="004F2684">
        <w:t>recently</w:t>
      </w:r>
      <w:r w:rsidR="0021554E" w:rsidRPr="004F2684">
        <w:t xml:space="preserve"> introduced a new Streamlined </w:t>
      </w:r>
      <w:r w:rsidR="006A11DC" w:rsidRPr="004F2684">
        <w:t xml:space="preserve">MID </w:t>
      </w:r>
      <w:r w:rsidR="00312A95" w:rsidRPr="004F2684">
        <w:t>option for social and affordable housing where undertaken by not-for-profit and charitable organisations, as part of the</w:t>
      </w:r>
      <w:r w:rsidR="00312A95">
        <w:t xml:space="preserve"> </w:t>
      </w:r>
      <w:r w:rsidR="008A7836" w:rsidRPr="00D97172">
        <w:t>changes to the planning framework to unlock church and charity-owned land for vital community housing.</w:t>
      </w:r>
    </w:p>
    <w:p w14:paraId="34DC51B1" w14:textId="45CEA322" w:rsidR="008A7836" w:rsidRDefault="008A7836" w:rsidP="008A7836">
      <w:r w:rsidRPr="008A7836">
        <w:t xml:space="preserve">The streamlined </w:t>
      </w:r>
      <w:r w:rsidR="008170F9">
        <w:t>MID</w:t>
      </w:r>
      <w:r w:rsidRPr="008A7836">
        <w:t xml:space="preserve"> is supported by the development of new operational guidance for industry which is targeted at reducing technical reporting, improving certainty for community housing proponents, and facilitating a new three-month streamlined assessment timeframe. </w:t>
      </w:r>
      <w:r w:rsidRPr="00D97172">
        <w:t xml:space="preserve">MID proposals that meet the eligibility criteria, can expect a streamlined assessment and a decision within </w:t>
      </w:r>
      <w:r w:rsidR="006A11DC">
        <w:br/>
      </w:r>
      <w:r w:rsidRPr="00D97172">
        <w:t>three months of lodgement.</w:t>
      </w:r>
    </w:p>
    <w:p w14:paraId="5371DE0A" w14:textId="175E5108" w:rsidR="008A7836" w:rsidRDefault="00312A95" w:rsidP="002376F1">
      <w:r w:rsidRPr="004F2684">
        <w:rPr>
          <w:b/>
          <w:bCs/>
        </w:rPr>
        <w:t>Also see</w:t>
      </w:r>
      <w:r w:rsidRPr="004F2684">
        <w:t>: Measure</w:t>
      </w:r>
      <w:r w:rsidR="00822976" w:rsidRPr="004F2684">
        <w:t>s 3 and</w:t>
      </w:r>
      <w:r w:rsidRPr="004F2684">
        <w:t xml:space="preserve"> 5 - Streamlined Ministerial Infrastructure Designation process for Social and Affordable Housing </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601C6E" w14:paraId="48CE0836" w14:textId="77777777" w:rsidTr="00241A4F">
        <w:tc>
          <w:tcPr>
            <w:tcW w:w="5000" w:type="pct"/>
            <w:shd w:val="clear" w:color="auto" w:fill="CEDBE6" w:themeFill="background2"/>
            <w:hideMark/>
          </w:tcPr>
          <w:p w14:paraId="544C8DB4" w14:textId="0D9B1EF2" w:rsidR="00601C6E" w:rsidRDefault="00601C6E" w:rsidP="00241A4F">
            <w:pPr>
              <w:pStyle w:val="Heading1"/>
              <w:rPr>
                <w:lang w:eastAsia="en-US"/>
              </w:rPr>
            </w:pPr>
            <w:bookmarkStart w:id="53" w:name="_Toc164435429"/>
            <w:bookmarkStart w:id="54" w:name="_Toc178667468"/>
            <w:bookmarkStart w:id="55" w:name="_Toc201835791"/>
            <w:r>
              <w:rPr>
                <w:lang w:eastAsia="en-US"/>
              </w:rPr>
              <w:t>Measure 10</w:t>
            </w:r>
            <w:bookmarkEnd w:id="53"/>
            <w:bookmarkEnd w:id="54"/>
            <w:bookmarkEnd w:id="55"/>
          </w:p>
          <w:p w14:paraId="17E50A6F" w14:textId="77777777" w:rsidR="00601C6E" w:rsidRDefault="00601C6E" w:rsidP="00241A4F">
            <w:pPr>
              <w:pStyle w:val="BoxText"/>
            </w:pPr>
            <w:r w:rsidRPr="00151FA7">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6EDB1959" w14:textId="004C7041" w:rsidR="001C1B84" w:rsidRPr="001C1B84" w:rsidRDefault="001C1B84" w:rsidP="001C1B84">
      <w:pPr>
        <w:pStyle w:val="Heading2"/>
      </w:pPr>
      <w:bookmarkStart w:id="56" w:name="_Toc201835792"/>
      <w:r w:rsidRPr="001C1B84">
        <w:t xml:space="preserve">Well located </w:t>
      </w:r>
      <w:r w:rsidR="00F67D1E">
        <w:t>G</w:t>
      </w:r>
      <w:r w:rsidRPr="001C1B84">
        <w:t>overnment land suitable for housing</w:t>
      </w:r>
      <w:bookmarkEnd w:id="56"/>
      <w:r w:rsidRPr="001C1B84">
        <w:t xml:space="preserve"> </w:t>
      </w:r>
    </w:p>
    <w:p w14:paraId="6668538E" w14:textId="680CA99F" w:rsidR="001C1B84" w:rsidRPr="001C1B84" w:rsidRDefault="001C1B84" w:rsidP="001C1B84">
      <w:pPr>
        <w:autoSpaceDE w:val="0"/>
        <w:autoSpaceDN w:val="0"/>
        <w:adjustRightInd w:val="0"/>
        <w:spacing w:before="0" w:after="0"/>
        <w:rPr>
          <w:rFonts w:ascii="Calibri Light" w:eastAsiaTheme="minorHAnsi" w:hAnsi="Calibri Light" w:cs="Calibri Light"/>
          <w:b/>
          <w:bCs/>
          <w:color w:val="000000"/>
          <w:sz w:val="28"/>
          <w:szCs w:val="28"/>
          <w:lang w:eastAsia="en-US"/>
        </w:rPr>
      </w:pPr>
      <w:r w:rsidRPr="001C1B84">
        <w:rPr>
          <w:rFonts w:ascii="Calibri Light" w:eastAsiaTheme="minorHAnsi" w:hAnsi="Calibri Light" w:cs="Calibri Light"/>
          <w:b/>
          <w:bCs/>
          <w:color w:val="000000"/>
          <w:sz w:val="28"/>
          <w:szCs w:val="28"/>
          <w:lang w:eastAsia="en-US"/>
        </w:rPr>
        <w:t xml:space="preserve">Audit of surplus </w:t>
      </w:r>
      <w:r w:rsidR="00F67D1E">
        <w:rPr>
          <w:rFonts w:ascii="Calibri Light" w:eastAsiaTheme="minorHAnsi" w:hAnsi="Calibri Light" w:cs="Calibri Light"/>
          <w:b/>
          <w:bCs/>
          <w:color w:val="000000"/>
          <w:sz w:val="28"/>
          <w:szCs w:val="28"/>
          <w:lang w:eastAsia="en-US"/>
        </w:rPr>
        <w:t>G</w:t>
      </w:r>
      <w:r w:rsidRPr="001C1B84">
        <w:rPr>
          <w:rFonts w:ascii="Calibri Light" w:eastAsiaTheme="minorHAnsi" w:hAnsi="Calibri Light" w:cs="Calibri Light"/>
          <w:b/>
          <w:bCs/>
          <w:color w:val="000000"/>
          <w:sz w:val="28"/>
          <w:szCs w:val="28"/>
          <w:lang w:eastAsia="en-US"/>
        </w:rPr>
        <w:t xml:space="preserve">overnment land </w:t>
      </w:r>
    </w:p>
    <w:p w14:paraId="6CBDEB8D" w14:textId="77777777" w:rsidR="006759F6" w:rsidRPr="001C1B84" w:rsidRDefault="006759F6" w:rsidP="006759F6">
      <w:r w:rsidRPr="001C1B84">
        <w:t xml:space="preserve">The Queensland Government conducted a comprehensive audit of surplus government land and buildings to identify potential residential sites following the 2022 Queensland Housing Summit. </w:t>
      </w:r>
    </w:p>
    <w:p w14:paraId="4D02751C" w14:textId="77777777" w:rsidR="006759F6" w:rsidRPr="001C1B84" w:rsidRDefault="006759F6" w:rsidP="006759F6">
      <w:r w:rsidRPr="001C1B84">
        <w:t xml:space="preserve">This audit resulted in a shortlist of 27 large sites and a long list of 419 small sites. EDQ </w:t>
      </w:r>
      <w:r>
        <w:t>i</w:t>
      </w:r>
      <w:r w:rsidRPr="001C1B84">
        <w:t>s responsible for investigating the 27 large sites on behalf of the Queensland Government. </w:t>
      </w:r>
    </w:p>
    <w:p w14:paraId="72539ACC" w14:textId="6F879FE9" w:rsidR="006759F6" w:rsidRPr="001C1B84" w:rsidRDefault="006759F6" w:rsidP="006759F6">
      <w:r w:rsidRPr="001C1B84">
        <w:t>EDQ’s Priority Housing Pipeline includes government owned sites with barriers to development and completing ongoing investigations to unlock development potential on these sites.  Currently</w:t>
      </w:r>
      <w:r w:rsidR="006A11DC">
        <w:t>,</w:t>
      </w:r>
      <w:r w:rsidRPr="001C1B84">
        <w:t xml:space="preserve"> EDQ is actively progressing a number of sites including Lumina and </w:t>
      </w:r>
      <w:r>
        <w:t>Meadowbrook</w:t>
      </w:r>
      <w:r w:rsidRPr="001C1B84">
        <w:t xml:space="preserve">.  Key initiatives include alternative funding pathways to support housing delivery or securing funding for infrastructure delivery to unlock these sites.  </w:t>
      </w:r>
    </w:p>
    <w:p w14:paraId="0C6665F8" w14:textId="3EA854CB" w:rsidR="006759F6" w:rsidRPr="001C1B84" w:rsidRDefault="006759F6" w:rsidP="006759F6">
      <w:r w:rsidRPr="001C1B84">
        <w:t xml:space="preserve">A further site identified through the land audit at Scarborough Street in Southport in the Gold Coast has funding approved for the delivery of around 200 homes for vulnerable Queenslanders.  </w:t>
      </w:r>
      <w:r w:rsidR="006A11DC">
        <w:br/>
      </w:r>
      <w:r w:rsidRPr="001C1B84">
        <w:t>Two further development sites being prepared for market processes with the capacity to deliver significantly more homes as part of a mixed-use housing precinct.</w:t>
      </w:r>
    </w:p>
    <w:p w14:paraId="4F629743" w14:textId="18576871" w:rsidR="006759F6" w:rsidRPr="001C1B84" w:rsidRDefault="006759F6" w:rsidP="00CF1B0D">
      <w:pPr>
        <w:ind w:right="-286"/>
      </w:pPr>
      <w:r w:rsidRPr="001C1B84">
        <w:t xml:space="preserve">EDQ is undertaking development readiness activities on land within the Central Queensland </w:t>
      </w:r>
      <w:r w:rsidR="006A11DC">
        <w:t>U</w:t>
      </w:r>
      <w:r w:rsidRPr="001C1B84">
        <w:t>niversity Rockhampton North campus.  This is expected to facilitate the delivery of around 200 homes.</w:t>
      </w:r>
    </w:p>
    <w:p w14:paraId="1451B9B6" w14:textId="77777777" w:rsidR="006759F6" w:rsidRPr="002C477A" w:rsidRDefault="006759F6" w:rsidP="006759F6">
      <w:r w:rsidRPr="001C1B84">
        <w:t>EDQ undertakes continuous review of surplus and underutilised Government-owned land and collaborates with landowner agencies to identify land suitable for housing that is no longer required for operational purposes.</w:t>
      </w:r>
    </w:p>
    <w:p w14:paraId="7626C0A2" w14:textId="2097563C" w:rsidR="00F5234B" w:rsidRPr="00CA1B3E" w:rsidRDefault="00F5234B" w:rsidP="00BD495D">
      <w:pPr>
        <w:spacing w:before="200"/>
        <w:rPr>
          <w:color w:val="3A6FAF"/>
        </w:rPr>
      </w:pPr>
    </w:p>
    <w:sectPr w:rsidR="00F5234B" w:rsidRPr="00CA1B3E" w:rsidSect="00521AF3">
      <w:footerReference w:type="default" r:id="rId20"/>
      <w:pgSz w:w="11906" w:h="16838" w:code="9"/>
      <w:pgMar w:top="1134" w:right="1418" w:bottom="1135" w:left="1418" w:header="709" w:footer="5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8F8A" w14:textId="77777777" w:rsidR="00206265" w:rsidRDefault="00206265">
      <w:pPr>
        <w:spacing w:before="0" w:after="0"/>
      </w:pPr>
      <w:r>
        <w:separator/>
      </w:r>
    </w:p>
  </w:endnote>
  <w:endnote w:type="continuationSeparator" w:id="0">
    <w:p w14:paraId="2E994278" w14:textId="77777777" w:rsidR="00206265" w:rsidRDefault="00206265">
      <w:pPr>
        <w:spacing w:before="0" w:after="0"/>
      </w:pPr>
      <w:r>
        <w:continuationSeparator/>
      </w:r>
    </w:p>
  </w:endnote>
  <w:endnote w:type="continuationNotice" w:id="1">
    <w:p w14:paraId="017C7854" w14:textId="77777777" w:rsidR="00206265" w:rsidRDefault="002062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swiss"/>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56195"/>
      <w:docPartObj>
        <w:docPartGallery w:val="Page Numbers (Bottom of Page)"/>
        <w:docPartUnique/>
      </w:docPartObj>
    </w:sdtPr>
    <w:sdtEndPr>
      <w:rPr>
        <w:noProof/>
      </w:rPr>
    </w:sdtEndPr>
    <w:sdtContent>
      <w:p w14:paraId="7C177BEA" w14:textId="69F0F423" w:rsidR="00CA1B3E" w:rsidRDefault="00CA1B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77622" w14:textId="77777777" w:rsidR="00CA1B3E" w:rsidRDefault="00CA1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481858"/>
      <w:docPartObj>
        <w:docPartGallery w:val="Page Numbers (Bottom of Page)"/>
        <w:docPartUnique/>
      </w:docPartObj>
    </w:sdtPr>
    <w:sdtEndPr>
      <w:rPr>
        <w:color w:val="7F7F7F" w:themeColor="background1" w:themeShade="7F"/>
        <w:spacing w:val="60"/>
      </w:rPr>
    </w:sdtEndPr>
    <w:sdtContent>
      <w:p w14:paraId="4A9B7B39" w14:textId="6AF67EA3" w:rsidR="008B55A0" w:rsidRDefault="008B55A0" w:rsidP="008B55A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0E91F2C9" w14:textId="7AF446E2" w:rsidR="008B55A0" w:rsidRDefault="008B5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29BC" w14:textId="5E21413C" w:rsidR="00A90D73" w:rsidRDefault="00A90D73">
    <w:pPr>
      <w:pStyle w:val="Footer"/>
      <w:pBdr>
        <w:top w:val="single" w:sz="4" w:space="1" w:color="D9D9D9" w:themeColor="background1" w:themeShade="D9"/>
      </w:pBdr>
      <w:jc w:val="right"/>
    </w:pPr>
  </w:p>
  <w:p w14:paraId="1E913F55" w14:textId="459AD8F6" w:rsidR="00630F8D" w:rsidRPr="001515FD" w:rsidRDefault="00630F8D" w:rsidP="00AB738A">
    <w:pPr>
      <w:pStyle w:val="FooterOd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81891"/>
      <w:docPartObj>
        <w:docPartGallery w:val="Page Numbers (Bottom of Page)"/>
        <w:docPartUnique/>
      </w:docPartObj>
    </w:sdtPr>
    <w:sdtEndPr>
      <w:rPr>
        <w:color w:val="7F7F7F" w:themeColor="background1" w:themeShade="7F"/>
        <w:spacing w:val="60"/>
      </w:rPr>
    </w:sdtEndPr>
    <w:sdtContent>
      <w:p w14:paraId="6A19A3B7" w14:textId="43FAB874" w:rsidR="008B55A0" w:rsidRDefault="008B55A0" w:rsidP="008B55A0">
        <w:pPr>
          <w:pStyle w:val="Footer"/>
          <w:pBdr>
            <w:top w:val="single" w:sz="4" w:space="1" w:color="D9D9D9" w:themeColor="background1" w:themeShade="D9"/>
          </w:pBdr>
          <w:jc w:val="right"/>
          <w:rPr>
            <w:color w:val="7F7F7F" w:themeColor="background1" w:themeShade="7F"/>
            <w:spacing w:val="60"/>
            <w:sz w:val="22"/>
          </w:rPr>
        </w:pPr>
        <w:r>
          <w:fldChar w:fldCharType="begin"/>
        </w:r>
        <w:r>
          <w:instrText xml:space="preserve"> PAGE   \* MERGEFORMAT </w:instrText>
        </w:r>
        <w:r>
          <w:fldChar w:fldCharType="separate"/>
        </w:r>
        <w:r>
          <w:t>1</w:t>
        </w:r>
        <w:r>
          <w:rPr>
            <w:noProof/>
          </w:rPr>
          <w:fldChar w:fldCharType="end"/>
        </w:r>
        <w:r>
          <w:t xml:space="preserve"> </w:t>
        </w:r>
      </w:p>
    </w:sdtContent>
  </w:sdt>
  <w:p w14:paraId="6B10E64D" w14:textId="718A04D2" w:rsidR="004852FC" w:rsidRPr="001515FD" w:rsidRDefault="004852FC" w:rsidP="00AB738A">
    <w:pPr>
      <w:pStyle w:val="FooterOd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8992" w14:textId="77777777" w:rsidR="00206265" w:rsidRPr="00ED5A20" w:rsidRDefault="00206265" w:rsidP="000F6233">
      <w:pPr>
        <w:rPr>
          <w:color w:val="58B6C0" w:themeColor="accent2"/>
        </w:rPr>
      </w:pPr>
      <w:r w:rsidRPr="00ED5A20">
        <w:rPr>
          <w:color w:val="58B6C0" w:themeColor="accent2"/>
        </w:rPr>
        <w:separator/>
      </w:r>
    </w:p>
  </w:footnote>
  <w:footnote w:type="continuationSeparator" w:id="0">
    <w:p w14:paraId="54DD9FE2" w14:textId="77777777" w:rsidR="00206265" w:rsidRPr="00B737EB" w:rsidRDefault="00206265">
      <w:pPr>
        <w:spacing w:before="0" w:after="0"/>
        <w:rPr>
          <w:color w:val="3494BA" w:themeColor="accent1"/>
        </w:rPr>
      </w:pPr>
      <w:r w:rsidRPr="00B737EB">
        <w:rPr>
          <w:color w:val="3494BA" w:themeColor="accent1"/>
        </w:rPr>
        <w:continuationSeparator/>
      </w:r>
    </w:p>
  </w:footnote>
  <w:footnote w:type="continuationNotice" w:id="1">
    <w:p w14:paraId="4A3CD24B" w14:textId="77777777" w:rsidR="00206265" w:rsidRDefault="00206265">
      <w:pPr>
        <w:spacing w:before="0" w:after="0"/>
      </w:pPr>
    </w:p>
  </w:footnote>
  <w:footnote w:id="2">
    <w:p w14:paraId="34F56E12" w14:textId="0A090053" w:rsidR="00A07CC6" w:rsidRDefault="00A07CC6" w:rsidP="00C90FA9">
      <w:pPr>
        <w:pStyle w:val="FootnoteText"/>
        <w:ind w:left="142" w:hanging="142"/>
      </w:pPr>
      <w:r>
        <w:rPr>
          <w:rStyle w:val="FootnoteReference"/>
        </w:rPr>
        <w:footnoteRef/>
      </w:r>
      <w:r>
        <w:t xml:space="preserve"> </w:t>
      </w:r>
      <w:r w:rsidRPr="00300DB4">
        <w:t>For the purpose of this report</w:t>
      </w:r>
      <w:r w:rsidR="00A15343">
        <w:t>,</w:t>
      </w:r>
      <w:r w:rsidRPr="00300DB4">
        <w:t xml:space="preserve"> it is assumed that development ready means land with infrastructure that is ready to sell and/or construct</w:t>
      </w:r>
      <w:r w:rsidR="00A1534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642B30"/>
    <w:multiLevelType w:val="hybridMultilevel"/>
    <w:tmpl w:val="37BA6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A065A"/>
    <w:multiLevelType w:val="hybridMultilevel"/>
    <w:tmpl w:val="E8D4B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307E0"/>
    <w:multiLevelType w:val="multilevel"/>
    <w:tmpl w:val="BCE644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1029F0"/>
    <w:multiLevelType w:val="hybridMultilevel"/>
    <w:tmpl w:val="5F3AB446"/>
    <w:lvl w:ilvl="0" w:tplc="A00EE23A">
      <w:start w:val="2"/>
      <w:numFmt w:val="bullet"/>
      <w:lvlText w:val=""/>
      <w:lvlJc w:val="left"/>
      <w:pPr>
        <w:ind w:left="360" w:hanging="360"/>
      </w:pPr>
      <w:rPr>
        <w:rFonts w:ascii="Symbol" w:eastAsia="Aptos"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D6A31AD"/>
    <w:multiLevelType w:val="hybridMultilevel"/>
    <w:tmpl w:val="35E6270C"/>
    <w:lvl w:ilvl="0" w:tplc="27A8E50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76429D"/>
    <w:multiLevelType w:val="hybridMultilevel"/>
    <w:tmpl w:val="8580F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B36E91"/>
    <w:multiLevelType w:val="hybridMultilevel"/>
    <w:tmpl w:val="37BA6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E7D99"/>
    <w:multiLevelType w:val="hybridMultilevel"/>
    <w:tmpl w:val="6DDCF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F23E46"/>
    <w:multiLevelType w:val="hybridMultilevel"/>
    <w:tmpl w:val="08C6D0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C66978"/>
    <w:multiLevelType w:val="hybridMultilevel"/>
    <w:tmpl w:val="F4841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800477"/>
    <w:multiLevelType w:val="hybridMultilevel"/>
    <w:tmpl w:val="CD049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0" w15:restartNumberingAfterBreak="0">
    <w:nsid w:val="5E866D52"/>
    <w:multiLevelType w:val="hybridMultilevel"/>
    <w:tmpl w:val="E368BBA0"/>
    <w:lvl w:ilvl="0" w:tplc="623858CA">
      <w:start w:val="1"/>
      <w:numFmt w:val="bullet"/>
      <w:lvlText w:val=""/>
      <w:lvlJc w:val="left"/>
      <w:pPr>
        <w:ind w:left="720" w:hanging="360"/>
      </w:pPr>
      <w:rPr>
        <w:rFonts w:ascii="Symbol" w:hAnsi="Symbol" w:hint="default"/>
      </w:rPr>
    </w:lvl>
    <w:lvl w:ilvl="1" w:tplc="B7688A5E">
      <w:start w:val="1"/>
      <w:numFmt w:val="bullet"/>
      <w:lvlText w:val="o"/>
      <w:lvlJc w:val="left"/>
      <w:pPr>
        <w:ind w:left="1440" w:hanging="360"/>
      </w:pPr>
      <w:rPr>
        <w:rFonts w:ascii="Courier New" w:hAnsi="Courier New" w:hint="default"/>
      </w:rPr>
    </w:lvl>
    <w:lvl w:ilvl="2" w:tplc="97C8759E">
      <w:start w:val="1"/>
      <w:numFmt w:val="bullet"/>
      <w:lvlText w:val=""/>
      <w:lvlJc w:val="left"/>
      <w:pPr>
        <w:ind w:left="2160" w:hanging="360"/>
      </w:pPr>
      <w:rPr>
        <w:rFonts w:ascii="Wingdings" w:hAnsi="Wingdings" w:hint="default"/>
      </w:rPr>
    </w:lvl>
    <w:lvl w:ilvl="3" w:tplc="A184B66C">
      <w:start w:val="1"/>
      <w:numFmt w:val="bullet"/>
      <w:lvlText w:val=""/>
      <w:lvlJc w:val="left"/>
      <w:pPr>
        <w:ind w:left="2880" w:hanging="360"/>
      </w:pPr>
      <w:rPr>
        <w:rFonts w:ascii="Symbol" w:hAnsi="Symbol" w:hint="default"/>
      </w:rPr>
    </w:lvl>
    <w:lvl w:ilvl="4" w:tplc="D05862C8">
      <w:start w:val="1"/>
      <w:numFmt w:val="bullet"/>
      <w:lvlText w:val="o"/>
      <w:lvlJc w:val="left"/>
      <w:pPr>
        <w:ind w:left="3600" w:hanging="360"/>
      </w:pPr>
      <w:rPr>
        <w:rFonts w:ascii="Courier New" w:hAnsi="Courier New" w:hint="default"/>
      </w:rPr>
    </w:lvl>
    <w:lvl w:ilvl="5" w:tplc="F1865236">
      <w:start w:val="1"/>
      <w:numFmt w:val="bullet"/>
      <w:lvlText w:val=""/>
      <w:lvlJc w:val="left"/>
      <w:pPr>
        <w:ind w:left="4320" w:hanging="360"/>
      </w:pPr>
      <w:rPr>
        <w:rFonts w:ascii="Wingdings" w:hAnsi="Wingdings" w:hint="default"/>
      </w:rPr>
    </w:lvl>
    <w:lvl w:ilvl="6" w:tplc="5A167AD8">
      <w:start w:val="1"/>
      <w:numFmt w:val="bullet"/>
      <w:lvlText w:val=""/>
      <w:lvlJc w:val="left"/>
      <w:pPr>
        <w:ind w:left="5040" w:hanging="360"/>
      </w:pPr>
      <w:rPr>
        <w:rFonts w:ascii="Symbol" w:hAnsi="Symbol" w:hint="default"/>
      </w:rPr>
    </w:lvl>
    <w:lvl w:ilvl="7" w:tplc="1B96A0B4">
      <w:start w:val="1"/>
      <w:numFmt w:val="bullet"/>
      <w:lvlText w:val="o"/>
      <w:lvlJc w:val="left"/>
      <w:pPr>
        <w:ind w:left="5760" w:hanging="360"/>
      </w:pPr>
      <w:rPr>
        <w:rFonts w:ascii="Courier New" w:hAnsi="Courier New" w:hint="default"/>
      </w:rPr>
    </w:lvl>
    <w:lvl w:ilvl="8" w:tplc="9D4293DE">
      <w:start w:val="1"/>
      <w:numFmt w:val="bullet"/>
      <w:lvlText w:val=""/>
      <w:lvlJc w:val="left"/>
      <w:pPr>
        <w:ind w:left="6480" w:hanging="360"/>
      </w:pPr>
      <w:rPr>
        <w:rFonts w:ascii="Wingdings" w:hAnsi="Wingdings" w:hint="default"/>
      </w:rPr>
    </w:lvl>
  </w:abstractNum>
  <w:abstractNum w:abstractNumId="21" w15:restartNumberingAfterBreak="0">
    <w:nsid w:val="697D279C"/>
    <w:multiLevelType w:val="hybridMultilevel"/>
    <w:tmpl w:val="6E148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E185568"/>
    <w:multiLevelType w:val="hybridMultilevel"/>
    <w:tmpl w:val="6428D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E466E4"/>
    <w:multiLevelType w:val="hybridMultilevel"/>
    <w:tmpl w:val="DB3295E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4"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5" w15:restartNumberingAfterBreak="0">
    <w:nsid w:val="7DE76D3D"/>
    <w:multiLevelType w:val="hybridMultilevel"/>
    <w:tmpl w:val="33441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706925"/>
    <w:multiLevelType w:val="multilevel"/>
    <w:tmpl w:val="31529532"/>
    <w:lvl w:ilvl="0">
      <w:start w:val="1"/>
      <w:numFmt w:val="bullet"/>
      <w:pStyle w:val="EstimatesBullet1"/>
      <w:lvlText w:val=""/>
      <w:lvlJc w:val="left"/>
      <w:pPr>
        <w:tabs>
          <w:tab w:val="num" w:pos="284"/>
        </w:tabs>
        <w:ind w:left="284" w:hanging="284"/>
      </w:pPr>
      <w:rPr>
        <w:rFonts w:ascii="Symbol" w:hAnsi="Symbol" w:hint="default"/>
        <w:sz w:val="24"/>
        <w:szCs w:val="24"/>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747112092">
    <w:abstractNumId w:val="10"/>
  </w:num>
  <w:num w:numId="2" w16cid:durableId="125392115">
    <w:abstractNumId w:val="0"/>
  </w:num>
  <w:num w:numId="3" w16cid:durableId="1138493796">
    <w:abstractNumId w:val="12"/>
  </w:num>
  <w:num w:numId="4" w16cid:durableId="697198535">
    <w:abstractNumId w:val="4"/>
  </w:num>
  <w:num w:numId="5" w16cid:durableId="1530605932">
    <w:abstractNumId w:val="18"/>
  </w:num>
  <w:num w:numId="6" w16cid:durableId="1077706018">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34606905">
    <w:abstractNumId w:val="5"/>
  </w:num>
  <w:num w:numId="8" w16cid:durableId="732696603">
    <w:abstractNumId w:val="8"/>
  </w:num>
  <w:num w:numId="9" w16cid:durableId="157624863">
    <w:abstractNumId w:val="11"/>
  </w:num>
  <w:num w:numId="10" w16cid:durableId="1455251550">
    <w:abstractNumId w:val="24"/>
  </w:num>
  <w:num w:numId="11" w16cid:durableId="1065297974">
    <w:abstractNumId w:val="19"/>
  </w:num>
  <w:num w:numId="12" w16cid:durableId="580025321">
    <w:abstractNumId w:val="21"/>
  </w:num>
  <w:num w:numId="13" w16cid:durableId="145559214">
    <w:abstractNumId w:val="22"/>
  </w:num>
  <w:num w:numId="14" w16cid:durableId="1747999057">
    <w:abstractNumId w:val="14"/>
  </w:num>
  <w:num w:numId="15" w16cid:durableId="237054374">
    <w:abstractNumId w:val="1"/>
  </w:num>
  <w:num w:numId="16" w16cid:durableId="1944798163">
    <w:abstractNumId w:val="13"/>
  </w:num>
  <w:num w:numId="17" w16cid:durableId="1452439529">
    <w:abstractNumId w:val="15"/>
  </w:num>
  <w:num w:numId="18" w16cid:durableId="924845928">
    <w:abstractNumId w:val="26"/>
  </w:num>
  <w:num w:numId="19" w16cid:durableId="1909922819">
    <w:abstractNumId w:val="16"/>
  </w:num>
  <w:num w:numId="20" w16cid:durableId="506943513">
    <w:abstractNumId w:val="23"/>
  </w:num>
  <w:num w:numId="21" w16cid:durableId="1192961776">
    <w:abstractNumId w:val="2"/>
  </w:num>
  <w:num w:numId="22" w16cid:durableId="589654683">
    <w:abstractNumId w:val="25"/>
  </w:num>
  <w:num w:numId="23" w16cid:durableId="477495514">
    <w:abstractNumId w:val="17"/>
  </w:num>
  <w:num w:numId="24" w16cid:durableId="1665818980">
    <w:abstractNumId w:val="20"/>
  </w:num>
  <w:num w:numId="25" w16cid:durableId="107165767">
    <w:abstractNumId w:val="9"/>
  </w:num>
  <w:num w:numId="26" w16cid:durableId="378476889">
    <w:abstractNumId w:val="7"/>
  </w:num>
  <w:num w:numId="27" w16cid:durableId="585117851">
    <w:abstractNumId w:val="6"/>
  </w:num>
  <w:num w:numId="28" w16cid:durableId="2171281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1E65"/>
    <w:rsid w:val="0000438A"/>
    <w:rsid w:val="00011725"/>
    <w:rsid w:val="0001232C"/>
    <w:rsid w:val="00012C62"/>
    <w:rsid w:val="0001396A"/>
    <w:rsid w:val="00014621"/>
    <w:rsid w:val="00015324"/>
    <w:rsid w:val="000162FE"/>
    <w:rsid w:val="00016DA2"/>
    <w:rsid w:val="00017823"/>
    <w:rsid w:val="00020D3F"/>
    <w:rsid w:val="00020FB8"/>
    <w:rsid w:val="000229F7"/>
    <w:rsid w:val="00022ABD"/>
    <w:rsid w:val="0002544D"/>
    <w:rsid w:val="0002581F"/>
    <w:rsid w:val="00026E04"/>
    <w:rsid w:val="00027D9C"/>
    <w:rsid w:val="000304EA"/>
    <w:rsid w:val="00031062"/>
    <w:rsid w:val="00033C79"/>
    <w:rsid w:val="0003540B"/>
    <w:rsid w:val="0003556D"/>
    <w:rsid w:val="00036788"/>
    <w:rsid w:val="000413D7"/>
    <w:rsid w:val="000419B1"/>
    <w:rsid w:val="00041FCC"/>
    <w:rsid w:val="0004274D"/>
    <w:rsid w:val="00042CE5"/>
    <w:rsid w:val="00043348"/>
    <w:rsid w:val="00043F29"/>
    <w:rsid w:val="000440C6"/>
    <w:rsid w:val="00044443"/>
    <w:rsid w:val="00044665"/>
    <w:rsid w:val="0004483F"/>
    <w:rsid w:val="00046CB4"/>
    <w:rsid w:val="00046EC2"/>
    <w:rsid w:val="00046F89"/>
    <w:rsid w:val="000478E4"/>
    <w:rsid w:val="000507C5"/>
    <w:rsid w:val="0005138B"/>
    <w:rsid w:val="000522B7"/>
    <w:rsid w:val="00053118"/>
    <w:rsid w:val="00053717"/>
    <w:rsid w:val="00056880"/>
    <w:rsid w:val="00057143"/>
    <w:rsid w:val="00057A3A"/>
    <w:rsid w:val="00057D3B"/>
    <w:rsid w:val="00060044"/>
    <w:rsid w:val="000611EC"/>
    <w:rsid w:val="00062837"/>
    <w:rsid w:val="00062A74"/>
    <w:rsid w:val="00062FAC"/>
    <w:rsid w:val="00063905"/>
    <w:rsid w:val="0006630A"/>
    <w:rsid w:val="000675D1"/>
    <w:rsid w:val="00072C37"/>
    <w:rsid w:val="00073521"/>
    <w:rsid w:val="00073722"/>
    <w:rsid w:val="00074168"/>
    <w:rsid w:val="000746A6"/>
    <w:rsid w:val="000756B7"/>
    <w:rsid w:val="000775DE"/>
    <w:rsid w:val="00080725"/>
    <w:rsid w:val="0008256D"/>
    <w:rsid w:val="00082B86"/>
    <w:rsid w:val="00083555"/>
    <w:rsid w:val="00084C8C"/>
    <w:rsid w:val="00086C2D"/>
    <w:rsid w:val="00087228"/>
    <w:rsid w:val="00087C51"/>
    <w:rsid w:val="00087FAF"/>
    <w:rsid w:val="0009484D"/>
    <w:rsid w:val="00097D96"/>
    <w:rsid w:val="000A164A"/>
    <w:rsid w:val="000A2758"/>
    <w:rsid w:val="000A2885"/>
    <w:rsid w:val="000A3675"/>
    <w:rsid w:val="000A536D"/>
    <w:rsid w:val="000A5876"/>
    <w:rsid w:val="000B03B1"/>
    <w:rsid w:val="000B093F"/>
    <w:rsid w:val="000B12C0"/>
    <w:rsid w:val="000B279F"/>
    <w:rsid w:val="000B302A"/>
    <w:rsid w:val="000B7B56"/>
    <w:rsid w:val="000C0053"/>
    <w:rsid w:val="000C0442"/>
    <w:rsid w:val="000C2C20"/>
    <w:rsid w:val="000C5467"/>
    <w:rsid w:val="000C571D"/>
    <w:rsid w:val="000C5F40"/>
    <w:rsid w:val="000D097D"/>
    <w:rsid w:val="000D1959"/>
    <w:rsid w:val="000D1A6D"/>
    <w:rsid w:val="000D1AC8"/>
    <w:rsid w:val="000D2B73"/>
    <w:rsid w:val="000D691E"/>
    <w:rsid w:val="000D6CF9"/>
    <w:rsid w:val="000D779E"/>
    <w:rsid w:val="000E0B74"/>
    <w:rsid w:val="000E13B0"/>
    <w:rsid w:val="000E19B7"/>
    <w:rsid w:val="000E20A0"/>
    <w:rsid w:val="000E41EA"/>
    <w:rsid w:val="000E4907"/>
    <w:rsid w:val="000E4C54"/>
    <w:rsid w:val="000E6467"/>
    <w:rsid w:val="000E66C3"/>
    <w:rsid w:val="000E727D"/>
    <w:rsid w:val="000E7901"/>
    <w:rsid w:val="000F0B32"/>
    <w:rsid w:val="000F15F8"/>
    <w:rsid w:val="000F19AB"/>
    <w:rsid w:val="000F20CF"/>
    <w:rsid w:val="000F4E25"/>
    <w:rsid w:val="000F53A4"/>
    <w:rsid w:val="000F6233"/>
    <w:rsid w:val="000F7E39"/>
    <w:rsid w:val="00102127"/>
    <w:rsid w:val="00102BF9"/>
    <w:rsid w:val="00104E2F"/>
    <w:rsid w:val="001076F0"/>
    <w:rsid w:val="001103FA"/>
    <w:rsid w:val="00111B5C"/>
    <w:rsid w:val="00112F64"/>
    <w:rsid w:val="00113863"/>
    <w:rsid w:val="001139C9"/>
    <w:rsid w:val="00114642"/>
    <w:rsid w:val="00114FA3"/>
    <w:rsid w:val="00117239"/>
    <w:rsid w:val="00120259"/>
    <w:rsid w:val="00120C3E"/>
    <w:rsid w:val="00121859"/>
    <w:rsid w:val="00124958"/>
    <w:rsid w:val="00126071"/>
    <w:rsid w:val="001260FC"/>
    <w:rsid w:val="00126B66"/>
    <w:rsid w:val="00131DC3"/>
    <w:rsid w:val="00132E48"/>
    <w:rsid w:val="00133980"/>
    <w:rsid w:val="00133999"/>
    <w:rsid w:val="00135B3C"/>
    <w:rsid w:val="00135D7A"/>
    <w:rsid w:val="00135E4C"/>
    <w:rsid w:val="00136016"/>
    <w:rsid w:val="0013681B"/>
    <w:rsid w:val="00136FBB"/>
    <w:rsid w:val="001373F5"/>
    <w:rsid w:val="00137B0A"/>
    <w:rsid w:val="0014262E"/>
    <w:rsid w:val="001427CA"/>
    <w:rsid w:val="00142E9A"/>
    <w:rsid w:val="00145F89"/>
    <w:rsid w:val="00150070"/>
    <w:rsid w:val="0015007C"/>
    <w:rsid w:val="001515FD"/>
    <w:rsid w:val="00151FA7"/>
    <w:rsid w:val="001532A9"/>
    <w:rsid w:val="0015396D"/>
    <w:rsid w:val="00153D5D"/>
    <w:rsid w:val="0015460A"/>
    <w:rsid w:val="001546C1"/>
    <w:rsid w:val="00154B85"/>
    <w:rsid w:val="001550FE"/>
    <w:rsid w:val="00155AE8"/>
    <w:rsid w:val="00156507"/>
    <w:rsid w:val="001574C0"/>
    <w:rsid w:val="0016058E"/>
    <w:rsid w:val="001606CF"/>
    <w:rsid w:val="00160A3B"/>
    <w:rsid w:val="0016128D"/>
    <w:rsid w:val="00163252"/>
    <w:rsid w:val="00164599"/>
    <w:rsid w:val="00164E03"/>
    <w:rsid w:val="00165C2A"/>
    <w:rsid w:val="00166D35"/>
    <w:rsid w:val="0016780C"/>
    <w:rsid w:val="00167ED0"/>
    <w:rsid w:val="0017089D"/>
    <w:rsid w:val="00170D8F"/>
    <w:rsid w:val="0017389A"/>
    <w:rsid w:val="00173D4A"/>
    <w:rsid w:val="00174B5D"/>
    <w:rsid w:val="00174F48"/>
    <w:rsid w:val="0017562F"/>
    <w:rsid w:val="001758EA"/>
    <w:rsid w:val="001765A6"/>
    <w:rsid w:val="00176C84"/>
    <w:rsid w:val="00180145"/>
    <w:rsid w:val="001805A8"/>
    <w:rsid w:val="00180A8A"/>
    <w:rsid w:val="00180B58"/>
    <w:rsid w:val="00180E16"/>
    <w:rsid w:val="0018175D"/>
    <w:rsid w:val="00181AC0"/>
    <w:rsid w:val="001821BA"/>
    <w:rsid w:val="00182669"/>
    <w:rsid w:val="00182FE0"/>
    <w:rsid w:val="00183AF2"/>
    <w:rsid w:val="00185840"/>
    <w:rsid w:val="0018585F"/>
    <w:rsid w:val="001870F4"/>
    <w:rsid w:val="001876DA"/>
    <w:rsid w:val="0019101A"/>
    <w:rsid w:val="00191CFE"/>
    <w:rsid w:val="00195C8E"/>
    <w:rsid w:val="00195CBF"/>
    <w:rsid w:val="001972D2"/>
    <w:rsid w:val="001A032D"/>
    <w:rsid w:val="001A2968"/>
    <w:rsid w:val="001A333F"/>
    <w:rsid w:val="001A3E33"/>
    <w:rsid w:val="001A4F1F"/>
    <w:rsid w:val="001A6D12"/>
    <w:rsid w:val="001B0524"/>
    <w:rsid w:val="001B1807"/>
    <w:rsid w:val="001B1C64"/>
    <w:rsid w:val="001B393C"/>
    <w:rsid w:val="001C10EA"/>
    <w:rsid w:val="001C1147"/>
    <w:rsid w:val="001C11F0"/>
    <w:rsid w:val="001C1B84"/>
    <w:rsid w:val="001C1E3A"/>
    <w:rsid w:val="001C22C9"/>
    <w:rsid w:val="001C2AA0"/>
    <w:rsid w:val="001C2D12"/>
    <w:rsid w:val="001C358D"/>
    <w:rsid w:val="001C3C0B"/>
    <w:rsid w:val="001C40A0"/>
    <w:rsid w:val="001C4AD8"/>
    <w:rsid w:val="001C4D01"/>
    <w:rsid w:val="001C60C9"/>
    <w:rsid w:val="001C762E"/>
    <w:rsid w:val="001C768D"/>
    <w:rsid w:val="001D1815"/>
    <w:rsid w:val="001D24E1"/>
    <w:rsid w:val="001D3D3F"/>
    <w:rsid w:val="001D4C07"/>
    <w:rsid w:val="001D6C96"/>
    <w:rsid w:val="001E0C01"/>
    <w:rsid w:val="001E18F6"/>
    <w:rsid w:val="001E2B51"/>
    <w:rsid w:val="001E60EC"/>
    <w:rsid w:val="001E6FD8"/>
    <w:rsid w:val="001E7A2B"/>
    <w:rsid w:val="001F1B27"/>
    <w:rsid w:val="001F536A"/>
    <w:rsid w:val="001F5A71"/>
    <w:rsid w:val="001F68F7"/>
    <w:rsid w:val="00200272"/>
    <w:rsid w:val="00200DE4"/>
    <w:rsid w:val="002019AE"/>
    <w:rsid w:val="00201D6D"/>
    <w:rsid w:val="002058F8"/>
    <w:rsid w:val="00206265"/>
    <w:rsid w:val="00206C1E"/>
    <w:rsid w:val="00207D2C"/>
    <w:rsid w:val="00211045"/>
    <w:rsid w:val="00211B85"/>
    <w:rsid w:val="002129E4"/>
    <w:rsid w:val="00212D00"/>
    <w:rsid w:val="0021522A"/>
    <w:rsid w:val="0021554E"/>
    <w:rsid w:val="00216C1F"/>
    <w:rsid w:val="002177DD"/>
    <w:rsid w:val="0022085C"/>
    <w:rsid w:val="00221EC0"/>
    <w:rsid w:val="002221D0"/>
    <w:rsid w:val="0022506D"/>
    <w:rsid w:val="00225420"/>
    <w:rsid w:val="00225489"/>
    <w:rsid w:val="0022760D"/>
    <w:rsid w:val="002308CB"/>
    <w:rsid w:val="00230EBF"/>
    <w:rsid w:val="00231049"/>
    <w:rsid w:val="002314D2"/>
    <w:rsid w:val="0023300F"/>
    <w:rsid w:val="0023305C"/>
    <w:rsid w:val="00233FD8"/>
    <w:rsid w:val="00234634"/>
    <w:rsid w:val="00234E09"/>
    <w:rsid w:val="00236D16"/>
    <w:rsid w:val="002376F1"/>
    <w:rsid w:val="0024048B"/>
    <w:rsid w:val="002413D2"/>
    <w:rsid w:val="00241881"/>
    <w:rsid w:val="00241B3E"/>
    <w:rsid w:val="002420E3"/>
    <w:rsid w:val="002422CE"/>
    <w:rsid w:val="0024294C"/>
    <w:rsid w:val="002437D1"/>
    <w:rsid w:val="002453A7"/>
    <w:rsid w:val="002461BA"/>
    <w:rsid w:val="00246664"/>
    <w:rsid w:val="00247857"/>
    <w:rsid w:val="002525B3"/>
    <w:rsid w:val="002543D8"/>
    <w:rsid w:val="0025652F"/>
    <w:rsid w:val="0026051D"/>
    <w:rsid w:val="002608F1"/>
    <w:rsid w:val="00261DD0"/>
    <w:rsid w:val="00263B6C"/>
    <w:rsid w:val="00264697"/>
    <w:rsid w:val="002646D4"/>
    <w:rsid w:val="00265E9F"/>
    <w:rsid w:val="0026658B"/>
    <w:rsid w:val="002675CF"/>
    <w:rsid w:val="0026761B"/>
    <w:rsid w:val="00272939"/>
    <w:rsid w:val="002741C8"/>
    <w:rsid w:val="00274FF0"/>
    <w:rsid w:val="0027590B"/>
    <w:rsid w:val="00275ECE"/>
    <w:rsid w:val="002772E0"/>
    <w:rsid w:val="00283181"/>
    <w:rsid w:val="0028426B"/>
    <w:rsid w:val="0028562F"/>
    <w:rsid w:val="00285969"/>
    <w:rsid w:val="00291C13"/>
    <w:rsid w:val="002956EA"/>
    <w:rsid w:val="00295B30"/>
    <w:rsid w:val="00296286"/>
    <w:rsid w:val="00296963"/>
    <w:rsid w:val="00296BB1"/>
    <w:rsid w:val="002A130F"/>
    <w:rsid w:val="002A1D92"/>
    <w:rsid w:val="002A25B8"/>
    <w:rsid w:val="002A46EF"/>
    <w:rsid w:val="002A4975"/>
    <w:rsid w:val="002A74EF"/>
    <w:rsid w:val="002A7A31"/>
    <w:rsid w:val="002A7B88"/>
    <w:rsid w:val="002A7DA0"/>
    <w:rsid w:val="002A7E94"/>
    <w:rsid w:val="002B041B"/>
    <w:rsid w:val="002B11B5"/>
    <w:rsid w:val="002B2020"/>
    <w:rsid w:val="002B3829"/>
    <w:rsid w:val="002B5B76"/>
    <w:rsid w:val="002B69DC"/>
    <w:rsid w:val="002C1B12"/>
    <w:rsid w:val="002C22EF"/>
    <w:rsid w:val="002C5047"/>
    <w:rsid w:val="002C5680"/>
    <w:rsid w:val="002C7874"/>
    <w:rsid w:val="002C7937"/>
    <w:rsid w:val="002D3674"/>
    <w:rsid w:val="002D6322"/>
    <w:rsid w:val="002D66EA"/>
    <w:rsid w:val="002D6BC9"/>
    <w:rsid w:val="002E143E"/>
    <w:rsid w:val="002E1FB6"/>
    <w:rsid w:val="002E31C6"/>
    <w:rsid w:val="002E454C"/>
    <w:rsid w:val="002E5D2F"/>
    <w:rsid w:val="002E7F08"/>
    <w:rsid w:val="002F26A5"/>
    <w:rsid w:val="002F27B9"/>
    <w:rsid w:val="002F4A22"/>
    <w:rsid w:val="002F4B73"/>
    <w:rsid w:val="002F617F"/>
    <w:rsid w:val="002F7332"/>
    <w:rsid w:val="002F7EEE"/>
    <w:rsid w:val="00300109"/>
    <w:rsid w:val="00301755"/>
    <w:rsid w:val="00303029"/>
    <w:rsid w:val="00303164"/>
    <w:rsid w:val="00304A6A"/>
    <w:rsid w:val="0030665E"/>
    <w:rsid w:val="00306894"/>
    <w:rsid w:val="00306B40"/>
    <w:rsid w:val="00307021"/>
    <w:rsid w:val="003074FE"/>
    <w:rsid w:val="00307B77"/>
    <w:rsid w:val="003103FC"/>
    <w:rsid w:val="00310565"/>
    <w:rsid w:val="00311632"/>
    <w:rsid w:val="00311D00"/>
    <w:rsid w:val="00312167"/>
    <w:rsid w:val="003122F4"/>
    <w:rsid w:val="00312522"/>
    <w:rsid w:val="00312881"/>
    <w:rsid w:val="00312A95"/>
    <w:rsid w:val="0031353E"/>
    <w:rsid w:val="00314304"/>
    <w:rsid w:val="00315325"/>
    <w:rsid w:val="00315CCA"/>
    <w:rsid w:val="00316979"/>
    <w:rsid w:val="00316CE9"/>
    <w:rsid w:val="003204AA"/>
    <w:rsid w:val="00320BFB"/>
    <w:rsid w:val="00321AD4"/>
    <w:rsid w:val="003232F6"/>
    <w:rsid w:val="00323487"/>
    <w:rsid w:val="00323A93"/>
    <w:rsid w:val="00324FA2"/>
    <w:rsid w:val="003256DC"/>
    <w:rsid w:val="00325AC0"/>
    <w:rsid w:val="003264D4"/>
    <w:rsid w:val="0032657B"/>
    <w:rsid w:val="003268D5"/>
    <w:rsid w:val="00326BD5"/>
    <w:rsid w:val="00327555"/>
    <w:rsid w:val="00331897"/>
    <w:rsid w:val="00332D78"/>
    <w:rsid w:val="00334176"/>
    <w:rsid w:val="0033559D"/>
    <w:rsid w:val="00336292"/>
    <w:rsid w:val="0033755F"/>
    <w:rsid w:val="003428C3"/>
    <w:rsid w:val="00343380"/>
    <w:rsid w:val="00344051"/>
    <w:rsid w:val="00344147"/>
    <w:rsid w:val="00344382"/>
    <w:rsid w:val="003446D2"/>
    <w:rsid w:val="003448F6"/>
    <w:rsid w:val="003502F3"/>
    <w:rsid w:val="00350388"/>
    <w:rsid w:val="00350759"/>
    <w:rsid w:val="00350A08"/>
    <w:rsid w:val="00353478"/>
    <w:rsid w:val="00354D27"/>
    <w:rsid w:val="00355422"/>
    <w:rsid w:val="00356AE0"/>
    <w:rsid w:val="0035738A"/>
    <w:rsid w:val="0035752A"/>
    <w:rsid w:val="00357745"/>
    <w:rsid w:val="00357904"/>
    <w:rsid w:val="00357E8F"/>
    <w:rsid w:val="00360D51"/>
    <w:rsid w:val="00360E4B"/>
    <w:rsid w:val="003629AF"/>
    <w:rsid w:val="00364EB3"/>
    <w:rsid w:val="003667E1"/>
    <w:rsid w:val="00366DE0"/>
    <w:rsid w:val="00366EB7"/>
    <w:rsid w:val="003702EC"/>
    <w:rsid w:val="003709A7"/>
    <w:rsid w:val="00371544"/>
    <w:rsid w:val="00372E94"/>
    <w:rsid w:val="00374214"/>
    <w:rsid w:val="003744B0"/>
    <w:rsid w:val="0037487E"/>
    <w:rsid w:val="00375655"/>
    <w:rsid w:val="00377479"/>
    <w:rsid w:val="0037767E"/>
    <w:rsid w:val="00377F9E"/>
    <w:rsid w:val="00381621"/>
    <w:rsid w:val="00382763"/>
    <w:rsid w:val="003858A6"/>
    <w:rsid w:val="00386F13"/>
    <w:rsid w:val="0038747E"/>
    <w:rsid w:val="0039094D"/>
    <w:rsid w:val="0039150C"/>
    <w:rsid w:val="00391AE4"/>
    <w:rsid w:val="00391C32"/>
    <w:rsid w:val="003925C6"/>
    <w:rsid w:val="00392DCC"/>
    <w:rsid w:val="00393EC4"/>
    <w:rsid w:val="00393FF1"/>
    <w:rsid w:val="003941EF"/>
    <w:rsid w:val="00397BB5"/>
    <w:rsid w:val="00397DB1"/>
    <w:rsid w:val="003A1F1C"/>
    <w:rsid w:val="003A37FF"/>
    <w:rsid w:val="003A383A"/>
    <w:rsid w:val="003A46C1"/>
    <w:rsid w:val="003A5B36"/>
    <w:rsid w:val="003A6A24"/>
    <w:rsid w:val="003A7DD4"/>
    <w:rsid w:val="003A7DDA"/>
    <w:rsid w:val="003B50AD"/>
    <w:rsid w:val="003B6903"/>
    <w:rsid w:val="003B698E"/>
    <w:rsid w:val="003B6C78"/>
    <w:rsid w:val="003C17EE"/>
    <w:rsid w:val="003C24B4"/>
    <w:rsid w:val="003C27A1"/>
    <w:rsid w:val="003C2830"/>
    <w:rsid w:val="003C367F"/>
    <w:rsid w:val="003C3B7B"/>
    <w:rsid w:val="003C4617"/>
    <w:rsid w:val="003C46BD"/>
    <w:rsid w:val="003C576D"/>
    <w:rsid w:val="003C6534"/>
    <w:rsid w:val="003C6D24"/>
    <w:rsid w:val="003C7019"/>
    <w:rsid w:val="003D2FA0"/>
    <w:rsid w:val="003D30DD"/>
    <w:rsid w:val="003D3668"/>
    <w:rsid w:val="003D3D82"/>
    <w:rsid w:val="003D3E3F"/>
    <w:rsid w:val="003D57C4"/>
    <w:rsid w:val="003D57DF"/>
    <w:rsid w:val="003D67F1"/>
    <w:rsid w:val="003D6FD7"/>
    <w:rsid w:val="003D76DB"/>
    <w:rsid w:val="003E01DE"/>
    <w:rsid w:val="003E079B"/>
    <w:rsid w:val="003E108D"/>
    <w:rsid w:val="003E1508"/>
    <w:rsid w:val="003E20D6"/>
    <w:rsid w:val="003E2B04"/>
    <w:rsid w:val="003E2FA3"/>
    <w:rsid w:val="003E4444"/>
    <w:rsid w:val="003E4BB2"/>
    <w:rsid w:val="003E4D87"/>
    <w:rsid w:val="003E69FF"/>
    <w:rsid w:val="003E6ABF"/>
    <w:rsid w:val="003F101C"/>
    <w:rsid w:val="003F3890"/>
    <w:rsid w:val="003F518B"/>
    <w:rsid w:val="003F598C"/>
    <w:rsid w:val="00401082"/>
    <w:rsid w:val="00403D6D"/>
    <w:rsid w:val="004043AE"/>
    <w:rsid w:val="00404795"/>
    <w:rsid w:val="00406FBA"/>
    <w:rsid w:val="0040723E"/>
    <w:rsid w:val="004077C5"/>
    <w:rsid w:val="00407BEF"/>
    <w:rsid w:val="00410124"/>
    <w:rsid w:val="00410819"/>
    <w:rsid w:val="00411D36"/>
    <w:rsid w:val="00412369"/>
    <w:rsid w:val="0041239D"/>
    <w:rsid w:val="00412D58"/>
    <w:rsid w:val="00413BC6"/>
    <w:rsid w:val="00414743"/>
    <w:rsid w:val="00414C18"/>
    <w:rsid w:val="004162F6"/>
    <w:rsid w:val="00416412"/>
    <w:rsid w:val="00416503"/>
    <w:rsid w:val="0041670F"/>
    <w:rsid w:val="00416762"/>
    <w:rsid w:val="00416E55"/>
    <w:rsid w:val="004179FA"/>
    <w:rsid w:val="0042181E"/>
    <w:rsid w:val="00421955"/>
    <w:rsid w:val="00421EA9"/>
    <w:rsid w:val="004233EB"/>
    <w:rsid w:val="004236FC"/>
    <w:rsid w:val="0042518A"/>
    <w:rsid w:val="004257AB"/>
    <w:rsid w:val="00427520"/>
    <w:rsid w:val="004276A0"/>
    <w:rsid w:val="004278CE"/>
    <w:rsid w:val="00427AC2"/>
    <w:rsid w:val="00430F55"/>
    <w:rsid w:val="00433E8E"/>
    <w:rsid w:val="00433E97"/>
    <w:rsid w:val="00437EE9"/>
    <w:rsid w:val="0044056C"/>
    <w:rsid w:val="00440717"/>
    <w:rsid w:val="00440A4C"/>
    <w:rsid w:val="00440B1E"/>
    <w:rsid w:val="0044107B"/>
    <w:rsid w:val="004410E7"/>
    <w:rsid w:val="004416EF"/>
    <w:rsid w:val="00442128"/>
    <w:rsid w:val="00442E30"/>
    <w:rsid w:val="00444A63"/>
    <w:rsid w:val="00445265"/>
    <w:rsid w:val="004459C8"/>
    <w:rsid w:val="00445F08"/>
    <w:rsid w:val="004464CF"/>
    <w:rsid w:val="0044692D"/>
    <w:rsid w:val="00446E8E"/>
    <w:rsid w:val="00450458"/>
    <w:rsid w:val="00450D35"/>
    <w:rsid w:val="00450F89"/>
    <w:rsid w:val="00452D92"/>
    <w:rsid w:val="004549B5"/>
    <w:rsid w:val="004559CE"/>
    <w:rsid w:val="004562F4"/>
    <w:rsid w:val="00456FA8"/>
    <w:rsid w:val="00457809"/>
    <w:rsid w:val="00460E1A"/>
    <w:rsid w:val="00462BBC"/>
    <w:rsid w:val="00463530"/>
    <w:rsid w:val="00463843"/>
    <w:rsid w:val="00463ABC"/>
    <w:rsid w:val="00463DF8"/>
    <w:rsid w:val="00464A5D"/>
    <w:rsid w:val="0047121E"/>
    <w:rsid w:val="004728BC"/>
    <w:rsid w:val="004741D1"/>
    <w:rsid w:val="00475085"/>
    <w:rsid w:val="00475BC8"/>
    <w:rsid w:val="00476B51"/>
    <w:rsid w:val="00476CF6"/>
    <w:rsid w:val="00477AA8"/>
    <w:rsid w:val="00477BE0"/>
    <w:rsid w:val="0048420C"/>
    <w:rsid w:val="004852FC"/>
    <w:rsid w:val="004900F1"/>
    <w:rsid w:val="00490F9B"/>
    <w:rsid w:val="00492FCB"/>
    <w:rsid w:val="004939C6"/>
    <w:rsid w:val="0049674A"/>
    <w:rsid w:val="0049759A"/>
    <w:rsid w:val="00497780"/>
    <w:rsid w:val="0049778D"/>
    <w:rsid w:val="00497F86"/>
    <w:rsid w:val="004A0F11"/>
    <w:rsid w:val="004A3EAA"/>
    <w:rsid w:val="004A4FD6"/>
    <w:rsid w:val="004A7D97"/>
    <w:rsid w:val="004B063A"/>
    <w:rsid w:val="004B0B4F"/>
    <w:rsid w:val="004B215C"/>
    <w:rsid w:val="004B2A9F"/>
    <w:rsid w:val="004B2B09"/>
    <w:rsid w:val="004B4C42"/>
    <w:rsid w:val="004B5133"/>
    <w:rsid w:val="004B613B"/>
    <w:rsid w:val="004B6561"/>
    <w:rsid w:val="004B75D7"/>
    <w:rsid w:val="004C1EE2"/>
    <w:rsid w:val="004C2902"/>
    <w:rsid w:val="004C303E"/>
    <w:rsid w:val="004C41B6"/>
    <w:rsid w:val="004C42F1"/>
    <w:rsid w:val="004C577B"/>
    <w:rsid w:val="004C5A05"/>
    <w:rsid w:val="004C6DC9"/>
    <w:rsid w:val="004C6FC8"/>
    <w:rsid w:val="004C7492"/>
    <w:rsid w:val="004D09DD"/>
    <w:rsid w:val="004D1877"/>
    <w:rsid w:val="004D245F"/>
    <w:rsid w:val="004D6E37"/>
    <w:rsid w:val="004D70EE"/>
    <w:rsid w:val="004D7DC3"/>
    <w:rsid w:val="004E00EA"/>
    <w:rsid w:val="004E1957"/>
    <w:rsid w:val="004E25D0"/>
    <w:rsid w:val="004E2C1F"/>
    <w:rsid w:val="004E4A4B"/>
    <w:rsid w:val="004E6704"/>
    <w:rsid w:val="004E6ABC"/>
    <w:rsid w:val="004E6B14"/>
    <w:rsid w:val="004E7982"/>
    <w:rsid w:val="004F0013"/>
    <w:rsid w:val="004F1DC8"/>
    <w:rsid w:val="004F2684"/>
    <w:rsid w:val="004F328C"/>
    <w:rsid w:val="004F3CC2"/>
    <w:rsid w:val="004F4B92"/>
    <w:rsid w:val="004F5942"/>
    <w:rsid w:val="004F5BBB"/>
    <w:rsid w:val="004F77F8"/>
    <w:rsid w:val="00501B6C"/>
    <w:rsid w:val="00501CD0"/>
    <w:rsid w:val="00502A06"/>
    <w:rsid w:val="00502A9D"/>
    <w:rsid w:val="00503B7E"/>
    <w:rsid w:val="00503C49"/>
    <w:rsid w:val="00503EE4"/>
    <w:rsid w:val="005040F4"/>
    <w:rsid w:val="00506C00"/>
    <w:rsid w:val="005076FD"/>
    <w:rsid w:val="00512678"/>
    <w:rsid w:val="00513216"/>
    <w:rsid w:val="005153AC"/>
    <w:rsid w:val="00515ADF"/>
    <w:rsid w:val="005164B4"/>
    <w:rsid w:val="00516785"/>
    <w:rsid w:val="00516DE7"/>
    <w:rsid w:val="005173F5"/>
    <w:rsid w:val="00521AF3"/>
    <w:rsid w:val="00523FCE"/>
    <w:rsid w:val="0052419D"/>
    <w:rsid w:val="00525090"/>
    <w:rsid w:val="005263B9"/>
    <w:rsid w:val="00526D7C"/>
    <w:rsid w:val="0052720B"/>
    <w:rsid w:val="0053011C"/>
    <w:rsid w:val="005301F8"/>
    <w:rsid w:val="005312FC"/>
    <w:rsid w:val="00531C38"/>
    <w:rsid w:val="00532C6D"/>
    <w:rsid w:val="005334A7"/>
    <w:rsid w:val="00534F9C"/>
    <w:rsid w:val="0053569E"/>
    <w:rsid w:val="0053603D"/>
    <w:rsid w:val="0053742A"/>
    <w:rsid w:val="00537C85"/>
    <w:rsid w:val="00541396"/>
    <w:rsid w:val="00541D29"/>
    <w:rsid w:val="00543F23"/>
    <w:rsid w:val="005455D8"/>
    <w:rsid w:val="00550B9C"/>
    <w:rsid w:val="0055176E"/>
    <w:rsid w:val="00552294"/>
    <w:rsid w:val="00553550"/>
    <w:rsid w:val="00556163"/>
    <w:rsid w:val="00556915"/>
    <w:rsid w:val="00561188"/>
    <w:rsid w:val="005622C7"/>
    <w:rsid w:val="0056288B"/>
    <w:rsid w:val="00562F17"/>
    <w:rsid w:val="00563A5B"/>
    <w:rsid w:val="00565035"/>
    <w:rsid w:val="00565232"/>
    <w:rsid w:val="0056582C"/>
    <w:rsid w:val="005703C9"/>
    <w:rsid w:val="00571360"/>
    <w:rsid w:val="005736BB"/>
    <w:rsid w:val="005757AD"/>
    <w:rsid w:val="00577281"/>
    <w:rsid w:val="005776B2"/>
    <w:rsid w:val="00581471"/>
    <w:rsid w:val="0058168F"/>
    <w:rsid w:val="00582567"/>
    <w:rsid w:val="00582B75"/>
    <w:rsid w:val="00583604"/>
    <w:rsid w:val="005840E8"/>
    <w:rsid w:val="00584880"/>
    <w:rsid w:val="00584F99"/>
    <w:rsid w:val="00585739"/>
    <w:rsid w:val="00586605"/>
    <w:rsid w:val="005868DE"/>
    <w:rsid w:val="00586A47"/>
    <w:rsid w:val="005877AC"/>
    <w:rsid w:val="00590C09"/>
    <w:rsid w:val="00590C79"/>
    <w:rsid w:val="00590FF8"/>
    <w:rsid w:val="00591775"/>
    <w:rsid w:val="00591BB8"/>
    <w:rsid w:val="005930D5"/>
    <w:rsid w:val="005934A2"/>
    <w:rsid w:val="00593E39"/>
    <w:rsid w:val="005941F2"/>
    <w:rsid w:val="00594366"/>
    <w:rsid w:val="00596452"/>
    <w:rsid w:val="005966B7"/>
    <w:rsid w:val="00596728"/>
    <w:rsid w:val="005A1A52"/>
    <w:rsid w:val="005A3A57"/>
    <w:rsid w:val="005A3D51"/>
    <w:rsid w:val="005A468F"/>
    <w:rsid w:val="005A5DA4"/>
    <w:rsid w:val="005A5ECB"/>
    <w:rsid w:val="005B3214"/>
    <w:rsid w:val="005B3ADE"/>
    <w:rsid w:val="005B3E7D"/>
    <w:rsid w:val="005B4A7F"/>
    <w:rsid w:val="005B5E2A"/>
    <w:rsid w:val="005C02A4"/>
    <w:rsid w:val="005C1B51"/>
    <w:rsid w:val="005C1EC0"/>
    <w:rsid w:val="005C20D2"/>
    <w:rsid w:val="005C272E"/>
    <w:rsid w:val="005C32FE"/>
    <w:rsid w:val="005C459F"/>
    <w:rsid w:val="005C46F3"/>
    <w:rsid w:val="005C503A"/>
    <w:rsid w:val="005C5200"/>
    <w:rsid w:val="005C5571"/>
    <w:rsid w:val="005C7336"/>
    <w:rsid w:val="005D024A"/>
    <w:rsid w:val="005D0B86"/>
    <w:rsid w:val="005D2124"/>
    <w:rsid w:val="005D33A7"/>
    <w:rsid w:val="005D3480"/>
    <w:rsid w:val="005D4FD4"/>
    <w:rsid w:val="005D50F2"/>
    <w:rsid w:val="005D6D64"/>
    <w:rsid w:val="005E0B17"/>
    <w:rsid w:val="005E0C73"/>
    <w:rsid w:val="005E0CB7"/>
    <w:rsid w:val="005E1D2B"/>
    <w:rsid w:val="005E2C9D"/>
    <w:rsid w:val="005E46BB"/>
    <w:rsid w:val="005E4DDF"/>
    <w:rsid w:val="005E716D"/>
    <w:rsid w:val="005F28A0"/>
    <w:rsid w:val="005F33FD"/>
    <w:rsid w:val="005F42FC"/>
    <w:rsid w:val="00601650"/>
    <w:rsid w:val="00601C6E"/>
    <w:rsid w:val="00602F39"/>
    <w:rsid w:val="00603D0C"/>
    <w:rsid w:val="00603FFB"/>
    <w:rsid w:val="00604176"/>
    <w:rsid w:val="00604EEF"/>
    <w:rsid w:val="006057D2"/>
    <w:rsid w:val="00605AFD"/>
    <w:rsid w:val="006061FB"/>
    <w:rsid w:val="00610747"/>
    <w:rsid w:val="00611705"/>
    <w:rsid w:val="00611E95"/>
    <w:rsid w:val="00611F76"/>
    <w:rsid w:val="006123D4"/>
    <w:rsid w:val="006137E2"/>
    <w:rsid w:val="006140EB"/>
    <w:rsid w:val="0061445B"/>
    <w:rsid w:val="00620F96"/>
    <w:rsid w:val="00621FA1"/>
    <w:rsid w:val="0062360A"/>
    <w:rsid w:val="00624C4B"/>
    <w:rsid w:val="00624FDB"/>
    <w:rsid w:val="00625DF5"/>
    <w:rsid w:val="00630F8D"/>
    <w:rsid w:val="00631846"/>
    <w:rsid w:val="00632A24"/>
    <w:rsid w:val="00634302"/>
    <w:rsid w:val="0063470B"/>
    <w:rsid w:val="00634E54"/>
    <w:rsid w:val="0063515B"/>
    <w:rsid w:val="0063616C"/>
    <w:rsid w:val="00636E3F"/>
    <w:rsid w:val="006371C6"/>
    <w:rsid w:val="006376E4"/>
    <w:rsid w:val="00641436"/>
    <w:rsid w:val="006420A8"/>
    <w:rsid w:val="00642178"/>
    <w:rsid w:val="00645AC3"/>
    <w:rsid w:val="006469CC"/>
    <w:rsid w:val="00647692"/>
    <w:rsid w:val="00651145"/>
    <w:rsid w:val="006513A5"/>
    <w:rsid w:val="00651903"/>
    <w:rsid w:val="00654CFB"/>
    <w:rsid w:val="006572BF"/>
    <w:rsid w:val="00657DF9"/>
    <w:rsid w:val="00661298"/>
    <w:rsid w:val="00661E2A"/>
    <w:rsid w:val="00663B51"/>
    <w:rsid w:val="00664371"/>
    <w:rsid w:val="006677AC"/>
    <w:rsid w:val="00670FAC"/>
    <w:rsid w:val="00672B5D"/>
    <w:rsid w:val="0067399C"/>
    <w:rsid w:val="006759F6"/>
    <w:rsid w:val="0067622C"/>
    <w:rsid w:val="006773D9"/>
    <w:rsid w:val="00677432"/>
    <w:rsid w:val="0067754D"/>
    <w:rsid w:val="00677615"/>
    <w:rsid w:val="006812FC"/>
    <w:rsid w:val="006814C9"/>
    <w:rsid w:val="00682249"/>
    <w:rsid w:val="006830C0"/>
    <w:rsid w:val="00683C8F"/>
    <w:rsid w:val="00684AB8"/>
    <w:rsid w:val="00684B85"/>
    <w:rsid w:val="0068535C"/>
    <w:rsid w:val="00685CF7"/>
    <w:rsid w:val="00685DBE"/>
    <w:rsid w:val="00686165"/>
    <w:rsid w:val="00690AD7"/>
    <w:rsid w:val="006911E2"/>
    <w:rsid w:val="00691CB5"/>
    <w:rsid w:val="006923DF"/>
    <w:rsid w:val="00693536"/>
    <w:rsid w:val="00694BF4"/>
    <w:rsid w:val="00697734"/>
    <w:rsid w:val="006A11DC"/>
    <w:rsid w:val="006A22A8"/>
    <w:rsid w:val="006A37F5"/>
    <w:rsid w:val="006A627A"/>
    <w:rsid w:val="006A64DC"/>
    <w:rsid w:val="006A660E"/>
    <w:rsid w:val="006A6E81"/>
    <w:rsid w:val="006A77DA"/>
    <w:rsid w:val="006B0A1F"/>
    <w:rsid w:val="006B2908"/>
    <w:rsid w:val="006B2EAB"/>
    <w:rsid w:val="006B35E5"/>
    <w:rsid w:val="006B38FF"/>
    <w:rsid w:val="006B4F23"/>
    <w:rsid w:val="006B7465"/>
    <w:rsid w:val="006C0001"/>
    <w:rsid w:val="006C016F"/>
    <w:rsid w:val="006C1892"/>
    <w:rsid w:val="006C495A"/>
    <w:rsid w:val="006C5264"/>
    <w:rsid w:val="006C5B73"/>
    <w:rsid w:val="006C645D"/>
    <w:rsid w:val="006C659D"/>
    <w:rsid w:val="006C69A7"/>
    <w:rsid w:val="006C7590"/>
    <w:rsid w:val="006C7961"/>
    <w:rsid w:val="006C7BFE"/>
    <w:rsid w:val="006D06E9"/>
    <w:rsid w:val="006D07F5"/>
    <w:rsid w:val="006D1DFF"/>
    <w:rsid w:val="006D50E9"/>
    <w:rsid w:val="006D64C9"/>
    <w:rsid w:val="006E03B9"/>
    <w:rsid w:val="006E080F"/>
    <w:rsid w:val="006E2D2A"/>
    <w:rsid w:val="006E31D6"/>
    <w:rsid w:val="006E3CC3"/>
    <w:rsid w:val="006E4A0D"/>
    <w:rsid w:val="006F00B1"/>
    <w:rsid w:val="006F07C5"/>
    <w:rsid w:val="006F2D92"/>
    <w:rsid w:val="006F31B2"/>
    <w:rsid w:val="006F4FD9"/>
    <w:rsid w:val="006F58DD"/>
    <w:rsid w:val="006F741F"/>
    <w:rsid w:val="007003AC"/>
    <w:rsid w:val="007034AC"/>
    <w:rsid w:val="00704F7D"/>
    <w:rsid w:val="00705233"/>
    <w:rsid w:val="00705B34"/>
    <w:rsid w:val="00706E8E"/>
    <w:rsid w:val="007078BC"/>
    <w:rsid w:val="00710A0F"/>
    <w:rsid w:val="0071305C"/>
    <w:rsid w:val="0071589D"/>
    <w:rsid w:val="00716185"/>
    <w:rsid w:val="00717989"/>
    <w:rsid w:val="007208DB"/>
    <w:rsid w:val="007210B4"/>
    <w:rsid w:val="007223B8"/>
    <w:rsid w:val="00722B53"/>
    <w:rsid w:val="00723C1A"/>
    <w:rsid w:val="00724C6A"/>
    <w:rsid w:val="00726068"/>
    <w:rsid w:val="00726139"/>
    <w:rsid w:val="007275BC"/>
    <w:rsid w:val="00730E95"/>
    <w:rsid w:val="007310C0"/>
    <w:rsid w:val="00732C53"/>
    <w:rsid w:val="00733A5E"/>
    <w:rsid w:val="00736B50"/>
    <w:rsid w:val="00740E53"/>
    <w:rsid w:val="00742366"/>
    <w:rsid w:val="00742AAD"/>
    <w:rsid w:val="00744484"/>
    <w:rsid w:val="0074489F"/>
    <w:rsid w:val="007451BB"/>
    <w:rsid w:val="007462D5"/>
    <w:rsid w:val="00746A37"/>
    <w:rsid w:val="0074727D"/>
    <w:rsid w:val="00747EE3"/>
    <w:rsid w:val="007509DD"/>
    <w:rsid w:val="00750A1A"/>
    <w:rsid w:val="007528B4"/>
    <w:rsid w:val="00752EA2"/>
    <w:rsid w:val="007532FA"/>
    <w:rsid w:val="00753AAE"/>
    <w:rsid w:val="007545BF"/>
    <w:rsid w:val="007548B5"/>
    <w:rsid w:val="00763474"/>
    <w:rsid w:val="00763C56"/>
    <w:rsid w:val="00764971"/>
    <w:rsid w:val="00766184"/>
    <w:rsid w:val="00766DD3"/>
    <w:rsid w:val="00767793"/>
    <w:rsid w:val="007679F3"/>
    <w:rsid w:val="00772335"/>
    <w:rsid w:val="00772609"/>
    <w:rsid w:val="00776AC7"/>
    <w:rsid w:val="00777817"/>
    <w:rsid w:val="007810D0"/>
    <w:rsid w:val="00781160"/>
    <w:rsid w:val="00781253"/>
    <w:rsid w:val="007814D7"/>
    <w:rsid w:val="0078257B"/>
    <w:rsid w:val="00783D75"/>
    <w:rsid w:val="00784C0A"/>
    <w:rsid w:val="00790307"/>
    <w:rsid w:val="00790447"/>
    <w:rsid w:val="00790A24"/>
    <w:rsid w:val="00790E99"/>
    <w:rsid w:val="007920D5"/>
    <w:rsid w:val="00792415"/>
    <w:rsid w:val="00793595"/>
    <w:rsid w:val="00793BD9"/>
    <w:rsid w:val="00793DCF"/>
    <w:rsid w:val="00794B40"/>
    <w:rsid w:val="00794CB5"/>
    <w:rsid w:val="00796E26"/>
    <w:rsid w:val="007A1079"/>
    <w:rsid w:val="007A16BF"/>
    <w:rsid w:val="007A4398"/>
    <w:rsid w:val="007B0146"/>
    <w:rsid w:val="007B0F59"/>
    <w:rsid w:val="007B1E33"/>
    <w:rsid w:val="007B1E5F"/>
    <w:rsid w:val="007B2634"/>
    <w:rsid w:val="007B2677"/>
    <w:rsid w:val="007B50BE"/>
    <w:rsid w:val="007B6436"/>
    <w:rsid w:val="007B7066"/>
    <w:rsid w:val="007B70B1"/>
    <w:rsid w:val="007B714E"/>
    <w:rsid w:val="007B76AB"/>
    <w:rsid w:val="007C02CD"/>
    <w:rsid w:val="007C21A7"/>
    <w:rsid w:val="007C4546"/>
    <w:rsid w:val="007C5858"/>
    <w:rsid w:val="007C5ACB"/>
    <w:rsid w:val="007D2EA5"/>
    <w:rsid w:val="007D4725"/>
    <w:rsid w:val="007D54A9"/>
    <w:rsid w:val="007D592B"/>
    <w:rsid w:val="007D5AA6"/>
    <w:rsid w:val="007D7943"/>
    <w:rsid w:val="007D7A91"/>
    <w:rsid w:val="007D7D31"/>
    <w:rsid w:val="007E0D6C"/>
    <w:rsid w:val="007E1769"/>
    <w:rsid w:val="007E1BA8"/>
    <w:rsid w:val="007E1C88"/>
    <w:rsid w:val="007E1EA2"/>
    <w:rsid w:val="007E366D"/>
    <w:rsid w:val="007E4764"/>
    <w:rsid w:val="007E6456"/>
    <w:rsid w:val="007F1871"/>
    <w:rsid w:val="007F2DB4"/>
    <w:rsid w:val="007F4622"/>
    <w:rsid w:val="007F4DAF"/>
    <w:rsid w:val="007F5010"/>
    <w:rsid w:val="007F640E"/>
    <w:rsid w:val="007F7029"/>
    <w:rsid w:val="007F7F33"/>
    <w:rsid w:val="0080194A"/>
    <w:rsid w:val="00802E74"/>
    <w:rsid w:val="00803D76"/>
    <w:rsid w:val="008045F7"/>
    <w:rsid w:val="0081174A"/>
    <w:rsid w:val="00811943"/>
    <w:rsid w:val="00815C81"/>
    <w:rsid w:val="008170F9"/>
    <w:rsid w:val="00822976"/>
    <w:rsid w:val="00823F4F"/>
    <w:rsid w:val="00824E76"/>
    <w:rsid w:val="0082586E"/>
    <w:rsid w:val="00825F99"/>
    <w:rsid w:val="008274E8"/>
    <w:rsid w:val="00830479"/>
    <w:rsid w:val="008311B8"/>
    <w:rsid w:val="008321EA"/>
    <w:rsid w:val="00833019"/>
    <w:rsid w:val="00833BB8"/>
    <w:rsid w:val="00834243"/>
    <w:rsid w:val="0083497F"/>
    <w:rsid w:val="00834DB4"/>
    <w:rsid w:val="008374C4"/>
    <w:rsid w:val="0084025C"/>
    <w:rsid w:val="00842323"/>
    <w:rsid w:val="0084342A"/>
    <w:rsid w:val="008468AB"/>
    <w:rsid w:val="00850D12"/>
    <w:rsid w:val="008544EA"/>
    <w:rsid w:val="00854897"/>
    <w:rsid w:val="008548E5"/>
    <w:rsid w:val="008553D7"/>
    <w:rsid w:val="00856217"/>
    <w:rsid w:val="00856487"/>
    <w:rsid w:val="00857168"/>
    <w:rsid w:val="00857668"/>
    <w:rsid w:val="00857969"/>
    <w:rsid w:val="0086181A"/>
    <w:rsid w:val="00862A07"/>
    <w:rsid w:val="00864540"/>
    <w:rsid w:val="00867719"/>
    <w:rsid w:val="00870473"/>
    <w:rsid w:val="0087098B"/>
    <w:rsid w:val="00870BE4"/>
    <w:rsid w:val="008714D1"/>
    <w:rsid w:val="00871C8D"/>
    <w:rsid w:val="00872B5D"/>
    <w:rsid w:val="0087538F"/>
    <w:rsid w:val="00876AB5"/>
    <w:rsid w:val="00876B84"/>
    <w:rsid w:val="00882245"/>
    <w:rsid w:val="00882CC4"/>
    <w:rsid w:val="00882F0C"/>
    <w:rsid w:val="008844AC"/>
    <w:rsid w:val="00884926"/>
    <w:rsid w:val="0088666B"/>
    <w:rsid w:val="00890349"/>
    <w:rsid w:val="00892645"/>
    <w:rsid w:val="008944B4"/>
    <w:rsid w:val="00896780"/>
    <w:rsid w:val="008968A1"/>
    <w:rsid w:val="00896E57"/>
    <w:rsid w:val="00897735"/>
    <w:rsid w:val="00897F46"/>
    <w:rsid w:val="008A0F9A"/>
    <w:rsid w:val="008A1B2D"/>
    <w:rsid w:val="008A2F10"/>
    <w:rsid w:val="008A40C8"/>
    <w:rsid w:val="008A4AD5"/>
    <w:rsid w:val="008A7836"/>
    <w:rsid w:val="008A798E"/>
    <w:rsid w:val="008B1362"/>
    <w:rsid w:val="008B4E5B"/>
    <w:rsid w:val="008B55A0"/>
    <w:rsid w:val="008B5DB7"/>
    <w:rsid w:val="008B7230"/>
    <w:rsid w:val="008C0473"/>
    <w:rsid w:val="008C1468"/>
    <w:rsid w:val="008C422E"/>
    <w:rsid w:val="008C4B22"/>
    <w:rsid w:val="008C72D7"/>
    <w:rsid w:val="008C7E61"/>
    <w:rsid w:val="008C7F71"/>
    <w:rsid w:val="008D0043"/>
    <w:rsid w:val="008D2DD8"/>
    <w:rsid w:val="008D339F"/>
    <w:rsid w:val="008D43B4"/>
    <w:rsid w:val="008D5FE6"/>
    <w:rsid w:val="008D7A6F"/>
    <w:rsid w:val="008E1583"/>
    <w:rsid w:val="008E16BE"/>
    <w:rsid w:val="008E4C44"/>
    <w:rsid w:val="008E6292"/>
    <w:rsid w:val="008E73A3"/>
    <w:rsid w:val="008E7486"/>
    <w:rsid w:val="008F05D7"/>
    <w:rsid w:val="008F1B53"/>
    <w:rsid w:val="008F23EB"/>
    <w:rsid w:val="008F31DE"/>
    <w:rsid w:val="008F42BE"/>
    <w:rsid w:val="008F6BFD"/>
    <w:rsid w:val="008F6C0C"/>
    <w:rsid w:val="008F6F8E"/>
    <w:rsid w:val="00901469"/>
    <w:rsid w:val="00901C08"/>
    <w:rsid w:val="009020B3"/>
    <w:rsid w:val="00904609"/>
    <w:rsid w:val="009049F7"/>
    <w:rsid w:val="00904B9A"/>
    <w:rsid w:val="00905C04"/>
    <w:rsid w:val="00906E61"/>
    <w:rsid w:val="00910F45"/>
    <w:rsid w:val="00912F59"/>
    <w:rsid w:val="00917E28"/>
    <w:rsid w:val="009213AE"/>
    <w:rsid w:val="00921ECD"/>
    <w:rsid w:val="009250E6"/>
    <w:rsid w:val="00925AA5"/>
    <w:rsid w:val="0092714B"/>
    <w:rsid w:val="00927422"/>
    <w:rsid w:val="0093337D"/>
    <w:rsid w:val="00934E9A"/>
    <w:rsid w:val="0093540D"/>
    <w:rsid w:val="00935436"/>
    <w:rsid w:val="00936387"/>
    <w:rsid w:val="00936DA9"/>
    <w:rsid w:val="0094019D"/>
    <w:rsid w:val="00940246"/>
    <w:rsid w:val="00942C11"/>
    <w:rsid w:val="00942CB1"/>
    <w:rsid w:val="00942FFC"/>
    <w:rsid w:val="0094351F"/>
    <w:rsid w:val="00945449"/>
    <w:rsid w:val="00945FC1"/>
    <w:rsid w:val="009470B8"/>
    <w:rsid w:val="00950A70"/>
    <w:rsid w:val="00952FA5"/>
    <w:rsid w:val="009547F8"/>
    <w:rsid w:val="00954A3D"/>
    <w:rsid w:val="00957E31"/>
    <w:rsid w:val="009602A9"/>
    <w:rsid w:val="009613BE"/>
    <w:rsid w:val="0096194B"/>
    <w:rsid w:val="00962ACF"/>
    <w:rsid w:val="00965032"/>
    <w:rsid w:val="0097179E"/>
    <w:rsid w:val="0097186D"/>
    <w:rsid w:val="0097229E"/>
    <w:rsid w:val="009729D4"/>
    <w:rsid w:val="00972C79"/>
    <w:rsid w:val="00972C9C"/>
    <w:rsid w:val="00972F60"/>
    <w:rsid w:val="009775CB"/>
    <w:rsid w:val="00977E4E"/>
    <w:rsid w:val="00980455"/>
    <w:rsid w:val="00980759"/>
    <w:rsid w:val="009810FA"/>
    <w:rsid w:val="009817B0"/>
    <w:rsid w:val="009821CE"/>
    <w:rsid w:val="009822F9"/>
    <w:rsid w:val="009833F4"/>
    <w:rsid w:val="009870A5"/>
    <w:rsid w:val="0098723D"/>
    <w:rsid w:val="0099015E"/>
    <w:rsid w:val="00990B8E"/>
    <w:rsid w:val="00992C3A"/>
    <w:rsid w:val="00992C64"/>
    <w:rsid w:val="00995154"/>
    <w:rsid w:val="00996673"/>
    <w:rsid w:val="00997635"/>
    <w:rsid w:val="009A277C"/>
    <w:rsid w:val="009A27B7"/>
    <w:rsid w:val="009A5642"/>
    <w:rsid w:val="009A658F"/>
    <w:rsid w:val="009A65CD"/>
    <w:rsid w:val="009A66BD"/>
    <w:rsid w:val="009B06E3"/>
    <w:rsid w:val="009B088F"/>
    <w:rsid w:val="009B2249"/>
    <w:rsid w:val="009B2EC1"/>
    <w:rsid w:val="009B4656"/>
    <w:rsid w:val="009C4692"/>
    <w:rsid w:val="009C469B"/>
    <w:rsid w:val="009C4979"/>
    <w:rsid w:val="009C5401"/>
    <w:rsid w:val="009C6BA2"/>
    <w:rsid w:val="009D0938"/>
    <w:rsid w:val="009D2C05"/>
    <w:rsid w:val="009D2CFF"/>
    <w:rsid w:val="009D4C0F"/>
    <w:rsid w:val="009D6F04"/>
    <w:rsid w:val="009D7226"/>
    <w:rsid w:val="009E04E4"/>
    <w:rsid w:val="009E0BD0"/>
    <w:rsid w:val="009E0CA5"/>
    <w:rsid w:val="009E1412"/>
    <w:rsid w:val="009E171B"/>
    <w:rsid w:val="009E2C07"/>
    <w:rsid w:val="009E37D0"/>
    <w:rsid w:val="009E495C"/>
    <w:rsid w:val="009E49E3"/>
    <w:rsid w:val="009E4C34"/>
    <w:rsid w:val="009E5A76"/>
    <w:rsid w:val="009F3B01"/>
    <w:rsid w:val="009F6B6A"/>
    <w:rsid w:val="009F6DF6"/>
    <w:rsid w:val="00A00436"/>
    <w:rsid w:val="00A00E19"/>
    <w:rsid w:val="00A015E8"/>
    <w:rsid w:val="00A025FF"/>
    <w:rsid w:val="00A02A1C"/>
    <w:rsid w:val="00A030D0"/>
    <w:rsid w:val="00A039E8"/>
    <w:rsid w:val="00A044EA"/>
    <w:rsid w:val="00A05633"/>
    <w:rsid w:val="00A06104"/>
    <w:rsid w:val="00A06280"/>
    <w:rsid w:val="00A07CC6"/>
    <w:rsid w:val="00A07D47"/>
    <w:rsid w:val="00A10593"/>
    <w:rsid w:val="00A11374"/>
    <w:rsid w:val="00A11D5A"/>
    <w:rsid w:val="00A12F13"/>
    <w:rsid w:val="00A12F62"/>
    <w:rsid w:val="00A136A8"/>
    <w:rsid w:val="00A13C53"/>
    <w:rsid w:val="00A14FE9"/>
    <w:rsid w:val="00A15343"/>
    <w:rsid w:val="00A1673C"/>
    <w:rsid w:val="00A16A1E"/>
    <w:rsid w:val="00A2054E"/>
    <w:rsid w:val="00A2211D"/>
    <w:rsid w:val="00A2236A"/>
    <w:rsid w:val="00A24911"/>
    <w:rsid w:val="00A2760F"/>
    <w:rsid w:val="00A27741"/>
    <w:rsid w:val="00A314D1"/>
    <w:rsid w:val="00A34B6D"/>
    <w:rsid w:val="00A3692F"/>
    <w:rsid w:val="00A36F74"/>
    <w:rsid w:val="00A3749B"/>
    <w:rsid w:val="00A37D87"/>
    <w:rsid w:val="00A404B1"/>
    <w:rsid w:val="00A4180A"/>
    <w:rsid w:val="00A4227A"/>
    <w:rsid w:val="00A4389E"/>
    <w:rsid w:val="00A4509E"/>
    <w:rsid w:val="00A500B2"/>
    <w:rsid w:val="00A504C6"/>
    <w:rsid w:val="00A5058E"/>
    <w:rsid w:val="00A505DF"/>
    <w:rsid w:val="00A50D88"/>
    <w:rsid w:val="00A51497"/>
    <w:rsid w:val="00A5156F"/>
    <w:rsid w:val="00A51B08"/>
    <w:rsid w:val="00A528DD"/>
    <w:rsid w:val="00A52D3C"/>
    <w:rsid w:val="00A54292"/>
    <w:rsid w:val="00A54654"/>
    <w:rsid w:val="00A54CDA"/>
    <w:rsid w:val="00A55885"/>
    <w:rsid w:val="00A560BB"/>
    <w:rsid w:val="00A56923"/>
    <w:rsid w:val="00A625D6"/>
    <w:rsid w:val="00A62814"/>
    <w:rsid w:val="00A62E42"/>
    <w:rsid w:val="00A63828"/>
    <w:rsid w:val="00A646DA"/>
    <w:rsid w:val="00A64A71"/>
    <w:rsid w:val="00A64A72"/>
    <w:rsid w:val="00A65143"/>
    <w:rsid w:val="00A65CD3"/>
    <w:rsid w:val="00A66825"/>
    <w:rsid w:val="00A67A1F"/>
    <w:rsid w:val="00A704DC"/>
    <w:rsid w:val="00A7236C"/>
    <w:rsid w:val="00A72960"/>
    <w:rsid w:val="00A72D8F"/>
    <w:rsid w:val="00A7408E"/>
    <w:rsid w:val="00A74815"/>
    <w:rsid w:val="00A749D0"/>
    <w:rsid w:val="00A76481"/>
    <w:rsid w:val="00A80298"/>
    <w:rsid w:val="00A822F7"/>
    <w:rsid w:val="00A86420"/>
    <w:rsid w:val="00A86551"/>
    <w:rsid w:val="00A90143"/>
    <w:rsid w:val="00A90923"/>
    <w:rsid w:val="00A90D73"/>
    <w:rsid w:val="00A91119"/>
    <w:rsid w:val="00A912ED"/>
    <w:rsid w:val="00A92558"/>
    <w:rsid w:val="00A93401"/>
    <w:rsid w:val="00A9393F"/>
    <w:rsid w:val="00A94D60"/>
    <w:rsid w:val="00A952A2"/>
    <w:rsid w:val="00A954BA"/>
    <w:rsid w:val="00A95D8B"/>
    <w:rsid w:val="00A9672B"/>
    <w:rsid w:val="00A96ACB"/>
    <w:rsid w:val="00A970D4"/>
    <w:rsid w:val="00A97160"/>
    <w:rsid w:val="00AA07CC"/>
    <w:rsid w:val="00AA0C9C"/>
    <w:rsid w:val="00AA1D3B"/>
    <w:rsid w:val="00AA3C85"/>
    <w:rsid w:val="00AA3DF1"/>
    <w:rsid w:val="00AA63F3"/>
    <w:rsid w:val="00AA64C4"/>
    <w:rsid w:val="00AB25F2"/>
    <w:rsid w:val="00AB44A7"/>
    <w:rsid w:val="00AB4980"/>
    <w:rsid w:val="00AB4B38"/>
    <w:rsid w:val="00AB56CF"/>
    <w:rsid w:val="00AB5E1B"/>
    <w:rsid w:val="00AB6422"/>
    <w:rsid w:val="00AB738A"/>
    <w:rsid w:val="00AC01FD"/>
    <w:rsid w:val="00AC3196"/>
    <w:rsid w:val="00AC3BA5"/>
    <w:rsid w:val="00AC4065"/>
    <w:rsid w:val="00AC64B9"/>
    <w:rsid w:val="00AC6D21"/>
    <w:rsid w:val="00AC7592"/>
    <w:rsid w:val="00AC7A24"/>
    <w:rsid w:val="00AD2384"/>
    <w:rsid w:val="00AD2531"/>
    <w:rsid w:val="00AD3635"/>
    <w:rsid w:val="00AD4086"/>
    <w:rsid w:val="00AD6219"/>
    <w:rsid w:val="00AD7890"/>
    <w:rsid w:val="00AD7C3E"/>
    <w:rsid w:val="00AE00E3"/>
    <w:rsid w:val="00AE20AC"/>
    <w:rsid w:val="00AE2F90"/>
    <w:rsid w:val="00AE3626"/>
    <w:rsid w:val="00AE7100"/>
    <w:rsid w:val="00AF0932"/>
    <w:rsid w:val="00AF0BEA"/>
    <w:rsid w:val="00AF3096"/>
    <w:rsid w:val="00AF3CCF"/>
    <w:rsid w:val="00AF49C7"/>
    <w:rsid w:val="00AF4A61"/>
    <w:rsid w:val="00AF7956"/>
    <w:rsid w:val="00B035CE"/>
    <w:rsid w:val="00B037A9"/>
    <w:rsid w:val="00B03DD6"/>
    <w:rsid w:val="00B04A10"/>
    <w:rsid w:val="00B05B1C"/>
    <w:rsid w:val="00B05EEC"/>
    <w:rsid w:val="00B061EE"/>
    <w:rsid w:val="00B06DCB"/>
    <w:rsid w:val="00B07F23"/>
    <w:rsid w:val="00B11393"/>
    <w:rsid w:val="00B11FB5"/>
    <w:rsid w:val="00B12528"/>
    <w:rsid w:val="00B12F61"/>
    <w:rsid w:val="00B132EC"/>
    <w:rsid w:val="00B214C6"/>
    <w:rsid w:val="00B21940"/>
    <w:rsid w:val="00B21ADF"/>
    <w:rsid w:val="00B242AE"/>
    <w:rsid w:val="00B24580"/>
    <w:rsid w:val="00B247A6"/>
    <w:rsid w:val="00B273DB"/>
    <w:rsid w:val="00B27501"/>
    <w:rsid w:val="00B278EA"/>
    <w:rsid w:val="00B33390"/>
    <w:rsid w:val="00B3354D"/>
    <w:rsid w:val="00B3583B"/>
    <w:rsid w:val="00B362BC"/>
    <w:rsid w:val="00B37A8F"/>
    <w:rsid w:val="00B43D74"/>
    <w:rsid w:val="00B45701"/>
    <w:rsid w:val="00B52776"/>
    <w:rsid w:val="00B52BF9"/>
    <w:rsid w:val="00B534B5"/>
    <w:rsid w:val="00B5474F"/>
    <w:rsid w:val="00B54AAD"/>
    <w:rsid w:val="00B55ADD"/>
    <w:rsid w:val="00B55B04"/>
    <w:rsid w:val="00B55BA8"/>
    <w:rsid w:val="00B56816"/>
    <w:rsid w:val="00B56DE9"/>
    <w:rsid w:val="00B574A1"/>
    <w:rsid w:val="00B600DC"/>
    <w:rsid w:val="00B6050F"/>
    <w:rsid w:val="00B61B17"/>
    <w:rsid w:val="00B6241E"/>
    <w:rsid w:val="00B6386E"/>
    <w:rsid w:val="00B64167"/>
    <w:rsid w:val="00B6467B"/>
    <w:rsid w:val="00B65347"/>
    <w:rsid w:val="00B65A44"/>
    <w:rsid w:val="00B65D52"/>
    <w:rsid w:val="00B65DE1"/>
    <w:rsid w:val="00B6625C"/>
    <w:rsid w:val="00B66783"/>
    <w:rsid w:val="00B66F09"/>
    <w:rsid w:val="00B710EE"/>
    <w:rsid w:val="00B71C11"/>
    <w:rsid w:val="00B72462"/>
    <w:rsid w:val="00B72525"/>
    <w:rsid w:val="00B72AF0"/>
    <w:rsid w:val="00B737EB"/>
    <w:rsid w:val="00B7463D"/>
    <w:rsid w:val="00B74A53"/>
    <w:rsid w:val="00B750ED"/>
    <w:rsid w:val="00B75214"/>
    <w:rsid w:val="00B75478"/>
    <w:rsid w:val="00B765BC"/>
    <w:rsid w:val="00B76AA8"/>
    <w:rsid w:val="00B76F2D"/>
    <w:rsid w:val="00B775EE"/>
    <w:rsid w:val="00B80549"/>
    <w:rsid w:val="00B8144B"/>
    <w:rsid w:val="00B82032"/>
    <w:rsid w:val="00B84BFC"/>
    <w:rsid w:val="00B850CA"/>
    <w:rsid w:val="00B86785"/>
    <w:rsid w:val="00B87927"/>
    <w:rsid w:val="00B915D3"/>
    <w:rsid w:val="00B920B5"/>
    <w:rsid w:val="00B931D6"/>
    <w:rsid w:val="00B93D78"/>
    <w:rsid w:val="00B97236"/>
    <w:rsid w:val="00B97308"/>
    <w:rsid w:val="00BA3781"/>
    <w:rsid w:val="00BA4353"/>
    <w:rsid w:val="00BA5EB9"/>
    <w:rsid w:val="00BA7BFF"/>
    <w:rsid w:val="00BB00F3"/>
    <w:rsid w:val="00BB08A3"/>
    <w:rsid w:val="00BB0F60"/>
    <w:rsid w:val="00BB3BD8"/>
    <w:rsid w:val="00BB4A96"/>
    <w:rsid w:val="00BB5AA6"/>
    <w:rsid w:val="00BB6803"/>
    <w:rsid w:val="00BB6B9F"/>
    <w:rsid w:val="00BC078D"/>
    <w:rsid w:val="00BC4996"/>
    <w:rsid w:val="00BC68B6"/>
    <w:rsid w:val="00BC6E69"/>
    <w:rsid w:val="00BD26AA"/>
    <w:rsid w:val="00BD2B12"/>
    <w:rsid w:val="00BD454F"/>
    <w:rsid w:val="00BD495D"/>
    <w:rsid w:val="00BD659D"/>
    <w:rsid w:val="00BE06AF"/>
    <w:rsid w:val="00BE107C"/>
    <w:rsid w:val="00BE110C"/>
    <w:rsid w:val="00BE1544"/>
    <w:rsid w:val="00BE200E"/>
    <w:rsid w:val="00BE3572"/>
    <w:rsid w:val="00BE368F"/>
    <w:rsid w:val="00BE62AB"/>
    <w:rsid w:val="00BE62F5"/>
    <w:rsid w:val="00BE7005"/>
    <w:rsid w:val="00BE79F2"/>
    <w:rsid w:val="00BE7EA2"/>
    <w:rsid w:val="00BE7EA5"/>
    <w:rsid w:val="00BF251F"/>
    <w:rsid w:val="00BF5D86"/>
    <w:rsid w:val="00BF669F"/>
    <w:rsid w:val="00BF7263"/>
    <w:rsid w:val="00BF780B"/>
    <w:rsid w:val="00C014AB"/>
    <w:rsid w:val="00C01829"/>
    <w:rsid w:val="00C01CD8"/>
    <w:rsid w:val="00C01DCC"/>
    <w:rsid w:val="00C0371E"/>
    <w:rsid w:val="00C03AD3"/>
    <w:rsid w:val="00C04B70"/>
    <w:rsid w:val="00C04E92"/>
    <w:rsid w:val="00C05BC6"/>
    <w:rsid w:val="00C05DC9"/>
    <w:rsid w:val="00C06A8C"/>
    <w:rsid w:val="00C10022"/>
    <w:rsid w:val="00C10898"/>
    <w:rsid w:val="00C11B28"/>
    <w:rsid w:val="00C12B3F"/>
    <w:rsid w:val="00C13A02"/>
    <w:rsid w:val="00C13F5E"/>
    <w:rsid w:val="00C160EE"/>
    <w:rsid w:val="00C202B3"/>
    <w:rsid w:val="00C21EE0"/>
    <w:rsid w:val="00C243D5"/>
    <w:rsid w:val="00C246CF"/>
    <w:rsid w:val="00C248B9"/>
    <w:rsid w:val="00C26EE8"/>
    <w:rsid w:val="00C2779C"/>
    <w:rsid w:val="00C30297"/>
    <w:rsid w:val="00C3092F"/>
    <w:rsid w:val="00C31450"/>
    <w:rsid w:val="00C33125"/>
    <w:rsid w:val="00C34FEC"/>
    <w:rsid w:val="00C36D3E"/>
    <w:rsid w:val="00C37E1B"/>
    <w:rsid w:val="00C409B2"/>
    <w:rsid w:val="00C40C8B"/>
    <w:rsid w:val="00C411DB"/>
    <w:rsid w:val="00C4207A"/>
    <w:rsid w:val="00C42192"/>
    <w:rsid w:val="00C45682"/>
    <w:rsid w:val="00C45C85"/>
    <w:rsid w:val="00C4746F"/>
    <w:rsid w:val="00C47CDF"/>
    <w:rsid w:val="00C50798"/>
    <w:rsid w:val="00C50B48"/>
    <w:rsid w:val="00C517DF"/>
    <w:rsid w:val="00C5282A"/>
    <w:rsid w:val="00C53314"/>
    <w:rsid w:val="00C550AE"/>
    <w:rsid w:val="00C55155"/>
    <w:rsid w:val="00C553FF"/>
    <w:rsid w:val="00C555AC"/>
    <w:rsid w:val="00C55C19"/>
    <w:rsid w:val="00C57967"/>
    <w:rsid w:val="00C60B0F"/>
    <w:rsid w:val="00C613C7"/>
    <w:rsid w:val="00C62AF4"/>
    <w:rsid w:val="00C64F60"/>
    <w:rsid w:val="00C65C13"/>
    <w:rsid w:val="00C65E71"/>
    <w:rsid w:val="00C66467"/>
    <w:rsid w:val="00C70663"/>
    <w:rsid w:val="00C70E6F"/>
    <w:rsid w:val="00C713ED"/>
    <w:rsid w:val="00C71771"/>
    <w:rsid w:val="00C72156"/>
    <w:rsid w:val="00C72318"/>
    <w:rsid w:val="00C724E6"/>
    <w:rsid w:val="00C72BDB"/>
    <w:rsid w:val="00C747A5"/>
    <w:rsid w:val="00C7495C"/>
    <w:rsid w:val="00C75681"/>
    <w:rsid w:val="00C75D3C"/>
    <w:rsid w:val="00C779D3"/>
    <w:rsid w:val="00C80066"/>
    <w:rsid w:val="00C80CAA"/>
    <w:rsid w:val="00C81893"/>
    <w:rsid w:val="00C83271"/>
    <w:rsid w:val="00C85314"/>
    <w:rsid w:val="00C85B36"/>
    <w:rsid w:val="00C86B77"/>
    <w:rsid w:val="00C87E29"/>
    <w:rsid w:val="00C90FA9"/>
    <w:rsid w:val="00C91F96"/>
    <w:rsid w:val="00C920CD"/>
    <w:rsid w:val="00C922AE"/>
    <w:rsid w:val="00C94ED3"/>
    <w:rsid w:val="00C95B53"/>
    <w:rsid w:val="00C964E0"/>
    <w:rsid w:val="00C972E3"/>
    <w:rsid w:val="00C9734C"/>
    <w:rsid w:val="00C97932"/>
    <w:rsid w:val="00C97FD5"/>
    <w:rsid w:val="00CA0116"/>
    <w:rsid w:val="00CA0637"/>
    <w:rsid w:val="00CA1B3E"/>
    <w:rsid w:val="00CA4AE4"/>
    <w:rsid w:val="00CA4BC0"/>
    <w:rsid w:val="00CA5098"/>
    <w:rsid w:val="00CA5729"/>
    <w:rsid w:val="00CA5CA8"/>
    <w:rsid w:val="00CB0157"/>
    <w:rsid w:val="00CB07B4"/>
    <w:rsid w:val="00CB0A01"/>
    <w:rsid w:val="00CB2536"/>
    <w:rsid w:val="00CB25AE"/>
    <w:rsid w:val="00CB28E9"/>
    <w:rsid w:val="00CB3FDE"/>
    <w:rsid w:val="00CB516E"/>
    <w:rsid w:val="00CB5205"/>
    <w:rsid w:val="00CB58A2"/>
    <w:rsid w:val="00CB646F"/>
    <w:rsid w:val="00CB7622"/>
    <w:rsid w:val="00CB77F7"/>
    <w:rsid w:val="00CC00FC"/>
    <w:rsid w:val="00CC0972"/>
    <w:rsid w:val="00CC1976"/>
    <w:rsid w:val="00CC2F27"/>
    <w:rsid w:val="00CC38AC"/>
    <w:rsid w:val="00CC559D"/>
    <w:rsid w:val="00CC65EF"/>
    <w:rsid w:val="00CC78B5"/>
    <w:rsid w:val="00CC7D21"/>
    <w:rsid w:val="00CD0533"/>
    <w:rsid w:val="00CD09A6"/>
    <w:rsid w:val="00CD0C13"/>
    <w:rsid w:val="00CD29FF"/>
    <w:rsid w:val="00CD2D7B"/>
    <w:rsid w:val="00CD3272"/>
    <w:rsid w:val="00CD5EE1"/>
    <w:rsid w:val="00CD654B"/>
    <w:rsid w:val="00CD6B1B"/>
    <w:rsid w:val="00CD6CD8"/>
    <w:rsid w:val="00CD7BD5"/>
    <w:rsid w:val="00CE09C8"/>
    <w:rsid w:val="00CE13A4"/>
    <w:rsid w:val="00CE223E"/>
    <w:rsid w:val="00CE282F"/>
    <w:rsid w:val="00CE3559"/>
    <w:rsid w:val="00CE379D"/>
    <w:rsid w:val="00CE3CE5"/>
    <w:rsid w:val="00CE630B"/>
    <w:rsid w:val="00CF1B0D"/>
    <w:rsid w:val="00CF3F0D"/>
    <w:rsid w:val="00CF444C"/>
    <w:rsid w:val="00CF6C73"/>
    <w:rsid w:val="00D00CE8"/>
    <w:rsid w:val="00D021B3"/>
    <w:rsid w:val="00D0497B"/>
    <w:rsid w:val="00D06507"/>
    <w:rsid w:val="00D06AF5"/>
    <w:rsid w:val="00D07C48"/>
    <w:rsid w:val="00D101F7"/>
    <w:rsid w:val="00D107C5"/>
    <w:rsid w:val="00D1118F"/>
    <w:rsid w:val="00D128C5"/>
    <w:rsid w:val="00D13D97"/>
    <w:rsid w:val="00D145F5"/>
    <w:rsid w:val="00D15043"/>
    <w:rsid w:val="00D1511F"/>
    <w:rsid w:val="00D1580B"/>
    <w:rsid w:val="00D15EFE"/>
    <w:rsid w:val="00D1605F"/>
    <w:rsid w:val="00D17493"/>
    <w:rsid w:val="00D179B8"/>
    <w:rsid w:val="00D21C9F"/>
    <w:rsid w:val="00D21FFD"/>
    <w:rsid w:val="00D24704"/>
    <w:rsid w:val="00D26960"/>
    <w:rsid w:val="00D27F9E"/>
    <w:rsid w:val="00D301EB"/>
    <w:rsid w:val="00D30A16"/>
    <w:rsid w:val="00D316A1"/>
    <w:rsid w:val="00D31998"/>
    <w:rsid w:val="00D31B58"/>
    <w:rsid w:val="00D32231"/>
    <w:rsid w:val="00D3285B"/>
    <w:rsid w:val="00D329F1"/>
    <w:rsid w:val="00D33DCB"/>
    <w:rsid w:val="00D34E73"/>
    <w:rsid w:val="00D355F0"/>
    <w:rsid w:val="00D36988"/>
    <w:rsid w:val="00D377E4"/>
    <w:rsid w:val="00D4050B"/>
    <w:rsid w:val="00D42FC2"/>
    <w:rsid w:val="00D43AC8"/>
    <w:rsid w:val="00D4492A"/>
    <w:rsid w:val="00D457B8"/>
    <w:rsid w:val="00D47839"/>
    <w:rsid w:val="00D47F2F"/>
    <w:rsid w:val="00D5052E"/>
    <w:rsid w:val="00D50879"/>
    <w:rsid w:val="00D51610"/>
    <w:rsid w:val="00D51C8D"/>
    <w:rsid w:val="00D51ECE"/>
    <w:rsid w:val="00D51EE3"/>
    <w:rsid w:val="00D53430"/>
    <w:rsid w:val="00D5363A"/>
    <w:rsid w:val="00D53C48"/>
    <w:rsid w:val="00D54098"/>
    <w:rsid w:val="00D54F46"/>
    <w:rsid w:val="00D56113"/>
    <w:rsid w:val="00D56677"/>
    <w:rsid w:val="00D631C2"/>
    <w:rsid w:val="00D643F4"/>
    <w:rsid w:val="00D6775A"/>
    <w:rsid w:val="00D713AD"/>
    <w:rsid w:val="00D71BEA"/>
    <w:rsid w:val="00D737A4"/>
    <w:rsid w:val="00D75DB3"/>
    <w:rsid w:val="00D76D49"/>
    <w:rsid w:val="00D833D9"/>
    <w:rsid w:val="00D83BD9"/>
    <w:rsid w:val="00D841BF"/>
    <w:rsid w:val="00D85497"/>
    <w:rsid w:val="00D86444"/>
    <w:rsid w:val="00D922AB"/>
    <w:rsid w:val="00D92B6C"/>
    <w:rsid w:val="00D932CA"/>
    <w:rsid w:val="00D943A1"/>
    <w:rsid w:val="00D94DCF"/>
    <w:rsid w:val="00D94EAE"/>
    <w:rsid w:val="00D96CB3"/>
    <w:rsid w:val="00D97157"/>
    <w:rsid w:val="00D97172"/>
    <w:rsid w:val="00D972D0"/>
    <w:rsid w:val="00DA0D30"/>
    <w:rsid w:val="00DA0EAC"/>
    <w:rsid w:val="00DA136B"/>
    <w:rsid w:val="00DA408E"/>
    <w:rsid w:val="00DA4B5C"/>
    <w:rsid w:val="00DA56F9"/>
    <w:rsid w:val="00DA586F"/>
    <w:rsid w:val="00DB08DA"/>
    <w:rsid w:val="00DB210E"/>
    <w:rsid w:val="00DB2579"/>
    <w:rsid w:val="00DB328F"/>
    <w:rsid w:val="00DB3FD4"/>
    <w:rsid w:val="00DB5E34"/>
    <w:rsid w:val="00DB7944"/>
    <w:rsid w:val="00DB7F09"/>
    <w:rsid w:val="00DC00E8"/>
    <w:rsid w:val="00DC0492"/>
    <w:rsid w:val="00DC0DEE"/>
    <w:rsid w:val="00DC1C56"/>
    <w:rsid w:val="00DC387F"/>
    <w:rsid w:val="00DC4756"/>
    <w:rsid w:val="00DC4C13"/>
    <w:rsid w:val="00DC4E32"/>
    <w:rsid w:val="00DC5D24"/>
    <w:rsid w:val="00DC6379"/>
    <w:rsid w:val="00DC68CA"/>
    <w:rsid w:val="00DC6AAD"/>
    <w:rsid w:val="00DC76A2"/>
    <w:rsid w:val="00DC76AE"/>
    <w:rsid w:val="00DC79F2"/>
    <w:rsid w:val="00DD0D62"/>
    <w:rsid w:val="00DD0FA5"/>
    <w:rsid w:val="00DD14CA"/>
    <w:rsid w:val="00DD20B1"/>
    <w:rsid w:val="00DD24DA"/>
    <w:rsid w:val="00DD44AA"/>
    <w:rsid w:val="00DD4522"/>
    <w:rsid w:val="00DD4F44"/>
    <w:rsid w:val="00DD5EF0"/>
    <w:rsid w:val="00DD6521"/>
    <w:rsid w:val="00DD691F"/>
    <w:rsid w:val="00DE1A23"/>
    <w:rsid w:val="00DE2763"/>
    <w:rsid w:val="00DE2CFC"/>
    <w:rsid w:val="00DE353B"/>
    <w:rsid w:val="00DE3A53"/>
    <w:rsid w:val="00DE3C77"/>
    <w:rsid w:val="00DE4091"/>
    <w:rsid w:val="00DE577F"/>
    <w:rsid w:val="00DE70F1"/>
    <w:rsid w:val="00DE75FC"/>
    <w:rsid w:val="00DE7FBB"/>
    <w:rsid w:val="00DF25AD"/>
    <w:rsid w:val="00DF6432"/>
    <w:rsid w:val="00DF6F61"/>
    <w:rsid w:val="00E00C96"/>
    <w:rsid w:val="00E02F1B"/>
    <w:rsid w:val="00E03934"/>
    <w:rsid w:val="00E03C86"/>
    <w:rsid w:val="00E047DE"/>
    <w:rsid w:val="00E04802"/>
    <w:rsid w:val="00E05A16"/>
    <w:rsid w:val="00E06420"/>
    <w:rsid w:val="00E101C6"/>
    <w:rsid w:val="00E122B0"/>
    <w:rsid w:val="00E123B0"/>
    <w:rsid w:val="00E13775"/>
    <w:rsid w:val="00E226CB"/>
    <w:rsid w:val="00E228D4"/>
    <w:rsid w:val="00E22D51"/>
    <w:rsid w:val="00E2687A"/>
    <w:rsid w:val="00E26C0B"/>
    <w:rsid w:val="00E27422"/>
    <w:rsid w:val="00E278DF"/>
    <w:rsid w:val="00E30AEB"/>
    <w:rsid w:val="00E30F08"/>
    <w:rsid w:val="00E32CF4"/>
    <w:rsid w:val="00E349A7"/>
    <w:rsid w:val="00E4228A"/>
    <w:rsid w:val="00E44132"/>
    <w:rsid w:val="00E45F5B"/>
    <w:rsid w:val="00E46B2D"/>
    <w:rsid w:val="00E46DCB"/>
    <w:rsid w:val="00E47987"/>
    <w:rsid w:val="00E509BE"/>
    <w:rsid w:val="00E50E7C"/>
    <w:rsid w:val="00E51385"/>
    <w:rsid w:val="00E51545"/>
    <w:rsid w:val="00E51D9E"/>
    <w:rsid w:val="00E537D1"/>
    <w:rsid w:val="00E53910"/>
    <w:rsid w:val="00E55C19"/>
    <w:rsid w:val="00E567E6"/>
    <w:rsid w:val="00E56971"/>
    <w:rsid w:val="00E61484"/>
    <w:rsid w:val="00E617CC"/>
    <w:rsid w:val="00E61BA6"/>
    <w:rsid w:val="00E620D9"/>
    <w:rsid w:val="00E621DE"/>
    <w:rsid w:val="00E6296D"/>
    <w:rsid w:val="00E7017C"/>
    <w:rsid w:val="00E711D7"/>
    <w:rsid w:val="00E72DDF"/>
    <w:rsid w:val="00E72EF5"/>
    <w:rsid w:val="00E7306E"/>
    <w:rsid w:val="00E73730"/>
    <w:rsid w:val="00E7409F"/>
    <w:rsid w:val="00E74877"/>
    <w:rsid w:val="00E74CD1"/>
    <w:rsid w:val="00E76512"/>
    <w:rsid w:val="00E76E3F"/>
    <w:rsid w:val="00E7785E"/>
    <w:rsid w:val="00E80013"/>
    <w:rsid w:val="00E80693"/>
    <w:rsid w:val="00E80FB2"/>
    <w:rsid w:val="00E815E1"/>
    <w:rsid w:val="00E81799"/>
    <w:rsid w:val="00E81934"/>
    <w:rsid w:val="00E83B6C"/>
    <w:rsid w:val="00E85166"/>
    <w:rsid w:val="00E902B0"/>
    <w:rsid w:val="00E902E8"/>
    <w:rsid w:val="00E917A5"/>
    <w:rsid w:val="00E9296B"/>
    <w:rsid w:val="00E93DD2"/>
    <w:rsid w:val="00E95100"/>
    <w:rsid w:val="00E95359"/>
    <w:rsid w:val="00E95E1F"/>
    <w:rsid w:val="00E964B5"/>
    <w:rsid w:val="00E97313"/>
    <w:rsid w:val="00E97C19"/>
    <w:rsid w:val="00EA03AD"/>
    <w:rsid w:val="00EA1BA4"/>
    <w:rsid w:val="00EA23AC"/>
    <w:rsid w:val="00EA2C82"/>
    <w:rsid w:val="00EA398F"/>
    <w:rsid w:val="00EA529B"/>
    <w:rsid w:val="00EA598A"/>
    <w:rsid w:val="00EA68BC"/>
    <w:rsid w:val="00EA6B23"/>
    <w:rsid w:val="00EA6FCE"/>
    <w:rsid w:val="00EA7C3D"/>
    <w:rsid w:val="00EB107C"/>
    <w:rsid w:val="00EB334D"/>
    <w:rsid w:val="00EB4B0B"/>
    <w:rsid w:val="00EB5455"/>
    <w:rsid w:val="00EB6878"/>
    <w:rsid w:val="00EB740F"/>
    <w:rsid w:val="00EC1E0E"/>
    <w:rsid w:val="00EC236D"/>
    <w:rsid w:val="00EC30F3"/>
    <w:rsid w:val="00EC4838"/>
    <w:rsid w:val="00EC5F41"/>
    <w:rsid w:val="00EC6B16"/>
    <w:rsid w:val="00EC6BAC"/>
    <w:rsid w:val="00ED01F2"/>
    <w:rsid w:val="00ED0754"/>
    <w:rsid w:val="00ED2C35"/>
    <w:rsid w:val="00ED39C9"/>
    <w:rsid w:val="00ED3D17"/>
    <w:rsid w:val="00ED3DA7"/>
    <w:rsid w:val="00ED486E"/>
    <w:rsid w:val="00ED4BDE"/>
    <w:rsid w:val="00ED5A20"/>
    <w:rsid w:val="00ED5E65"/>
    <w:rsid w:val="00ED60E9"/>
    <w:rsid w:val="00EE1447"/>
    <w:rsid w:val="00EE1AB6"/>
    <w:rsid w:val="00EE1BF1"/>
    <w:rsid w:val="00EE4864"/>
    <w:rsid w:val="00EE5CF9"/>
    <w:rsid w:val="00EE6F6D"/>
    <w:rsid w:val="00EE7744"/>
    <w:rsid w:val="00EE790C"/>
    <w:rsid w:val="00EF03E1"/>
    <w:rsid w:val="00EF145E"/>
    <w:rsid w:val="00EF1F53"/>
    <w:rsid w:val="00EF2BBB"/>
    <w:rsid w:val="00EF4EB5"/>
    <w:rsid w:val="00EF5135"/>
    <w:rsid w:val="00EF5CA5"/>
    <w:rsid w:val="00EF674C"/>
    <w:rsid w:val="00F0082D"/>
    <w:rsid w:val="00F015AB"/>
    <w:rsid w:val="00F01E00"/>
    <w:rsid w:val="00F021B3"/>
    <w:rsid w:val="00F0295B"/>
    <w:rsid w:val="00F02C3D"/>
    <w:rsid w:val="00F03B12"/>
    <w:rsid w:val="00F03DE1"/>
    <w:rsid w:val="00F045E0"/>
    <w:rsid w:val="00F047D0"/>
    <w:rsid w:val="00F04B69"/>
    <w:rsid w:val="00F04DE8"/>
    <w:rsid w:val="00F074DA"/>
    <w:rsid w:val="00F075C2"/>
    <w:rsid w:val="00F07C46"/>
    <w:rsid w:val="00F07C90"/>
    <w:rsid w:val="00F1079C"/>
    <w:rsid w:val="00F11922"/>
    <w:rsid w:val="00F12866"/>
    <w:rsid w:val="00F13DEB"/>
    <w:rsid w:val="00F168FC"/>
    <w:rsid w:val="00F20F8A"/>
    <w:rsid w:val="00F22982"/>
    <w:rsid w:val="00F25989"/>
    <w:rsid w:val="00F25B88"/>
    <w:rsid w:val="00F26133"/>
    <w:rsid w:val="00F262AE"/>
    <w:rsid w:val="00F27DCE"/>
    <w:rsid w:val="00F3017F"/>
    <w:rsid w:val="00F304A4"/>
    <w:rsid w:val="00F31AD9"/>
    <w:rsid w:val="00F32CBD"/>
    <w:rsid w:val="00F333DF"/>
    <w:rsid w:val="00F336B6"/>
    <w:rsid w:val="00F33DB8"/>
    <w:rsid w:val="00F35281"/>
    <w:rsid w:val="00F37043"/>
    <w:rsid w:val="00F42136"/>
    <w:rsid w:val="00F43938"/>
    <w:rsid w:val="00F45627"/>
    <w:rsid w:val="00F474A1"/>
    <w:rsid w:val="00F50694"/>
    <w:rsid w:val="00F50C96"/>
    <w:rsid w:val="00F51D7F"/>
    <w:rsid w:val="00F5234B"/>
    <w:rsid w:val="00F556E3"/>
    <w:rsid w:val="00F5570B"/>
    <w:rsid w:val="00F57BED"/>
    <w:rsid w:val="00F60198"/>
    <w:rsid w:val="00F62472"/>
    <w:rsid w:val="00F64013"/>
    <w:rsid w:val="00F669CD"/>
    <w:rsid w:val="00F67D1E"/>
    <w:rsid w:val="00F71BC8"/>
    <w:rsid w:val="00F73409"/>
    <w:rsid w:val="00F737DB"/>
    <w:rsid w:val="00F73BCE"/>
    <w:rsid w:val="00F7613A"/>
    <w:rsid w:val="00F7667E"/>
    <w:rsid w:val="00F82746"/>
    <w:rsid w:val="00F836F9"/>
    <w:rsid w:val="00F83DEB"/>
    <w:rsid w:val="00F845D7"/>
    <w:rsid w:val="00F8512D"/>
    <w:rsid w:val="00F85C99"/>
    <w:rsid w:val="00F867F6"/>
    <w:rsid w:val="00F87E44"/>
    <w:rsid w:val="00F90851"/>
    <w:rsid w:val="00F90C2C"/>
    <w:rsid w:val="00F91EC6"/>
    <w:rsid w:val="00F92279"/>
    <w:rsid w:val="00F940BA"/>
    <w:rsid w:val="00F94884"/>
    <w:rsid w:val="00F95A7B"/>
    <w:rsid w:val="00F967DD"/>
    <w:rsid w:val="00F973FF"/>
    <w:rsid w:val="00FA17C7"/>
    <w:rsid w:val="00FA30A5"/>
    <w:rsid w:val="00FA4F2E"/>
    <w:rsid w:val="00FA6CF0"/>
    <w:rsid w:val="00FB078C"/>
    <w:rsid w:val="00FB4D21"/>
    <w:rsid w:val="00FB6533"/>
    <w:rsid w:val="00FB762B"/>
    <w:rsid w:val="00FC00C8"/>
    <w:rsid w:val="00FC1DD2"/>
    <w:rsid w:val="00FC2AAF"/>
    <w:rsid w:val="00FC2CA1"/>
    <w:rsid w:val="00FC6ADA"/>
    <w:rsid w:val="00FC7406"/>
    <w:rsid w:val="00FD0EAF"/>
    <w:rsid w:val="00FD4103"/>
    <w:rsid w:val="00FD48D7"/>
    <w:rsid w:val="00FD707F"/>
    <w:rsid w:val="00FE0B27"/>
    <w:rsid w:val="00FE0BD2"/>
    <w:rsid w:val="00FE1234"/>
    <w:rsid w:val="00FE2F52"/>
    <w:rsid w:val="00FE30B3"/>
    <w:rsid w:val="00FE46AC"/>
    <w:rsid w:val="00FE50BE"/>
    <w:rsid w:val="00FE66F7"/>
    <w:rsid w:val="00FE674E"/>
    <w:rsid w:val="00FE7455"/>
    <w:rsid w:val="00FE7767"/>
    <w:rsid w:val="00FE78F0"/>
    <w:rsid w:val="00FF10B1"/>
    <w:rsid w:val="00FF38A0"/>
    <w:rsid w:val="00FF38E3"/>
    <w:rsid w:val="00FF3DDE"/>
    <w:rsid w:val="00FF57E3"/>
    <w:rsid w:val="00FF5855"/>
    <w:rsid w:val="38E93813"/>
    <w:rsid w:val="3CFA0229"/>
    <w:rsid w:val="3E5DC638"/>
    <w:rsid w:val="62206FEA"/>
    <w:rsid w:val="6A474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C3"/>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0"/>
      </w:numPr>
      <w:spacing w:before="120" w:after="60" w:line="276" w:lineRule="auto"/>
    </w:pPr>
  </w:style>
  <w:style w:type="paragraph" w:customStyle="1" w:styleId="ChartandTableFootnoteAlpha">
    <w:name w:val="Chart and Table Footnote Alpha"/>
    <w:rsid w:val="0039150C"/>
    <w:pPr>
      <w:numPr>
        <w:numId w:val="6"/>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0"/>
      </w:numPr>
      <w:spacing w:before="120" w:after="120"/>
    </w:pPr>
  </w:style>
  <w:style w:type="paragraph" w:customStyle="1" w:styleId="DoubleDot">
    <w:name w:val="Double Dot"/>
    <w:basedOn w:val="Normal"/>
    <w:link w:val="DoubleDotChar"/>
    <w:qFormat/>
    <w:rsid w:val="00D54098"/>
    <w:pPr>
      <w:numPr>
        <w:ilvl w:val="2"/>
        <w:numId w:val="10"/>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11"/>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paragraph" w:styleId="NormalWeb">
    <w:name w:val="Normal (Web)"/>
    <w:basedOn w:val="Normal"/>
    <w:uiPriority w:val="99"/>
    <w:unhideWhenUsed/>
    <w:rsid w:val="008F31DE"/>
    <w:rPr>
      <w:rFonts w:ascii="Times New Roman" w:hAnsi="Times New Roman"/>
      <w:sz w:val="24"/>
      <w:szCs w:val="24"/>
    </w:rPr>
  </w:style>
  <w:style w:type="paragraph" w:customStyle="1" w:styleId="Level1">
    <w:name w:val="Level 1"/>
    <w:basedOn w:val="Normal"/>
    <w:rsid w:val="00C13A02"/>
    <w:pPr>
      <w:widowControl w:val="0"/>
      <w:autoSpaceDE w:val="0"/>
      <w:autoSpaceDN w:val="0"/>
      <w:adjustRightInd w:val="0"/>
      <w:spacing w:before="0" w:after="0"/>
      <w:ind w:left="720" w:hanging="720"/>
    </w:pPr>
    <w:rPr>
      <w:rFonts w:ascii="Times New Roman" w:hAnsi="Times New Roman"/>
      <w:color w:val="auto"/>
      <w:sz w:val="20"/>
      <w:lang w:val="en-US"/>
    </w:rPr>
  </w:style>
  <w:style w:type="paragraph" w:customStyle="1" w:styleId="paragraph">
    <w:name w:val="paragraph"/>
    <w:basedOn w:val="Normal"/>
    <w:rsid w:val="00CC0972"/>
    <w:pPr>
      <w:spacing w:before="100" w:beforeAutospacing="1" w:after="100" w:afterAutospacing="1"/>
    </w:pPr>
    <w:rPr>
      <w:rFonts w:ascii="Times New Roman" w:hAnsi="Times New Roman"/>
      <w:color w:val="auto"/>
      <w:sz w:val="24"/>
      <w:szCs w:val="24"/>
    </w:rPr>
  </w:style>
  <w:style w:type="character" w:customStyle="1" w:styleId="ui-provider">
    <w:name w:val="ui-provider"/>
    <w:basedOn w:val="DefaultParagraphFont"/>
    <w:rsid w:val="00D021B3"/>
  </w:style>
  <w:style w:type="paragraph" w:customStyle="1" w:styleId="EstimatesBullet1">
    <w:name w:val="Estimates_Bullet 1"/>
    <w:basedOn w:val="Normal"/>
    <w:rsid w:val="002C7874"/>
    <w:pPr>
      <w:numPr>
        <w:numId w:val="18"/>
      </w:numPr>
      <w:spacing w:before="0" w:after="0"/>
      <w:ind w:right="-143"/>
    </w:pPr>
    <w:rPr>
      <w:rFonts w:ascii="Arial" w:hAnsi="Arial"/>
      <w:color w:val="auto"/>
      <w:spacing w:val="-3"/>
      <w:sz w:val="24"/>
      <w:szCs w:val="24"/>
    </w:rPr>
  </w:style>
  <w:style w:type="paragraph" w:customStyle="1" w:styleId="Default">
    <w:name w:val="Default"/>
    <w:rsid w:val="001C1B84"/>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297">
      <w:bodyDiv w:val="1"/>
      <w:marLeft w:val="0"/>
      <w:marRight w:val="0"/>
      <w:marTop w:val="0"/>
      <w:marBottom w:val="0"/>
      <w:divBdr>
        <w:top w:val="none" w:sz="0" w:space="0" w:color="auto"/>
        <w:left w:val="none" w:sz="0" w:space="0" w:color="auto"/>
        <w:bottom w:val="none" w:sz="0" w:space="0" w:color="auto"/>
        <w:right w:val="none" w:sz="0" w:space="0" w:color="auto"/>
      </w:divBdr>
    </w:div>
    <w:div w:id="32928907">
      <w:bodyDiv w:val="1"/>
      <w:marLeft w:val="0"/>
      <w:marRight w:val="0"/>
      <w:marTop w:val="0"/>
      <w:marBottom w:val="0"/>
      <w:divBdr>
        <w:top w:val="none" w:sz="0" w:space="0" w:color="auto"/>
        <w:left w:val="none" w:sz="0" w:space="0" w:color="auto"/>
        <w:bottom w:val="none" w:sz="0" w:space="0" w:color="auto"/>
        <w:right w:val="none" w:sz="0" w:space="0" w:color="auto"/>
      </w:divBdr>
    </w:div>
    <w:div w:id="43261900">
      <w:bodyDiv w:val="1"/>
      <w:marLeft w:val="0"/>
      <w:marRight w:val="0"/>
      <w:marTop w:val="0"/>
      <w:marBottom w:val="0"/>
      <w:divBdr>
        <w:top w:val="none" w:sz="0" w:space="0" w:color="auto"/>
        <w:left w:val="none" w:sz="0" w:space="0" w:color="auto"/>
        <w:bottom w:val="none" w:sz="0" w:space="0" w:color="auto"/>
        <w:right w:val="none" w:sz="0" w:space="0" w:color="auto"/>
      </w:divBdr>
    </w:div>
    <w:div w:id="96027140">
      <w:bodyDiv w:val="1"/>
      <w:marLeft w:val="0"/>
      <w:marRight w:val="0"/>
      <w:marTop w:val="0"/>
      <w:marBottom w:val="0"/>
      <w:divBdr>
        <w:top w:val="none" w:sz="0" w:space="0" w:color="auto"/>
        <w:left w:val="none" w:sz="0" w:space="0" w:color="auto"/>
        <w:bottom w:val="none" w:sz="0" w:space="0" w:color="auto"/>
        <w:right w:val="none" w:sz="0" w:space="0" w:color="auto"/>
      </w:divBdr>
    </w:div>
    <w:div w:id="104159842">
      <w:bodyDiv w:val="1"/>
      <w:marLeft w:val="0"/>
      <w:marRight w:val="0"/>
      <w:marTop w:val="0"/>
      <w:marBottom w:val="0"/>
      <w:divBdr>
        <w:top w:val="none" w:sz="0" w:space="0" w:color="auto"/>
        <w:left w:val="none" w:sz="0" w:space="0" w:color="auto"/>
        <w:bottom w:val="none" w:sz="0" w:space="0" w:color="auto"/>
        <w:right w:val="none" w:sz="0" w:space="0" w:color="auto"/>
      </w:divBdr>
    </w:div>
    <w:div w:id="160700687">
      <w:bodyDiv w:val="1"/>
      <w:marLeft w:val="0"/>
      <w:marRight w:val="0"/>
      <w:marTop w:val="0"/>
      <w:marBottom w:val="0"/>
      <w:divBdr>
        <w:top w:val="none" w:sz="0" w:space="0" w:color="auto"/>
        <w:left w:val="none" w:sz="0" w:space="0" w:color="auto"/>
        <w:bottom w:val="none" w:sz="0" w:space="0" w:color="auto"/>
        <w:right w:val="none" w:sz="0" w:space="0" w:color="auto"/>
      </w:divBdr>
    </w:div>
    <w:div w:id="240020088">
      <w:bodyDiv w:val="1"/>
      <w:marLeft w:val="0"/>
      <w:marRight w:val="0"/>
      <w:marTop w:val="0"/>
      <w:marBottom w:val="0"/>
      <w:divBdr>
        <w:top w:val="none" w:sz="0" w:space="0" w:color="auto"/>
        <w:left w:val="none" w:sz="0" w:space="0" w:color="auto"/>
        <w:bottom w:val="none" w:sz="0" w:space="0" w:color="auto"/>
        <w:right w:val="none" w:sz="0" w:space="0" w:color="auto"/>
      </w:divBdr>
    </w:div>
    <w:div w:id="269751525">
      <w:bodyDiv w:val="1"/>
      <w:marLeft w:val="0"/>
      <w:marRight w:val="0"/>
      <w:marTop w:val="0"/>
      <w:marBottom w:val="0"/>
      <w:divBdr>
        <w:top w:val="none" w:sz="0" w:space="0" w:color="auto"/>
        <w:left w:val="none" w:sz="0" w:space="0" w:color="auto"/>
        <w:bottom w:val="none" w:sz="0" w:space="0" w:color="auto"/>
        <w:right w:val="none" w:sz="0" w:space="0" w:color="auto"/>
      </w:divBdr>
    </w:div>
    <w:div w:id="271785403">
      <w:bodyDiv w:val="1"/>
      <w:marLeft w:val="0"/>
      <w:marRight w:val="0"/>
      <w:marTop w:val="0"/>
      <w:marBottom w:val="0"/>
      <w:divBdr>
        <w:top w:val="none" w:sz="0" w:space="0" w:color="auto"/>
        <w:left w:val="none" w:sz="0" w:space="0" w:color="auto"/>
        <w:bottom w:val="none" w:sz="0" w:space="0" w:color="auto"/>
        <w:right w:val="none" w:sz="0" w:space="0" w:color="auto"/>
      </w:divBdr>
    </w:div>
    <w:div w:id="302318784">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16497551">
      <w:bodyDiv w:val="1"/>
      <w:marLeft w:val="0"/>
      <w:marRight w:val="0"/>
      <w:marTop w:val="0"/>
      <w:marBottom w:val="0"/>
      <w:divBdr>
        <w:top w:val="none" w:sz="0" w:space="0" w:color="auto"/>
        <w:left w:val="none" w:sz="0" w:space="0" w:color="auto"/>
        <w:bottom w:val="none" w:sz="0" w:space="0" w:color="auto"/>
        <w:right w:val="none" w:sz="0" w:space="0" w:color="auto"/>
      </w:divBdr>
    </w:div>
    <w:div w:id="339428011">
      <w:bodyDiv w:val="1"/>
      <w:marLeft w:val="0"/>
      <w:marRight w:val="0"/>
      <w:marTop w:val="0"/>
      <w:marBottom w:val="0"/>
      <w:divBdr>
        <w:top w:val="none" w:sz="0" w:space="0" w:color="auto"/>
        <w:left w:val="none" w:sz="0" w:space="0" w:color="auto"/>
        <w:bottom w:val="none" w:sz="0" w:space="0" w:color="auto"/>
        <w:right w:val="none" w:sz="0" w:space="0" w:color="auto"/>
      </w:divBdr>
    </w:div>
    <w:div w:id="365569702">
      <w:bodyDiv w:val="1"/>
      <w:marLeft w:val="0"/>
      <w:marRight w:val="0"/>
      <w:marTop w:val="0"/>
      <w:marBottom w:val="0"/>
      <w:divBdr>
        <w:top w:val="none" w:sz="0" w:space="0" w:color="auto"/>
        <w:left w:val="none" w:sz="0" w:space="0" w:color="auto"/>
        <w:bottom w:val="none" w:sz="0" w:space="0" w:color="auto"/>
        <w:right w:val="none" w:sz="0" w:space="0" w:color="auto"/>
      </w:divBdr>
    </w:div>
    <w:div w:id="408045037">
      <w:bodyDiv w:val="1"/>
      <w:marLeft w:val="0"/>
      <w:marRight w:val="0"/>
      <w:marTop w:val="0"/>
      <w:marBottom w:val="0"/>
      <w:divBdr>
        <w:top w:val="none" w:sz="0" w:space="0" w:color="auto"/>
        <w:left w:val="none" w:sz="0" w:space="0" w:color="auto"/>
        <w:bottom w:val="none" w:sz="0" w:space="0" w:color="auto"/>
        <w:right w:val="none" w:sz="0" w:space="0" w:color="auto"/>
      </w:divBdr>
    </w:div>
    <w:div w:id="43779490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66124247">
      <w:bodyDiv w:val="1"/>
      <w:marLeft w:val="0"/>
      <w:marRight w:val="0"/>
      <w:marTop w:val="0"/>
      <w:marBottom w:val="0"/>
      <w:divBdr>
        <w:top w:val="none" w:sz="0" w:space="0" w:color="auto"/>
        <w:left w:val="none" w:sz="0" w:space="0" w:color="auto"/>
        <w:bottom w:val="none" w:sz="0" w:space="0" w:color="auto"/>
        <w:right w:val="none" w:sz="0" w:space="0" w:color="auto"/>
      </w:divBdr>
    </w:div>
    <w:div w:id="476609260">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13036126">
      <w:bodyDiv w:val="1"/>
      <w:marLeft w:val="0"/>
      <w:marRight w:val="0"/>
      <w:marTop w:val="0"/>
      <w:marBottom w:val="0"/>
      <w:divBdr>
        <w:top w:val="none" w:sz="0" w:space="0" w:color="auto"/>
        <w:left w:val="none" w:sz="0" w:space="0" w:color="auto"/>
        <w:bottom w:val="none" w:sz="0" w:space="0" w:color="auto"/>
        <w:right w:val="none" w:sz="0" w:space="0" w:color="auto"/>
      </w:divBdr>
    </w:div>
    <w:div w:id="529492912">
      <w:bodyDiv w:val="1"/>
      <w:marLeft w:val="0"/>
      <w:marRight w:val="0"/>
      <w:marTop w:val="0"/>
      <w:marBottom w:val="0"/>
      <w:divBdr>
        <w:top w:val="none" w:sz="0" w:space="0" w:color="auto"/>
        <w:left w:val="none" w:sz="0" w:space="0" w:color="auto"/>
        <w:bottom w:val="none" w:sz="0" w:space="0" w:color="auto"/>
        <w:right w:val="none" w:sz="0" w:space="0" w:color="auto"/>
      </w:divBdr>
    </w:div>
    <w:div w:id="565992992">
      <w:bodyDiv w:val="1"/>
      <w:marLeft w:val="0"/>
      <w:marRight w:val="0"/>
      <w:marTop w:val="0"/>
      <w:marBottom w:val="0"/>
      <w:divBdr>
        <w:top w:val="none" w:sz="0" w:space="0" w:color="auto"/>
        <w:left w:val="none" w:sz="0" w:space="0" w:color="auto"/>
        <w:bottom w:val="none" w:sz="0" w:space="0" w:color="auto"/>
        <w:right w:val="none" w:sz="0" w:space="0" w:color="auto"/>
      </w:divBdr>
    </w:div>
    <w:div w:id="578174420">
      <w:bodyDiv w:val="1"/>
      <w:marLeft w:val="0"/>
      <w:marRight w:val="0"/>
      <w:marTop w:val="0"/>
      <w:marBottom w:val="0"/>
      <w:divBdr>
        <w:top w:val="none" w:sz="0" w:space="0" w:color="auto"/>
        <w:left w:val="none" w:sz="0" w:space="0" w:color="auto"/>
        <w:bottom w:val="none" w:sz="0" w:space="0" w:color="auto"/>
        <w:right w:val="none" w:sz="0" w:space="0" w:color="auto"/>
      </w:divBdr>
    </w:div>
    <w:div w:id="585578234">
      <w:bodyDiv w:val="1"/>
      <w:marLeft w:val="0"/>
      <w:marRight w:val="0"/>
      <w:marTop w:val="0"/>
      <w:marBottom w:val="0"/>
      <w:divBdr>
        <w:top w:val="none" w:sz="0" w:space="0" w:color="auto"/>
        <w:left w:val="none" w:sz="0" w:space="0" w:color="auto"/>
        <w:bottom w:val="none" w:sz="0" w:space="0" w:color="auto"/>
        <w:right w:val="none" w:sz="0" w:space="0" w:color="auto"/>
      </w:divBdr>
    </w:div>
    <w:div w:id="607398308">
      <w:bodyDiv w:val="1"/>
      <w:marLeft w:val="0"/>
      <w:marRight w:val="0"/>
      <w:marTop w:val="0"/>
      <w:marBottom w:val="0"/>
      <w:divBdr>
        <w:top w:val="none" w:sz="0" w:space="0" w:color="auto"/>
        <w:left w:val="none" w:sz="0" w:space="0" w:color="auto"/>
        <w:bottom w:val="none" w:sz="0" w:space="0" w:color="auto"/>
        <w:right w:val="none" w:sz="0" w:space="0" w:color="auto"/>
      </w:divBdr>
    </w:div>
    <w:div w:id="620838730">
      <w:bodyDiv w:val="1"/>
      <w:marLeft w:val="0"/>
      <w:marRight w:val="0"/>
      <w:marTop w:val="0"/>
      <w:marBottom w:val="0"/>
      <w:divBdr>
        <w:top w:val="none" w:sz="0" w:space="0" w:color="auto"/>
        <w:left w:val="none" w:sz="0" w:space="0" w:color="auto"/>
        <w:bottom w:val="none" w:sz="0" w:space="0" w:color="auto"/>
        <w:right w:val="none" w:sz="0" w:space="0" w:color="auto"/>
      </w:divBdr>
    </w:div>
    <w:div w:id="678117607">
      <w:bodyDiv w:val="1"/>
      <w:marLeft w:val="0"/>
      <w:marRight w:val="0"/>
      <w:marTop w:val="0"/>
      <w:marBottom w:val="0"/>
      <w:divBdr>
        <w:top w:val="none" w:sz="0" w:space="0" w:color="auto"/>
        <w:left w:val="none" w:sz="0" w:space="0" w:color="auto"/>
        <w:bottom w:val="none" w:sz="0" w:space="0" w:color="auto"/>
        <w:right w:val="none" w:sz="0" w:space="0" w:color="auto"/>
      </w:divBdr>
    </w:div>
    <w:div w:id="715934764">
      <w:bodyDiv w:val="1"/>
      <w:marLeft w:val="0"/>
      <w:marRight w:val="0"/>
      <w:marTop w:val="0"/>
      <w:marBottom w:val="0"/>
      <w:divBdr>
        <w:top w:val="none" w:sz="0" w:space="0" w:color="auto"/>
        <w:left w:val="none" w:sz="0" w:space="0" w:color="auto"/>
        <w:bottom w:val="none" w:sz="0" w:space="0" w:color="auto"/>
        <w:right w:val="none" w:sz="0" w:space="0" w:color="auto"/>
      </w:divBdr>
    </w:div>
    <w:div w:id="744226981">
      <w:bodyDiv w:val="1"/>
      <w:marLeft w:val="0"/>
      <w:marRight w:val="0"/>
      <w:marTop w:val="0"/>
      <w:marBottom w:val="0"/>
      <w:divBdr>
        <w:top w:val="none" w:sz="0" w:space="0" w:color="auto"/>
        <w:left w:val="none" w:sz="0" w:space="0" w:color="auto"/>
        <w:bottom w:val="none" w:sz="0" w:space="0" w:color="auto"/>
        <w:right w:val="none" w:sz="0" w:space="0" w:color="auto"/>
      </w:divBdr>
    </w:div>
    <w:div w:id="766196023">
      <w:bodyDiv w:val="1"/>
      <w:marLeft w:val="0"/>
      <w:marRight w:val="0"/>
      <w:marTop w:val="0"/>
      <w:marBottom w:val="0"/>
      <w:divBdr>
        <w:top w:val="none" w:sz="0" w:space="0" w:color="auto"/>
        <w:left w:val="none" w:sz="0" w:space="0" w:color="auto"/>
        <w:bottom w:val="none" w:sz="0" w:space="0" w:color="auto"/>
        <w:right w:val="none" w:sz="0" w:space="0" w:color="auto"/>
      </w:divBdr>
    </w:div>
    <w:div w:id="80412898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56429445">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70792569">
      <w:bodyDiv w:val="1"/>
      <w:marLeft w:val="0"/>
      <w:marRight w:val="0"/>
      <w:marTop w:val="0"/>
      <w:marBottom w:val="0"/>
      <w:divBdr>
        <w:top w:val="none" w:sz="0" w:space="0" w:color="auto"/>
        <w:left w:val="none" w:sz="0" w:space="0" w:color="auto"/>
        <w:bottom w:val="none" w:sz="0" w:space="0" w:color="auto"/>
        <w:right w:val="none" w:sz="0" w:space="0" w:color="auto"/>
      </w:divBdr>
    </w:div>
    <w:div w:id="987320229">
      <w:bodyDiv w:val="1"/>
      <w:marLeft w:val="0"/>
      <w:marRight w:val="0"/>
      <w:marTop w:val="0"/>
      <w:marBottom w:val="0"/>
      <w:divBdr>
        <w:top w:val="none" w:sz="0" w:space="0" w:color="auto"/>
        <w:left w:val="none" w:sz="0" w:space="0" w:color="auto"/>
        <w:bottom w:val="none" w:sz="0" w:space="0" w:color="auto"/>
        <w:right w:val="none" w:sz="0" w:space="0" w:color="auto"/>
      </w:divBdr>
    </w:div>
    <w:div w:id="990062212">
      <w:bodyDiv w:val="1"/>
      <w:marLeft w:val="0"/>
      <w:marRight w:val="0"/>
      <w:marTop w:val="0"/>
      <w:marBottom w:val="0"/>
      <w:divBdr>
        <w:top w:val="none" w:sz="0" w:space="0" w:color="auto"/>
        <w:left w:val="none" w:sz="0" w:space="0" w:color="auto"/>
        <w:bottom w:val="none" w:sz="0" w:space="0" w:color="auto"/>
        <w:right w:val="none" w:sz="0" w:space="0" w:color="auto"/>
      </w:divBdr>
    </w:div>
    <w:div w:id="998117071">
      <w:bodyDiv w:val="1"/>
      <w:marLeft w:val="0"/>
      <w:marRight w:val="0"/>
      <w:marTop w:val="0"/>
      <w:marBottom w:val="0"/>
      <w:divBdr>
        <w:top w:val="none" w:sz="0" w:space="0" w:color="auto"/>
        <w:left w:val="none" w:sz="0" w:space="0" w:color="auto"/>
        <w:bottom w:val="none" w:sz="0" w:space="0" w:color="auto"/>
        <w:right w:val="none" w:sz="0" w:space="0" w:color="auto"/>
      </w:divBdr>
    </w:div>
    <w:div w:id="1000157776">
      <w:bodyDiv w:val="1"/>
      <w:marLeft w:val="0"/>
      <w:marRight w:val="0"/>
      <w:marTop w:val="0"/>
      <w:marBottom w:val="0"/>
      <w:divBdr>
        <w:top w:val="none" w:sz="0" w:space="0" w:color="auto"/>
        <w:left w:val="none" w:sz="0" w:space="0" w:color="auto"/>
        <w:bottom w:val="none" w:sz="0" w:space="0" w:color="auto"/>
        <w:right w:val="none" w:sz="0" w:space="0" w:color="auto"/>
      </w:divBdr>
    </w:div>
    <w:div w:id="1002899423">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42972633">
      <w:bodyDiv w:val="1"/>
      <w:marLeft w:val="0"/>
      <w:marRight w:val="0"/>
      <w:marTop w:val="0"/>
      <w:marBottom w:val="0"/>
      <w:divBdr>
        <w:top w:val="none" w:sz="0" w:space="0" w:color="auto"/>
        <w:left w:val="none" w:sz="0" w:space="0" w:color="auto"/>
        <w:bottom w:val="none" w:sz="0" w:space="0" w:color="auto"/>
        <w:right w:val="none" w:sz="0" w:space="0" w:color="auto"/>
      </w:divBdr>
    </w:div>
    <w:div w:id="1055202971">
      <w:bodyDiv w:val="1"/>
      <w:marLeft w:val="0"/>
      <w:marRight w:val="0"/>
      <w:marTop w:val="0"/>
      <w:marBottom w:val="0"/>
      <w:divBdr>
        <w:top w:val="none" w:sz="0" w:space="0" w:color="auto"/>
        <w:left w:val="none" w:sz="0" w:space="0" w:color="auto"/>
        <w:bottom w:val="none" w:sz="0" w:space="0" w:color="auto"/>
        <w:right w:val="none" w:sz="0" w:space="0" w:color="auto"/>
      </w:divBdr>
    </w:div>
    <w:div w:id="1061439515">
      <w:bodyDiv w:val="1"/>
      <w:marLeft w:val="0"/>
      <w:marRight w:val="0"/>
      <w:marTop w:val="0"/>
      <w:marBottom w:val="0"/>
      <w:divBdr>
        <w:top w:val="none" w:sz="0" w:space="0" w:color="auto"/>
        <w:left w:val="none" w:sz="0" w:space="0" w:color="auto"/>
        <w:bottom w:val="none" w:sz="0" w:space="0" w:color="auto"/>
        <w:right w:val="none" w:sz="0" w:space="0" w:color="auto"/>
      </w:divBdr>
    </w:div>
    <w:div w:id="1073771115">
      <w:bodyDiv w:val="1"/>
      <w:marLeft w:val="0"/>
      <w:marRight w:val="0"/>
      <w:marTop w:val="0"/>
      <w:marBottom w:val="0"/>
      <w:divBdr>
        <w:top w:val="none" w:sz="0" w:space="0" w:color="auto"/>
        <w:left w:val="none" w:sz="0" w:space="0" w:color="auto"/>
        <w:bottom w:val="none" w:sz="0" w:space="0" w:color="auto"/>
        <w:right w:val="none" w:sz="0" w:space="0" w:color="auto"/>
      </w:divBdr>
    </w:div>
    <w:div w:id="1087533771">
      <w:bodyDiv w:val="1"/>
      <w:marLeft w:val="0"/>
      <w:marRight w:val="0"/>
      <w:marTop w:val="0"/>
      <w:marBottom w:val="0"/>
      <w:divBdr>
        <w:top w:val="none" w:sz="0" w:space="0" w:color="auto"/>
        <w:left w:val="none" w:sz="0" w:space="0" w:color="auto"/>
        <w:bottom w:val="none" w:sz="0" w:space="0" w:color="auto"/>
        <w:right w:val="none" w:sz="0" w:space="0" w:color="auto"/>
      </w:divBdr>
    </w:div>
    <w:div w:id="1091899352">
      <w:bodyDiv w:val="1"/>
      <w:marLeft w:val="0"/>
      <w:marRight w:val="0"/>
      <w:marTop w:val="0"/>
      <w:marBottom w:val="0"/>
      <w:divBdr>
        <w:top w:val="none" w:sz="0" w:space="0" w:color="auto"/>
        <w:left w:val="none" w:sz="0" w:space="0" w:color="auto"/>
        <w:bottom w:val="none" w:sz="0" w:space="0" w:color="auto"/>
        <w:right w:val="none" w:sz="0" w:space="0" w:color="auto"/>
      </w:divBdr>
    </w:div>
    <w:div w:id="1112285655">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187056684">
      <w:bodyDiv w:val="1"/>
      <w:marLeft w:val="0"/>
      <w:marRight w:val="0"/>
      <w:marTop w:val="0"/>
      <w:marBottom w:val="0"/>
      <w:divBdr>
        <w:top w:val="none" w:sz="0" w:space="0" w:color="auto"/>
        <w:left w:val="none" w:sz="0" w:space="0" w:color="auto"/>
        <w:bottom w:val="none" w:sz="0" w:space="0" w:color="auto"/>
        <w:right w:val="none" w:sz="0" w:space="0" w:color="auto"/>
      </w:divBdr>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00902232">
      <w:bodyDiv w:val="1"/>
      <w:marLeft w:val="0"/>
      <w:marRight w:val="0"/>
      <w:marTop w:val="0"/>
      <w:marBottom w:val="0"/>
      <w:divBdr>
        <w:top w:val="none" w:sz="0" w:space="0" w:color="auto"/>
        <w:left w:val="none" w:sz="0" w:space="0" w:color="auto"/>
        <w:bottom w:val="none" w:sz="0" w:space="0" w:color="auto"/>
        <w:right w:val="none" w:sz="0" w:space="0" w:color="auto"/>
      </w:divBdr>
    </w:div>
    <w:div w:id="1406343183">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78839642">
      <w:bodyDiv w:val="1"/>
      <w:marLeft w:val="0"/>
      <w:marRight w:val="0"/>
      <w:marTop w:val="0"/>
      <w:marBottom w:val="0"/>
      <w:divBdr>
        <w:top w:val="none" w:sz="0" w:space="0" w:color="auto"/>
        <w:left w:val="none" w:sz="0" w:space="0" w:color="auto"/>
        <w:bottom w:val="none" w:sz="0" w:space="0" w:color="auto"/>
        <w:right w:val="none" w:sz="0" w:space="0" w:color="auto"/>
      </w:divBdr>
    </w:div>
    <w:div w:id="1501774985">
      <w:bodyDiv w:val="1"/>
      <w:marLeft w:val="0"/>
      <w:marRight w:val="0"/>
      <w:marTop w:val="0"/>
      <w:marBottom w:val="0"/>
      <w:divBdr>
        <w:top w:val="none" w:sz="0" w:space="0" w:color="auto"/>
        <w:left w:val="none" w:sz="0" w:space="0" w:color="auto"/>
        <w:bottom w:val="none" w:sz="0" w:space="0" w:color="auto"/>
        <w:right w:val="none" w:sz="0" w:space="0" w:color="auto"/>
      </w:divBdr>
    </w:div>
    <w:div w:id="1505245310">
      <w:bodyDiv w:val="1"/>
      <w:marLeft w:val="0"/>
      <w:marRight w:val="0"/>
      <w:marTop w:val="0"/>
      <w:marBottom w:val="0"/>
      <w:divBdr>
        <w:top w:val="none" w:sz="0" w:space="0" w:color="auto"/>
        <w:left w:val="none" w:sz="0" w:space="0" w:color="auto"/>
        <w:bottom w:val="none" w:sz="0" w:space="0" w:color="auto"/>
        <w:right w:val="none" w:sz="0" w:space="0" w:color="auto"/>
      </w:divBdr>
    </w:div>
    <w:div w:id="1526745666">
      <w:bodyDiv w:val="1"/>
      <w:marLeft w:val="0"/>
      <w:marRight w:val="0"/>
      <w:marTop w:val="0"/>
      <w:marBottom w:val="0"/>
      <w:divBdr>
        <w:top w:val="none" w:sz="0" w:space="0" w:color="auto"/>
        <w:left w:val="none" w:sz="0" w:space="0" w:color="auto"/>
        <w:bottom w:val="none" w:sz="0" w:space="0" w:color="auto"/>
        <w:right w:val="none" w:sz="0" w:space="0" w:color="auto"/>
      </w:divBdr>
    </w:div>
    <w:div w:id="1554928428">
      <w:bodyDiv w:val="1"/>
      <w:marLeft w:val="0"/>
      <w:marRight w:val="0"/>
      <w:marTop w:val="0"/>
      <w:marBottom w:val="0"/>
      <w:divBdr>
        <w:top w:val="none" w:sz="0" w:space="0" w:color="auto"/>
        <w:left w:val="none" w:sz="0" w:space="0" w:color="auto"/>
        <w:bottom w:val="none" w:sz="0" w:space="0" w:color="auto"/>
        <w:right w:val="none" w:sz="0" w:space="0" w:color="auto"/>
      </w:divBdr>
    </w:div>
    <w:div w:id="1565094371">
      <w:bodyDiv w:val="1"/>
      <w:marLeft w:val="0"/>
      <w:marRight w:val="0"/>
      <w:marTop w:val="0"/>
      <w:marBottom w:val="0"/>
      <w:divBdr>
        <w:top w:val="none" w:sz="0" w:space="0" w:color="auto"/>
        <w:left w:val="none" w:sz="0" w:space="0" w:color="auto"/>
        <w:bottom w:val="none" w:sz="0" w:space="0" w:color="auto"/>
        <w:right w:val="none" w:sz="0" w:space="0" w:color="auto"/>
      </w:divBdr>
    </w:div>
    <w:div w:id="1571233040">
      <w:bodyDiv w:val="1"/>
      <w:marLeft w:val="0"/>
      <w:marRight w:val="0"/>
      <w:marTop w:val="0"/>
      <w:marBottom w:val="0"/>
      <w:divBdr>
        <w:top w:val="none" w:sz="0" w:space="0" w:color="auto"/>
        <w:left w:val="none" w:sz="0" w:space="0" w:color="auto"/>
        <w:bottom w:val="none" w:sz="0" w:space="0" w:color="auto"/>
        <w:right w:val="none" w:sz="0" w:space="0" w:color="auto"/>
      </w:divBdr>
    </w:div>
    <w:div w:id="1572690336">
      <w:bodyDiv w:val="1"/>
      <w:marLeft w:val="0"/>
      <w:marRight w:val="0"/>
      <w:marTop w:val="0"/>
      <w:marBottom w:val="0"/>
      <w:divBdr>
        <w:top w:val="none" w:sz="0" w:space="0" w:color="auto"/>
        <w:left w:val="none" w:sz="0" w:space="0" w:color="auto"/>
        <w:bottom w:val="none" w:sz="0" w:space="0" w:color="auto"/>
        <w:right w:val="none" w:sz="0" w:space="0" w:color="auto"/>
      </w:divBdr>
    </w:div>
    <w:div w:id="1578244209">
      <w:bodyDiv w:val="1"/>
      <w:marLeft w:val="0"/>
      <w:marRight w:val="0"/>
      <w:marTop w:val="0"/>
      <w:marBottom w:val="0"/>
      <w:divBdr>
        <w:top w:val="none" w:sz="0" w:space="0" w:color="auto"/>
        <w:left w:val="none" w:sz="0" w:space="0" w:color="auto"/>
        <w:bottom w:val="none" w:sz="0" w:space="0" w:color="auto"/>
        <w:right w:val="none" w:sz="0" w:space="0" w:color="auto"/>
      </w:divBdr>
    </w:div>
    <w:div w:id="1612778309">
      <w:bodyDiv w:val="1"/>
      <w:marLeft w:val="0"/>
      <w:marRight w:val="0"/>
      <w:marTop w:val="0"/>
      <w:marBottom w:val="0"/>
      <w:divBdr>
        <w:top w:val="none" w:sz="0" w:space="0" w:color="auto"/>
        <w:left w:val="none" w:sz="0" w:space="0" w:color="auto"/>
        <w:bottom w:val="none" w:sz="0" w:space="0" w:color="auto"/>
        <w:right w:val="none" w:sz="0" w:space="0" w:color="auto"/>
      </w:divBdr>
    </w:div>
    <w:div w:id="1668945377">
      <w:bodyDiv w:val="1"/>
      <w:marLeft w:val="0"/>
      <w:marRight w:val="0"/>
      <w:marTop w:val="0"/>
      <w:marBottom w:val="0"/>
      <w:divBdr>
        <w:top w:val="none" w:sz="0" w:space="0" w:color="auto"/>
        <w:left w:val="none" w:sz="0" w:space="0" w:color="auto"/>
        <w:bottom w:val="none" w:sz="0" w:space="0" w:color="auto"/>
        <w:right w:val="none" w:sz="0" w:space="0" w:color="auto"/>
      </w:divBdr>
    </w:div>
    <w:div w:id="1672443247">
      <w:bodyDiv w:val="1"/>
      <w:marLeft w:val="0"/>
      <w:marRight w:val="0"/>
      <w:marTop w:val="0"/>
      <w:marBottom w:val="0"/>
      <w:divBdr>
        <w:top w:val="none" w:sz="0" w:space="0" w:color="auto"/>
        <w:left w:val="none" w:sz="0" w:space="0" w:color="auto"/>
        <w:bottom w:val="none" w:sz="0" w:space="0" w:color="auto"/>
        <w:right w:val="none" w:sz="0" w:space="0" w:color="auto"/>
      </w:divBdr>
    </w:div>
    <w:div w:id="1691952375">
      <w:bodyDiv w:val="1"/>
      <w:marLeft w:val="0"/>
      <w:marRight w:val="0"/>
      <w:marTop w:val="0"/>
      <w:marBottom w:val="0"/>
      <w:divBdr>
        <w:top w:val="none" w:sz="0" w:space="0" w:color="auto"/>
        <w:left w:val="none" w:sz="0" w:space="0" w:color="auto"/>
        <w:bottom w:val="none" w:sz="0" w:space="0" w:color="auto"/>
        <w:right w:val="none" w:sz="0" w:space="0" w:color="auto"/>
      </w:divBdr>
    </w:div>
    <w:div w:id="1710107426">
      <w:bodyDiv w:val="1"/>
      <w:marLeft w:val="0"/>
      <w:marRight w:val="0"/>
      <w:marTop w:val="0"/>
      <w:marBottom w:val="0"/>
      <w:divBdr>
        <w:top w:val="none" w:sz="0" w:space="0" w:color="auto"/>
        <w:left w:val="none" w:sz="0" w:space="0" w:color="auto"/>
        <w:bottom w:val="none" w:sz="0" w:space="0" w:color="auto"/>
        <w:right w:val="none" w:sz="0" w:space="0" w:color="auto"/>
      </w:divBdr>
    </w:div>
    <w:div w:id="1740398066">
      <w:bodyDiv w:val="1"/>
      <w:marLeft w:val="0"/>
      <w:marRight w:val="0"/>
      <w:marTop w:val="0"/>
      <w:marBottom w:val="0"/>
      <w:divBdr>
        <w:top w:val="none" w:sz="0" w:space="0" w:color="auto"/>
        <w:left w:val="none" w:sz="0" w:space="0" w:color="auto"/>
        <w:bottom w:val="none" w:sz="0" w:space="0" w:color="auto"/>
        <w:right w:val="none" w:sz="0" w:space="0" w:color="auto"/>
      </w:divBdr>
    </w:div>
    <w:div w:id="1744764956">
      <w:bodyDiv w:val="1"/>
      <w:marLeft w:val="0"/>
      <w:marRight w:val="0"/>
      <w:marTop w:val="0"/>
      <w:marBottom w:val="0"/>
      <w:divBdr>
        <w:top w:val="none" w:sz="0" w:space="0" w:color="auto"/>
        <w:left w:val="none" w:sz="0" w:space="0" w:color="auto"/>
        <w:bottom w:val="none" w:sz="0" w:space="0" w:color="auto"/>
        <w:right w:val="none" w:sz="0" w:space="0" w:color="auto"/>
      </w:divBdr>
    </w:div>
    <w:div w:id="1747611621">
      <w:bodyDiv w:val="1"/>
      <w:marLeft w:val="0"/>
      <w:marRight w:val="0"/>
      <w:marTop w:val="0"/>
      <w:marBottom w:val="0"/>
      <w:divBdr>
        <w:top w:val="none" w:sz="0" w:space="0" w:color="auto"/>
        <w:left w:val="none" w:sz="0" w:space="0" w:color="auto"/>
        <w:bottom w:val="none" w:sz="0" w:space="0" w:color="auto"/>
        <w:right w:val="none" w:sz="0" w:space="0" w:color="auto"/>
      </w:divBdr>
    </w:div>
    <w:div w:id="1758868138">
      <w:bodyDiv w:val="1"/>
      <w:marLeft w:val="0"/>
      <w:marRight w:val="0"/>
      <w:marTop w:val="0"/>
      <w:marBottom w:val="0"/>
      <w:divBdr>
        <w:top w:val="none" w:sz="0" w:space="0" w:color="auto"/>
        <w:left w:val="none" w:sz="0" w:space="0" w:color="auto"/>
        <w:bottom w:val="none" w:sz="0" w:space="0" w:color="auto"/>
        <w:right w:val="none" w:sz="0" w:space="0" w:color="auto"/>
      </w:divBdr>
    </w:div>
    <w:div w:id="1790854281">
      <w:bodyDiv w:val="1"/>
      <w:marLeft w:val="0"/>
      <w:marRight w:val="0"/>
      <w:marTop w:val="0"/>
      <w:marBottom w:val="0"/>
      <w:divBdr>
        <w:top w:val="none" w:sz="0" w:space="0" w:color="auto"/>
        <w:left w:val="none" w:sz="0" w:space="0" w:color="auto"/>
        <w:bottom w:val="none" w:sz="0" w:space="0" w:color="auto"/>
        <w:right w:val="none" w:sz="0" w:space="0" w:color="auto"/>
      </w:divBdr>
    </w:div>
    <w:div w:id="1792017546">
      <w:bodyDiv w:val="1"/>
      <w:marLeft w:val="0"/>
      <w:marRight w:val="0"/>
      <w:marTop w:val="0"/>
      <w:marBottom w:val="0"/>
      <w:divBdr>
        <w:top w:val="none" w:sz="0" w:space="0" w:color="auto"/>
        <w:left w:val="none" w:sz="0" w:space="0" w:color="auto"/>
        <w:bottom w:val="none" w:sz="0" w:space="0" w:color="auto"/>
        <w:right w:val="none" w:sz="0" w:space="0" w:color="auto"/>
      </w:divBdr>
    </w:div>
    <w:div w:id="1799060558">
      <w:bodyDiv w:val="1"/>
      <w:marLeft w:val="0"/>
      <w:marRight w:val="0"/>
      <w:marTop w:val="0"/>
      <w:marBottom w:val="0"/>
      <w:divBdr>
        <w:top w:val="none" w:sz="0" w:space="0" w:color="auto"/>
        <w:left w:val="none" w:sz="0" w:space="0" w:color="auto"/>
        <w:bottom w:val="none" w:sz="0" w:space="0" w:color="auto"/>
        <w:right w:val="none" w:sz="0" w:space="0" w:color="auto"/>
      </w:divBdr>
    </w:div>
    <w:div w:id="1813449386">
      <w:bodyDiv w:val="1"/>
      <w:marLeft w:val="0"/>
      <w:marRight w:val="0"/>
      <w:marTop w:val="0"/>
      <w:marBottom w:val="0"/>
      <w:divBdr>
        <w:top w:val="none" w:sz="0" w:space="0" w:color="auto"/>
        <w:left w:val="none" w:sz="0" w:space="0" w:color="auto"/>
        <w:bottom w:val="none" w:sz="0" w:space="0" w:color="auto"/>
        <w:right w:val="none" w:sz="0" w:space="0" w:color="auto"/>
      </w:divBdr>
    </w:div>
    <w:div w:id="1815871631">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1960909862">
      <w:bodyDiv w:val="1"/>
      <w:marLeft w:val="0"/>
      <w:marRight w:val="0"/>
      <w:marTop w:val="0"/>
      <w:marBottom w:val="0"/>
      <w:divBdr>
        <w:top w:val="none" w:sz="0" w:space="0" w:color="auto"/>
        <w:left w:val="none" w:sz="0" w:space="0" w:color="auto"/>
        <w:bottom w:val="none" w:sz="0" w:space="0" w:color="auto"/>
        <w:right w:val="none" w:sz="0" w:space="0" w:color="auto"/>
      </w:divBdr>
    </w:div>
    <w:div w:id="1976526714">
      <w:bodyDiv w:val="1"/>
      <w:marLeft w:val="0"/>
      <w:marRight w:val="0"/>
      <w:marTop w:val="0"/>
      <w:marBottom w:val="0"/>
      <w:divBdr>
        <w:top w:val="none" w:sz="0" w:space="0" w:color="auto"/>
        <w:left w:val="none" w:sz="0" w:space="0" w:color="auto"/>
        <w:bottom w:val="none" w:sz="0" w:space="0" w:color="auto"/>
        <w:right w:val="none" w:sz="0" w:space="0" w:color="auto"/>
      </w:divBdr>
    </w:div>
    <w:div w:id="1997953332">
      <w:bodyDiv w:val="1"/>
      <w:marLeft w:val="0"/>
      <w:marRight w:val="0"/>
      <w:marTop w:val="0"/>
      <w:marBottom w:val="0"/>
      <w:divBdr>
        <w:top w:val="none" w:sz="0" w:space="0" w:color="auto"/>
        <w:left w:val="none" w:sz="0" w:space="0" w:color="auto"/>
        <w:bottom w:val="none" w:sz="0" w:space="0" w:color="auto"/>
        <w:right w:val="none" w:sz="0" w:space="0" w:color="auto"/>
      </w:divBdr>
    </w:div>
    <w:div w:id="2024282701">
      <w:bodyDiv w:val="1"/>
      <w:marLeft w:val="0"/>
      <w:marRight w:val="0"/>
      <w:marTop w:val="0"/>
      <w:marBottom w:val="0"/>
      <w:divBdr>
        <w:top w:val="none" w:sz="0" w:space="0" w:color="auto"/>
        <w:left w:val="none" w:sz="0" w:space="0" w:color="auto"/>
        <w:bottom w:val="none" w:sz="0" w:space="0" w:color="auto"/>
        <w:right w:val="none" w:sz="0" w:space="0" w:color="auto"/>
      </w:divBdr>
    </w:div>
    <w:div w:id="2059695878">
      <w:bodyDiv w:val="1"/>
      <w:marLeft w:val="0"/>
      <w:marRight w:val="0"/>
      <w:marTop w:val="0"/>
      <w:marBottom w:val="0"/>
      <w:divBdr>
        <w:top w:val="none" w:sz="0" w:space="0" w:color="auto"/>
        <w:left w:val="none" w:sz="0" w:space="0" w:color="auto"/>
        <w:bottom w:val="none" w:sz="0" w:space="0" w:color="auto"/>
        <w:right w:val="none" w:sz="0" w:space="0" w:color="auto"/>
      </w:divBdr>
    </w:div>
    <w:div w:id="2071686287">
      <w:bodyDiv w:val="1"/>
      <w:marLeft w:val="0"/>
      <w:marRight w:val="0"/>
      <w:marTop w:val="0"/>
      <w:marBottom w:val="0"/>
      <w:divBdr>
        <w:top w:val="none" w:sz="0" w:space="0" w:color="auto"/>
        <w:left w:val="none" w:sz="0" w:space="0" w:color="auto"/>
        <w:bottom w:val="none" w:sz="0" w:space="0" w:color="auto"/>
        <w:right w:val="none" w:sz="0" w:space="0" w:color="auto"/>
      </w:divBdr>
    </w:div>
    <w:div w:id="2090536341">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124037020">
      <w:bodyDiv w:val="1"/>
      <w:marLeft w:val="0"/>
      <w:marRight w:val="0"/>
      <w:marTop w:val="0"/>
      <w:marBottom w:val="0"/>
      <w:divBdr>
        <w:top w:val="none" w:sz="0" w:space="0" w:color="auto"/>
        <w:left w:val="none" w:sz="0" w:space="0" w:color="auto"/>
        <w:bottom w:val="none" w:sz="0" w:space="0" w:color="auto"/>
        <w:right w:val="none" w:sz="0" w:space="0" w:color="auto"/>
      </w:divBdr>
    </w:div>
    <w:div w:id="21298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hyperlink" Target="https://planning.statedevelopment.qld.gov.au/planning-framework/plan-making/regional-plan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lanning.statedevelopment.qld.gov.au/planning-framework/plan-making/state-planning/state-planning-policy"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qld.gov.au/languages" TargetMode="External"/><Relationship Id="rId10" Type="http://schemas.openxmlformats.org/officeDocument/2006/relationships/footer" Target="footer1.xml"/><Relationship Id="rId19" Type="http://schemas.openxmlformats.org/officeDocument/2006/relationships/hyperlink" Target="https://www.statedevelopment.qld.gov.au/planning/housing/housing-availability-and-affordability-pola-amendment-bill-202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06BA2-497E-4B3F-A098-F39D23B7D533}">
  <ds:schemaRefs>
    <ds:schemaRef ds:uri="http://schemas.openxmlformats.org/officeDocument/2006/bibliography"/>
  </ds:schemaRefs>
</ds:datastoreItem>
</file>

<file path=docMetadata/LabelInfo.xml><?xml version="1.0" encoding="utf-8"?>
<clbl:labelList xmlns:clbl="http://schemas.microsoft.com/office/2020/mipLabelMetadata">
  <clbl:label id="{7db2bee6-535c-4748-bf78-c30733511bcd}" enabled="0" method="" siteId="{7db2bee6-535c-4748-bf78-c30733511bc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National Planning Reform Blueprint – Queensland progress report March 2025</vt:lpstr>
    </vt:vector>
  </TitlesOfParts>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Queensland progress report March 2025</dc:title>
  <dc:subject/>
  <dc:creator>Queensland Government</dc:creator>
  <cp:keywords/>
  <dc:description/>
  <cp:lastModifiedBy/>
  <cp:revision>1</cp:revision>
  <dcterms:created xsi:type="dcterms:W3CDTF">2025-11-12T02:04:00Z</dcterms:created>
  <dcterms:modified xsi:type="dcterms:W3CDTF">2025-11-12T02:05:00Z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2025-11-12T02:04:36Z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9f8a6a21-212f-40cf-bdd7-e4fa617605ad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