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2289537"/>
        <w:docPartObj>
          <w:docPartGallery w:val="Cover Pages"/>
          <w:docPartUnique/>
        </w:docPartObj>
      </w:sdtPr>
      <w:sdtEndPr/>
      <w:sdtContent>
        <w:p w14:paraId="729F1E88"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45B19AF2" wp14:editId="35D45354">
                <wp:simplePos x="0" y="0"/>
                <wp:positionH relativeFrom="margin">
                  <wp:posOffset>-909955</wp:posOffset>
                </wp:positionH>
                <wp:positionV relativeFrom="page">
                  <wp:posOffset>-18560</wp:posOffset>
                </wp:positionV>
                <wp:extent cx="7570800" cy="1070901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333C0" w14:textId="77777777" w:rsidR="00A97160" w:rsidRPr="006D0240" w:rsidRDefault="00A97160" w:rsidP="00301755">
          <w:pPr>
            <w:pStyle w:val="Header"/>
            <w:spacing w:after="1200"/>
          </w:pPr>
        </w:p>
        <w:p w14:paraId="7075D83B" w14:textId="77777777" w:rsidR="00D904B1" w:rsidRDefault="00D904B1" w:rsidP="00D904B1">
          <w:pPr>
            <w:pStyle w:val="Title"/>
            <w:tabs>
              <w:tab w:val="left" w:pos="6379"/>
            </w:tabs>
            <w:spacing w:line="720" w:lineRule="exact"/>
            <w:ind w:right="1982"/>
          </w:pPr>
          <w:bookmarkStart w:id="0" w:name="_Hlk210140549"/>
          <w:r>
            <w:t>Tracking mergers and acquisitions using Australian</w:t>
          </w:r>
        </w:p>
        <w:p w14:paraId="41C53FC4" w14:textId="73F554E1" w:rsidR="00A97160" w:rsidRPr="006923DF" w:rsidRDefault="00D904B1" w:rsidP="00D904B1">
          <w:pPr>
            <w:pStyle w:val="Title"/>
            <w:tabs>
              <w:tab w:val="left" w:pos="6379"/>
            </w:tabs>
            <w:spacing w:after="120" w:line="720" w:lineRule="exact"/>
            <w:ind w:right="1982"/>
          </w:pPr>
          <w:r>
            <w:t>administrative data</w:t>
          </w:r>
        </w:p>
        <w:bookmarkEnd w:id="0"/>
        <w:p w14:paraId="472C1513" w14:textId="77777777" w:rsidR="00A97160" w:rsidRPr="006923DF" w:rsidRDefault="00A97160" w:rsidP="004C2902">
          <w:pPr>
            <w:pStyle w:val="Subtitle"/>
            <w:spacing w:after="360"/>
          </w:pPr>
          <w:r w:rsidRPr="006923DF">
            <w:fldChar w:fldCharType="begin"/>
          </w:r>
          <w:r w:rsidRPr="006923DF">
            <w:instrText xml:space="preserve"> macrobutton NoMacro [Sub title]</w:instrText>
          </w:r>
          <w:r w:rsidRPr="006923DF">
            <w:fldChar w:fldCharType="end"/>
          </w:r>
        </w:p>
        <w:p w14:paraId="4E384D6A" w14:textId="27AC35B5" w:rsidR="00446CED" w:rsidRDefault="00446CED" w:rsidP="006923DF">
          <w:pPr>
            <w:pStyle w:val="ReportDate"/>
            <w:rPr>
              <w:rStyle w:val="ReportDateChar"/>
            </w:rPr>
          </w:pPr>
          <w:r w:rsidRPr="00446CED">
            <w:rPr>
              <w:rStyle w:val="ReportDateChar"/>
            </w:rPr>
            <w:t>Nu Nu Win, Jonathan Hambur, David Hansell, Neil Crighton</w:t>
          </w:r>
        </w:p>
        <w:p w14:paraId="01314FB3" w14:textId="0F83CC10" w:rsidR="00A97160" w:rsidRPr="00586605" w:rsidRDefault="00446CED" w:rsidP="006923DF">
          <w:pPr>
            <w:pStyle w:val="ReportDate"/>
          </w:pPr>
          <w:r>
            <w:rPr>
              <w:rStyle w:val="ReportDateChar"/>
            </w:rPr>
            <w:br/>
            <w:t>September 2025</w:t>
          </w:r>
        </w:p>
        <w:p w14:paraId="5BCB38AD" w14:textId="77777777" w:rsidR="00A97160" w:rsidRDefault="00A97160">
          <w:pPr>
            <w:spacing w:before="0" w:after="160" w:line="259" w:lineRule="auto"/>
            <w:rPr>
              <w:noProof/>
            </w:rPr>
          </w:pPr>
        </w:p>
        <w:p w14:paraId="7D2D3039" w14:textId="23D4A1C9" w:rsidR="00A97160" w:rsidRDefault="00062C4D">
          <w:pPr>
            <w:spacing w:before="0" w:after="160" w:line="259" w:lineRule="auto"/>
          </w:pPr>
        </w:p>
      </w:sdtContent>
    </w:sdt>
    <w:p w14:paraId="65D483DC" w14:textId="77777777" w:rsidR="00B775EE" w:rsidRDefault="00B775EE" w:rsidP="005877AC">
      <w:pPr>
        <w:spacing w:before="0" w:after="160" w:line="259" w:lineRule="auto"/>
      </w:pPr>
    </w:p>
    <w:p w14:paraId="24D384A3" w14:textId="77777777" w:rsidR="00B775EE" w:rsidRDefault="00B775EE">
      <w:pPr>
        <w:spacing w:before="0" w:after="160" w:line="259" w:lineRule="auto"/>
      </w:pPr>
      <w:r>
        <w:br w:type="page"/>
      </w:r>
    </w:p>
    <w:p w14:paraId="61942267" w14:textId="538590C4" w:rsidR="000E0B74" w:rsidRDefault="000E0B74" w:rsidP="005877AC">
      <w:pPr>
        <w:spacing w:before="0" w:after="160" w:line="259" w:lineRule="auto"/>
      </w:pPr>
      <w:r w:rsidRPr="00661BF0">
        <w:lastRenderedPageBreak/>
        <w:t xml:space="preserve">© Commonwealth of </w:t>
      </w:r>
      <w:r w:rsidRPr="00446CED">
        <w:t>Australia 20</w:t>
      </w:r>
      <w:r w:rsidR="00D64CEC" w:rsidRPr="00446CED">
        <w:t>2</w:t>
      </w:r>
      <w:r w:rsidR="00446CED" w:rsidRPr="00446CED">
        <w:t>5</w:t>
      </w:r>
    </w:p>
    <w:p w14:paraId="0AF8A44F" w14:textId="3ABA860E" w:rsidR="006469CC" w:rsidRDefault="006469CC" w:rsidP="005877AC">
      <w:pPr>
        <w:spacing w:before="0" w:after="160" w:line="259" w:lineRule="auto"/>
        <w:rPr>
          <w:noProof/>
        </w:rPr>
      </w:pPr>
      <w:r w:rsidRPr="00777469">
        <w:t xml:space="preserve">ISBN: </w:t>
      </w:r>
      <w:r w:rsidR="00777469" w:rsidRPr="0028440D">
        <w:t>978-1-923278-30-1</w:t>
      </w:r>
    </w:p>
    <w:p w14:paraId="7FC42AD6"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00261802">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photographs, images,</w:t>
      </w:r>
      <w:r w:rsidR="00261802" w:rsidRPr="00261802">
        <w:t xml:space="preserve"> </w:t>
      </w:r>
      <w:r w:rsidR="00261802" w:rsidRPr="004F5ACF">
        <w:t>third party materials, materials protected by a trademark</w:t>
      </w:r>
      <w:r w:rsidR="00261802">
        <w:t>,</w:t>
      </w:r>
      <w:r>
        <w:t xml:space="preserve"> signatures </w:t>
      </w:r>
      <w:r w:rsidRPr="002F1BC2">
        <w:t>and where otherwise stated</w:t>
      </w:r>
      <w:r w:rsidR="00261802">
        <w:t xml:space="preserve">. </w:t>
      </w:r>
      <w:r w:rsidRPr="002F1BC2">
        <w:t>The full licence terms are available from</w:t>
      </w:r>
      <w:r w:rsidRPr="00476F09">
        <w:rPr>
          <w:rFonts w:cstheme="minorHAnsi"/>
          <w:sz w:val="24"/>
          <w:szCs w:val="24"/>
        </w:rPr>
        <w:t xml:space="preserve"> </w:t>
      </w:r>
      <w:hyperlink r:id="rId10" w:history="1">
        <w:r w:rsidR="00261802">
          <w:rPr>
            <w:rStyle w:val="Hyperlink"/>
          </w:rPr>
          <w:t>creativecommons.org/licenses/by/4.0/legalcode</w:t>
        </w:r>
      </w:hyperlink>
      <w:r w:rsidRPr="006627B4">
        <w:rPr>
          <w:rStyle w:val="Hyperlink"/>
        </w:rPr>
        <w:t>.</w:t>
      </w:r>
      <w:r w:rsidRPr="00D06A21">
        <w:rPr>
          <w:sz w:val="24"/>
          <w:szCs w:val="24"/>
        </w:rPr>
        <w:t xml:space="preserve"> </w:t>
      </w:r>
    </w:p>
    <w:p w14:paraId="23AC402A" w14:textId="77777777" w:rsidR="000E0B74" w:rsidRDefault="000E0B74" w:rsidP="000E0B74">
      <w:pPr>
        <w:pStyle w:val="ChartGraphic"/>
        <w:jc w:val="left"/>
      </w:pPr>
      <w:r w:rsidRPr="00E56DFB">
        <w:rPr>
          <w:noProof/>
        </w:rPr>
        <w:drawing>
          <wp:inline distT="0" distB="0" distL="0" distR="0" wp14:anchorId="571553F5" wp14:editId="6842B3A5">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2265ECE"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00261802">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350FCC9E" w14:textId="77777777" w:rsidR="000E0B74" w:rsidRPr="00261802" w:rsidRDefault="000E0B74" w:rsidP="006469CC">
      <w:pPr>
        <w:spacing w:before="240"/>
        <w:rPr>
          <w:rStyle w:val="Strong"/>
        </w:rPr>
      </w:pPr>
      <w:r w:rsidRPr="00261802">
        <w:rPr>
          <w:rStyle w:val="Strong"/>
        </w:rPr>
        <w:t>Treasury material used ‘as supplied’</w:t>
      </w:r>
    </w:p>
    <w:p w14:paraId="3A29A3B0"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261802">
        <w:rPr>
          <w:rFonts w:cs="Calibri Light"/>
        </w:rPr>
        <w:t>–</w:t>
      </w:r>
      <w:r>
        <w:t xml:space="preserve"> then Treasury prefers t</w:t>
      </w:r>
      <w:r w:rsidRPr="00476F09">
        <w:t xml:space="preserve">he following attribution: </w:t>
      </w:r>
    </w:p>
    <w:p w14:paraId="6A796C0E" w14:textId="77777777" w:rsidR="00261802" w:rsidRPr="00A13A11" w:rsidRDefault="00261802" w:rsidP="00261802">
      <w:pPr>
        <w:ind w:firstLine="720"/>
      </w:pPr>
      <w:r w:rsidRPr="00E17231">
        <w:rPr>
          <w:iCs/>
        </w:rPr>
        <w:t>Source:</w:t>
      </w:r>
      <w:r w:rsidRPr="002F1BC2">
        <w:rPr>
          <w:i/>
        </w:rPr>
        <w:t xml:space="preserve"> </w:t>
      </w:r>
      <w:r w:rsidRPr="00AC2B70">
        <w:rPr>
          <w:rStyle w:val="Emphasis"/>
        </w:rPr>
        <w:t>The Commonwealth of Australia.</w:t>
      </w:r>
    </w:p>
    <w:p w14:paraId="4F333C1D" w14:textId="77777777" w:rsidR="000E0B74" w:rsidRPr="00261802" w:rsidRDefault="000E0B74" w:rsidP="000E0B74">
      <w:pPr>
        <w:spacing w:before="240"/>
        <w:rPr>
          <w:rStyle w:val="Strong"/>
        </w:rPr>
      </w:pPr>
      <w:r w:rsidRPr="00261802">
        <w:rPr>
          <w:rStyle w:val="Strong"/>
        </w:rPr>
        <w:t>Derivative material</w:t>
      </w:r>
    </w:p>
    <w:p w14:paraId="7B95F501"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2E52AB6" w14:textId="77777777" w:rsidR="00261802" w:rsidRPr="00AC2B70" w:rsidRDefault="00261802" w:rsidP="00261802">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6CA471FD" w14:textId="77777777" w:rsidR="000E0B74" w:rsidRPr="00261802" w:rsidRDefault="000E0B74" w:rsidP="000E0B74">
      <w:pPr>
        <w:spacing w:before="240"/>
        <w:rPr>
          <w:rStyle w:val="Strong"/>
        </w:rPr>
      </w:pPr>
      <w:r w:rsidRPr="00261802">
        <w:rPr>
          <w:rStyle w:val="Strong"/>
        </w:rPr>
        <w:t>Use of the Coat of Arms</w:t>
      </w:r>
    </w:p>
    <w:p w14:paraId="7BB5E9FF" w14:textId="77777777" w:rsidR="005C503A" w:rsidRPr="005C503A" w:rsidRDefault="005C503A" w:rsidP="00012758">
      <w:r w:rsidRPr="005C503A">
        <w:t xml:space="preserve">The terms under which the Coat of Arms can be used are set out on the Department of the Prime Minister and Cabinet website (see </w:t>
      </w:r>
      <w:hyperlink r:id="rId13" w:history="1">
        <w:r w:rsidR="00261802">
          <w:rPr>
            <w:rStyle w:val="Hyperlink"/>
          </w:rPr>
          <w:t>www.pmc.gov.au/government/commonwealth-coat-arms</w:t>
        </w:r>
      </w:hyperlink>
      <w:r w:rsidRPr="005C503A">
        <w:t>).</w:t>
      </w:r>
    </w:p>
    <w:p w14:paraId="0CDEDBD8" w14:textId="77777777" w:rsidR="000E0B74" w:rsidRPr="00261802" w:rsidRDefault="000E0B74" w:rsidP="000E0B74">
      <w:pPr>
        <w:spacing w:before="240"/>
        <w:rPr>
          <w:rStyle w:val="Strong"/>
        </w:rPr>
      </w:pPr>
      <w:r w:rsidRPr="00261802">
        <w:rPr>
          <w:rStyle w:val="Strong"/>
        </w:rPr>
        <w:t>Other uses</w:t>
      </w:r>
    </w:p>
    <w:p w14:paraId="5CA498DA" w14:textId="77777777" w:rsidR="000E0B74" w:rsidRPr="006627B4" w:rsidRDefault="000E0B74" w:rsidP="000E0B74">
      <w:r>
        <w:t>E</w:t>
      </w:r>
      <w:r w:rsidRPr="006627B4">
        <w:t>nquiries regarding this licence and any other use of this document are welcome at:</w:t>
      </w:r>
    </w:p>
    <w:p w14:paraId="3188C38E" w14:textId="77777777"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386297">
          <w:rPr>
            <w:rStyle w:val="Hyperlink"/>
          </w:rPr>
          <w:t>media@treasury.gov.au</w:t>
        </w:r>
      </w:hyperlink>
    </w:p>
    <w:p w14:paraId="37933796" w14:textId="77777777" w:rsidR="005715B4" w:rsidRDefault="005715B4" w:rsidP="005715B4">
      <w:pPr>
        <w:spacing w:before="0" w:after="160" w:line="259" w:lineRule="auto"/>
      </w:pPr>
      <w:r>
        <w:br w:type="page"/>
      </w:r>
    </w:p>
    <w:p w14:paraId="7E481A4D" w14:textId="66AF23BF" w:rsidR="005715B4" w:rsidRDefault="005715B4" w:rsidP="005715B4">
      <w:pPr>
        <w:spacing w:before="0" w:after="160" w:line="259" w:lineRule="auto"/>
        <w:rPr>
          <w:b/>
          <w:bCs/>
        </w:rPr>
      </w:pPr>
      <w:r w:rsidRPr="005715B4">
        <w:rPr>
          <w:b/>
          <w:bCs/>
        </w:rPr>
        <w:lastRenderedPageBreak/>
        <w:t>Acknowledgement and Disclaimer</w:t>
      </w:r>
    </w:p>
    <w:p w14:paraId="2AD4CE7A" w14:textId="51FF0132" w:rsidR="005715B4" w:rsidRDefault="005715B4" w:rsidP="005715B4">
      <w:pPr>
        <w:spacing w:before="0" w:after="160" w:line="259" w:lineRule="auto"/>
      </w:pPr>
      <w:r w:rsidRPr="005715B4">
        <w:t>Nu Nu Win would like to acknowledge the support of the Sir Roland Wilson Scholarship Program. The authors would like to thank Yun Jiang for research assistance and the Department of Treasury</w:t>
      </w:r>
      <w:r w:rsidRPr="005715B4">
        <w:rPr>
          <w:rFonts w:cs="Calibri Light"/>
        </w:rPr>
        <w:t>’</w:t>
      </w:r>
      <w:r w:rsidRPr="005715B4">
        <w:t>s Competition Review Taskforce for valuable feedback and comments on this paper</w:t>
      </w:r>
      <w:r>
        <w:t>.</w:t>
      </w:r>
    </w:p>
    <w:p w14:paraId="33B8373F" w14:textId="77777777" w:rsidR="00BE55A8" w:rsidRDefault="00B27D20" w:rsidP="00B27D20">
      <w:pPr>
        <w:spacing w:before="0" w:after="160" w:line="259" w:lineRule="auto"/>
      </w:pPr>
      <w:r w:rsidRPr="00B1227F">
        <w:t>We also stress that the views expressed in this paper are those of the authors and not necessarily those of the Commonwealth Treasury</w:t>
      </w:r>
      <w:r>
        <w:t>, Reserve Bank of Australia</w:t>
      </w:r>
      <w:r w:rsidRPr="00B1227F">
        <w:t xml:space="preserve"> or the Australian government. All errors and omissions remain our own</w:t>
      </w:r>
      <w:r w:rsidR="00B1227F" w:rsidRPr="00B1227F">
        <w:t>.</w:t>
      </w:r>
    </w:p>
    <w:p w14:paraId="1FFBE9A3" w14:textId="77777777" w:rsidR="001C7D47" w:rsidRPr="001C7D47" w:rsidRDefault="001C7D47" w:rsidP="001C7D47">
      <w:pPr>
        <w:spacing w:before="0" w:after="160" w:line="259" w:lineRule="auto"/>
      </w:pPr>
      <w:r w:rsidRPr="001C7D47">
        <w:t>The results of these studies are based, in part, on data supplied to the ABS under the Taxation Administration Act 1953, A New Tax System (Australian Business Number) Act 1999, Australian Border Force Act 2015, Social Security (Administration) Act 1999, A New Tax System (Family Assistance) (Administration) Act 1999, Paid Parental Leave Act 2010 and/or the Student Assistance Act 1973. Such data may only used for the purpose of administering the Census and Statistics Act 1905 or performance of functions of the ABS as set out in section 6 of the Australian Bureau of Statistics Act 1975.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1E3ECD09" w14:textId="77777777" w:rsidR="001C7D47" w:rsidRPr="001C7D47" w:rsidRDefault="001C7D47" w:rsidP="001C7D47">
      <w:pPr>
        <w:spacing w:before="0" w:after="160" w:line="259" w:lineRule="auto"/>
      </w:pPr>
      <w:r w:rsidRPr="001C7D47">
        <w:t>Legislative requirements to ensure privacy and secrecy of these data have been followed. For access to PLIDA and/or BLADE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w:t>
      </w:r>
    </w:p>
    <w:p w14:paraId="05A47D3A" w14:textId="600DABAD" w:rsidR="001C7D47" w:rsidRDefault="0080098C" w:rsidP="00B27D20">
      <w:pPr>
        <w:spacing w:before="0" w:after="160" w:line="259" w:lineRule="auto"/>
      </w:pPr>
      <w:r>
        <w:t xml:space="preserve">Affiliations: </w:t>
      </w:r>
      <w:r w:rsidR="00EB629A">
        <w:t xml:space="preserve">Nu Nu Win (Australian National University), Jonathan Hambur (Reserve Bank of Australia), </w:t>
      </w:r>
      <w:r w:rsidR="00F52346">
        <w:t>David Hansell (Australian National University), Neil Crighton (Australian Treasury)</w:t>
      </w:r>
    </w:p>
    <w:p w14:paraId="00EAD330" w14:textId="77777777" w:rsidR="00BE55A8" w:rsidRDefault="00BE55A8" w:rsidP="00B27D20">
      <w:pPr>
        <w:spacing w:before="0" w:after="160" w:line="259" w:lineRule="auto"/>
      </w:pPr>
    </w:p>
    <w:p w14:paraId="70649D0A" w14:textId="5197986E" w:rsidR="00BE55A8" w:rsidRPr="00B1227F" w:rsidRDefault="00BE55A8" w:rsidP="00B27D20">
      <w:pPr>
        <w:spacing w:before="0" w:after="160" w:line="259" w:lineRule="auto"/>
        <w:sectPr w:rsidR="00BE55A8" w:rsidRPr="00B1227F" w:rsidSect="00A97160">
          <w:pgSz w:w="11906" w:h="16838" w:code="9"/>
          <w:pgMar w:top="1843" w:right="1418" w:bottom="1418" w:left="1418" w:header="709" w:footer="709" w:gutter="0"/>
          <w:pgNumType w:fmt="lowerRoman" w:start="0"/>
          <w:cols w:space="708"/>
          <w:titlePg/>
          <w:docGrid w:linePitch="360"/>
        </w:sectPr>
      </w:pPr>
    </w:p>
    <w:p w14:paraId="202782C1" w14:textId="77777777" w:rsidR="00655508" w:rsidRDefault="000E0B74" w:rsidP="00B1227F">
      <w:pPr>
        <w:pStyle w:val="Heading1"/>
        <w:rPr>
          <w:noProof/>
        </w:rPr>
      </w:pPr>
      <w:bookmarkStart w:id="1" w:name="_Toc111026801"/>
      <w:bookmarkStart w:id="2" w:name="_Toc211507316"/>
      <w:r w:rsidRPr="001F1B27">
        <w:t>Contents</w:t>
      </w:r>
      <w:bookmarkEnd w:id="1"/>
      <w:bookmarkEnd w:id="2"/>
      <w:r>
        <w:rPr>
          <w:noProof/>
          <w:color w:val="004A7F"/>
          <w:szCs w:val="22"/>
        </w:rPr>
        <w:fldChar w:fldCharType="begin"/>
      </w:r>
      <w:r w:rsidRPr="0025652F">
        <w:instrText xml:space="preserve"> TOC \o "1-3" \h \z \u </w:instrText>
      </w:r>
      <w:r>
        <w:rPr>
          <w:noProof/>
          <w:color w:val="004A7F"/>
          <w:szCs w:val="22"/>
        </w:rPr>
        <w:fldChar w:fldCharType="separate"/>
      </w:r>
    </w:p>
    <w:p w14:paraId="13A9902E" w14:textId="730DA1B3" w:rsidR="00655508" w:rsidRDefault="00655508">
      <w:pPr>
        <w:pStyle w:val="TOC1"/>
        <w:rPr>
          <w:rFonts w:asciiTheme="minorHAnsi" w:eastAsiaTheme="minorEastAsia" w:hAnsiTheme="minorHAnsi" w:cstheme="minorBidi"/>
          <w:b w:val="0"/>
          <w:color w:val="auto"/>
          <w:kern w:val="2"/>
          <w:sz w:val="24"/>
          <w:szCs w:val="24"/>
          <w14:ligatures w14:val="standardContextual"/>
        </w:rPr>
      </w:pPr>
      <w:hyperlink w:anchor="_Toc211507317" w:history="1">
        <w:r w:rsidRPr="000105C6">
          <w:rPr>
            <w:rStyle w:val="Hyperlink"/>
          </w:rPr>
          <w:t>Abstract</w:t>
        </w:r>
        <w:r>
          <w:rPr>
            <w:webHidden/>
          </w:rPr>
          <w:tab/>
        </w:r>
        <w:r>
          <w:rPr>
            <w:webHidden/>
          </w:rPr>
          <w:fldChar w:fldCharType="begin"/>
        </w:r>
        <w:r>
          <w:rPr>
            <w:webHidden/>
          </w:rPr>
          <w:instrText xml:space="preserve"> PAGEREF _Toc211507317 \h </w:instrText>
        </w:r>
        <w:r>
          <w:rPr>
            <w:webHidden/>
          </w:rPr>
        </w:r>
        <w:r>
          <w:rPr>
            <w:webHidden/>
          </w:rPr>
          <w:fldChar w:fldCharType="separate"/>
        </w:r>
        <w:r w:rsidR="00245BC5">
          <w:rPr>
            <w:webHidden/>
          </w:rPr>
          <w:t>5</w:t>
        </w:r>
        <w:r>
          <w:rPr>
            <w:webHidden/>
          </w:rPr>
          <w:fldChar w:fldCharType="end"/>
        </w:r>
      </w:hyperlink>
    </w:p>
    <w:p w14:paraId="6B0CE8A2" w14:textId="35327F9B" w:rsidR="00655508" w:rsidRDefault="00655508">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1507318" w:history="1">
        <w:r w:rsidRPr="000105C6">
          <w:rPr>
            <w:rStyle w:val="Hyperlink"/>
          </w:rPr>
          <w:t>1.</w:t>
        </w:r>
        <w:r>
          <w:rPr>
            <w:rFonts w:asciiTheme="minorHAnsi" w:eastAsiaTheme="minorEastAsia" w:hAnsiTheme="minorHAnsi" w:cstheme="minorBidi"/>
            <w:b w:val="0"/>
            <w:color w:val="auto"/>
            <w:kern w:val="2"/>
            <w:sz w:val="24"/>
            <w:szCs w:val="24"/>
            <w14:ligatures w14:val="standardContextual"/>
          </w:rPr>
          <w:tab/>
        </w:r>
        <w:r w:rsidRPr="000105C6">
          <w:rPr>
            <w:rStyle w:val="Hyperlink"/>
          </w:rPr>
          <w:t>Introduction</w:t>
        </w:r>
        <w:r>
          <w:rPr>
            <w:webHidden/>
          </w:rPr>
          <w:tab/>
        </w:r>
        <w:r>
          <w:rPr>
            <w:webHidden/>
          </w:rPr>
          <w:fldChar w:fldCharType="begin"/>
        </w:r>
        <w:r>
          <w:rPr>
            <w:webHidden/>
          </w:rPr>
          <w:instrText xml:space="preserve"> PAGEREF _Toc211507318 \h </w:instrText>
        </w:r>
        <w:r>
          <w:rPr>
            <w:webHidden/>
          </w:rPr>
        </w:r>
        <w:r>
          <w:rPr>
            <w:webHidden/>
          </w:rPr>
          <w:fldChar w:fldCharType="separate"/>
        </w:r>
        <w:r w:rsidR="00245BC5">
          <w:rPr>
            <w:webHidden/>
          </w:rPr>
          <w:t>6</w:t>
        </w:r>
        <w:r>
          <w:rPr>
            <w:webHidden/>
          </w:rPr>
          <w:fldChar w:fldCharType="end"/>
        </w:r>
      </w:hyperlink>
    </w:p>
    <w:p w14:paraId="69458A55" w14:textId="2004592D" w:rsidR="00655508" w:rsidRDefault="00655508">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1507319" w:history="1">
        <w:r w:rsidRPr="000105C6">
          <w:rPr>
            <w:rStyle w:val="Hyperlink"/>
          </w:rPr>
          <w:t>2.</w:t>
        </w:r>
        <w:r>
          <w:rPr>
            <w:rFonts w:asciiTheme="minorHAnsi" w:eastAsiaTheme="minorEastAsia" w:hAnsiTheme="minorHAnsi" w:cstheme="minorBidi"/>
            <w:b w:val="0"/>
            <w:color w:val="auto"/>
            <w:kern w:val="2"/>
            <w:sz w:val="24"/>
            <w:szCs w:val="24"/>
            <w14:ligatures w14:val="standardContextual"/>
          </w:rPr>
          <w:tab/>
        </w:r>
        <w:r w:rsidRPr="000105C6">
          <w:rPr>
            <w:rStyle w:val="Hyperlink"/>
          </w:rPr>
          <w:t>Literature review</w:t>
        </w:r>
        <w:r>
          <w:rPr>
            <w:webHidden/>
          </w:rPr>
          <w:tab/>
        </w:r>
        <w:r>
          <w:rPr>
            <w:webHidden/>
          </w:rPr>
          <w:fldChar w:fldCharType="begin"/>
        </w:r>
        <w:r>
          <w:rPr>
            <w:webHidden/>
          </w:rPr>
          <w:instrText xml:space="preserve"> PAGEREF _Toc211507319 \h </w:instrText>
        </w:r>
        <w:r>
          <w:rPr>
            <w:webHidden/>
          </w:rPr>
        </w:r>
        <w:r>
          <w:rPr>
            <w:webHidden/>
          </w:rPr>
          <w:fldChar w:fldCharType="separate"/>
        </w:r>
        <w:r w:rsidR="00245BC5">
          <w:rPr>
            <w:webHidden/>
          </w:rPr>
          <w:t>7</w:t>
        </w:r>
        <w:r>
          <w:rPr>
            <w:webHidden/>
          </w:rPr>
          <w:fldChar w:fldCharType="end"/>
        </w:r>
      </w:hyperlink>
    </w:p>
    <w:p w14:paraId="2BD8C5E8" w14:textId="177FB787" w:rsidR="00655508" w:rsidRDefault="00655508">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1507320" w:history="1">
        <w:r w:rsidRPr="000105C6">
          <w:rPr>
            <w:rStyle w:val="Hyperlink"/>
          </w:rPr>
          <w:t>3.</w:t>
        </w:r>
        <w:r>
          <w:rPr>
            <w:rFonts w:asciiTheme="minorHAnsi" w:eastAsiaTheme="minorEastAsia" w:hAnsiTheme="minorHAnsi" w:cstheme="minorBidi"/>
            <w:b w:val="0"/>
            <w:color w:val="auto"/>
            <w:kern w:val="2"/>
            <w:sz w:val="24"/>
            <w:szCs w:val="24"/>
            <w14:ligatures w14:val="standardContextual"/>
          </w:rPr>
          <w:tab/>
        </w:r>
        <w:r w:rsidRPr="000105C6">
          <w:rPr>
            <w:rStyle w:val="Hyperlink"/>
          </w:rPr>
          <w:t>Data and Methodology</w:t>
        </w:r>
        <w:r>
          <w:rPr>
            <w:webHidden/>
          </w:rPr>
          <w:tab/>
        </w:r>
        <w:r>
          <w:rPr>
            <w:webHidden/>
          </w:rPr>
          <w:fldChar w:fldCharType="begin"/>
        </w:r>
        <w:r>
          <w:rPr>
            <w:webHidden/>
          </w:rPr>
          <w:instrText xml:space="preserve"> PAGEREF _Toc211507320 \h </w:instrText>
        </w:r>
        <w:r>
          <w:rPr>
            <w:webHidden/>
          </w:rPr>
        </w:r>
        <w:r>
          <w:rPr>
            <w:webHidden/>
          </w:rPr>
          <w:fldChar w:fldCharType="separate"/>
        </w:r>
        <w:r w:rsidR="00245BC5">
          <w:rPr>
            <w:webHidden/>
          </w:rPr>
          <w:t>8</w:t>
        </w:r>
        <w:r>
          <w:rPr>
            <w:webHidden/>
          </w:rPr>
          <w:fldChar w:fldCharType="end"/>
        </w:r>
      </w:hyperlink>
    </w:p>
    <w:p w14:paraId="362D25C1" w14:textId="242DF28E" w:rsidR="00655508" w:rsidRDefault="00655508">
      <w:pPr>
        <w:pStyle w:val="TOC3"/>
        <w:rPr>
          <w:rFonts w:asciiTheme="minorHAnsi" w:eastAsiaTheme="minorEastAsia" w:hAnsiTheme="minorHAnsi" w:cstheme="minorBidi"/>
          <w:kern w:val="2"/>
          <w:sz w:val="24"/>
          <w:szCs w:val="24"/>
          <w14:ligatures w14:val="standardContextual"/>
        </w:rPr>
      </w:pPr>
      <w:hyperlink w:anchor="_Toc211507321" w:history="1">
        <w:r w:rsidRPr="000105C6">
          <w:rPr>
            <w:rStyle w:val="Hyperlink"/>
          </w:rPr>
          <w:t>Table 1: Summary of merger tracking methods</w:t>
        </w:r>
        <w:r>
          <w:rPr>
            <w:webHidden/>
          </w:rPr>
          <w:tab/>
        </w:r>
        <w:r>
          <w:rPr>
            <w:webHidden/>
          </w:rPr>
          <w:fldChar w:fldCharType="begin"/>
        </w:r>
        <w:r>
          <w:rPr>
            <w:webHidden/>
          </w:rPr>
          <w:instrText xml:space="preserve"> PAGEREF _Toc211507321 \h </w:instrText>
        </w:r>
        <w:r>
          <w:rPr>
            <w:webHidden/>
          </w:rPr>
        </w:r>
        <w:r>
          <w:rPr>
            <w:webHidden/>
          </w:rPr>
          <w:fldChar w:fldCharType="separate"/>
        </w:r>
        <w:r w:rsidR="00245BC5">
          <w:rPr>
            <w:webHidden/>
          </w:rPr>
          <w:t>8</w:t>
        </w:r>
        <w:r>
          <w:rPr>
            <w:webHidden/>
          </w:rPr>
          <w:fldChar w:fldCharType="end"/>
        </w:r>
      </w:hyperlink>
    </w:p>
    <w:p w14:paraId="7D0E3A19" w14:textId="63F06246"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22" w:history="1">
        <w:r w:rsidRPr="000105C6">
          <w:rPr>
            <w:rStyle w:val="Hyperlink"/>
          </w:rPr>
          <w:t>3.1</w:t>
        </w:r>
        <w:r>
          <w:rPr>
            <w:rFonts w:asciiTheme="minorHAnsi" w:eastAsiaTheme="minorEastAsia" w:hAnsiTheme="minorHAnsi" w:cstheme="minorBidi"/>
            <w:color w:val="auto"/>
            <w:kern w:val="2"/>
            <w:sz w:val="24"/>
            <w:szCs w:val="24"/>
            <w14:ligatures w14:val="standardContextual"/>
          </w:rPr>
          <w:tab/>
        </w:r>
        <w:r w:rsidRPr="000105C6">
          <w:rPr>
            <w:rStyle w:val="Hyperlink"/>
          </w:rPr>
          <w:t>Tracking employee flows</w:t>
        </w:r>
        <w:r>
          <w:rPr>
            <w:webHidden/>
          </w:rPr>
          <w:tab/>
        </w:r>
        <w:r>
          <w:rPr>
            <w:webHidden/>
          </w:rPr>
          <w:fldChar w:fldCharType="begin"/>
        </w:r>
        <w:r>
          <w:rPr>
            <w:webHidden/>
          </w:rPr>
          <w:instrText xml:space="preserve"> PAGEREF _Toc211507322 \h </w:instrText>
        </w:r>
        <w:r>
          <w:rPr>
            <w:webHidden/>
          </w:rPr>
        </w:r>
        <w:r>
          <w:rPr>
            <w:webHidden/>
          </w:rPr>
          <w:fldChar w:fldCharType="separate"/>
        </w:r>
        <w:r w:rsidR="00245BC5">
          <w:rPr>
            <w:webHidden/>
          </w:rPr>
          <w:t>9</w:t>
        </w:r>
        <w:r>
          <w:rPr>
            <w:webHidden/>
          </w:rPr>
          <w:fldChar w:fldCharType="end"/>
        </w:r>
      </w:hyperlink>
    </w:p>
    <w:p w14:paraId="25D7BAE2" w14:textId="7C5B3EA4" w:rsidR="00655508" w:rsidRDefault="00655508">
      <w:pPr>
        <w:pStyle w:val="TOC3"/>
        <w:rPr>
          <w:rFonts w:asciiTheme="minorHAnsi" w:eastAsiaTheme="minorEastAsia" w:hAnsiTheme="minorHAnsi" w:cstheme="minorBidi"/>
          <w:kern w:val="2"/>
          <w:sz w:val="24"/>
          <w:szCs w:val="24"/>
          <w14:ligatures w14:val="standardContextual"/>
        </w:rPr>
      </w:pPr>
      <w:hyperlink w:anchor="_Toc211507323" w:history="1">
        <w:r w:rsidRPr="000105C6">
          <w:rPr>
            <w:rStyle w:val="Hyperlink"/>
          </w:rPr>
          <w:t>Figure 1: Number of acquisitions – labour flows</w:t>
        </w:r>
        <w:r>
          <w:rPr>
            <w:webHidden/>
          </w:rPr>
          <w:tab/>
        </w:r>
        <w:r>
          <w:rPr>
            <w:webHidden/>
          </w:rPr>
          <w:fldChar w:fldCharType="begin"/>
        </w:r>
        <w:r>
          <w:rPr>
            <w:webHidden/>
          </w:rPr>
          <w:instrText xml:space="preserve"> PAGEREF _Toc211507323 \h </w:instrText>
        </w:r>
        <w:r>
          <w:rPr>
            <w:webHidden/>
          </w:rPr>
        </w:r>
        <w:r>
          <w:rPr>
            <w:webHidden/>
          </w:rPr>
          <w:fldChar w:fldCharType="separate"/>
        </w:r>
        <w:r w:rsidR="00245BC5">
          <w:rPr>
            <w:webHidden/>
          </w:rPr>
          <w:t>10</w:t>
        </w:r>
        <w:r>
          <w:rPr>
            <w:webHidden/>
          </w:rPr>
          <w:fldChar w:fldCharType="end"/>
        </w:r>
      </w:hyperlink>
    </w:p>
    <w:p w14:paraId="602935DC" w14:textId="4F5A5067"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24" w:history="1">
        <w:r w:rsidRPr="000105C6">
          <w:rPr>
            <w:rStyle w:val="Hyperlink"/>
          </w:rPr>
          <w:t>3.2</w:t>
        </w:r>
        <w:r>
          <w:rPr>
            <w:rFonts w:asciiTheme="minorHAnsi" w:eastAsiaTheme="minorEastAsia" w:hAnsiTheme="minorHAnsi" w:cstheme="minorBidi"/>
            <w:color w:val="auto"/>
            <w:kern w:val="2"/>
            <w:sz w:val="24"/>
            <w:szCs w:val="24"/>
            <w14:ligatures w14:val="standardContextual"/>
          </w:rPr>
          <w:tab/>
        </w:r>
        <w:r w:rsidRPr="000105C6">
          <w:rPr>
            <w:rStyle w:val="Hyperlink"/>
          </w:rPr>
          <w:t>Tracking movements between tax consolidated groups</w:t>
        </w:r>
        <w:r>
          <w:rPr>
            <w:webHidden/>
          </w:rPr>
          <w:tab/>
        </w:r>
        <w:r>
          <w:rPr>
            <w:webHidden/>
          </w:rPr>
          <w:fldChar w:fldCharType="begin"/>
        </w:r>
        <w:r>
          <w:rPr>
            <w:webHidden/>
          </w:rPr>
          <w:instrText xml:space="preserve"> PAGEREF _Toc211507324 \h </w:instrText>
        </w:r>
        <w:r>
          <w:rPr>
            <w:webHidden/>
          </w:rPr>
        </w:r>
        <w:r>
          <w:rPr>
            <w:webHidden/>
          </w:rPr>
          <w:fldChar w:fldCharType="separate"/>
        </w:r>
        <w:r w:rsidR="00245BC5">
          <w:rPr>
            <w:webHidden/>
          </w:rPr>
          <w:t>10</w:t>
        </w:r>
        <w:r>
          <w:rPr>
            <w:webHidden/>
          </w:rPr>
          <w:fldChar w:fldCharType="end"/>
        </w:r>
      </w:hyperlink>
    </w:p>
    <w:p w14:paraId="280416E2" w14:textId="507FBDEB" w:rsidR="00655508" w:rsidRDefault="00655508">
      <w:pPr>
        <w:pStyle w:val="TOC3"/>
        <w:rPr>
          <w:rFonts w:asciiTheme="minorHAnsi" w:eastAsiaTheme="minorEastAsia" w:hAnsiTheme="minorHAnsi" w:cstheme="minorBidi"/>
          <w:kern w:val="2"/>
          <w:sz w:val="24"/>
          <w:szCs w:val="24"/>
          <w14:ligatures w14:val="standardContextual"/>
        </w:rPr>
      </w:pPr>
      <w:hyperlink w:anchor="_Toc211507325" w:history="1">
        <w:r w:rsidRPr="000105C6">
          <w:rPr>
            <w:rStyle w:val="Hyperlink"/>
          </w:rPr>
          <w:t>Figure 2: Number of ABNs changing tax consolidation groups</w:t>
        </w:r>
        <w:r>
          <w:rPr>
            <w:webHidden/>
          </w:rPr>
          <w:tab/>
        </w:r>
        <w:r>
          <w:rPr>
            <w:webHidden/>
          </w:rPr>
          <w:fldChar w:fldCharType="begin"/>
        </w:r>
        <w:r>
          <w:rPr>
            <w:webHidden/>
          </w:rPr>
          <w:instrText xml:space="preserve"> PAGEREF _Toc211507325 \h </w:instrText>
        </w:r>
        <w:r>
          <w:rPr>
            <w:webHidden/>
          </w:rPr>
        </w:r>
        <w:r>
          <w:rPr>
            <w:webHidden/>
          </w:rPr>
          <w:fldChar w:fldCharType="separate"/>
        </w:r>
        <w:r w:rsidR="00245BC5">
          <w:rPr>
            <w:webHidden/>
          </w:rPr>
          <w:t>11</w:t>
        </w:r>
        <w:r>
          <w:rPr>
            <w:webHidden/>
          </w:rPr>
          <w:fldChar w:fldCharType="end"/>
        </w:r>
      </w:hyperlink>
    </w:p>
    <w:p w14:paraId="3FEEAD66" w14:textId="23DCDBAE" w:rsidR="00655508" w:rsidRDefault="00655508">
      <w:pPr>
        <w:pStyle w:val="TOC3"/>
        <w:rPr>
          <w:rFonts w:asciiTheme="minorHAnsi" w:eastAsiaTheme="minorEastAsia" w:hAnsiTheme="minorHAnsi" w:cstheme="minorBidi"/>
          <w:kern w:val="2"/>
          <w:sz w:val="24"/>
          <w:szCs w:val="24"/>
          <w14:ligatures w14:val="standardContextual"/>
        </w:rPr>
      </w:pPr>
      <w:hyperlink w:anchor="_Toc211507326" w:history="1">
        <w:r w:rsidRPr="000105C6">
          <w:rPr>
            <w:rStyle w:val="Hyperlink"/>
          </w:rPr>
          <w:t>Figure 3: Number of acquisitions by Enterprise Group</w:t>
        </w:r>
        <w:r>
          <w:rPr>
            <w:webHidden/>
          </w:rPr>
          <w:tab/>
        </w:r>
        <w:r>
          <w:rPr>
            <w:webHidden/>
          </w:rPr>
          <w:fldChar w:fldCharType="begin"/>
        </w:r>
        <w:r>
          <w:rPr>
            <w:webHidden/>
          </w:rPr>
          <w:instrText xml:space="preserve"> PAGEREF _Toc211507326 \h </w:instrText>
        </w:r>
        <w:r>
          <w:rPr>
            <w:webHidden/>
          </w:rPr>
        </w:r>
        <w:r>
          <w:rPr>
            <w:webHidden/>
          </w:rPr>
          <w:fldChar w:fldCharType="separate"/>
        </w:r>
        <w:r w:rsidR="00245BC5">
          <w:rPr>
            <w:webHidden/>
          </w:rPr>
          <w:t>12</w:t>
        </w:r>
        <w:r>
          <w:rPr>
            <w:webHidden/>
          </w:rPr>
          <w:fldChar w:fldCharType="end"/>
        </w:r>
      </w:hyperlink>
    </w:p>
    <w:p w14:paraId="427EFEF7" w14:textId="56811E0C"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27" w:history="1">
        <w:r w:rsidRPr="000105C6">
          <w:rPr>
            <w:rStyle w:val="Hyperlink"/>
          </w:rPr>
          <w:t>3.3</w:t>
        </w:r>
        <w:r>
          <w:rPr>
            <w:rFonts w:asciiTheme="minorHAnsi" w:eastAsiaTheme="minorEastAsia" w:hAnsiTheme="minorHAnsi" w:cstheme="minorBidi"/>
            <w:color w:val="auto"/>
            <w:kern w:val="2"/>
            <w:sz w:val="24"/>
            <w:szCs w:val="24"/>
            <w14:ligatures w14:val="standardContextual"/>
          </w:rPr>
          <w:tab/>
        </w:r>
        <w:r w:rsidRPr="000105C6">
          <w:rPr>
            <w:rStyle w:val="Hyperlink"/>
          </w:rPr>
          <w:t>Takeovers and schemes of arrangement</w:t>
        </w:r>
        <w:r>
          <w:rPr>
            <w:webHidden/>
          </w:rPr>
          <w:tab/>
        </w:r>
        <w:r>
          <w:rPr>
            <w:webHidden/>
          </w:rPr>
          <w:fldChar w:fldCharType="begin"/>
        </w:r>
        <w:r>
          <w:rPr>
            <w:webHidden/>
          </w:rPr>
          <w:instrText xml:space="preserve"> PAGEREF _Toc211507327 \h </w:instrText>
        </w:r>
        <w:r>
          <w:rPr>
            <w:webHidden/>
          </w:rPr>
        </w:r>
        <w:r>
          <w:rPr>
            <w:webHidden/>
          </w:rPr>
          <w:fldChar w:fldCharType="separate"/>
        </w:r>
        <w:r w:rsidR="00245BC5">
          <w:rPr>
            <w:webHidden/>
          </w:rPr>
          <w:t>12</w:t>
        </w:r>
        <w:r>
          <w:rPr>
            <w:webHidden/>
          </w:rPr>
          <w:fldChar w:fldCharType="end"/>
        </w:r>
      </w:hyperlink>
    </w:p>
    <w:p w14:paraId="1D082C90" w14:textId="3C0D1826" w:rsidR="00655508" w:rsidRDefault="00655508">
      <w:pPr>
        <w:pStyle w:val="TOC3"/>
        <w:rPr>
          <w:rFonts w:asciiTheme="minorHAnsi" w:eastAsiaTheme="minorEastAsia" w:hAnsiTheme="minorHAnsi" w:cstheme="minorBidi"/>
          <w:kern w:val="2"/>
          <w:sz w:val="24"/>
          <w:szCs w:val="24"/>
          <w14:ligatures w14:val="standardContextual"/>
        </w:rPr>
      </w:pPr>
      <w:hyperlink w:anchor="_Toc211507328" w:history="1">
        <w:r w:rsidRPr="000105C6">
          <w:rPr>
            <w:rStyle w:val="Hyperlink"/>
          </w:rPr>
          <w:t>Figure 4: Number of ASIC merger forms submitted</w:t>
        </w:r>
        <w:r>
          <w:rPr>
            <w:webHidden/>
          </w:rPr>
          <w:tab/>
        </w:r>
        <w:r>
          <w:rPr>
            <w:webHidden/>
          </w:rPr>
          <w:fldChar w:fldCharType="begin"/>
        </w:r>
        <w:r>
          <w:rPr>
            <w:webHidden/>
          </w:rPr>
          <w:instrText xml:space="preserve"> PAGEREF _Toc211507328 \h </w:instrText>
        </w:r>
        <w:r>
          <w:rPr>
            <w:webHidden/>
          </w:rPr>
        </w:r>
        <w:r>
          <w:rPr>
            <w:webHidden/>
          </w:rPr>
          <w:fldChar w:fldCharType="separate"/>
        </w:r>
        <w:r w:rsidR="00245BC5">
          <w:rPr>
            <w:webHidden/>
          </w:rPr>
          <w:t>13</w:t>
        </w:r>
        <w:r>
          <w:rPr>
            <w:webHidden/>
          </w:rPr>
          <w:fldChar w:fldCharType="end"/>
        </w:r>
      </w:hyperlink>
    </w:p>
    <w:p w14:paraId="5DA25A31" w14:textId="6A1C6744" w:rsidR="00655508" w:rsidRDefault="00655508">
      <w:pPr>
        <w:pStyle w:val="TOC3"/>
        <w:rPr>
          <w:rFonts w:asciiTheme="minorHAnsi" w:eastAsiaTheme="minorEastAsia" w:hAnsiTheme="minorHAnsi" w:cstheme="minorBidi"/>
          <w:kern w:val="2"/>
          <w:sz w:val="24"/>
          <w:szCs w:val="24"/>
          <w14:ligatures w14:val="standardContextual"/>
        </w:rPr>
      </w:pPr>
      <w:hyperlink w:anchor="_Toc211507329" w:history="1">
        <w:r w:rsidRPr="000105C6">
          <w:rPr>
            <w:rStyle w:val="Hyperlink"/>
          </w:rPr>
          <w:t>Figure 5: Count of firms lodging takeovers and schemes forms</w:t>
        </w:r>
        <w:r>
          <w:rPr>
            <w:webHidden/>
          </w:rPr>
          <w:tab/>
        </w:r>
        <w:r>
          <w:rPr>
            <w:webHidden/>
          </w:rPr>
          <w:fldChar w:fldCharType="begin"/>
        </w:r>
        <w:r>
          <w:rPr>
            <w:webHidden/>
          </w:rPr>
          <w:instrText xml:space="preserve"> PAGEREF _Toc211507329 \h </w:instrText>
        </w:r>
        <w:r>
          <w:rPr>
            <w:webHidden/>
          </w:rPr>
        </w:r>
        <w:r>
          <w:rPr>
            <w:webHidden/>
          </w:rPr>
          <w:fldChar w:fldCharType="separate"/>
        </w:r>
        <w:r w:rsidR="00245BC5">
          <w:rPr>
            <w:webHidden/>
          </w:rPr>
          <w:t>13</w:t>
        </w:r>
        <w:r>
          <w:rPr>
            <w:webHidden/>
          </w:rPr>
          <w:fldChar w:fldCharType="end"/>
        </w:r>
      </w:hyperlink>
    </w:p>
    <w:p w14:paraId="386AE763" w14:textId="043F2E87" w:rsidR="00655508" w:rsidRDefault="00655508">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1507330" w:history="1">
        <w:r w:rsidRPr="000105C6">
          <w:rPr>
            <w:rStyle w:val="Hyperlink"/>
          </w:rPr>
          <w:t>4.</w:t>
        </w:r>
        <w:r>
          <w:rPr>
            <w:rFonts w:asciiTheme="minorHAnsi" w:eastAsiaTheme="minorEastAsia" w:hAnsiTheme="minorHAnsi" w:cstheme="minorBidi"/>
            <w:b w:val="0"/>
            <w:color w:val="auto"/>
            <w:kern w:val="2"/>
            <w:sz w:val="24"/>
            <w:szCs w:val="24"/>
            <w14:ligatures w14:val="standardContextual"/>
          </w:rPr>
          <w:tab/>
        </w:r>
        <w:r w:rsidRPr="000105C6">
          <w:rPr>
            <w:rStyle w:val="Hyperlink"/>
          </w:rPr>
          <w:t>Serial acquisitions</w:t>
        </w:r>
        <w:r>
          <w:rPr>
            <w:webHidden/>
          </w:rPr>
          <w:tab/>
        </w:r>
        <w:r>
          <w:rPr>
            <w:webHidden/>
          </w:rPr>
          <w:fldChar w:fldCharType="begin"/>
        </w:r>
        <w:r>
          <w:rPr>
            <w:webHidden/>
          </w:rPr>
          <w:instrText xml:space="preserve"> PAGEREF _Toc211507330 \h </w:instrText>
        </w:r>
        <w:r>
          <w:rPr>
            <w:webHidden/>
          </w:rPr>
        </w:r>
        <w:r>
          <w:rPr>
            <w:webHidden/>
          </w:rPr>
          <w:fldChar w:fldCharType="separate"/>
        </w:r>
        <w:r w:rsidR="00245BC5">
          <w:rPr>
            <w:webHidden/>
          </w:rPr>
          <w:t>14</w:t>
        </w:r>
        <w:r>
          <w:rPr>
            <w:webHidden/>
          </w:rPr>
          <w:fldChar w:fldCharType="end"/>
        </w:r>
      </w:hyperlink>
    </w:p>
    <w:p w14:paraId="783B95C8" w14:textId="25A05821" w:rsidR="00655508" w:rsidRDefault="00655508">
      <w:pPr>
        <w:pStyle w:val="TOC3"/>
        <w:rPr>
          <w:rFonts w:asciiTheme="minorHAnsi" w:eastAsiaTheme="minorEastAsia" w:hAnsiTheme="minorHAnsi" w:cstheme="minorBidi"/>
          <w:kern w:val="2"/>
          <w:sz w:val="24"/>
          <w:szCs w:val="24"/>
          <w14:ligatures w14:val="standardContextual"/>
        </w:rPr>
      </w:pPr>
      <w:hyperlink w:anchor="_Toc211507331" w:history="1">
        <w:r w:rsidRPr="000105C6">
          <w:rPr>
            <w:rStyle w:val="Hyperlink"/>
          </w:rPr>
          <w:t>Table 2: Number of Acquisitions per Acquirer</w:t>
        </w:r>
        <w:r>
          <w:rPr>
            <w:webHidden/>
          </w:rPr>
          <w:tab/>
        </w:r>
        <w:r>
          <w:rPr>
            <w:webHidden/>
          </w:rPr>
          <w:fldChar w:fldCharType="begin"/>
        </w:r>
        <w:r>
          <w:rPr>
            <w:webHidden/>
          </w:rPr>
          <w:instrText xml:space="preserve"> PAGEREF _Toc211507331 \h </w:instrText>
        </w:r>
        <w:r>
          <w:rPr>
            <w:webHidden/>
          </w:rPr>
        </w:r>
        <w:r>
          <w:rPr>
            <w:webHidden/>
          </w:rPr>
          <w:fldChar w:fldCharType="separate"/>
        </w:r>
        <w:r w:rsidR="00245BC5">
          <w:rPr>
            <w:webHidden/>
          </w:rPr>
          <w:t>14</w:t>
        </w:r>
        <w:r>
          <w:rPr>
            <w:webHidden/>
          </w:rPr>
          <w:fldChar w:fldCharType="end"/>
        </w:r>
      </w:hyperlink>
    </w:p>
    <w:p w14:paraId="20EE0B2D" w14:textId="255553B6" w:rsidR="00655508" w:rsidRDefault="00655508">
      <w:pPr>
        <w:pStyle w:val="TOC3"/>
        <w:rPr>
          <w:rFonts w:asciiTheme="minorHAnsi" w:eastAsiaTheme="minorEastAsia" w:hAnsiTheme="minorHAnsi" w:cstheme="minorBidi"/>
          <w:kern w:val="2"/>
          <w:sz w:val="24"/>
          <w:szCs w:val="24"/>
          <w14:ligatures w14:val="standardContextual"/>
        </w:rPr>
      </w:pPr>
      <w:hyperlink w:anchor="_Toc211507332" w:history="1">
        <w:r w:rsidRPr="000105C6">
          <w:rPr>
            <w:rStyle w:val="Hyperlink"/>
          </w:rPr>
          <w:t>Table 3: Top 10 ANZSIC classes for same-industry, serial acquisitions by number of years with acquisitions</w:t>
        </w:r>
        <w:r>
          <w:rPr>
            <w:webHidden/>
          </w:rPr>
          <w:tab/>
        </w:r>
        <w:r>
          <w:rPr>
            <w:webHidden/>
          </w:rPr>
          <w:fldChar w:fldCharType="begin"/>
        </w:r>
        <w:r>
          <w:rPr>
            <w:webHidden/>
          </w:rPr>
          <w:instrText xml:space="preserve"> PAGEREF _Toc211507332 \h </w:instrText>
        </w:r>
        <w:r>
          <w:rPr>
            <w:webHidden/>
          </w:rPr>
        </w:r>
        <w:r>
          <w:rPr>
            <w:webHidden/>
          </w:rPr>
          <w:fldChar w:fldCharType="separate"/>
        </w:r>
        <w:r w:rsidR="00245BC5">
          <w:rPr>
            <w:webHidden/>
          </w:rPr>
          <w:t>15</w:t>
        </w:r>
        <w:r>
          <w:rPr>
            <w:webHidden/>
          </w:rPr>
          <w:fldChar w:fldCharType="end"/>
        </w:r>
      </w:hyperlink>
    </w:p>
    <w:p w14:paraId="672F7804" w14:textId="262B9321" w:rsidR="00655508" w:rsidRDefault="00655508">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1507333" w:history="1">
        <w:r w:rsidRPr="000105C6">
          <w:rPr>
            <w:rStyle w:val="Hyperlink"/>
          </w:rPr>
          <w:t>5.</w:t>
        </w:r>
        <w:r>
          <w:rPr>
            <w:rFonts w:asciiTheme="minorHAnsi" w:eastAsiaTheme="minorEastAsia" w:hAnsiTheme="minorHAnsi" w:cstheme="minorBidi"/>
            <w:b w:val="0"/>
            <w:color w:val="auto"/>
            <w:kern w:val="2"/>
            <w:sz w:val="24"/>
            <w:szCs w:val="24"/>
            <w14:ligatures w14:val="standardContextual"/>
          </w:rPr>
          <w:tab/>
        </w:r>
        <w:r w:rsidRPr="000105C6">
          <w:rPr>
            <w:rStyle w:val="Hyperlink"/>
          </w:rPr>
          <w:t>The characteristics of acquiring and target firms</w:t>
        </w:r>
        <w:r>
          <w:rPr>
            <w:webHidden/>
          </w:rPr>
          <w:tab/>
        </w:r>
        <w:r>
          <w:rPr>
            <w:webHidden/>
          </w:rPr>
          <w:fldChar w:fldCharType="begin"/>
        </w:r>
        <w:r>
          <w:rPr>
            <w:webHidden/>
          </w:rPr>
          <w:instrText xml:space="preserve"> PAGEREF _Toc211507333 \h </w:instrText>
        </w:r>
        <w:r>
          <w:rPr>
            <w:webHidden/>
          </w:rPr>
        </w:r>
        <w:r>
          <w:rPr>
            <w:webHidden/>
          </w:rPr>
          <w:fldChar w:fldCharType="separate"/>
        </w:r>
        <w:r w:rsidR="00245BC5">
          <w:rPr>
            <w:webHidden/>
          </w:rPr>
          <w:t>16</w:t>
        </w:r>
        <w:r>
          <w:rPr>
            <w:webHidden/>
          </w:rPr>
          <w:fldChar w:fldCharType="end"/>
        </w:r>
      </w:hyperlink>
    </w:p>
    <w:p w14:paraId="231C13E9" w14:textId="635519C6"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34" w:history="1">
        <w:r w:rsidRPr="000105C6">
          <w:rPr>
            <w:rStyle w:val="Hyperlink"/>
          </w:rPr>
          <w:t>5.1</w:t>
        </w:r>
        <w:r>
          <w:rPr>
            <w:rFonts w:asciiTheme="minorHAnsi" w:eastAsiaTheme="minorEastAsia" w:hAnsiTheme="minorHAnsi" w:cstheme="minorBidi"/>
            <w:color w:val="auto"/>
            <w:kern w:val="2"/>
            <w:sz w:val="24"/>
            <w:szCs w:val="24"/>
            <w14:ligatures w14:val="standardContextual"/>
          </w:rPr>
          <w:tab/>
        </w:r>
        <w:r w:rsidRPr="000105C6">
          <w:rPr>
            <w:rStyle w:val="Hyperlink"/>
          </w:rPr>
          <w:t>Trends by firm size over time and industry</w:t>
        </w:r>
        <w:r>
          <w:rPr>
            <w:webHidden/>
          </w:rPr>
          <w:tab/>
        </w:r>
        <w:r>
          <w:rPr>
            <w:webHidden/>
          </w:rPr>
          <w:fldChar w:fldCharType="begin"/>
        </w:r>
        <w:r>
          <w:rPr>
            <w:webHidden/>
          </w:rPr>
          <w:instrText xml:space="preserve"> PAGEREF _Toc211507334 \h </w:instrText>
        </w:r>
        <w:r>
          <w:rPr>
            <w:webHidden/>
          </w:rPr>
        </w:r>
        <w:r>
          <w:rPr>
            <w:webHidden/>
          </w:rPr>
          <w:fldChar w:fldCharType="separate"/>
        </w:r>
        <w:r w:rsidR="00245BC5">
          <w:rPr>
            <w:webHidden/>
          </w:rPr>
          <w:t>16</w:t>
        </w:r>
        <w:r>
          <w:rPr>
            <w:webHidden/>
          </w:rPr>
          <w:fldChar w:fldCharType="end"/>
        </w:r>
      </w:hyperlink>
    </w:p>
    <w:p w14:paraId="07349F0D" w14:textId="46631267" w:rsidR="00655508" w:rsidRDefault="00655508">
      <w:pPr>
        <w:pStyle w:val="TOC3"/>
        <w:rPr>
          <w:rFonts w:asciiTheme="minorHAnsi" w:eastAsiaTheme="minorEastAsia" w:hAnsiTheme="minorHAnsi" w:cstheme="minorBidi"/>
          <w:kern w:val="2"/>
          <w:sz w:val="24"/>
          <w:szCs w:val="24"/>
          <w14:ligatures w14:val="standardContextual"/>
        </w:rPr>
      </w:pPr>
      <w:hyperlink w:anchor="_Toc211507335" w:history="1">
        <w:r w:rsidRPr="000105C6">
          <w:rPr>
            <w:rStyle w:val="Hyperlink"/>
          </w:rPr>
          <w:t>Figure 6: Number of Acquisitions</w:t>
        </w:r>
        <w:r>
          <w:rPr>
            <w:webHidden/>
          </w:rPr>
          <w:tab/>
        </w:r>
        <w:r>
          <w:rPr>
            <w:webHidden/>
          </w:rPr>
          <w:fldChar w:fldCharType="begin"/>
        </w:r>
        <w:r>
          <w:rPr>
            <w:webHidden/>
          </w:rPr>
          <w:instrText xml:space="preserve"> PAGEREF _Toc211507335 \h </w:instrText>
        </w:r>
        <w:r>
          <w:rPr>
            <w:webHidden/>
          </w:rPr>
        </w:r>
        <w:r>
          <w:rPr>
            <w:webHidden/>
          </w:rPr>
          <w:fldChar w:fldCharType="separate"/>
        </w:r>
        <w:r w:rsidR="00245BC5">
          <w:rPr>
            <w:webHidden/>
          </w:rPr>
          <w:t>17</w:t>
        </w:r>
        <w:r>
          <w:rPr>
            <w:webHidden/>
          </w:rPr>
          <w:fldChar w:fldCharType="end"/>
        </w:r>
      </w:hyperlink>
    </w:p>
    <w:p w14:paraId="08C65B31" w14:textId="7FCFFF6B" w:rsidR="00655508" w:rsidRDefault="00655508">
      <w:pPr>
        <w:pStyle w:val="TOC3"/>
        <w:rPr>
          <w:rFonts w:asciiTheme="minorHAnsi" w:eastAsiaTheme="minorEastAsia" w:hAnsiTheme="minorHAnsi" w:cstheme="minorBidi"/>
          <w:kern w:val="2"/>
          <w:sz w:val="24"/>
          <w:szCs w:val="24"/>
          <w14:ligatures w14:val="standardContextual"/>
        </w:rPr>
      </w:pPr>
      <w:hyperlink w:anchor="_Toc211507336" w:history="1">
        <w:r w:rsidRPr="000105C6">
          <w:rPr>
            <w:rStyle w:val="Hyperlink"/>
          </w:rPr>
          <w:t>Figure 7: Mergers by Division</w:t>
        </w:r>
        <w:r>
          <w:rPr>
            <w:webHidden/>
          </w:rPr>
          <w:tab/>
        </w:r>
        <w:r>
          <w:rPr>
            <w:webHidden/>
          </w:rPr>
          <w:fldChar w:fldCharType="begin"/>
        </w:r>
        <w:r>
          <w:rPr>
            <w:webHidden/>
          </w:rPr>
          <w:instrText xml:space="preserve"> PAGEREF _Toc211507336 \h </w:instrText>
        </w:r>
        <w:r>
          <w:rPr>
            <w:webHidden/>
          </w:rPr>
        </w:r>
        <w:r>
          <w:rPr>
            <w:webHidden/>
          </w:rPr>
          <w:fldChar w:fldCharType="separate"/>
        </w:r>
        <w:r w:rsidR="00245BC5">
          <w:rPr>
            <w:webHidden/>
          </w:rPr>
          <w:t>18</w:t>
        </w:r>
        <w:r>
          <w:rPr>
            <w:webHidden/>
          </w:rPr>
          <w:fldChar w:fldCharType="end"/>
        </w:r>
      </w:hyperlink>
    </w:p>
    <w:p w14:paraId="3CA51362" w14:textId="6CDAB9C9"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37" w:history="1">
        <w:r w:rsidRPr="000105C6">
          <w:rPr>
            <w:rStyle w:val="Hyperlink"/>
          </w:rPr>
          <w:t>5.2</w:t>
        </w:r>
        <w:r>
          <w:rPr>
            <w:rFonts w:asciiTheme="minorHAnsi" w:eastAsiaTheme="minorEastAsia" w:hAnsiTheme="minorHAnsi" w:cstheme="minorBidi"/>
            <w:color w:val="auto"/>
            <w:kern w:val="2"/>
            <w:sz w:val="24"/>
            <w:szCs w:val="24"/>
            <w14:ligatures w14:val="standardContextual"/>
          </w:rPr>
          <w:tab/>
        </w:r>
        <w:r w:rsidRPr="000105C6">
          <w:rPr>
            <w:rStyle w:val="Hyperlink"/>
          </w:rPr>
          <w:t>Modelling the odds of acquisition</w:t>
        </w:r>
        <w:r>
          <w:rPr>
            <w:webHidden/>
          </w:rPr>
          <w:tab/>
        </w:r>
        <w:r>
          <w:rPr>
            <w:webHidden/>
          </w:rPr>
          <w:fldChar w:fldCharType="begin"/>
        </w:r>
        <w:r>
          <w:rPr>
            <w:webHidden/>
          </w:rPr>
          <w:instrText xml:space="preserve"> PAGEREF _Toc211507337 \h </w:instrText>
        </w:r>
        <w:r>
          <w:rPr>
            <w:webHidden/>
          </w:rPr>
        </w:r>
        <w:r>
          <w:rPr>
            <w:webHidden/>
          </w:rPr>
          <w:fldChar w:fldCharType="separate"/>
        </w:r>
        <w:r w:rsidR="00245BC5">
          <w:rPr>
            <w:webHidden/>
          </w:rPr>
          <w:t>18</w:t>
        </w:r>
        <w:r>
          <w:rPr>
            <w:webHidden/>
          </w:rPr>
          <w:fldChar w:fldCharType="end"/>
        </w:r>
      </w:hyperlink>
    </w:p>
    <w:p w14:paraId="23E5735D" w14:textId="5A0E7C00"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38" w:history="1">
        <w:r w:rsidRPr="000105C6">
          <w:rPr>
            <w:rStyle w:val="Hyperlink"/>
          </w:rPr>
          <w:t>5.3</w:t>
        </w:r>
        <w:r>
          <w:rPr>
            <w:rFonts w:asciiTheme="minorHAnsi" w:eastAsiaTheme="minorEastAsia" w:hAnsiTheme="minorHAnsi" w:cstheme="minorBidi"/>
            <w:color w:val="auto"/>
            <w:kern w:val="2"/>
            <w:sz w:val="24"/>
            <w:szCs w:val="24"/>
            <w14:ligatures w14:val="standardContextual"/>
          </w:rPr>
          <w:tab/>
        </w:r>
        <w:r w:rsidRPr="000105C6">
          <w:rPr>
            <w:rStyle w:val="Hyperlink"/>
          </w:rPr>
          <w:t>Acquirer results</w:t>
        </w:r>
        <w:r>
          <w:rPr>
            <w:webHidden/>
          </w:rPr>
          <w:tab/>
        </w:r>
        <w:r>
          <w:rPr>
            <w:webHidden/>
          </w:rPr>
          <w:fldChar w:fldCharType="begin"/>
        </w:r>
        <w:r>
          <w:rPr>
            <w:webHidden/>
          </w:rPr>
          <w:instrText xml:space="preserve"> PAGEREF _Toc211507338 \h </w:instrText>
        </w:r>
        <w:r>
          <w:rPr>
            <w:webHidden/>
          </w:rPr>
        </w:r>
        <w:r>
          <w:rPr>
            <w:webHidden/>
          </w:rPr>
          <w:fldChar w:fldCharType="separate"/>
        </w:r>
        <w:r w:rsidR="00245BC5">
          <w:rPr>
            <w:webHidden/>
          </w:rPr>
          <w:t>20</w:t>
        </w:r>
        <w:r>
          <w:rPr>
            <w:webHidden/>
          </w:rPr>
          <w:fldChar w:fldCharType="end"/>
        </w:r>
      </w:hyperlink>
    </w:p>
    <w:p w14:paraId="34878BAE" w14:textId="45603397" w:rsidR="00655508" w:rsidRDefault="00655508">
      <w:pPr>
        <w:pStyle w:val="TOC3"/>
        <w:rPr>
          <w:rFonts w:asciiTheme="minorHAnsi" w:eastAsiaTheme="minorEastAsia" w:hAnsiTheme="minorHAnsi" w:cstheme="minorBidi"/>
          <w:kern w:val="2"/>
          <w:sz w:val="24"/>
          <w:szCs w:val="24"/>
          <w14:ligatures w14:val="standardContextual"/>
        </w:rPr>
      </w:pPr>
      <w:hyperlink w:anchor="_Toc211507339" w:history="1">
        <w:r w:rsidRPr="000105C6">
          <w:rPr>
            <w:rStyle w:val="Hyperlink"/>
          </w:rPr>
          <w:t>Table 4: Odds ratios and diagnostics from logit model to predict acquirer firms</w:t>
        </w:r>
        <w:r>
          <w:rPr>
            <w:webHidden/>
          </w:rPr>
          <w:tab/>
        </w:r>
        <w:r>
          <w:rPr>
            <w:webHidden/>
          </w:rPr>
          <w:fldChar w:fldCharType="begin"/>
        </w:r>
        <w:r>
          <w:rPr>
            <w:webHidden/>
          </w:rPr>
          <w:instrText xml:space="preserve"> PAGEREF _Toc211507339 \h </w:instrText>
        </w:r>
        <w:r>
          <w:rPr>
            <w:webHidden/>
          </w:rPr>
        </w:r>
        <w:r>
          <w:rPr>
            <w:webHidden/>
          </w:rPr>
          <w:fldChar w:fldCharType="separate"/>
        </w:r>
        <w:r w:rsidR="00245BC5">
          <w:rPr>
            <w:webHidden/>
          </w:rPr>
          <w:t>20</w:t>
        </w:r>
        <w:r>
          <w:rPr>
            <w:webHidden/>
          </w:rPr>
          <w:fldChar w:fldCharType="end"/>
        </w:r>
      </w:hyperlink>
    </w:p>
    <w:p w14:paraId="4F066455" w14:textId="48DF7E1C" w:rsidR="00655508" w:rsidRDefault="00655508">
      <w:pPr>
        <w:pStyle w:val="TOC2"/>
        <w:tabs>
          <w:tab w:val="left" w:pos="720"/>
        </w:tabs>
        <w:rPr>
          <w:rFonts w:asciiTheme="minorHAnsi" w:eastAsiaTheme="minorEastAsia" w:hAnsiTheme="minorHAnsi" w:cstheme="minorBidi"/>
          <w:color w:val="auto"/>
          <w:kern w:val="2"/>
          <w:sz w:val="24"/>
          <w:szCs w:val="24"/>
          <w14:ligatures w14:val="standardContextual"/>
        </w:rPr>
      </w:pPr>
      <w:hyperlink w:anchor="_Toc211507340" w:history="1">
        <w:r w:rsidRPr="000105C6">
          <w:rPr>
            <w:rStyle w:val="Hyperlink"/>
          </w:rPr>
          <w:t>5.4</w:t>
        </w:r>
        <w:r>
          <w:rPr>
            <w:rFonts w:asciiTheme="minorHAnsi" w:eastAsiaTheme="minorEastAsia" w:hAnsiTheme="minorHAnsi" w:cstheme="minorBidi"/>
            <w:color w:val="auto"/>
            <w:kern w:val="2"/>
            <w:sz w:val="24"/>
            <w:szCs w:val="24"/>
            <w14:ligatures w14:val="standardContextual"/>
          </w:rPr>
          <w:tab/>
        </w:r>
        <w:r w:rsidRPr="000105C6">
          <w:rPr>
            <w:rStyle w:val="Hyperlink"/>
          </w:rPr>
          <w:t>Target results</w:t>
        </w:r>
        <w:r>
          <w:rPr>
            <w:webHidden/>
          </w:rPr>
          <w:tab/>
        </w:r>
        <w:r>
          <w:rPr>
            <w:webHidden/>
          </w:rPr>
          <w:fldChar w:fldCharType="begin"/>
        </w:r>
        <w:r>
          <w:rPr>
            <w:webHidden/>
          </w:rPr>
          <w:instrText xml:space="preserve"> PAGEREF _Toc211507340 \h </w:instrText>
        </w:r>
        <w:r>
          <w:rPr>
            <w:webHidden/>
          </w:rPr>
        </w:r>
        <w:r>
          <w:rPr>
            <w:webHidden/>
          </w:rPr>
          <w:fldChar w:fldCharType="separate"/>
        </w:r>
        <w:r w:rsidR="00245BC5">
          <w:rPr>
            <w:webHidden/>
          </w:rPr>
          <w:t>21</w:t>
        </w:r>
        <w:r>
          <w:rPr>
            <w:webHidden/>
          </w:rPr>
          <w:fldChar w:fldCharType="end"/>
        </w:r>
      </w:hyperlink>
    </w:p>
    <w:p w14:paraId="4343EDB7" w14:textId="2FDD21E7" w:rsidR="00655508" w:rsidRDefault="00655508">
      <w:pPr>
        <w:pStyle w:val="TOC3"/>
        <w:rPr>
          <w:rFonts w:asciiTheme="minorHAnsi" w:eastAsiaTheme="minorEastAsia" w:hAnsiTheme="minorHAnsi" w:cstheme="minorBidi"/>
          <w:kern w:val="2"/>
          <w:sz w:val="24"/>
          <w:szCs w:val="24"/>
          <w14:ligatures w14:val="standardContextual"/>
        </w:rPr>
      </w:pPr>
      <w:hyperlink w:anchor="_Toc211507341" w:history="1">
        <w:r w:rsidRPr="000105C6">
          <w:rPr>
            <w:rStyle w:val="Hyperlink"/>
          </w:rPr>
          <w:t>Table 5: Odds ratios and diagnostics from logit model to predict target firms</w:t>
        </w:r>
        <w:r>
          <w:rPr>
            <w:webHidden/>
          </w:rPr>
          <w:tab/>
        </w:r>
        <w:r>
          <w:rPr>
            <w:webHidden/>
          </w:rPr>
          <w:fldChar w:fldCharType="begin"/>
        </w:r>
        <w:r>
          <w:rPr>
            <w:webHidden/>
          </w:rPr>
          <w:instrText xml:space="preserve"> PAGEREF _Toc211507341 \h </w:instrText>
        </w:r>
        <w:r>
          <w:rPr>
            <w:webHidden/>
          </w:rPr>
        </w:r>
        <w:r>
          <w:rPr>
            <w:webHidden/>
          </w:rPr>
          <w:fldChar w:fldCharType="separate"/>
        </w:r>
        <w:r w:rsidR="00245BC5">
          <w:rPr>
            <w:webHidden/>
          </w:rPr>
          <w:t>22</w:t>
        </w:r>
        <w:r>
          <w:rPr>
            <w:webHidden/>
          </w:rPr>
          <w:fldChar w:fldCharType="end"/>
        </w:r>
      </w:hyperlink>
    </w:p>
    <w:p w14:paraId="20036158" w14:textId="7B674FA5" w:rsidR="00655508" w:rsidRDefault="00655508">
      <w:pPr>
        <w:pStyle w:val="TOC3"/>
        <w:rPr>
          <w:rFonts w:asciiTheme="minorHAnsi" w:eastAsiaTheme="minorEastAsia" w:hAnsiTheme="minorHAnsi" w:cstheme="minorBidi"/>
          <w:kern w:val="2"/>
          <w:sz w:val="24"/>
          <w:szCs w:val="24"/>
          <w14:ligatures w14:val="standardContextual"/>
        </w:rPr>
      </w:pPr>
      <w:hyperlink w:anchor="_Toc211507342" w:history="1">
        <w:r w:rsidRPr="000105C6">
          <w:rPr>
            <w:rStyle w:val="Hyperlink"/>
          </w:rPr>
          <w:t>Table 6: Odds ratios and diagnostics from logit model to predict target firms - IP intensity</w:t>
        </w:r>
        <w:r>
          <w:rPr>
            <w:webHidden/>
          </w:rPr>
          <w:tab/>
        </w:r>
        <w:r>
          <w:rPr>
            <w:webHidden/>
          </w:rPr>
          <w:fldChar w:fldCharType="begin"/>
        </w:r>
        <w:r>
          <w:rPr>
            <w:webHidden/>
          </w:rPr>
          <w:instrText xml:space="preserve"> PAGEREF _Toc211507342 \h </w:instrText>
        </w:r>
        <w:r>
          <w:rPr>
            <w:webHidden/>
          </w:rPr>
        </w:r>
        <w:r>
          <w:rPr>
            <w:webHidden/>
          </w:rPr>
          <w:fldChar w:fldCharType="separate"/>
        </w:r>
        <w:r w:rsidR="00245BC5">
          <w:rPr>
            <w:webHidden/>
          </w:rPr>
          <w:t>23</w:t>
        </w:r>
        <w:r>
          <w:rPr>
            <w:webHidden/>
          </w:rPr>
          <w:fldChar w:fldCharType="end"/>
        </w:r>
      </w:hyperlink>
    </w:p>
    <w:p w14:paraId="3CBA3AF8" w14:textId="2D14E7B5" w:rsidR="00655508" w:rsidRDefault="00655508">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11507343" w:history="1">
        <w:r w:rsidRPr="000105C6">
          <w:rPr>
            <w:rStyle w:val="Hyperlink"/>
          </w:rPr>
          <w:t>6.</w:t>
        </w:r>
        <w:r>
          <w:rPr>
            <w:rFonts w:asciiTheme="minorHAnsi" w:eastAsiaTheme="minorEastAsia" w:hAnsiTheme="minorHAnsi" w:cstheme="minorBidi"/>
            <w:b w:val="0"/>
            <w:color w:val="auto"/>
            <w:kern w:val="2"/>
            <w:sz w:val="24"/>
            <w:szCs w:val="24"/>
            <w14:ligatures w14:val="standardContextual"/>
          </w:rPr>
          <w:tab/>
        </w:r>
        <w:r w:rsidRPr="000105C6">
          <w:rPr>
            <w:rStyle w:val="Hyperlink"/>
          </w:rPr>
          <w:t>Conclusion</w:t>
        </w:r>
        <w:r>
          <w:rPr>
            <w:webHidden/>
          </w:rPr>
          <w:tab/>
        </w:r>
        <w:r>
          <w:rPr>
            <w:webHidden/>
          </w:rPr>
          <w:fldChar w:fldCharType="begin"/>
        </w:r>
        <w:r>
          <w:rPr>
            <w:webHidden/>
          </w:rPr>
          <w:instrText xml:space="preserve"> PAGEREF _Toc211507343 \h </w:instrText>
        </w:r>
        <w:r>
          <w:rPr>
            <w:webHidden/>
          </w:rPr>
        </w:r>
        <w:r>
          <w:rPr>
            <w:webHidden/>
          </w:rPr>
          <w:fldChar w:fldCharType="separate"/>
        </w:r>
        <w:r w:rsidR="00245BC5">
          <w:rPr>
            <w:webHidden/>
          </w:rPr>
          <w:t>24</w:t>
        </w:r>
        <w:r>
          <w:rPr>
            <w:webHidden/>
          </w:rPr>
          <w:fldChar w:fldCharType="end"/>
        </w:r>
      </w:hyperlink>
    </w:p>
    <w:p w14:paraId="4F75194E" w14:textId="0F9FC5ED" w:rsidR="00655508" w:rsidRDefault="00655508">
      <w:pPr>
        <w:pStyle w:val="TOC1"/>
        <w:rPr>
          <w:rFonts w:asciiTheme="minorHAnsi" w:eastAsiaTheme="minorEastAsia" w:hAnsiTheme="minorHAnsi" w:cstheme="minorBidi"/>
          <w:b w:val="0"/>
          <w:color w:val="auto"/>
          <w:kern w:val="2"/>
          <w:sz w:val="24"/>
          <w:szCs w:val="24"/>
          <w14:ligatures w14:val="standardContextual"/>
        </w:rPr>
      </w:pPr>
      <w:hyperlink w:anchor="_Toc211507344" w:history="1">
        <w:r w:rsidRPr="000105C6">
          <w:rPr>
            <w:rStyle w:val="Hyperlink"/>
          </w:rPr>
          <w:t>Appendix A</w:t>
        </w:r>
        <w:r>
          <w:rPr>
            <w:webHidden/>
          </w:rPr>
          <w:tab/>
        </w:r>
        <w:r>
          <w:rPr>
            <w:webHidden/>
          </w:rPr>
          <w:fldChar w:fldCharType="begin"/>
        </w:r>
        <w:r>
          <w:rPr>
            <w:webHidden/>
          </w:rPr>
          <w:instrText xml:space="preserve"> PAGEREF _Toc211507344 \h </w:instrText>
        </w:r>
        <w:r>
          <w:rPr>
            <w:webHidden/>
          </w:rPr>
        </w:r>
        <w:r>
          <w:rPr>
            <w:webHidden/>
          </w:rPr>
          <w:fldChar w:fldCharType="separate"/>
        </w:r>
        <w:r w:rsidR="00245BC5">
          <w:rPr>
            <w:webHidden/>
          </w:rPr>
          <w:t>25</w:t>
        </w:r>
        <w:r>
          <w:rPr>
            <w:webHidden/>
          </w:rPr>
          <w:fldChar w:fldCharType="end"/>
        </w:r>
      </w:hyperlink>
    </w:p>
    <w:p w14:paraId="5A589DAD" w14:textId="59C74926" w:rsidR="00655508" w:rsidRDefault="00655508">
      <w:pPr>
        <w:pStyle w:val="TOC2"/>
        <w:rPr>
          <w:rFonts w:asciiTheme="minorHAnsi" w:eastAsiaTheme="minorEastAsia" w:hAnsiTheme="minorHAnsi" w:cstheme="minorBidi"/>
          <w:color w:val="auto"/>
          <w:kern w:val="2"/>
          <w:sz w:val="24"/>
          <w:szCs w:val="24"/>
          <w14:ligatures w14:val="standardContextual"/>
        </w:rPr>
      </w:pPr>
      <w:hyperlink w:anchor="_Toc211507345" w:history="1">
        <w:r w:rsidRPr="000105C6">
          <w:rPr>
            <w:rStyle w:val="Hyperlink"/>
          </w:rPr>
          <w:t>Administrative forms used to determine merger</w:t>
        </w:r>
        <w:r>
          <w:rPr>
            <w:webHidden/>
          </w:rPr>
          <w:tab/>
        </w:r>
        <w:r>
          <w:rPr>
            <w:webHidden/>
          </w:rPr>
          <w:fldChar w:fldCharType="begin"/>
        </w:r>
        <w:r>
          <w:rPr>
            <w:webHidden/>
          </w:rPr>
          <w:instrText xml:space="preserve"> PAGEREF _Toc211507345 \h </w:instrText>
        </w:r>
        <w:r>
          <w:rPr>
            <w:webHidden/>
          </w:rPr>
        </w:r>
        <w:r>
          <w:rPr>
            <w:webHidden/>
          </w:rPr>
          <w:fldChar w:fldCharType="separate"/>
        </w:r>
        <w:r w:rsidR="00245BC5">
          <w:rPr>
            <w:webHidden/>
          </w:rPr>
          <w:t>25</w:t>
        </w:r>
        <w:r>
          <w:rPr>
            <w:webHidden/>
          </w:rPr>
          <w:fldChar w:fldCharType="end"/>
        </w:r>
      </w:hyperlink>
    </w:p>
    <w:p w14:paraId="14A5D59C" w14:textId="478DD3DB" w:rsidR="00655508" w:rsidRDefault="00655508">
      <w:pPr>
        <w:pStyle w:val="TOC3"/>
        <w:rPr>
          <w:rFonts w:asciiTheme="minorHAnsi" w:eastAsiaTheme="minorEastAsia" w:hAnsiTheme="minorHAnsi" w:cstheme="minorBidi"/>
          <w:kern w:val="2"/>
          <w:sz w:val="24"/>
          <w:szCs w:val="24"/>
          <w14:ligatures w14:val="standardContextual"/>
        </w:rPr>
      </w:pPr>
      <w:hyperlink w:anchor="_Toc211507346" w:history="1">
        <w:r w:rsidRPr="000105C6">
          <w:rPr>
            <w:rStyle w:val="Hyperlink"/>
          </w:rPr>
          <w:t>Table 7: Takeovers forms</w:t>
        </w:r>
        <w:r>
          <w:rPr>
            <w:webHidden/>
          </w:rPr>
          <w:tab/>
        </w:r>
        <w:r>
          <w:rPr>
            <w:webHidden/>
          </w:rPr>
          <w:fldChar w:fldCharType="begin"/>
        </w:r>
        <w:r>
          <w:rPr>
            <w:webHidden/>
          </w:rPr>
          <w:instrText xml:space="preserve"> PAGEREF _Toc211507346 \h </w:instrText>
        </w:r>
        <w:r>
          <w:rPr>
            <w:webHidden/>
          </w:rPr>
        </w:r>
        <w:r>
          <w:rPr>
            <w:webHidden/>
          </w:rPr>
          <w:fldChar w:fldCharType="separate"/>
        </w:r>
        <w:r w:rsidR="00245BC5">
          <w:rPr>
            <w:webHidden/>
          </w:rPr>
          <w:t>25</w:t>
        </w:r>
        <w:r>
          <w:rPr>
            <w:webHidden/>
          </w:rPr>
          <w:fldChar w:fldCharType="end"/>
        </w:r>
      </w:hyperlink>
    </w:p>
    <w:p w14:paraId="39007A65" w14:textId="0F9642FE" w:rsidR="00655508" w:rsidRDefault="00655508">
      <w:pPr>
        <w:pStyle w:val="TOC3"/>
        <w:rPr>
          <w:rFonts w:asciiTheme="minorHAnsi" w:eastAsiaTheme="minorEastAsia" w:hAnsiTheme="minorHAnsi" w:cstheme="minorBidi"/>
          <w:kern w:val="2"/>
          <w:sz w:val="24"/>
          <w:szCs w:val="24"/>
          <w14:ligatures w14:val="standardContextual"/>
        </w:rPr>
      </w:pPr>
      <w:hyperlink w:anchor="_Toc211507347" w:history="1">
        <w:r w:rsidRPr="000105C6">
          <w:rPr>
            <w:rStyle w:val="Hyperlink"/>
          </w:rPr>
          <w:t>Table 8: Takeovers forms - additional</w:t>
        </w:r>
        <w:r>
          <w:rPr>
            <w:webHidden/>
          </w:rPr>
          <w:tab/>
        </w:r>
        <w:r>
          <w:rPr>
            <w:webHidden/>
          </w:rPr>
          <w:fldChar w:fldCharType="begin"/>
        </w:r>
        <w:r>
          <w:rPr>
            <w:webHidden/>
          </w:rPr>
          <w:instrText xml:space="preserve"> PAGEREF _Toc211507347 \h </w:instrText>
        </w:r>
        <w:r>
          <w:rPr>
            <w:webHidden/>
          </w:rPr>
        </w:r>
        <w:r>
          <w:rPr>
            <w:webHidden/>
          </w:rPr>
          <w:fldChar w:fldCharType="separate"/>
        </w:r>
        <w:r w:rsidR="00245BC5">
          <w:rPr>
            <w:webHidden/>
          </w:rPr>
          <w:t>25</w:t>
        </w:r>
        <w:r>
          <w:rPr>
            <w:webHidden/>
          </w:rPr>
          <w:fldChar w:fldCharType="end"/>
        </w:r>
      </w:hyperlink>
    </w:p>
    <w:p w14:paraId="62643B6C" w14:textId="6FF83824" w:rsidR="00655508" w:rsidRDefault="00655508">
      <w:pPr>
        <w:pStyle w:val="TOC1"/>
        <w:rPr>
          <w:rFonts w:asciiTheme="minorHAnsi" w:eastAsiaTheme="minorEastAsia" w:hAnsiTheme="minorHAnsi" w:cstheme="minorBidi"/>
          <w:b w:val="0"/>
          <w:color w:val="auto"/>
          <w:kern w:val="2"/>
          <w:sz w:val="24"/>
          <w:szCs w:val="24"/>
          <w14:ligatures w14:val="standardContextual"/>
        </w:rPr>
      </w:pPr>
      <w:hyperlink w:anchor="_Toc211507348" w:history="1">
        <w:r w:rsidRPr="000105C6">
          <w:rPr>
            <w:rStyle w:val="Hyperlink"/>
          </w:rPr>
          <w:t>References</w:t>
        </w:r>
        <w:r>
          <w:rPr>
            <w:webHidden/>
          </w:rPr>
          <w:tab/>
        </w:r>
        <w:r>
          <w:rPr>
            <w:webHidden/>
          </w:rPr>
          <w:fldChar w:fldCharType="begin"/>
        </w:r>
        <w:r>
          <w:rPr>
            <w:webHidden/>
          </w:rPr>
          <w:instrText xml:space="preserve"> PAGEREF _Toc211507348 \h </w:instrText>
        </w:r>
        <w:r>
          <w:rPr>
            <w:webHidden/>
          </w:rPr>
        </w:r>
        <w:r>
          <w:rPr>
            <w:webHidden/>
          </w:rPr>
          <w:fldChar w:fldCharType="separate"/>
        </w:r>
        <w:r w:rsidR="00245BC5">
          <w:rPr>
            <w:webHidden/>
          </w:rPr>
          <w:t>27</w:t>
        </w:r>
        <w:r>
          <w:rPr>
            <w:webHidden/>
          </w:rPr>
          <w:fldChar w:fldCharType="end"/>
        </w:r>
      </w:hyperlink>
    </w:p>
    <w:p w14:paraId="5184DB4E" w14:textId="77777777" w:rsidR="00F836F9" w:rsidRDefault="000E0B74" w:rsidP="0056582C">
      <w:pPr>
        <w:pStyle w:val="SingleParagraph"/>
        <w:ind w:right="-2"/>
      </w:pPr>
      <w:r>
        <w:fldChar w:fldCharType="end"/>
      </w:r>
      <w:bookmarkStart w:id="3" w:name="_Toc432067103"/>
      <w:bookmarkStart w:id="4" w:name="_Toc452635030"/>
    </w:p>
    <w:p w14:paraId="3237262C" w14:textId="77777777" w:rsidR="00B775EE" w:rsidRPr="00B775EE" w:rsidRDefault="00B775EE" w:rsidP="0056582C">
      <w:pPr>
        <w:pStyle w:val="SingleParagraph"/>
        <w:ind w:right="-2"/>
        <w:rPr>
          <w:b/>
          <w:bCs/>
        </w:rPr>
        <w:sectPr w:rsidR="00B775EE" w:rsidRPr="00B775EE" w:rsidSect="00164599">
          <w:headerReference w:type="even" r:id="rId15"/>
          <w:headerReference w:type="default" r:id="rId16"/>
          <w:footerReference w:type="even" r:id="rId17"/>
          <w:footerReference w:type="default" r:id="rId18"/>
          <w:headerReference w:type="first" r:id="rId19"/>
          <w:footerReference w:type="first" r:id="rId20"/>
          <w:pgSz w:w="11906" w:h="16838" w:code="9"/>
          <w:pgMar w:top="1843" w:right="1418" w:bottom="1418" w:left="1418" w:header="709" w:footer="709" w:gutter="0"/>
          <w:pgNumType w:fmt="lowerRoman" w:start="3"/>
          <w:cols w:space="708"/>
          <w:titlePg/>
          <w:docGrid w:linePitch="360"/>
        </w:sectPr>
      </w:pPr>
    </w:p>
    <w:p w14:paraId="64617D7F" w14:textId="77777777" w:rsidR="00446CED" w:rsidRDefault="00446CED" w:rsidP="00B1227F">
      <w:pPr>
        <w:pStyle w:val="Heading1"/>
      </w:pPr>
      <w:bookmarkStart w:id="5" w:name="_Toc211507317"/>
      <w:bookmarkEnd w:id="3"/>
      <w:bookmarkEnd w:id="4"/>
      <w:r w:rsidRPr="00B37B9E">
        <w:t>Abstract</w:t>
      </w:r>
      <w:bookmarkEnd w:id="5"/>
    </w:p>
    <w:p w14:paraId="0B184D14" w14:textId="696C2F66" w:rsidR="005715B4" w:rsidRDefault="00446CED" w:rsidP="00446CED">
      <w:pPr>
        <w:rPr>
          <w:rFonts w:eastAsia="Cambria"/>
        </w:rPr>
      </w:pPr>
      <w:r>
        <w:rPr>
          <w:rFonts w:eastAsia="Cambria"/>
        </w:rPr>
        <w:t xml:space="preserve">Mergers and acquisitions (M&amp;A) can have important implications for competition, prices and productivity. However, there is no comprehensive data on M&amp;A activity in Australia, in part due to the absence of any formal requirement for merger parties to notify the regulator. The lack of data has limited scope for research on the impact of M&amp;A activity. This paper takes an important first step in filling this gap by combining a number of administrative datasets and methodologies to build the first large-scale database of Australian M&amp;A transactions, covering the past 20 years. We take three approaches: following clusters of employees moving between firms in a linked employer-employee database; firms moving between tax consolidated groups; and firms submitting takeovers and other notification forms to the Australian securities regulator. This yields a total of around 1,500 mergers a year. Analysing this </w:t>
      </w:r>
      <w:r w:rsidR="009E3574">
        <w:rPr>
          <w:rFonts w:eastAsia="Cambria"/>
        </w:rPr>
        <w:t>database,</w:t>
      </w:r>
      <w:r>
        <w:rPr>
          <w:rFonts w:eastAsia="Cambria"/>
        </w:rPr>
        <w:t xml:space="preserve"> we find that mid-sized, high profit but low productivity firms are most likely to be targets, as are firms with lots of patents, while large entities with trademarks are most likely to be acquirers. Moreover, we find evidence of serial acquisitions taking place, </w:t>
      </w:r>
      <w:r w:rsidR="00F106FC">
        <w:rPr>
          <w:rFonts w:eastAsia="Cambria"/>
        </w:rPr>
        <w:t>particularly</w:t>
      </w:r>
      <w:r>
        <w:rPr>
          <w:rFonts w:eastAsia="Cambria"/>
        </w:rPr>
        <w:t xml:space="preserve"> in a number of high-profile industries.</w:t>
      </w:r>
    </w:p>
    <w:p w14:paraId="4E6D1E0B" w14:textId="77777777" w:rsidR="005715B4" w:rsidRDefault="005715B4">
      <w:pPr>
        <w:spacing w:before="0" w:after="160" w:line="259" w:lineRule="auto"/>
        <w:rPr>
          <w:rFonts w:eastAsia="Cambria"/>
        </w:rPr>
      </w:pPr>
      <w:r>
        <w:rPr>
          <w:rFonts w:eastAsia="Cambria"/>
        </w:rPr>
        <w:br w:type="page"/>
      </w:r>
    </w:p>
    <w:p w14:paraId="3E51A6DF" w14:textId="77777777" w:rsidR="00446CED" w:rsidRDefault="00446CED" w:rsidP="00A46351">
      <w:pPr>
        <w:pStyle w:val="Heading1Numbered"/>
      </w:pPr>
      <w:bookmarkStart w:id="6" w:name="_Toc211507318"/>
      <w:r>
        <w:t>Introduction</w:t>
      </w:r>
      <w:bookmarkEnd w:id="6"/>
    </w:p>
    <w:p w14:paraId="68A0C829" w14:textId="5D627EC0" w:rsidR="00446CED" w:rsidRDefault="00446CED" w:rsidP="00446CED">
      <w:r>
        <w:t>Australia has been rare among advanced economies in not having had a formal requirement for firms to ‘pre-notify’ the competition authority of an upcoming merger</w:t>
      </w:r>
      <w:r w:rsidR="00E74F23">
        <w:t>.</w:t>
      </w:r>
      <w:r w:rsidR="00E74F23">
        <w:rPr>
          <w:rStyle w:val="FootnoteReference"/>
        </w:rPr>
        <w:footnoteReference w:id="2"/>
      </w:r>
      <w:r w:rsidR="00E74F23">
        <w:t xml:space="preserve"> </w:t>
      </w:r>
      <w:r>
        <w:t>While this situation will change from 2026 when Australia introduces a formal obligation to notify, up until now notification has been purely voluntary. The absence of any formal reporting requirement has contributed to a lack of comprehensive data on M&amp;A activity in Australia. This incomplete view of M&amp;A activity has limited the ability of Australian researchers and policymakers to derive policy-relevant insights into patterns in M&amp;A activity and the effects of that activity on the Australian economy. For example, without comprehensive data it is difficult to assess how factors such as firm size and industry affect the pattern of M&amp;A activity, let alone the impact of mergers on the employees, productivity and broader performance of the merging firms.</w:t>
      </w:r>
    </w:p>
    <w:p w14:paraId="7B2BA921" w14:textId="77777777" w:rsidR="00446CED" w:rsidRDefault="00446CED" w:rsidP="00446CED">
      <w:r>
        <w:t>In this paper, we seek to address these gaps by building the first M&amp;A database using Australian administrative microdata. The use of administrative data for research has expanded greatly in recent years with the increasing availability of powerful, linked government datasets. By building the database and methodology, and making it accessible in the Australian Bureau of Statistics secure Datalab environment, we hope to enable future researchers to analyse the economic consequences of M&amp;A. This can help to inform policy to support a resilient, dynamic and productive private sector in Australia. We also hope this database and methodology will support other important research that would benefit from information on M&amp;A, such as research into the effects of firm closure on worker outcomes.</w:t>
      </w:r>
    </w:p>
    <w:p w14:paraId="550447D4" w14:textId="77777777" w:rsidR="00446CED" w:rsidRDefault="00446CED" w:rsidP="00446CED">
      <w:r>
        <w:t>As mentioned above, this new database also comes at a critical juncture for Australia’s merger system, as it moves from a voluntary to a mandatory and suspensory regime from 1 January 2026. This means mergers above designated monetary thresholds will be prohibited from proceeding without approval from the competition authority, and failure to notify such mergers will render them void. The specific thresholds set out in legislation are as follows:</w:t>
      </w:r>
    </w:p>
    <w:p w14:paraId="7ECE2380" w14:textId="0DB585DF" w:rsidR="00446CED" w:rsidRDefault="00446CED" w:rsidP="00E74F23">
      <w:pPr>
        <w:pStyle w:val="OutlineNumbered1"/>
      </w:pPr>
      <w:r>
        <w:t xml:space="preserve">Australian turnover of the combined businesses is above </w:t>
      </w:r>
      <w:r>
        <w:rPr>
          <w:rFonts w:ascii="Calibri" w:eastAsia="Calibri" w:hAnsi="Calibri" w:cs="Calibri"/>
        </w:rPr>
        <w:t>$</w:t>
      </w:r>
      <w:r>
        <w:t xml:space="preserve">200 million, and either the business or assets being acquired has Australian turnover of more than </w:t>
      </w:r>
      <w:r>
        <w:rPr>
          <w:rFonts w:ascii="Calibri" w:eastAsia="Calibri" w:hAnsi="Calibri" w:cs="Calibri"/>
        </w:rPr>
        <w:t>$</w:t>
      </w:r>
      <w:r>
        <w:t xml:space="preserve">50 million or global transaction value above </w:t>
      </w:r>
      <w:r>
        <w:rPr>
          <w:rFonts w:ascii="Calibri" w:eastAsia="Calibri" w:hAnsi="Calibri" w:cs="Calibri"/>
        </w:rPr>
        <w:t>$</w:t>
      </w:r>
      <w:r>
        <w:t>250</w:t>
      </w:r>
      <w:r w:rsidR="00E74F23">
        <w:t xml:space="preserve"> </w:t>
      </w:r>
      <w:r>
        <w:t>million.</w:t>
      </w:r>
    </w:p>
    <w:p w14:paraId="4534D1C5" w14:textId="77777777" w:rsidR="00446CED" w:rsidRDefault="00446CED" w:rsidP="00E74F23">
      <w:pPr>
        <w:pStyle w:val="OutlineNumbered1"/>
      </w:pPr>
      <w:r>
        <w:t xml:space="preserve">A business with Australian turnover of more than </w:t>
      </w:r>
      <w:r>
        <w:rPr>
          <w:rFonts w:ascii="Calibri" w:eastAsia="Calibri" w:hAnsi="Calibri" w:cs="Calibri"/>
        </w:rPr>
        <w:t>$</w:t>
      </w:r>
      <w:r>
        <w:t xml:space="preserve">500 million buying a smaller business or assets with Australian turnover above </w:t>
      </w:r>
      <w:r>
        <w:rPr>
          <w:rFonts w:ascii="Calibri" w:eastAsia="Calibri" w:hAnsi="Calibri" w:cs="Calibri"/>
        </w:rPr>
        <w:t>$</w:t>
      </w:r>
      <w:r>
        <w:t>10 million.</w:t>
      </w:r>
    </w:p>
    <w:p w14:paraId="16605E8A" w14:textId="0BC5C147" w:rsidR="00446CED" w:rsidRDefault="00446CED" w:rsidP="00E74F23">
      <w:r>
        <w:t>We make use of these thresholds in our analysis below, allowing our new database to provide some early insights into the nature of mergers that may be captured</w:t>
      </w:r>
      <w:r w:rsidR="004E3662">
        <w:t>.</w:t>
      </w:r>
      <w:r w:rsidR="004E3662">
        <w:rPr>
          <w:rStyle w:val="FootnoteReference"/>
        </w:rPr>
        <w:footnoteReference w:id="3"/>
      </w:r>
      <w:r>
        <w:rPr>
          <w:rFonts w:ascii="Cambria" w:eastAsia="Cambria" w:hAnsi="Cambria" w:cs="Cambria"/>
          <w:vertAlign w:val="superscript"/>
        </w:rPr>
        <w:t xml:space="preserve"> </w:t>
      </w:r>
      <w:r>
        <w:t>Similarly, our database can help inform these key policy settings going forward.</w:t>
      </w:r>
    </w:p>
    <w:p w14:paraId="68BC1EE6" w14:textId="77777777" w:rsidR="00446CED" w:rsidRDefault="00446CED" w:rsidP="00446CED">
      <w:pPr>
        <w:spacing w:after="140"/>
        <w:ind w:left="16" w:right="24"/>
      </w:pPr>
      <w:r>
        <w:t>While the focus of the paper is on the methodology and database, we provide some initial insight to demonstrate its value. Three key insights emerge:</w:t>
      </w:r>
    </w:p>
    <w:p w14:paraId="13FA50B9" w14:textId="77777777" w:rsidR="00446CED" w:rsidRDefault="00446CED" w:rsidP="004E3662">
      <w:pPr>
        <w:pStyle w:val="OutlineNumbered1"/>
        <w:numPr>
          <w:ilvl w:val="0"/>
          <w:numId w:val="32"/>
        </w:numPr>
      </w:pPr>
      <w:r>
        <w:t>The number of mergers was higher over the 2000s, before declining in the early 2010s and then recovering somewhat in the late 2010s. Part of the more recent pick up reflected increasing acquisitions by very large firms.</w:t>
      </w:r>
    </w:p>
    <w:p w14:paraId="04F783A8" w14:textId="4311E532" w:rsidR="00446CED" w:rsidRDefault="00446CED" w:rsidP="004E3662">
      <w:pPr>
        <w:pStyle w:val="OutlineNumbered1"/>
      </w:pPr>
      <w:r>
        <w:t xml:space="preserve">A sizable share of acquisitions are made by firms acquiring multiple different businesses over time, often referred to as ‘serial’ or ‘creeping’ acquisitions. These acquisitions are </w:t>
      </w:r>
      <w:r w:rsidR="00F106FC">
        <w:t>particularly</w:t>
      </w:r>
      <w:r>
        <w:t xml:space="preserve"> prevalent in the Care and Medical Services sectors.</w:t>
      </w:r>
    </w:p>
    <w:p w14:paraId="26826B38" w14:textId="77777777" w:rsidR="00446CED" w:rsidRDefault="00446CED" w:rsidP="004E3662">
      <w:pPr>
        <w:pStyle w:val="OutlineNumbered1"/>
      </w:pPr>
      <w:r>
        <w:t>Takeover targets are most likely to be medium-sized entities with higher profitability and lower productivity. They are also likely to have a larger number of patents, though many also have no patents. This may suggest that target firms that do have patents, tend to have patents on moderately complex technologies with patents attached to the technology. Acquirers are, unsurprisingly, likely to be large and likely to have trademarks.</w:t>
      </w:r>
    </w:p>
    <w:p w14:paraId="74581D1B" w14:textId="222E8CA7" w:rsidR="00446CED" w:rsidRDefault="00446CED" w:rsidP="004E3662">
      <w:r>
        <w:t>The paper proceeds as follows. Section 2 provides a short literature review and 3 steps through the data and methodology for Australia and</w:t>
      </w:r>
      <w:r w:rsidR="005C5E72">
        <w:t xml:space="preserve"> Section 4</w:t>
      </w:r>
      <w:r>
        <w:t xml:space="preserve"> presents some preliminary analysis of mergers in Australia. Section 5 presents estimates of the likelihood of becoming an acquirer or target and Section 6 concludes and discusses next steps.</w:t>
      </w:r>
    </w:p>
    <w:p w14:paraId="736185DF" w14:textId="77777777" w:rsidR="00446CED" w:rsidRDefault="00446CED" w:rsidP="00A46351">
      <w:pPr>
        <w:pStyle w:val="Heading1Numbered"/>
      </w:pPr>
      <w:bookmarkStart w:id="7" w:name="_Toc211507319"/>
      <w:r>
        <w:t>Literature review</w:t>
      </w:r>
      <w:bookmarkEnd w:id="7"/>
    </w:p>
    <w:p w14:paraId="7F59BFF5" w14:textId="77777777" w:rsidR="00446CED" w:rsidRDefault="00446CED" w:rsidP="004E3662">
      <w:r>
        <w:t>Our paper relates to previous overseas studies that seek to measure merger and acquisition activity using indirect methods in the absence of formal reporting requirements.</w:t>
      </w:r>
    </w:p>
    <w:p w14:paraId="31261543" w14:textId="77777777" w:rsidR="00446CED" w:rsidRDefault="00446CED" w:rsidP="004E3662">
      <w:r>
        <w:t>One method used in the literature is to use surveys, or private sector databases on known mergers or acquisitions (such as Bloomberg or SDC Platinum investment banking deal activity database). However, private sector databases pose several limitations for research. Most notably, they fail to capture the full spectrum of mergers and acquisitions within an economy, often skewing towards large publicly announced transactions. For instance, Sharma and Ho (2002) relies on a small sample of just 36 Australian acquisitions. Second, while these databases usually contain some firm-level and industry-level information, they do not have a full range of information on subsidiaries, workers or wages. As a result, the effects of mergers, productivity and workers cannot be analysed.</w:t>
      </w:r>
    </w:p>
    <w:p w14:paraId="1D0A7D8A" w14:textId="3FBACEB5" w:rsidR="00446CED" w:rsidRDefault="00446CED" w:rsidP="004E3662">
      <w:r>
        <w:t xml:space="preserve">Another method is to use administrative data to identify restructures (including mergers) by tracking worker flows between firms in a linked employee-employer dataset. This method can identify mergers, but also improve overall administrative data quality by allowing researchers to identify cases where a firm appears to have closed, but there has actually been a re-structuring (Hethey-Maier and Schmieder (2013)), which can be important in exploring the effect of job loss and firm closure on workers. This method for identifying mergers is built on the assumption that workers from a target firm move together to the new acquiring firm. Since not all workers in a target firm may move (and the acquiring firm may rationalise the target workforce) a merger is usually taken to have occurred if a certain percentage or number of workers move together to a new firm. For example, Benedetto et al. (2007) and Hethey-Maier and Schmieder (2013) use both shares and numbers, classifying a worker cluster transition to occur either where five or more workers move together between the firms or when 80% of employees from the target move to the acquirer. Similarly, Geurts and Van Biesebroeck (2014) uses a minimum cluster of three to five employees in addition to a set of percentage thresholds. This method will normally exclude very small firms to remove the chance that natural turnover in these firms </w:t>
      </w:r>
      <w:r w:rsidR="009E3574">
        <w:t>is</w:t>
      </w:r>
      <w:r>
        <w:t xml:space="preserve"> erroneously identified as mergers. For example, Benedetto et al. (2007) and Geurts and Vets (2013) exclude firms with 5 or fewer employees.</w:t>
      </w:r>
    </w:p>
    <w:p w14:paraId="367ED493" w14:textId="012F831F" w:rsidR="00446CED" w:rsidRDefault="00446CED" w:rsidP="004E3662">
      <w:r>
        <w:t xml:space="preserve">One difficulty in using this approach is differentiation between mergers and other types of restructures, such as where a part of a firm is spun off to create a new firm. For example, Geurts and Vets (2013) links two firms using threshold worker flows and then identifies whether the firms are </w:t>
      </w:r>
      <w:r w:rsidR="009E3574">
        <w:t>start-ups</w:t>
      </w:r>
      <w:r>
        <w:t xml:space="preserve">, exiting or continuing firms, using the relative size of these flows. Geurts and Van Biesebroeck (2014) differentiates between mergers, where at least 50% of employees move to acquirer, and takeovers, where over 75% of workers move to the acquirer. Fackler et al. (2016) follows an approach used by Eriksson and Kuhn (2006) to identify </w:t>
      </w:r>
      <w:r w:rsidR="009E3574">
        <w:t>start-up</w:t>
      </w:r>
      <w:r>
        <w:t xml:space="preserve"> firms, in which more than 50% of the initial workforce were employed together in the same firm in the year before, but only if this group of workers did not make up more than 50% of the predecessor firm’s workforce.</w:t>
      </w:r>
    </w:p>
    <w:p w14:paraId="3AADE325" w14:textId="0D996D0E" w:rsidR="00446CED" w:rsidRDefault="00446CED" w:rsidP="004E3662">
      <w:r>
        <w:t xml:space="preserve">This paper adopts the second method outlined above - that is, by tracking both flows of workers. We also add two other methods, using data not previously available to researchers: tracking flows of entities between tax consolidated groups, and tracking firms’ </w:t>
      </w:r>
      <w:r w:rsidR="009E3574">
        <w:t>lodgements</w:t>
      </w:r>
      <w:r>
        <w:t xml:space="preserve"> of merger forms to the securities regulator, the Australian Securities and Investment Commission (ASIC).</w:t>
      </w:r>
    </w:p>
    <w:p w14:paraId="3BEFD0D1" w14:textId="77777777" w:rsidR="00446CED" w:rsidRDefault="00446CED" w:rsidP="00A46351">
      <w:pPr>
        <w:pStyle w:val="Heading1Numbered"/>
      </w:pPr>
      <w:bookmarkStart w:id="8" w:name="_Toc211507320"/>
      <w:r>
        <w:t>Data and Methodology</w:t>
      </w:r>
      <w:bookmarkEnd w:id="8"/>
    </w:p>
    <w:p w14:paraId="7A2ABB9D" w14:textId="4D19E1DE" w:rsidR="00446CED" w:rsidRDefault="00446CED" w:rsidP="00446CED">
      <w:pPr>
        <w:spacing w:after="0"/>
        <w:ind w:left="16" w:right="24"/>
      </w:pPr>
      <w:r>
        <w:t>As noted above, we take three different approaches to identify mergers. Each has its own strengths and weaknesses, and is likely to capture different types of mergers. We provide more detail on the approaches in the following sections, but below we give a high-level overview of each approach, and how they relate to each other in terms of scope and coverage. First, using payrolls data, we track flows of clusters of workers moving from one firm to another within a short period of time. Second, we track the movement of groups of companies between tax consolidated groups.</w:t>
      </w:r>
      <w:r w:rsidR="004E3662">
        <w:rPr>
          <w:rStyle w:val="FootnoteReference"/>
        </w:rPr>
        <w:footnoteReference w:id="4"/>
      </w:r>
      <w:r w:rsidR="004E3662">
        <w:t xml:space="preserve"> </w:t>
      </w:r>
      <w:r>
        <w:t xml:space="preserve">Last, we track forms submitted to ASIC </w:t>
      </w:r>
      <w:r w:rsidR="009E3574">
        <w:t>signalling</w:t>
      </w:r>
      <w:r>
        <w:t xml:space="preserve"> a takeover or a scheme of arrangement, which are both methods under which mergers may occur in Australia. The scope of mergers covered by the different approaches is summarised in Table 1.</w:t>
      </w:r>
    </w:p>
    <w:p w14:paraId="5F029776" w14:textId="2A46192B" w:rsidR="00EC6C70" w:rsidRDefault="00EC6C70" w:rsidP="00B1227F">
      <w:pPr>
        <w:pStyle w:val="TableMainHeading"/>
      </w:pPr>
      <w:bookmarkStart w:id="9" w:name="_Toc211507321"/>
      <w:r>
        <w:t>Table 1: Summary of merger tracking methods</w:t>
      </w:r>
      <w:bookmarkEnd w:id="9"/>
    </w:p>
    <w:tbl>
      <w:tblPr>
        <w:tblStyle w:val="TableGrid"/>
        <w:tblW w:w="0" w:type="auto"/>
        <w:tblLook w:val="04A0" w:firstRow="1" w:lastRow="0" w:firstColumn="1" w:lastColumn="0" w:noHBand="0" w:noVBand="1"/>
      </w:tblPr>
      <w:tblGrid>
        <w:gridCol w:w="1402"/>
        <w:gridCol w:w="3019"/>
        <w:gridCol w:w="4672"/>
      </w:tblGrid>
      <w:tr w:rsidR="00EC6C70" w:rsidRPr="00046835" w14:paraId="2B3B33A5" w14:textId="77777777" w:rsidTr="00554974">
        <w:trPr>
          <w:cnfStyle w:val="100000000000" w:firstRow="1" w:lastRow="0" w:firstColumn="0" w:lastColumn="0" w:oddVBand="0" w:evenVBand="0" w:oddHBand="0" w:evenHBand="0" w:firstRowFirstColumn="0" w:firstRowLastColumn="0" w:lastRowFirstColumn="0" w:lastRowLastColumn="0"/>
          <w:trHeight w:val="820"/>
        </w:trPr>
        <w:tc>
          <w:tcPr>
            <w:tcW w:w="0" w:type="auto"/>
          </w:tcPr>
          <w:p w14:paraId="546C6022" w14:textId="77777777" w:rsidR="00EC6C70" w:rsidRPr="00046835" w:rsidRDefault="00EC6C70" w:rsidP="00EC6C70">
            <w:pPr>
              <w:rPr>
                <w:sz w:val="18"/>
                <w:szCs w:val="18"/>
              </w:rPr>
            </w:pPr>
            <w:r w:rsidRPr="00046835">
              <w:rPr>
                <w:rFonts w:eastAsia="Cambria"/>
                <w:sz w:val="18"/>
                <w:szCs w:val="18"/>
              </w:rPr>
              <w:t>Merger tracking method</w:t>
            </w:r>
          </w:p>
        </w:tc>
        <w:tc>
          <w:tcPr>
            <w:tcW w:w="0" w:type="auto"/>
          </w:tcPr>
          <w:p w14:paraId="5CB0D9FB" w14:textId="77777777" w:rsidR="00EC6C70" w:rsidRPr="00046835" w:rsidRDefault="00EC6C70" w:rsidP="00EC6C70">
            <w:pPr>
              <w:rPr>
                <w:sz w:val="18"/>
                <w:szCs w:val="18"/>
              </w:rPr>
            </w:pPr>
            <w:r w:rsidRPr="00046835">
              <w:rPr>
                <w:rFonts w:eastAsia="Cambria"/>
                <w:sz w:val="18"/>
                <w:szCs w:val="18"/>
              </w:rPr>
              <w:t>Type of merger captured</w:t>
            </w:r>
          </w:p>
        </w:tc>
        <w:tc>
          <w:tcPr>
            <w:tcW w:w="0" w:type="auto"/>
          </w:tcPr>
          <w:p w14:paraId="3C01C6FA" w14:textId="77777777" w:rsidR="00EC6C70" w:rsidRPr="00046835" w:rsidRDefault="00EC6C70" w:rsidP="00EC6C70">
            <w:pPr>
              <w:rPr>
                <w:sz w:val="18"/>
                <w:szCs w:val="18"/>
              </w:rPr>
            </w:pPr>
            <w:r w:rsidRPr="00046835">
              <w:rPr>
                <w:rFonts w:eastAsia="Cambria"/>
                <w:sz w:val="18"/>
                <w:szCs w:val="18"/>
              </w:rPr>
              <w:t>Mergers not captured</w:t>
            </w:r>
          </w:p>
        </w:tc>
      </w:tr>
      <w:tr w:rsidR="00EC6C70" w:rsidRPr="00046835" w14:paraId="525EA837" w14:textId="77777777" w:rsidTr="00554974">
        <w:trPr>
          <w:trHeight w:val="1393"/>
        </w:trPr>
        <w:tc>
          <w:tcPr>
            <w:tcW w:w="0" w:type="auto"/>
          </w:tcPr>
          <w:p w14:paraId="19391E14" w14:textId="77777777" w:rsidR="00EC6C70" w:rsidRPr="00046835" w:rsidRDefault="00EC6C70" w:rsidP="00EC6C70">
            <w:pPr>
              <w:rPr>
                <w:szCs w:val="18"/>
              </w:rPr>
            </w:pPr>
            <w:r w:rsidRPr="00046835">
              <w:rPr>
                <w:szCs w:val="18"/>
              </w:rPr>
              <w:t>Labour flows method</w:t>
            </w:r>
          </w:p>
        </w:tc>
        <w:tc>
          <w:tcPr>
            <w:tcW w:w="0" w:type="auto"/>
          </w:tcPr>
          <w:p w14:paraId="3F43B6A3" w14:textId="77777777" w:rsidR="00EC6C70" w:rsidRPr="00046835" w:rsidRDefault="00EC6C70" w:rsidP="00EC6C70">
            <w:pPr>
              <w:rPr>
                <w:szCs w:val="18"/>
              </w:rPr>
            </w:pPr>
            <w:r w:rsidRPr="00046835">
              <w:rPr>
                <w:szCs w:val="18"/>
              </w:rPr>
              <w:t>Mergers by all business types and sizes, where a substantial percentage of workers leave the original entity and start being paid by a new entity.</w:t>
            </w:r>
          </w:p>
        </w:tc>
        <w:tc>
          <w:tcPr>
            <w:tcW w:w="0" w:type="auto"/>
          </w:tcPr>
          <w:p w14:paraId="752CCA6D" w14:textId="77777777" w:rsidR="00EC6C70" w:rsidRPr="00046835" w:rsidRDefault="00EC6C70" w:rsidP="00EC6C70">
            <w:pPr>
              <w:pStyle w:val="OutlineNumbered1"/>
              <w:numPr>
                <w:ilvl w:val="0"/>
                <w:numId w:val="33"/>
              </w:numPr>
              <w:rPr>
                <w:kern w:val="2"/>
                <w:szCs w:val="18"/>
                <w14:ligatures w14:val="standardContextual"/>
              </w:rPr>
            </w:pPr>
            <w:r w:rsidRPr="00046835">
              <w:rPr>
                <w:kern w:val="2"/>
                <w:szCs w:val="18"/>
                <w14:ligatures w14:val="standardContextual"/>
              </w:rPr>
              <w:t>Change ownership of business operations via purchases of assets such as buildings, equipment, leases and intellectual property that are unaccompanied by transfer of a substantial proportion of staff.</w:t>
            </w:r>
          </w:p>
        </w:tc>
      </w:tr>
      <w:tr w:rsidR="00EC6C70" w:rsidRPr="00046835" w14:paraId="5BEA047D" w14:textId="77777777" w:rsidTr="00554974">
        <w:trPr>
          <w:trHeight w:val="998"/>
        </w:trPr>
        <w:tc>
          <w:tcPr>
            <w:tcW w:w="0" w:type="auto"/>
          </w:tcPr>
          <w:p w14:paraId="1468201F" w14:textId="77777777" w:rsidR="00EC6C70" w:rsidRPr="00046835" w:rsidRDefault="00EC6C70" w:rsidP="00EC6C70">
            <w:pPr>
              <w:rPr>
                <w:szCs w:val="18"/>
              </w:rPr>
            </w:pPr>
          </w:p>
        </w:tc>
        <w:tc>
          <w:tcPr>
            <w:tcW w:w="0" w:type="auto"/>
          </w:tcPr>
          <w:p w14:paraId="79A50C71" w14:textId="77777777" w:rsidR="00EC6C70" w:rsidRPr="00046835" w:rsidRDefault="00EC6C70" w:rsidP="00EC6C70">
            <w:pPr>
              <w:rPr>
                <w:szCs w:val="18"/>
              </w:rPr>
            </w:pPr>
          </w:p>
        </w:tc>
        <w:tc>
          <w:tcPr>
            <w:tcW w:w="0" w:type="auto"/>
          </w:tcPr>
          <w:p w14:paraId="34592B97" w14:textId="77777777" w:rsidR="00EC6C70" w:rsidRPr="00046835" w:rsidRDefault="00EC6C70" w:rsidP="00EC6C70">
            <w:pPr>
              <w:pStyle w:val="OutlineNumbered1"/>
              <w:rPr>
                <w:szCs w:val="18"/>
              </w:rPr>
            </w:pPr>
            <w:r w:rsidRPr="00046835">
              <w:rPr>
                <w:szCs w:val="18"/>
              </w:rPr>
              <w:t>Change in ownership of the entity through purchases of equities or units in trusts, or changes in special voting rights.</w:t>
            </w:r>
          </w:p>
        </w:tc>
      </w:tr>
      <w:tr w:rsidR="00EC6C70" w:rsidRPr="00046835" w14:paraId="7C19BEEA" w14:textId="77777777" w:rsidTr="00554974">
        <w:trPr>
          <w:trHeight w:val="914"/>
        </w:trPr>
        <w:tc>
          <w:tcPr>
            <w:tcW w:w="0" w:type="auto"/>
          </w:tcPr>
          <w:p w14:paraId="13921494" w14:textId="26894495" w:rsidR="00EC6C70" w:rsidRPr="00046835" w:rsidRDefault="00EC6C70" w:rsidP="00EC6C70">
            <w:pPr>
              <w:rPr>
                <w:szCs w:val="18"/>
              </w:rPr>
            </w:pPr>
            <w:r w:rsidRPr="00046835">
              <w:rPr>
                <w:szCs w:val="18"/>
              </w:rPr>
              <w:t>Tax</w:t>
            </w:r>
            <w:r w:rsidR="00B04C67">
              <w:rPr>
                <w:szCs w:val="18"/>
              </w:rPr>
              <w:t xml:space="preserve"> </w:t>
            </w:r>
            <w:r w:rsidRPr="00046835">
              <w:rPr>
                <w:szCs w:val="18"/>
              </w:rPr>
              <w:t>consolidated group changes</w:t>
            </w:r>
          </w:p>
        </w:tc>
        <w:tc>
          <w:tcPr>
            <w:tcW w:w="0" w:type="auto"/>
          </w:tcPr>
          <w:p w14:paraId="662C22B1" w14:textId="77777777" w:rsidR="00EC6C70" w:rsidRPr="00046835" w:rsidRDefault="00EC6C70" w:rsidP="00EC6C70">
            <w:pPr>
              <w:rPr>
                <w:szCs w:val="18"/>
              </w:rPr>
            </w:pPr>
            <w:r w:rsidRPr="00046835">
              <w:rPr>
                <w:szCs w:val="18"/>
              </w:rPr>
              <w:t>Purchase of entities by one tax consolidated group from another tax consolidated group.</w:t>
            </w:r>
          </w:p>
        </w:tc>
        <w:tc>
          <w:tcPr>
            <w:tcW w:w="0" w:type="auto"/>
          </w:tcPr>
          <w:p w14:paraId="7FE48044" w14:textId="77777777" w:rsidR="00EC6C70" w:rsidRPr="00046835" w:rsidRDefault="00EC6C70" w:rsidP="00B92ADE">
            <w:pPr>
              <w:pStyle w:val="OutlineNumbered1"/>
              <w:numPr>
                <w:ilvl w:val="0"/>
                <w:numId w:val="34"/>
              </w:numPr>
              <w:rPr>
                <w:kern w:val="2"/>
                <w:szCs w:val="18"/>
                <w14:ligatures w14:val="standardContextual"/>
              </w:rPr>
            </w:pPr>
            <w:r w:rsidRPr="00046835">
              <w:rPr>
                <w:kern w:val="2"/>
                <w:szCs w:val="18"/>
                <w14:ligatures w14:val="standardContextual"/>
              </w:rPr>
              <w:t>Acquisition of an entity by a tax consolidation group where the entity was not previously part of a tax consolidation group.</w:t>
            </w:r>
          </w:p>
        </w:tc>
      </w:tr>
      <w:tr w:rsidR="00EC6C70" w:rsidRPr="00046835" w14:paraId="3B727287" w14:textId="77777777" w:rsidTr="00554974">
        <w:trPr>
          <w:trHeight w:val="717"/>
        </w:trPr>
        <w:tc>
          <w:tcPr>
            <w:tcW w:w="0" w:type="auto"/>
          </w:tcPr>
          <w:p w14:paraId="02BE0DEC" w14:textId="77777777" w:rsidR="00EC6C70" w:rsidRPr="00046835" w:rsidRDefault="00EC6C70" w:rsidP="00EC6C70">
            <w:pPr>
              <w:rPr>
                <w:szCs w:val="18"/>
              </w:rPr>
            </w:pPr>
          </w:p>
        </w:tc>
        <w:tc>
          <w:tcPr>
            <w:tcW w:w="0" w:type="auto"/>
          </w:tcPr>
          <w:p w14:paraId="5028D466" w14:textId="77777777" w:rsidR="00EC6C70" w:rsidRPr="00046835" w:rsidRDefault="00EC6C70" w:rsidP="00EC6C70">
            <w:pPr>
              <w:rPr>
                <w:szCs w:val="18"/>
              </w:rPr>
            </w:pPr>
          </w:p>
        </w:tc>
        <w:tc>
          <w:tcPr>
            <w:tcW w:w="0" w:type="auto"/>
          </w:tcPr>
          <w:p w14:paraId="64D78767" w14:textId="77777777" w:rsidR="00EC6C70" w:rsidRPr="00046835" w:rsidRDefault="00EC6C70" w:rsidP="00B92ADE">
            <w:pPr>
              <w:pStyle w:val="OutlineNumbered1"/>
              <w:rPr>
                <w:szCs w:val="18"/>
              </w:rPr>
            </w:pPr>
            <w:r w:rsidRPr="00046835">
              <w:rPr>
                <w:szCs w:val="18"/>
              </w:rPr>
              <w:t>Change of ownership of business operations via purchases of assets such as buildings, equipment, leases and intellectual property.</w:t>
            </w:r>
          </w:p>
        </w:tc>
      </w:tr>
      <w:tr w:rsidR="00EC6C70" w:rsidRPr="00046835" w14:paraId="2452044F" w14:textId="77777777" w:rsidTr="00554974">
        <w:trPr>
          <w:trHeight w:val="759"/>
        </w:trPr>
        <w:tc>
          <w:tcPr>
            <w:tcW w:w="0" w:type="auto"/>
          </w:tcPr>
          <w:p w14:paraId="30A08567" w14:textId="77777777" w:rsidR="00EC6C70" w:rsidRPr="00046835" w:rsidRDefault="00EC6C70" w:rsidP="00EC6C70">
            <w:pPr>
              <w:rPr>
                <w:szCs w:val="18"/>
              </w:rPr>
            </w:pPr>
          </w:p>
        </w:tc>
        <w:tc>
          <w:tcPr>
            <w:tcW w:w="0" w:type="auto"/>
          </w:tcPr>
          <w:p w14:paraId="192A8A86" w14:textId="77777777" w:rsidR="00EC6C70" w:rsidRPr="00046835" w:rsidRDefault="00EC6C70" w:rsidP="00EC6C70">
            <w:pPr>
              <w:rPr>
                <w:szCs w:val="18"/>
              </w:rPr>
            </w:pPr>
          </w:p>
        </w:tc>
        <w:tc>
          <w:tcPr>
            <w:tcW w:w="0" w:type="auto"/>
          </w:tcPr>
          <w:p w14:paraId="77A587A7" w14:textId="77777777" w:rsidR="00EC6C70" w:rsidRPr="00046835" w:rsidRDefault="00EC6C70" w:rsidP="00B92ADE">
            <w:pPr>
              <w:pStyle w:val="OutlineNumbered1"/>
              <w:rPr>
                <w:szCs w:val="18"/>
              </w:rPr>
            </w:pPr>
            <w:r w:rsidRPr="00046835">
              <w:rPr>
                <w:szCs w:val="18"/>
              </w:rPr>
              <w:t>Change in control of an entity through changes in special voting rights.</w:t>
            </w:r>
          </w:p>
        </w:tc>
      </w:tr>
      <w:tr w:rsidR="00EC6C70" w:rsidRPr="00046835" w14:paraId="74F04148" w14:textId="77777777" w:rsidTr="00554974">
        <w:trPr>
          <w:trHeight w:val="965"/>
        </w:trPr>
        <w:tc>
          <w:tcPr>
            <w:tcW w:w="0" w:type="auto"/>
          </w:tcPr>
          <w:p w14:paraId="2A14197F" w14:textId="053524B1" w:rsidR="00EC6C70" w:rsidRPr="00046835" w:rsidRDefault="00EC6C70" w:rsidP="00EC6C70">
            <w:pPr>
              <w:rPr>
                <w:szCs w:val="18"/>
              </w:rPr>
            </w:pPr>
            <w:r w:rsidRPr="00046835">
              <w:rPr>
                <w:szCs w:val="18"/>
              </w:rPr>
              <w:t>ASIC form</w:t>
            </w:r>
            <w:r w:rsidR="00B04C67">
              <w:rPr>
                <w:szCs w:val="18"/>
              </w:rPr>
              <w:t xml:space="preserve"> </w:t>
            </w:r>
            <w:r w:rsidRPr="00046835">
              <w:rPr>
                <w:szCs w:val="18"/>
              </w:rPr>
              <w:t>submissions</w:t>
            </w:r>
          </w:p>
        </w:tc>
        <w:tc>
          <w:tcPr>
            <w:tcW w:w="0" w:type="auto"/>
          </w:tcPr>
          <w:p w14:paraId="6022EC2F" w14:textId="77777777" w:rsidR="00EC6C70" w:rsidRPr="00046835" w:rsidRDefault="00EC6C70" w:rsidP="00EC6C70">
            <w:pPr>
              <w:rPr>
                <w:szCs w:val="18"/>
              </w:rPr>
            </w:pPr>
            <w:r w:rsidRPr="00046835">
              <w:rPr>
                <w:szCs w:val="18"/>
              </w:rPr>
              <w:t>Change in ownership of the entity through takeovers and schemes of arrangement, usually executed through purchases of equities or units in trusts.</w:t>
            </w:r>
          </w:p>
        </w:tc>
        <w:tc>
          <w:tcPr>
            <w:tcW w:w="0" w:type="auto"/>
          </w:tcPr>
          <w:p w14:paraId="408978E8" w14:textId="77777777" w:rsidR="00EC6C70" w:rsidRPr="00046835" w:rsidRDefault="00EC6C70" w:rsidP="00090099">
            <w:pPr>
              <w:pStyle w:val="OutlineNumbered1"/>
              <w:numPr>
                <w:ilvl w:val="0"/>
                <w:numId w:val="36"/>
              </w:numPr>
              <w:rPr>
                <w:kern w:val="2"/>
                <w:szCs w:val="18"/>
                <w14:ligatures w14:val="standardContextual"/>
              </w:rPr>
            </w:pPr>
            <w:r w:rsidRPr="00046835">
              <w:rPr>
                <w:kern w:val="2"/>
                <w:szCs w:val="18"/>
                <w14:ligatures w14:val="standardContextual"/>
              </w:rPr>
              <w:t>Purchase of an entity that does not require ASIC takeovers or schemes of arrangement forms to be submitted.</w:t>
            </w:r>
          </w:p>
        </w:tc>
      </w:tr>
      <w:tr w:rsidR="00EC6C70" w:rsidRPr="00046835" w14:paraId="566014F7" w14:textId="77777777" w:rsidTr="00554974">
        <w:trPr>
          <w:trHeight w:val="667"/>
        </w:trPr>
        <w:tc>
          <w:tcPr>
            <w:tcW w:w="0" w:type="auto"/>
          </w:tcPr>
          <w:p w14:paraId="400561AA" w14:textId="77777777" w:rsidR="00EC6C70" w:rsidRPr="00046835" w:rsidRDefault="00EC6C70" w:rsidP="00EC6C70">
            <w:pPr>
              <w:rPr>
                <w:szCs w:val="18"/>
              </w:rPr>
            </w:pPr>
          </w:p>
        </w:tc>
        <w:tc>
          <w:tcPr>
            <w:tcW w:w="0" w:type="auto"/>
          </w:tcPr>
          <w:p w14:paraId="29809000" w14:textId="77777777" w:rsidR="00EC6C70" w:rsidRPr="00046835" w:rsidRDefault="00EC6C70" w:rsidP="00EC6C70">
            <w:pPr>
              <w:rPr>
                <w:szCs w:val="18"/>
              </w:rPr>
            </w:pPr>
          </w:p>
        </w:tc>
        <w:tc>
          <w:tcPr>
            <w:tcW w:w="0" w:type="auto"/>
          </w:tcPr>
          <w:p w14:paraId="437ABAE1" w14:textId="77777777" w:rsidR="00EC6C70" w:rsidRPr="00046835" w:rsidRDefault="00EC6C70" w:rsidP="00090099">
            <w:pPr>
              <w:pStyle w:val="OutlineNumbered1"/>
              <w:rPr>
                <w:szCs w:val="18"/>
              </w:rPr>
            </w:pPr>
            <w:r w:rsidRPr="00046835">
              <w:rPr>
                <w:szCs w:val="18"/>
              </w:rPr>
              <w:t>Change of ownership of business operations via purchases of assets such as buildings, equipment, leases and intellectual property.</w:t>
            </w:r>
          </w:p>
        </w:tc>
      </w:tr>
      <w:tr w:rsidR="00EC6C70" w:rsidRPr="00046835" w14:paraId="0B309E45" w14:textId="77777777" w:rsidTr="00554974">
        <w:trPr>
          <w:trHeight w:val="762"/>
        </w:trPr>
        <w:tc>
          <w:tcPr>
            <w:tcW w:w="0" w:type="auto"/>
          </w:tcPr>
          <w:p w14:paraId="3F112FA8" w14:textId="77777777" w:rsidR="00EC6C70" w:rsidRPr="00046835" w:rsidRDefault="00EC6C70" w:rsidP="00EC6C70">
            <w:pPr>
              <w:rPr>
                <w:szCs w:val="18"/>
              </w:rPr>
            </w:pPr>
          </w:p>
        </w:tc>
        <w:tc>
          <w:tcPr>
            <w:tcW w:w="0" w:type="auto"/>
          </w:tcPr>
          <w:p w14:paraId="115E1767" w14:textId="77777777" w:rsidR="00EC6C70" w:rsidRPr="00046835" w:rsidRDefault="00EC6C70" w:rsidP="00EC6C70">
            <w:pPr>
              <w:rPr>
                <w:szCs w:val="18"/>
              </w:rPr>
            </w:pPr>
          </w:p>
        </w:tc>
        <w:tc>
          <w:tcPr>
            <w:tcW w:w="0" w:type="auto"/>
          </w:tcPr>
          <w:p w14:paraId="631DD992" w14:textId="77777777" w:rsidR="00EC6C70" w:rsidRPr="00046835" w:rsidRDefault="00EC6C70" w:rsidP="00090099">
            <w:pPr>
              <w:pStyle w:val="OutlineNumbered1"/>
              <w:rPr>
                <w:szCs w:val="18"/>
              </w:rPr>
            </w:pPr>
            <w:r w:rsidRPr="00046835">
              <w:rPr>
                <w:szCs w:val="18"/>
              </w:rPr>
              <w:t>Change in control of an entity through changes in special voting rights.</w:t>
            </w:r>
          </w:p>
        </w:tc>
      </w:tr>
    </w:tbl>
    <w:p w14:paraId="6BDD0C8A" w14:textId="77777777" w:rsidR="00446CED" w:rsidRDefault="00446CED" w:rsidP="00446CED">
      <w:pPr>
        <w:ind w:left="16" w:right="24"/>
      </w:pPr>
      <w:r>
        <w:t>As evident from the above, there should be little overlap between the labour flows method and the tax consolidation method. In almost 90% of acquisitions, the target entity under the labour flows method disappears from the administrative data in the year following worker moves. In contrast, the entity under the tax consolidation method stays intact and nominates a new head company after it moves groups. The tax consolidation approach also has a narrower scope than the other two methods because it only tracks transactions between tax consolidated group. While it is possible to track firms that enter consolidated groups where they were not previously part of a consolidated group, we would not be able to confirm whether these are mergers. That is because tax consolidated groups may hold interests in entities outside the group, and so may already own the entity that is entering the consolidated group.</w:t>
      </w:r>
    </w:p>
    <w:p w14:paraId="4A1ED33C" w14:textId="139B3A17" w:rsidR="00446CED" w:rsidRDefault="00446CED" w:rsidP="00090099">
      <w:pPr>
        <w:spacing w:after="0"/>
        <w:ind w:left="16" w:right="24"/>
      </w:pPr>
      <w:r>
        <w:t>Notwithstanding the three approaches, there are still some examples of M&amp;A activity that we are currently not able to capture: where there is a purchase of assets like buildings, equipment, leases and intellectual property that are sold to another entity but where no/few workers move with the assets and where control of a firm is acquired by another entity through acquisition of majority shareholding/special voting rights. Looking at these other forms of change in control of a firm’s operations would be a useful area of future</w:t>
      </w:r>
      <w:r w:rsidR="00090099">
        <w:t xml:space="preserve"> </w:t>
      </w:r>
      <w:r>
        <w:t>research.</w:t>
      </w:r>
    </w:p>
    <w:p w14:paraId="1B9A9258" w14:textId="77777777" w:rsidR="00446CED" w:rsidRDefault="00446CED" w:rsidP="00A46351">
      <w:pPr>
        <w:pStyle w:val="Heading2Numbered"/>
      </w:pPr>
      <w:bookmarkStart w:id="10" w:name="_Toc211507322"/>
      <w:r>
        <w:t>Tracking employee flows</w:t>
      </w:r>
      <w:bookmarkEnd w:id="10"/>
    </w:p>
    <w:p w14:paraId="13ED02E1" w14:textId="2BFDE0BA" w:rsidR="00446CED" w:rsidRDefault="00446CED" w:rsidP="00BA137E">
      <w:r>
        <w:t>Using payment summaries from the Person Level Integrated Data Asset (PLIDA) linked with firm-level data in the Business Longitudinal Data Environment (BLADE), we link all employees to their employers in Australia over the period 2000-2020. We then identify all worker transitions (</w:t>
      </w:r>
      <w:r w:rsidR="009E3574">
        <w:t>i.e.</w:t>
      </w:r>
      <w:r>
        <w:t xml:space="preserve">, when a worker moves employers) and apply the following rules: we keep all movements where a worker was at a new firm in year </w:t>
      </w:r>
      <w:r>
        <w:rPr>
          <w:rFonts w:ascii="Cambria" w:eastAsia="Cambria" w:hAnsi="Cambria" w:cs="Cambria"/>
          <w:i/>
        </w:rPr>
        <w:t xml:space="preserve">t </w:t>
      </w:r>
      <w:r>
        <w:t xml:space="preserve">but not at </w:t>
      </w:r>
      <w:r>
        <w:rPr>
          <w:rFonts w:ascii="Cambria" w:eastAsia="Cambria" w:hAnsi="Cambria" w:cs="Cambria"/>
          <w:i/>
        </w:rPr>
        <w:t xml:space="preserve">t </w:t>
      </w:r>
      <w:r>
        <w:rPr>
          <w:rFonts w:ascii="Cambria" w:eastAsia="Cambria" w:hAnsi="Cambria" w:cs="Cambria"/>
        </w:rPr>
        <w:t xml:space="preserve">− </w:t>
      </w:r>
      <w:r>
        <w:t xml:space="preserve">1; and where workers are at a new firm in year </w:t>
      </w:r>
      <w:r>
        <w:rPr>
          <w:rFonts w:ascii="Cambria" w:eastAsia="Cambria" w:hAnsi="Cambria" w:cs="Cambria"/>
          <w:i/>
        </w:rPr>
        <w:t xml:space="preserve">t </w:t>
      </w:r>
      <w:r>
        <w:t xml:space="preserve">+ 1 but not in </w:t>
      </w:r>
      <w:r>
        <w:rPr>
          <w:rFonts w:ascii="Cambria" w:eastAsia="Cambria" w:hAnsi="Cambria" w:cs="Cambria"/>
          <w:i/>
        </w:rPr>
        <w:t xml:space="preserve">t </w:t>
      </w:r>
      <w:r>
        <w:rPr>
          <w:rFonts w:ascii="Cambria" w:eastAsia="Cambria" w:hAnsi="Cambria" w:cs="Cambria"/>
        </w:rPr>
        <w:t xml:space="preserve">− </w:t>
      </w:r>
      <w:r>
        <w:t>1.</w:t>
      </w:r>
    </w:p>
    <w:p w14:paraId="06941B1A" w14:textId="77777777" w:rsidR="00446CED" w:rsidRDefault="00446CED" w:rsidP="00BA137E">
      <w:r>
        <w:t>To focus on mergers, rather than normal job transitions, we require 50% or more of all employees in a target firm to move to the acquiring firm within the year. In line with the literature, we also remove cases where target firms have fewer than 10 employees to limit the possibility that we are picking up movements of a handful of workers in job transitions unrelated to mergers. We remove corporate restructures, where both acquiring and target firms belong to the same Enterprise Group (EG). An EG in BLADE is a group of related businesses that are usually part of a wholly-owned or otherwise controlled group. These filters give us the full sample of all possible mergers, as indicated by the Full sample line in Figure 1.</w:t>
      </w:r>
    </w:p>
    <w:p w14:paraId="7AE0721C" w14:textId="43CF2BBC" w:rsidR="00446CED" w:rsidRDefault="00446CED" w:rsidP="00BA137E">
      <w:r>
        <w:t xml:space="preserve">We attempt to remove phoenix firms by requiring that the acquiring firm must have existed in </w:t>
      </w:r>
      <w:r>
        <w:rPr>
          <w:rFonts w:ascii="Cambria" w:eastAsia="Cambria" w:hAnsi="Cambria" w:cs="Cambria"/>
          <w:i/>
        </w:rPr>
        <w:t xml:space="preserve">t </w:t>
      </w:r>
      <w:r>
        <w:rPr>
          <w:rFonts w:ascii="Cambria" w:eastAsia="Cambria" w:hAnsi="Cambria" w:cs="Cambria"/>
        </w:rPr>
        <w:t xml:space="preserve">− </w:t>
      </w:r>
      <w:r>
        <w:t>1. A firm may phoenix when it ceases operations and restarts under another business, without a substantial change to its workforce. This can also occur for reasons such as change in business type (</w:t>
      </w:r>
      <w:r w:rsidR="009E3574">
        <w:t>e.g.</w:t>
      </w:r>
      <w:r>
        <w:t xml:space="preserve">, going from partnership to company). However, requiring that firms must exist in </w:t>
      </w:r>
      <w:r>
        <w:rPr>
          <w:rFonts w:ascii="Cambria" w:eastAsia="Cambria" w:hAnsi="Cambria" w:cs="Cambria"/>
          <w:i/>
        </w:rPr>
        <w:t>t</w:t>
      </w:r>
      <w:r>
        <w:rPr>
          <w:rFonts w:ascii="Cambria" w:eastAsia="Cambria" w:hAnsi="Cambria" w:cs="Cambria"/>
        </w:rPr>
        <w:t>−</w:t>
      </w:r>
      <w:r>
        <w:t xml:space="preserve">1 potentially removes mergers that are implemented by way of a new special purpose vehicle (SPV), or where two firms merge into a new entity. We address the latter by adding back in cases where two firms appear to be acquired by one new firm. Further work could address the use of SPVs, potentially by requiring that the EG existed in </w:t>
      </w:r>
      <w:r>
        <w:rPr>
          <w:rFonts w:ascii="Cambria" w:eastAsia="Cambria" w:hAnsi="Cambria" w:cs="Cambria"/>
          <w:i/>
        </w:rPr>
        <w:t xml:space="preserve">t </w:t>
      </w:r>
      <w:r>
        <w:rPr>
          <w:rFonts w:ascii="Cambria" w:eastAsia="Cambria" w:hAnsi="Cambria" w:cs="Cambria"/>
        </w:rPr>
        <w:t xml:space="preserve">− </w:t>
      </w:r>
      <w:r>
        <w:t>1, not the ABN, as SPVs are primarily used by large entities for complex/large acquisitions.</w:t>
      </w:r>
    </w:p>
    <w:p w14:paraId="0F8688D2" w14:textId="77777777" w:rsidR="00446CED" w:rsidRDefault="00446CED" w:rsidP="00BA137E">
      <w:r>
        <w:t>One limitation of this method is, as noted above, we cannot track mergers where assets move from one business to another but very few workers move with them. For example, a business operation may be sold where only the assets are moved, but the staff are retained by the parent company or are let go. In this case, we cannot track the merger as assets are not tracked in our dataset.</w:t>
      </w:r>
    </w:p>
    <w:p w14:paraId="373BA274" w14:textId="337E7AB9" w:rsidR="00446CED" w:rsidRDefault="00446CED" w:rsidP="00BA137E">
      <w:r>
        <w:t>Using this methodology, we find that there were around 1,000 mergers each year from 2003-2018. Figure 1 shows three series. First, it shows the counts of activity where at least 50% of workers have moved to a new entity between one year and the next (</w:t>
      </w:r>
      <w:r w:rsidR="009E3574">
        <w:t>labelled</w:t>
      </w:r>
      <w:r>
        <w:t xml:space="preserve"> as ‘Full sample’). Imposing the filter that the new firm must exist before the labour movement gives us the second series, labelled ‘Pre-exist.’ Last, adding back in our suspected cases of special purpose vehicles gives us the final estimate of mergers and acquisitions using this method. Figure 1 shows that there was a period of relatively robust mergers activity in the early to </w:t>
      </w:r>
      <w:r w:rsidR="009E3574">
        <w:t>mid-2000s</w:t>
      </w:r>
      <w:r>
        <w:t>, with a spike in 2008 of around almost 2,000 acquisitions. Mergers activity dropped off to around 1,000 acquisitions in 2009. Activity has been slowly rising over the past decade, although mergers activity remains lower than in the period before 2009.</w:t>
      </w:r>
    </w:p>
    <w:p w14:paraId="04D24780" w14:textId="5FB1D1FC" w:rsidR="00F032F4" w:rsidRDefault="00F032F4" w:rsidP="00B1227F">
      <w:pPr>
        <w:pStyle w:val="ChartMainHeading"/>
      </w:pPr>
      <w:bookmarkStart w:id="11" w:name="_Toc211507323"/>
      <w:r>
        <w:t xml:space="preserve">Figure 1: Number of </w:t>
      </w:r>
      <w:r w:rsidR="00655508">
        <w:t>acquisitions – labour flows</w:t>
      </w:r>
      <w:bookmarkEnd w:id="11"/>
    </w:p>
    <w:p w14:paraId="5D73D30F" w14:textId="6771FF27" w:rsidR="00655508" w:rsidRPr="00655508" w:rsidRDefault="00655508" w:rsidP="00655508">
      <w:pPr>
        <w:pStyle w:val="ChartSecondHeading"/>
      </w:pPr>
      <w:r>
        <w:t>Across different filters</w:t>
      </w:r>
    </w:p>
    <w:p w14:paraId="560B9279" w14:textId="0179285D" w:rsidR="00BA41DE" w:rsidRPr="00BA41DE" w:rsidRDefault="00BA41DE" w:rsidP="00BA41DE">
      <w:pPr>
        <w:pStyle w:val="ChartGraphic"/>
      </w:pPr>
      <w:r>
        <w:rPr>
          <w:noProof/>
        </w:rPr>
        <w:drawing>
          <wp:inline distT="0" distB="0" distL="0" distR="0" wp14:anchorId="200E2784" wp14:editId="58CB3671">
            <wp:extent cx="5580000" cy="2520000"/>
            <wp:effectExtent l="0" t="0" r="0" b="0"/>
            <wp:docPr id="602077240" name="Chart 1" descr="A chart showing the number of acquisitions over the years 2003 to 2018. There are three line trends: full sample, pre-exist, and pre-exist or multiple flow. All three lines have similar trends, with spikes before 2010, and lower but consistent values after 2010. The absolute values of the 'full sample' trend is more than double the other two trend lines, hovering around 3000 to over 4000. ">
              <a:extLst xmlns:a="http://schemas.openxmlformats.org/drawingml/2006/main">
                <a:ext uri="{FF2B5EF4-FFF2-40B4-BE49-F238E27FC236}">
                  <a16:creationId xmlns:a16="http://schemas.microsoft.com/office/drawing/2014/main" id="{E49EDFB1-BF06-343A-50F6-538D98CF6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F5C93E" w14:textId="3832B1E0" w:rsidR="006C292D" w:rsidRDefault="006C292D" w:rsidP="006C292D">
      <w:pPr>
        <w:pStyle w:val="ChartGraphic"/>
      </w:pPr>
    </w:p>
    <w:p w14:paraId="5FE0AAE4" w14:textId="277AFE3C" w:rsidR="006C292D" w:rsidRDefault="00E5790D" w:rsidP="00BA41DE">
      <w:pPr>
        <w:pStyle w:val="ChartorTableNote"/>
      </w:pPr>
      <w:r>
        <w:t>Each count is a single ABN. Full sample counts all cases where a large share of works in a firm moved to another entity</w:t>
      </w:r>
      <w:r w:rsidR="005F7713">
        <w:t>. Pre-exist captures those where the acquiring firm existed in year t-1. Pre-exist or multiple flow is similar, but also includes cases where two entities</w:t>
      </w:r>
      <w:r w:rsidR="007540BE">
        <w:t xml:space="preserve"> flowed into one new entity, suggesting a merger.</w:t>
      </w:r>
    </w:p>
    <w:p w14:paraId="3E4165A2" w14:textId="3ECE7841" w:rsidR="007540BE" w:rsidRPr="006C292D" w:rsidRDefault="007540BE" w:rsidP="00282C13">
      <w:pPr>
        <w:pStyle w:val="ChartorTableNote"/>
      </w:pPr>
      <w:r>
        <w:t>Source: Authors’ calculations.</w:t>
      </w:r>
    </w:p>
    <w:p w14:paraId="05D3FE88" w14:textId="7BD7689E" w:rsidR="00446CED" w:rsidRDefault="00446CED" w:rsidP="00446CED">
      <w:pPr>
        <w:spacing w:after="228" w:line="259" w:lineRule="auto"/>
        <w:ind w:left="1900"/>
      </w:pPr>
    </w:p>
    <w:p w14:paraId="76C1A62B" w14:textId="77777777" w:rsidR="00446CED" w:rsidRDefault="00446CED" w:rsidP="00A46351">
      <w:pPr>
        <w:pStyle w:val="Heading2Numbered"/>
      </w:pPr>
      <w:bookmarkStart w:id="12" w:name="_Toc211507324"/>
      <w:r>
        <w:t>Tracking movements between tax consolidated groups</w:t>
      </w:r>
      <w:bookmarkEnd w:id="12"/>
    </w:p>
    <w:p w14:paraId="7E10B208" w14:textId="77777777" w:rsidR="00446CED" w:rsidRDefault="00446CED" w:rsidP="00BA137E">
      <w:r>
        <w:t>The tax consolidation regime in Australia allows wholly-owned entities to be treated as a single entity for taxation purposes. Entities that are wholly-owned by a foreign parent entity can form a multiple entry consolidated group. In both cases, a head entity must be nominated as the ultimate holding company for every member of the group. We can therefore infer an acquisition has taken place when an entity changes its nominated ultimate holding company and consolidated group identifier in its tax records.</w:t>
      </w:r>
    </w:p>
    <w:p w14:paraId="618AEB31" w14:textId="77777777" w:rsidR="00446CED" w:rsidRDefault="00446CED" w:rsidP="00BA137E">
      <w:r>
        <w:t>Specifically, we define a merger as having potentially occurred where, in a financial year:</w:t>
      </w:r>
    </w:p>
    <w:p w14:paraId="296DB49B" w14:textId="77777777" w:rsidR="00446CED" w:rsidRDefault="00446CED" w:rsidP="00BA137E">
      <w:pPr>
        <w:pStyle w:val="OutlineNumbered1"/>
        <w:numPr>
          <w:ilvl w:val="0"/>
          <w:numId w:val="37"/>
        </w:numPr>
      </w:pPr>
      <w:r>
        <w:t>an ABN is currently a member of a consolidated group;</w:t>
      </w:r>
    </w:p>
    <w:p w14:paraId="70B6772C" w14:textId="77777777" w:rsidR="00446CED" w:rsidRDefault="00446CED" w:rsidP="00BA137E">
      <w:pPr>
        <w:pStyle w:val="OutlineNumbered1"/>
      </w:pPr>
      <w:r>
        <w:t>the ABN transferred from a different consolidated group, and</w:t>
      </w:r>
    </w:p>
    <w:p w14:paraId="2306BD29" w14:textId="77777777" w:rsidR="00446CED" w:rsidRDefault="00446CED" w:rsidP="00BA137E">
      <w:pPr>
        <w:pStyle w:val="OutlineNumbered1"/>
      </w:pPr>
      <w:r>
        <w:t>the time difference between the end date at the previous consolidated group and the start date at the new consolidated group is less than 30 days.</w:t>
      </w:r>
    </w:p>
    <w:p w14:paraId="54939035" w14:textId="77777777" w:rsidR="00446CED" w:rsidRDefault="00446CED" w:rsidP="00BA137E">
      <w:r>
        <w:t>One limitation of this method is that it will miss mergers where the target firm is not already part of a consolidated group. While it is possible to track firms that enter a consolidated group, it is not possible to determine if this event represents the entry of a firm already owned by the group or mergers activity. For example, the tax consolidated group may already control an entity that has been previously kept out of the group because it was controlled but not wholly owned, or for strategic business reasons. For this reason, we limit our mergers counts to include only those cases where a firm is already part of a consolidated group and changes its nominated head company.</w:t>
      </w:r>
    </w:p>
    <w:p w14:paraId="3C101194" w14:textId="77777777" w:rsidR="00446CED" w:rsidRDefault="00446CED" w:rsidP="00BA137E">
      <w:r>
        <w:t>We find around 2,000 ABNs switching between tax consolidated groups over the past 20 years (Figure 2, with a spike of activity in the mid-2000s, echoing the spike we saw in the labour flows charts.</w:t>
      </w:r>
    </w:p>
    <w:p w14:paraId="4F7F29D0" w14:textId="295A223F" w:rsidR="00446CED" w:rsidRDefault="00446CED" w:rsidP="00BA137E">
      <w:r>
        <w:t xml:space="preserve">Notably we also find that a third to a half of all ABNs that are switching between consolidated groups do not post a turnover in the tax system, and many do not have payment summaries associated with them, indicating that these firms do not have any employees. This may be because these entities are vehicles for holding assets such as buildings, plant or intangible assets such as options, leases or intellectual property assets. </w:t>
      </w:r>
      <w:r w:rsidR="009E3574">
        <w:t>So,</w:t>
      </w:r>
      <w:r>
        <w:t xml:space="preserve"> this approach seems potentially well suited to capturing transfers of assets.</w:t>
      </w:r>
    </w:p>
    <w:p w14:paraId="50D6C387" w14:textId="4ADF88FB" w:rsidR="00F032F4" w:rsidRDefault="00F032F4" w:rsidP="00B1227F">
      <w:pPr>
        <w:pStyle w:val="ChartMainHeading"/>
      </w:pPr>
      <w:bookmarkStart w:id="13" w:name="_Toc211507325"/>
      <w:r>
        <w:t xml:space="preserve">Figure 2: Number of ABNs </w:t>
      </w:r>
      <w:r w:rsidR="00422B97">
        <w:t xml:space="preserve">changing tax </w:t>
      </w:r>
      <w:r>
        <w:t>consolidat</w:t>
      </w:r>
      <w:r w:rsidR="005C262C">
        <w:t>ion</w:t>
      </w:r>
      <w:r>
        <w:t xml:space="preserve"> groups</w:t>
      </w:r>
      <w:bookmarkEnd w:id="13"/>
    </w:p>
    <w:p w14:paraId="7B231046" w14:textId="613541ED" w:rsidR="002A48B2" w:rsidRDefault="005C262C" w:rsidP="002A48B2">
      <w:pPr>
        <w:pStyle w:val="ChartorTableNote"/>
        <w:jc w:val="center"/>
      </w:pPr>
      <w:r>
        <w:rPr>
          <w:noProof/>
        </w:rPr>
        <w:drawing>
          <wp:inline distT="0" distB="0" distL="0" distR="0" wp14:anchorId="5BDB6052" wp14:editId="4B9E53F6">
            <wp:extent cx="5584190" cy="2475230"/>
            <wp:effectExtent l="0" t="0" r="0" b="1270"/>
            <wp:docPr id="610402400" name="Picture 7" descr="A chart showing the number of ABNs that change tax consolidation groups between 2004 to 2021. One trend shows the total ABNs and the other excludes zero turnover ABNs. The trend excluding zero turnover ABS hover below 1000, while the total trend hovers between 1000 to around 3000. The trends track similarly between groups, with the exception of a spike in 2006, where the total value is much higher than other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2400" name="Picture 7" descr="A chart showing the number of ABNs that change tax consolidation groups between 2004 to 2021. One trend shows the total ABNs and the other excludes zero turnover ABNs. The trend excluding zero turnover ABS hover below 1000, while the total trend hovers between 1000 to around 3000. The trends track similarly between groups, with the exception of a spike in 2006, where the total value is much higher than other group.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2475230"/>
                    </a:xfrm>
                    <a:prstGeom prst="rect">
                      <a:avLst/>
                    </a:prstGeom>
                    <a:noFill/>
                  </pic:spPr>
                </pic:pic>
              </a:graphicData>
            </a:graphic>
          </wp:inline>
        </w:drawing>
      </w:r>
    </w:p>
    <w:p w14:paraId="7FBF2E70" w14:textId="089C9C41" w:rsidR="00072AA1" w:rsidRDefault="00072AA1" w:rsidP="002A48B2">
      <w:pPr>
        <w:pStyle w:val="ChartorTableNote"/>
        <w:jc w:val="left"/>
      </w:pPr>
      <w:r>
        <w:t>Each count is a single ABN</w:t>
      </w:r>
    </w:p>
    <w:p w14:paraId="3DFEA4D0" w14:textId="117A2056" w:rsidR="00072AA1" w:rsidRPr="00072AA1" w:rsidRDefault="00072AA1" w:rsidP="00D542D3">
      <w:pPr>
        <w:pStyle w:val="ChartorTableNote"/>
      </w:pPr>
      <w:r>
        <w:t>Source: RBA</w:t>
      </w:r>
    </w:p>
    <w:p w14:paraId="5C74029A" w14:textId="520AA60C" w:rsidR="00446CED" w:rsidRDefault="00446CED" w:rsidP="00446CED">
      <w:pPr>
        <w:spacing w:after="228" w:line="259" w:lineRule="auto"/>
        <w:ind w:left="2368"/>
      </w:pPr>
    </w:p>
    <w:p w14:paraId="09963D6F" w14:textId="77777777" w:rsidR="00446CED" w:rsidRDefault="00446CED" w:rsidP="00BA137E">
      <w:r>
        <w:t xml:space="preserve">We further find that </w:t>
      </w:r>
      <w:r w:rsidRPr="00BA137E">
        <w:rPr>
          <w:i/>
          <w:iCs/>
        </w:rPr>
        <w:t>groups</w:t>
      </w:r>
      <w:r w:rsidRPr="00BA137E">
        <w:t xml:space="preserve"> </w:t>
      </w:r>
      <w:r>
        <w:t>of ABNs move together from one consolidated group to another. Aggregating and tracking firms that move together may be a more accurate way to track the number of mergers than simply counting the ABNs separately. This is because the firm grouping may represent one arm of economic activity - where plant and buildings are owned by one ABN, the intellectual property by another, and workers attached to yet another firm. It can also more accurately represent the overall financing effort or size of the ‘deal’ that the acquirer undertakes. For these reasons, we take a group of ABNs moving between groups as one merger and the preferred measure for tracking mergers between consolidated groups.</w:t>
      </w:r>
    </w:p>
    <w:p w14:paraId="63BF791B" w14:textId="77777777" w:rsidR="00446CED" w:rsidRDefault="00446CED" w:rsidP="00BA137E">
      <w:r>
        <w:t>Overall, grouping the ABNs that are moving together, plus adding singleton ABN moves, we find that over the past 20 years, between 300 and 400 groups of ABNs moved between tax consolidated groups. Figure 3 shows that the period of relatively robust activity in 2008 was followed by a sharp drop off in 2009, again echoing the mergers activities we saw in the labour flows method. Activity has been slowly rising since 2010, recovering back to around 400 mergers per year by the end of our data.</w:t>
      </w:r>
    </w:p>
    <w:p w14:paraId="4395D9F9" w14:textId="77777777" w:rsidR="00446CED" w:rsidRDefault="00446CED" w:rsidP="00BA137E">
      <w:r>
        <w:t>Interestingly, some acquisitions are of groups of ABNs that post zero turnover, so potentially holding assets such as buildings or intellectual property. These zero-turnover acquisitions have been relatively stable, with around 150 groups of firms every year posting zero turnover in the tax system.</w:t>
      </w:r>
    </w:p>
    <w:p w14:paraId="06B708A4" w14:textId="3B3D696B" w:rsidR="00F032F4" w:rsidRDefault="00F032F4" w:rsidP="00B1227F">
      <w:pPr>
        <w:pStyle w:val="ChartMainHeading"/>
      </w:pPr>
      <w:bookmarkStart w:id="14" w:name="_Toc211507326"/>
      <w:r>
        <w:t>Figure 3: Number of acquisitions</w:t>
      </w:r>
      <w:bookmarkEnd w:id="14"/>
      <w:r w:rsidR="00F73FA9">
        <w:t xml:space="preserve"> – </w:t>
      </w:r>
      <w:r w:rsidR="00F66213">
        <w:t>t</w:t>
      </w:r>
      <w:r w:rsidR="00F73FA9">
        <w:t xml:space="preserve">ax consolidation </w:t>
      </w:r>
      <w:r w:rsidR="00F66213">
        <w:t>group</w:t>
      </w:r>
    </w:p>
    <w:p w14:paraId="00E30926" w14:textId="410122EB" w:rsidR="00BA5778" w:rsidRDefault="00D92252" w:rsidP="002A48B2">
      <w:pPr>
        <w:pStyle w:val="ChartGraphic"/>
      </w:pPr>
      <w:r>
        <w:rPr>
          <w:noProof/>
        </w:rPr>
        <w:drawing>
          <wp:inline distT="0" distB="0" distL="0" distR="0" wp14:anchorId="18C76BD7" wp14:editId="533A3699">
            <wp:extent cx="5578475" cy="2475230"/>
            <wp:effectExtent l="0" t="0" r="0" b="1270"/>
            <wp:docPr id="2140413489" name="Picture 8" descr="A chart showing the number of acquisition by enterprise group or tax consolidation group. The number of acquisitions for the total businesses hover between 250 to 400, with a slight increasing trend over time from 2008. The trend line which excludes zero turnover ABNs hover between 100 to 200 with a relatively steady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13489" name="Picture 8" descr="A chart showing the number of acquisition by enterprise group or tax consolidation group. The number of acquisitions for the total businesses hover between 250 to 400, with a slight increasing trend over time from 2008. The trend line which excludes zero turnover ABNs hover between 100 to 200 with a relatively steady tre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8475" cy="2475230"/>
                    </a:xfrm>
                    <a:prstGeom prst="rect">
                      <a:avLst/>
                    </a:prstGeom>
                    <a:noFill/>
                  </pic:spPr>
                </pic:pic>
              </a:graphicData>
            </a:graphic>
          </wp:inline>
        </w:drawing>
      </w:r>
    </w:p>
    <w:p w14:paraId="70B4B566" w14:textId="7E3A75EF" w:rsidR="00BA5778" w:rsidRDefault="00BA5778" w:rsidP="00D542D3">
      <w:pPr>
        <w:pStyle w:val="ChartorTableNote"/>
      </w:pPr>
      <w:r>
        <w:t>Each count is a single EG</w:t>
      </w:r>
    </w:p>
    <w:p w14:paraId="66D80523" w14:textId="0DC413F8" w:rsidR="00446CED" w:rsidRDefault="00BA5778" w:rsidP="00D542D3">
      <w:pPr>
        <w:pStyle w:val="ChartorTableNote"/>
      </w:pPr>
      <w:r>
        <w:t>Source: Authors’ calculations.</w:t>
      </w:r>
    </w:p>
    <w:p w14:paraId="1C0F5F05" w14:textId="77777777" w:rsidR="00446CED" w:rsidRDefault="00446CED" w:rsidP="00A46351">
      <w:pPr>
        <w:pStyle w:val="Heading2Numbered"/>
      </w:pPr>
      <w:bookmarkStart w:id="15" w:name="_Toc211507327"/>
      <w:r>
        <w:t>Takeovers and schemes of arrangement</w:t>
      </w:r>
      <w:bookmarkEnd w:id="15"/>
    </w:p>
    <w:p w14:paraId="14BD07E7" w14:textId="77777777" w:rsidR="00446CED" w:rsidRDefault="00446CED" w:rsidP="00BA137E">
      <w:r>
        <w:t>The Australian Securities and Investment Commission (ASIC) requires several forms to be lodged when one firm conducts a takeover of another firm. These forms are related to takeover bids and conditions related to the takeover operation.</w:t>
      </w:r>
    </w:p>
    <w:p w14:paraId="32E4EE87" w14:textId="1D6ABB4E" w:rsidR="00446CED" w:rsidRDefault="00446CED" w:rsidP="00BA137E">
      <w:r>
        <w:t xml:space="preserve">There are two types of takeover bids: an </w:t>
      </w:r>
      <w:r w:rsidR="009E3574">
        <w:t>off-market</w:t>
      </w:r>
      <w:r>
        <w:t xml:space="preserve"> bid (which may offer cash or other consideration, may be subject to conditions, and may be for 100% of the target securities or a specified proportion of each target security holder’s securities); and a market bid (which must be an unconditional cash offer). Virtually all takeover bids are off-market bids because of the ability to include conditions (such as ‘defeating conditions’ that end the takeover bid if conditions are not met).</w:t>
      </w:r>
    </w:p>
    <w:p w14:paraId="139F8112" w14:textId="2014709C" w:rsidR="00446CED" w:rsidRDefault="00446CED" w:rsidP="00BA137E">
      <w:r>
        <w:t xml:space="preserve">Another way that firms may merge is through a scheme of arrangement, which is a shareholder and </w:t>
      </w:r>
      <w:r w:rsidR="009E3574">
        <w:t>court approved</w:t>
      </w:r>
      <w:r>
        <w:t xml:space="preserve"> statutory arrangement between a company and its shareholders that becomes binding on all shareholders. Members of a scheme lodge a court order document approving the scheme, which we use to identify those entities involved in a scheme.</w:t>
      </w:r>
    </w:p>
    <w:p w14:paraId="692742B7" w14:textId="77777777" w:rsidR="00446CED" w:rsidRDefault="00446CED" w:rsidP="00BA137E">
      <w:r>
        <w:t>For our analysis, we obtain forms for both takeover bids, and schemes of arrangement from ASIC. We focus on the forms submitted by the acquirer (which comprise almost all the form types) and ignore forms submitted by the targets to avoid double counting. The relevant forms are detailed in Appendix A.</w:t>
      </w:r>
    </w:p>
    <w:p w14:paraId="158B9D7E" w14:textId="68A90250" w:rsidR="00F032F4" w:rsidRDefault="00F032F4" w:rsidP="00B1227F">
      <w:pPr>
        <w:pStyle w:val="ChartMainHeading"/>
      </w:pPr>
      <w:bookmarkStart w:id="16" w:name="_Toc211507328"/>
      <w:r>
        <w:t xml:space="preserve">Figure 4: </w:t>
      </w:r>
      <w:r w:rsidR="00D20763">
        <w:t xml:space="preserve">Number of </w:t>
      </w:r>
      <w:r>
        <w:t xml:space="preserve">ASIC </w:t>
      </w:r>
      <w:r w:rsidR="00D20763">
        <w:t xml:space="preserve">merger </w:t>
      </w:r>
      <w:r>
        <w:t>forms submitted</w:t>
      </w:r>
      <w:bookmarkEnd w:id="16"/>
    </w:p>
    <w:p w14:paraId="5F922A3B" w14:textId="336B541D" w:rsidR="008E6D73" w:rsidRDefault="008A43D6" w:rsidP="008E6D73">
      <w:pPr>
        <w:pStyle w:val="ChartGraphic"/>
      </w:pPr>
      <w:r>
        <w:rPr>
          <w:noProof/>
        </w:rPr>
        <w:drawing>
          <wp:inline distT="0" distB="0" distL="0" distR="0" wp14:anchorId="3786ABE3" wp14:editId="4587F761">
            <wp:extent cx="5580000" cy="2520000"/>
            <wp:effectExtent l="0" t="0" r="0" b="0"/>
            <wp:docPr id="1035976566" name="Chart 1" descr="This chart shows the number of ASIC merger forms submitted between 2002 and 2022. The trend line shows a higher number of forms submitted before 2011, with highs of around 600 and lows around 400. After 2011, the number of forms submitted drop to around 300 and hover between the 200 to 300 range.">
              <a:extLst xmlns:a="http://schemas.openxmlformats.org/drawingml/2006/main">
                <a:ext uri="{FF2B5EF4-FFF2-40B4-BE49-F238E27FC236}">
                  <a16:creationId xmlns:a16="http://schemas.microsoft.com/office/drawing/2014/main" id="{CE6119ED-723C-BAB8-B2E3-23C57ED11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44EDBC" w14:textId="3D35AA7E" w:rsidR="008E6D73" w:rsidRDefault="008E6D73" w:rsidP="00D542D3">
      <w:pPr>
        <w:pStyle w:val="ChartorTableNote"/>
      </w:pPr>
      <w:r>
        <w:t>Each count is a single merger form</w:t>
      </w:r>
    </w:p>
    <w:p w14:paraId="223742A5" w14:textId="7BC93E20" w:rsidR="00446CED" w:rsidRDefault="008E6D73" w:rsidP="00D542D3">
      <w:pPr>
        <w:pStyle w:val="ChartorTableNote"/>
      </w:pPr>
      <w:r>
        <w:t>Source: Authors’ calculations.</w:t>
      </w:r>
      <w:r w:rsidRPr="008E6D73" w:rsidDel="008E6D73">
        <w:t xml:space="preserve"> </w:t>
      </w:r>
    </w:p>
    <w:p w14:paraId="6F6769DD" w14:textId="77777777" w:rsidR="00446CED" w:rsidRDefault="00446CED" w:rsidP="00BA137E">
      <w:r>
        <w:t>Adding this method allows us to identify the firms undertaking mergers but does not accurately allow us to identify the number of mergers taking place. This is because each merger/takeover is likely to have a number of forms submitted during execution, with the combination of forms specific to the circumstances of the transaction. We see a spike in the number of acquiring firms in 2008 and 2009, echoing the analysis presented above using the labour flows and tax consolidated groups method. Interestingly, we see another spike in 2012 and 2013, after which the number of acquiring firms stabilises to around 50 firms each year.</w:t>
      </w:r>
    </w:p>
    <w:p w14:paraId="09502F72" w14:textId="7324F956" w:rsidR="00F032F4" w:rsidRDefault="00F032F4" w:rsidP="00B1227F">
      <w:pPr>
        <w:pStyle w:val="ChartMainHeading"/>
      </w:pPr>
      <w:bookmarkStart w:id="17" w:name="_Toc211507329"/>
      <w:r>
        <w:t>Figure 5: Count of firms lodging takeovers and schemes forms</w:t>
      </w:r>
      <w:bookmarkEnd w:id="17"/>
    </w:p>
    <w:p w14:paraId="66338EDA" w14:textId="4EF14ED1" w:rsidR="00E01846" w:rsidRPr="00E01846" w:rsidRDefault="00E01846" w:rsidP="00E01846">
      <w:pPr>
        <w:pStyle w:val="ChartSecondHeading"/>
      </w:pPr>
      <w:r>
        <w:t>By type of acquisition</w:t>
      </w:r>
    </w:p>
    <w:p w14:paraId="6D55437C" w14:textId="0803C148" w:rsidR="00446CED" w:rsidRDefault="002A48B2" w:rsidP="002A48B2">
      <w:pPr>
        <w:spacing w:after="228" w:line="259" w:lineRule="auto"/>
        <w:jc w:val="center"/>
      </w:pPr>
      <w:r>
        <w:rPr>
          <w:noProof/>
        </w:rPr>
        <w:drawing>
          <wp:inline distT="0" distB="0" distL="0" distR="0" wp14:anchorId="131AA068" wp14:editId="27AD163F">
            <wp:extent cx="5580000" cy="2880000"/>
            <wp:effectExtent l="0" t="0" r="1905" b="0"/>
            <wp:docPr id="1347134386" name="Chart 1" descr="A bar chart showing the yearly number of acquirers between 2002 to 2022, split by the form type firms have lodged with the ATO: partial takeovers, full takeovers and schemes of arrangement. More forms were submitted between 2002 and 2012. The relative portions between form types somewhat vary over time, with higher proportions partial takeovers and schemes of arrangement in the earlier years compared to later. ">
              <a:extLst xmlns:a="http://schemas.openxmlformats.org/drawingml/2006/main">
                <a:ext uri="{FF2B5EF4-FFF2-40B4-BE49-F238E27FC236}">
                  <a16:creationId xmlns:a16="http://schemas.microsoft.com/office/drawing/2014/main" id="{3C1DC221-DB94-0E65-3E6A-0918116CB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DFB2F6" w14:textId="25559528" w:rsidR="00446CED" w:rsidRDefault="00BA0F0B" w:rsidP="00D542D3">
      <w:pPr>
        <w:pStyle w:val="ChartorTableNote"/>
        <w:rPr>
          <w:rFonts w:eastAsia="Cambria"/>
        </w:rPr>
      </w:pPr>
      <w:r>
        <w:t xml:space="preserve">Each count represents a single acquisition. </w:t>
      </w:r>
      <w:r w:rsidR="00446CED">
        <w:rPr>
          <w:rFonts w:eastAsia="Cambria"/>
        </w:rPr>
        <w:t xml:space="preserve">Partial takeovers in 2016, 2017, 2018 and 2021 </w:t>
      </w:r>
      <w:r w:rsidR="00957F48">
        <w:rPr>
          <w:rFonts w:eastAsia="Cambria"/>
        </w:rPr>
        <w:t xml:space="preserve">that </w:t>
      </w:r>
      <w:r w:rsidR="00446CED">
        <w:rPr>
          <w:rFonts w:eastAsia="Cambria"/>
        </w:rPr>
        <w:t>have a count of 10 or less and are rounded to 10 to prevent identifiability of firms.</w:t>
      </w:r>
    </w:p>
    <w:p w14:paraId="3047B60A" w14:textId="5CA6C042" w:rsidR="00957F48" w:rsidRDefault="00957F48" w:rsidP="00957F48">
      <w:pPr>
        <w:pStyle w:val="ChartorTableNote"/>
      </w:pPr>
      <w:r>
        <w:rPr>
          <w:rFonts w:eastAsia="Cambria"/>
        </w:rPr>
        <w:t>Source: Authors’ calculations.</w:t>
      </w:r>
    </w:p>
    <w:p w14:paraId="7FE17EE0" w14:textId="77777777" w:rsidR="00446CED" w:rsidRDefault="00446CED" w:rsidP="00A46351">
      <w:pPr>
        <w:pStyle w:val="Heading1Numbered"/>
      </w:pPr>
      <w:bookmarkStart w:id="18" w:name="_Toc211507330"/>
      <w:r>
        <w:t>Serial acquisitions</w:t>
      </w:r>
      <w:bookmarkEnd w:id="18"/>
    </w:p>
    <w:p w14:paraId="08CD4CCB" w14:textId="77777777" w:rsidR="00446CED" w:rsidRDefault="00446CED" w:rsidP="00BA137E">
      <w:r>
        <w:t>While the focus of this paper is on methodologies and the database, below we document two case studies of how the database could be used to better understand M&amp;A activity in Australia, and in turn inform policy. These case studies also provide a valuable cross-check on the data, as they can allow us to consider whether patterns align with what might be expected based on other data sources.</w:t>
      </w:r>
    </w:p>
    <w:p w14:paraId="4707AD23" w14:textId="2F73E9F4" w:rsidR="00446CED" w:rsidRDefault="00446CED" w:rsidP="00BA137E">
      <w:r>
        <w:t>The first of these is to consider ‘serial acquisitions’ (or ‘creeping acquisitions’) where an acquirer makes numerous small acquisitions in the same market over time that may cumulatively lead to a significant increase in market share. Serial acquisitions are an area of increasing focus for regulators, as they can allow an acquirer to avoid review by competition authorities as each individual acquisition is too small to be detected and/or trigger statutory thresholds for notification.</w:t>
      </w:r>
      <w:r w:rsidR="00B04C67">
        <w:rPr>
          <w:rStyle w:val="FootnoteReference"/>
        </w:rPr>
        <w:footnoteReference w:id="5"/>
      </w:r>
      <w:r>
        <w:rPr>
          <w:rFonts w:ascii="Cambria" w:eastAsia="Cambria" w:hAnsi="Cambria" w:cs="Cambria"/>
          <w:vertAlign w:val="superscript"/>
        </w:rPr>
        <w:t xml:space="preserve"> </w:t>
      </w:r>
      <w:r>
        <w:t>For example, in their submission on merger law reform, the ACCC highlighted serial acquisitions as a key increasing area of concern, and gap in the current mergers regime (ACCC (2024)).</w:t>
      </w:r>
    </w:p>
    <w:p w14:paraId="0C89E3B2" w14:textId="77777777" w:rsidR="00446CED" w:rsidRDefault="00446CED" w:rsidP="00BA137E">
      <w:r>
        <w:t>Serial acquisitions have been explored extensively in some other advanced economies, but to date there has been relatively limited work in Australia. One notable piece of research is Hossain et al. (2021), which finds that serial acquirers have lower stock returns than single acquirers. But it focuses on a relatively small sub-set of mergers recorded in private sector data.</w:t>
      </w:r>
    </w:p>
    <w:p w14:paraId="20F0DE2F" w14:textId="77777777" w:rsidR="00446CED" w:rsidRDefault="00446CED" w:rsidP="00BA137E">
      <w:r>
        <w:t>To consider this issue in the administrative data, use mergers identified under the labour flows and tax consolidated groups methods because they are able to link acquirers to targets. We start by looking at some aggregate measures of serial acquisitions. To do this we simply look at how many identified acquisitions each acquirer has over the sample, where we treat multiple acquisitions occurring in the same year as one to limit issues around several entities being acquired as part of the same deal. We can see that around 10 per cent of acquirers have more than one acquisition, with a number having several across the sample (Table 2).</w:t>
      </w:r>
    </w:p>
    <w:p w14:paraId="73D7FE92" w14:textId="0DE5EE12" w:rsidR="00046835" w:rsidRDefault="00046835" w:rsidP="009E3574">
      <w:pPr>
        <w:pStyle w:val="TableMainHeading"/>
      </w:pPr>
      <w:bookmarkStart w:id="19" w:name="_Toc211507331"/>
      <w:r>
        <w:t>Table 2: Number of Acquisitions per Acquirer</w:t>
      </w:r>
      <w:bookmarkEnd w:id="19"/>
    </w:p>
    <w:tbl>
      <w:tblPr>
        <w:tblStyle w:val="TableGrid"/>
        <w:tblW w:w="4097" w:type="dxa"/>
        <w:tblLook w:val="04A0" w:firstRow="1" w:lastRow="0" w:firstColumn="1" w:lastColumn="0" w:noHBand="0" w:noVBand="1"/>
      </w:tblPr>
      <w:tblGrid>
        <w:gridCol w:w="613"/>
        <w:gridCol w:w="2179"/>
        <w:gridCol w:w="1305"/>
      </w:tblGrid>
      <w:tr w:rsidR="00446CED" w14:paraId="311283C6" w14:textId="77777777" w:rsidTr="00046835">
        <w:trPr>
          <w:cnfStyle w:val="100000000000" w:firstRow="1" w:lastRow="0" w:firstColumn="0" w:lastColumn="0" w:oddVBand="0" w:evenVBand="0" w:oddHBand="0" w:evenHBand="0" w:firstRowFirstColumn="0" w:firstRowLastColumn="0" w:lastRowFirstColumn="0" w:lastRowLastColumn="0"/>
          <w:trHeight w:val="307"/>
        </w:trPr>
        <w:tc>
          <w:tcPr>
            <w:tcW w:w="613" w:type="dxa"/>
          </w:tcPr>
          <w:p w14:paraId="53888598" w14:textId="77777777" w:rsidR="00446CED" w:rsidRDefault="00446CED" w:rsidP="00021C78">
            <w:pPr>
              <w:spacing w:after="160" w:line="259" w:lineRule="auto"/>
            </w:pPr>
          </w:p>
        </w:tc>
        <w:tc>
          <w:tcPr>
            <w:tcW w:w="2178" w:type="dxa"/>
          </w:tcPr>
          <w:p w14:paraId="3779EDDD" w14:textId="77777777" w:rsidR="00446CED" w:rsidRDefault="00446CED" w:rsidP="00021C78">
            <w:pPr>
              <w:spacing w:after="0" w:line="259" w:lineRule="auto"/>
            </w:pPr>
            <w:r>
              <w:t>Labour Flows Method</w:t>
            </w:r>
          </w:p>
        </w:tc>
        <w:tc>
          <w:tcPr>
            <w:tcW w:w="1305" w:type="dxa"/>
          </w:tcPr>
          <w:p w14:paraId="5BA7025D" w14:textId="77777777" w:rsidR="00446CED" w:rsidRDefault="00446CED" w:rsidP="00021C78">
            <w:pPr>
              <w:spacing w:after="0" w:line="259" w:lineRule="auto"/>
            </w:pPr>
            <w:r>
              <w:t>TCG Method</w:t>
            </w:r>
          </w:p>
        </w:tc>
      </w:tr>
      <w:tr w:rsidR="00446CED" w14:paraId="74A8D30F" w14:textId="77777777" w:rsidTr="00046835">
        <w:trPr>
          <w:trHeight w:val="241"/>
        </w:trPr>
        <w:tc>
          <w:tcPr>
            <w:tcW w:w="613" w:type="dxa"/>
          </w:tcPr>
          <w:p w14:paraId="2E56228A" w14:textId="77777777" w:rsidR="00446CED" w:rsidRDefault="00446CED" w:rsidP="00021C78">
            <w:pPr>
              <w:spacing w:after="0" w:line="259" w:lineRule="auto"/>
              <w:ind w:left="120"/>
            </w:pPr>
            <w:r>
              <w:t>1</w:t>
            </w:r>
          </w:p>
        </w:tc>
        <w:tc>
          <w:tcPr>
            <w:tcW w:w="2178" w:type="dxa"/>
          </w:tcPr>
          <w:p w14:paraId="3977D948" w14:textId="77777777" w:rsidR="00446CED" w:rsidRDefault="00446CED" w:rsidP="00021C78">
            <w:pPr>
              <w:spacing w:after="0" w:line="259" w:lineRule="auto"/>
              <w:ind w:left="742"/>
            </w:pPr>
            <w:r>
              <w:t>8,170</w:t>
            </w:r>
          </w:p>
        </w:tc>
        <w:tc>
          <w:tcPr>
            <w:tcW w:w="1305" w:type="dxa"/>
          </w:tcPr>
          <w:p w14:paraId="45D76E21" w14:textId="77777777" w:rsidR="00446CED" w:rsidRDefault="00446CED" w:rsidP="00021C78">
            <w:pPr>
              <w:spacing w:after="0" w:line="259" w:lineRule="auto"/>
              <w:ind w:left="366"/>
            </w:pPr>
            <w:r>
              <w:t>3,140</w:t>
            </w:r>
          </w:p>
        </w:tc>
      </w:tr>
      <w:tr w:rsidR="00446CED" w14:paraId="3D1857A5" w14:textId="77777777" w:rsidTr="00046835">
        <w:trPr>
          <w:trHeight w:val="239"/>
        </w:trPr>
        <w:tc>
          <w:tcPr>
            <w:tcW w:w="613" w:type="dxa"/>
          </w:tcPr>
          <w:p w14:paraId="0BB5D5F2" w14:textId="77777777" w:rsidR="00446CED" w:rsidRDefault="00446CED" w:rsidP="00021C78">
            <w:pPr>
              <w:spacing w:after="0" w:line="259" w:lineRule="auto"/>
              <w:ind w:left="120"/>
            </w:pPr>
            <w:r>
              <w:t>2</w:t>
            </w:r>
          </w:p>
        </w:tc>
        <w:tc>
          <w:tcPr>
            <w:tcW w:w="2178" w:type="dxa"/>
          </w:tcPr>
          <w:p w14:paraId="59DD632E" w14:textId="77777777" w:rsidR="00446CED" w:rsidRDefault="00446CED" w:rsidP="00021C78">
            <w:pPr>
              <w:spacing w:after="0" w:line="259" w:lineRule="auto"/>
              <w:ind w:right="119"/>
              <w:jc w:val="center"/>
            </w:pPr>
            <w:r>
              <w:t>720</w:t>
            </w:r>
          </w:p>
        </w:tc>
        <w:tc>
          <w:tcPr>
            <w:tcW w:w="1305" w:type="dxa"/>
          </w:tcPr>
          <w:p w14:paraId="1D32B361" w14:textId="77777777" w:rsidR="00446CED" w:rsidRDefault="00446CED" w:rsidP="00021C78">
            <w:pPr>
              <w:spacing w:after="0" w:line="259" w:lineRule="auto"/>
              <w:ind w:left="394"/>
            </w:pPr>
            <w:r>
              <w:t>240*</w:t>
            </w:r>
          </w:p>
        </w:tc>
      </w:tr>
      <w:tr w:rsidR="00446CED" w14:paraId="21E20041" w14:textId="77777777" w:rsidTr="00046835">
        <w:trPr>
          <w:trHeight w:val="239"/>
        </w:trPr>
        <w:tc>
          <w:tcPr>
            <w:tcW w:w="613" w:type="dxa"/>
          </w:tcPr>
          <w:p w14:paraId="69E732C0" w14:textId="77777777" w:rsidR="00446CED" w:rsidRDefault="00446CED" w:rsidP="00021C78">
            <w:pPr>
              <w:spacing w:after="0" w:line="259" w:lineRule="auto"/>
              <w:ind w:left="120"/>
            </w:pPr>
            <w:r>
              <w:t>3</w:t>
            </w:r>
          </w:p>
        </w:tc>
        <w:tc>
          <w:tcPr>
            <w:tcW w:w="2178" w:type="dxa"/>
          </w:tcPr>
          <w:p w14:paraId="6592D979" w14:textId="77777777" w:rsidR="00446CED" w:rsidRDefault="00446CED" w:rsidP="00021C78">
            <w:pPr>
              <w:spacing w:after="0" w:line="259" w:lineRule="auto"/>
              <w:ind w:right="119"/>
              <w:jc w:val="center"/>
            </w:pPr>
            <w:r>
              <w:t>180</w:t>
            </w:r>
          </w:p>
        </w:tc>
        <w:tc>
          <w:tcPr>
            <w:tcW w:w="1305" w:type="dxa"/>
          </w:tcPr>
          <w:p w14:paraId="4DADDC1C" w14:textId="77777777" w:rsidR="00446CED" w:rsidRDefault="00446CED" w:rsidP="00021C78">
            <w:pPr>
              <w:spacing w:after="0" w:line="259" w:lineRule="auto"/>
              <w:jc w:val="center"/>
            </w:pPr>
            <w:r>
              <w:t>-</w:t>
            </w:r>
          </w:p>
        </w:tc>
      </w:tr>
      <w:tr w:rsidR="00446CED" w14:paraId="5798689B" w14:textId="77777777" w:rsidTr="00046835">
        <w:trPr>
          <w:trHeight w:val="239"/>
        </w:trPr>
        <w:tc>
          <w:tcPr>
            <w:tcW w:w="613" w:type="dxa"/>
          </w:tcPr>
          <w:p w14:paraId="76308E88" w14:textId="77777777" w:rsidR="00446CED" w:rsidRDefault="00446CED" w:rsidP="00021C78">
            <w:pPr>
              <w:spacing w:after="0" w:line="259" w:lineRule="auto"/>
              <w:ind w:left="120"/>
            </w:pPr>
            <w:r>
              <w:t>4</w:t>
            </w:r>
          </w:p>
        </w:tc>
        <w:tc>
          <w:tcPr>
            <w:tcW w:w="2178" w:type="dxa"/>
          </w:tcPr>
          <w:p w14:paraId="3FD8FE34" w14:textId="77777777" w:rsidR="00446CED" w:rsidRDefault="00446CED" w:rsidP="00021C78">
            <w:pPr>
              <w:spacing w:after="0" w:line="259" w:lineRule="auto"/>
              <w:ind w:right="119"/>
              <w:jc w:val="center"/>
            </w:pPr>
            <w:r>
              <w:t>70</w:t>
            </w:r>
          </w:p>
        </w:tc>
        <w:tc>
          <w:tcPr>
            <w:tcW w:w="1305" w:type="dxa"/>
          </w:tcPr>
          <w:p w14:paraId="029CE20B" w14:textId="77777777" w:rsidR="00446CED" w:rsidRDefault="00446CED" w:rsidP="00021C78">
            <w:pPr>
              <w:spacing w:after="0" w:line="259" w:lineRule="auto"/>
              <w:jc w:val="center"/>
            </w:pPr>
            <w:r>
              <w:t>-</w:t>
            </w:r>
          </w:p>
        </w:tc>
      </w:tr>
      <w:tr w:rsidR="00446CED" w14:paraId="7B374369" w14:textId="77777777" w:rsidTr="00046835">
        <w:trPr>
          <w:trHeight w:val="283"/>
        </w:trPr>
        <w:tc>
          <w:tcPr>
            <w:tcW w:w="613" w:type="dxa"/>
          </w:tcPr>
          <w:p w14:paraId="0CF1ED63" w14:textId="77777777" w:rsidR="00446CED" w:rsidRDefault="00446CED" w:rsidP="00021C78">
            <w:pPr>
              <w:spacing w:after="0" w:line="259" w:lineRule="auto"/>
              <w:ind w:left="120"/>
            </w:pPr>
            <w:r>
              <w:t>5+</w:t>
            </w:r>
          </w:p>
        </w:tc>
        <w:tc>
          <w:tcPr>
            <w:tcW w:w="2178" w:type="dxa"/>
          </w:tcPr>
          <w:p w14:paraId="382CA8BC" w14:textId="77777777" w:rsidR="00446CED" w:rsidRDefault="00446CED" w:rsidP="00021C78">
            <w:pPr>
              <w:spacing w:after="0" w:line="259" w:lineRule="auto"/>
              <w:ind w:right="120"/>
              <w:jc w:val="center"/>
            </w:pPr>
            <w:r>
              <w:t>110</w:t>
            </w:r>
          </w:p>
        </w:tc>
        <w:tc>
          <w:tcPr>
            <w:tcW w:w="1305" w:type="dxa"/>
          </w:tcPr>
          <w:p w14:paraId="24520FDC" w14:textId="77777777" w:rsidR="00446CED" w:rsidRDefault="00446CED" w:rsidP="00021C78">
            <w:pPr>
              <w:spacing w:after="0" w:line="259" w:lineRule="auto"/>
              <w:jc w:val="center"/>
            </w:pPr>
            <w:r>
              <w:t>-</w:t>
            </w:r>
          </w:p>
        </w:tc>
      </w:tr>
    </w:tbl>
    <w:p w14:paraId="122200D8" w14:textId="77777777" w:rsidR="00446CED" w:rsidRDefault="00446CED" w:rsidP="00B04C67">
      <w:pPr>
        <w:pStyle w:val="ChartorTableNote"/>
      </w:pPr>
      <w:r>
        <w:t>* Includes cases with more than 2 acquisitions.</w:t>
      </w:r>
    </w:p>
    <w:p w14:paraId="015547C3" w14:textId="77777777" w:rsidR="00446CED" w:rsidRDefault="00446CED" w:rsidP="00BA137E">
      <w:r>
        <w:t>While the aggregate numbers are useful to get a sense of these outcomes, we may be particularly interested in cases where acquisitions are in the same industry, as these cases may be more concerning from a competition dimension by allowing a firm to increase its market share and so gain market power. And even more so where there are several such acquisitions over a number of years.</w:t>
      </w:r>
    </w:p>
    <w:p w14:paraId="3FAEC241" w14:textId="77777777" w:rsidR="00446CED" w:rsidRDefault="00446CED" w:rsidP="00BA137E">
      <w:r>
        <w:t>We create a measure of serial acquisitions as follows. First we use the mergers identified through the labour flows methodology. This is because we can link the acquirer and target under the labour flows method (unlike the ASIC method) and the entity being acquired is likely to be an entity with business operations (as it holds the payrolls of staff, unlike the tax consolidated method where groups of related entities may move together, with some firms having zero turnover). Then we identify potential cases of serial acquisitions by selecting labour flows where:</w:t>
      </w:r>
    </w:p>
    <w:p w14:paraId="2E5F1D38" w14:textId="77777777" w:rsidR="00446CED" w:rsidRDefault="00446CED" w:rsidP="00BA137E">
      <w:pPr>
        <w:pStyle w:val="Bullet"/>
      </w:pPr>
      <w:r>
        <w:t>the acquiring ABN and target ABN share the same 4-digit ANZSIC class (‘same-industry’)</w:t>
      </w:r>
    </w:p>
    <w:p w14:paraId="11F0B7FA" w14:textId="77777777" w:rsidR="00446CED" w:rsidRDefault="00446CED" w:rsidP="00BA137E">
      <w:pPr>
        <w:pStyle w:val="Bullet"/>
      </w:pPr>
      <w:r>
        <w:t>the acquirer has made same-industry acquisitions in a single ANZSIC class in at least 3 years during the period 2003 to 2018. These years need not be consecutive.</w:t>
      </w:r>
    </w:p>
    <w:p w14:paraId="5ACEA1FF" w14:textId="77777777" w:rsidR="00446CED" w:rsidRDefault="00446CED" w:rsidP="00BA137E">
      <w:r>
        <w:t>We find that around 40% of all labour flows satisfy the first criterion above (same-industry), while around 7% satisfy both criteria (same-industry, serial acquisitions).</w:t>
      </w:r>
    </w:p>
    <w:p w14:paraId="4429ABF9" w14:textId="77777777" w:rsidR="00446CED" w:rsidRDefault="00446CED" w:rsidP="00BA137E">
      <w:r>
        <w:t>Table 3 shows the ANZSIC classes (4-digit industries) with the highest incidence of these same-industry, serial acquisitions. Rankings were assigned by counting each year during the period 2003 to 2018 where a serial acquisition occurred, as defined above, and then summing these counts over acquirers. It is interesting that the top four serial acquisition industries are in care and medical services, while supermarkets and some hospitality industries are all high on the list. The ACCC has previously identified grocery retailing and childcare as sectors of concern with regards to serial acquisitions (ACCC (2024)).</w:t>
      </w:r>
    </w:p>
    <w:p w14:paraId="0DB73E5C" w14:textId="67E47DFA" w:rsidR="00446CED" w:rsidRDefault="00446CED" w:rsidP="00BA137E">
      <w:r>
        <w:t xml:space="preserve">Unsurprisingly, serial acquires tend to be quite large firms. For example, of the 61 serial acquirers across these top ten ANZSIC classes, around 40% were in the top 10 of their ANZSIC class by turnover in the year of the acquisition. </w:t>
      </w:r>
      <w:r w:rsidR="009E3574">
        <w:t>So,</w:t>
      </w:r>
      <w:r>
        <w:t xml:space="preserve"> it seems to be the largest firms in industries who are making these serial acquisitions, reinforcing concerns that they could be being used to increase </w:t>
      </w:r>
      <w:r w:rsidR="00F106FC">
        <w:t>market</w:t>
      </w:r>
      <w:r>
        <w:t xml:space="preserve"> share and market power.</w:t>
      </w:r>
    </w:p>
    <w:p w14:paraId="70DCF902" w14:textId="6BF02631" w:rsidR="00046835" w:rsidRDefault="00046835" w:rsidP="00B1227F">
      <w:pPr>
        <w:pStyle w:val="TableMainHeading"/>
      </w:pPr>
      <w:bookmarkStart w:id="20" w:name="_Toc211507332"/>
      <w:r>
        <w:t>Table 3: Top 10 ANZSIC classes for same-industry, serial acquisitions by number of years with acquisitions</w:t>
      </w:r>
      <w:bookmarkEnd w:id="20"/>
    </w:p>
    <w:tbl>
      <w:tblPr>
        <w:tblStyle w:val="TableGrid"/>
        <w:tblW w:w="7498" w:type="dxa"/>
        <w:tblLook w:val="04A0" w:firstRow="1" w:lastRow="0" w:firstColumn="1" w:lastColumn="0" w:noHBand="0" w:noVBand="1"/>
      </w:tblPr>
      <w:tblGrid>
        <w:gridCol w:w="1295"/>
        <w:gridCol w:w="6203"/>
      </w:tblGrid>
      <w:tr w:rsidR="00446CED" w14:paraId="64234C7B" w14:textId="77777777" w:rsidTr="00046835">
        <w:trPr>
          <w:cnfStyle w:val="100000000000" w:firstRow="1" w:lastRow="0" w:firstColumn="0" w:lastColumn="0" w:oddVBand="0" w:evenVBand="0" w:oddHBand="0" w:evenHBand="0" w:firstRowFirstColumn="0" w:firstRowLastColumn="0" w:lastRowFirstColumn="0" w:lastRowLastColumn="0"/>
          <w:trHeight w:val="307"/>
        </w:trPr>
        <w:tc>
          <w:tcPr>
            <w:tcW w:w="1295" w:type="dxa"/>
          </w:tcPr>
          <w:p w14:paraId="49E00D2A" w14:textId="77777777" w:rsidR="00446CED" w:rsidRDefault="00446CED" w:rsidP="00021C78">
            <w:pPr>
              <w:spacing w:after="0" w:line="259" w:lineRule="auto"/>
              <w:ind w:left="120"/>
            </w:pPr>
            <w:r>
              <w:t>Rank</w:t>
            </w:r>
          </w:p>
        </w:tc>
        <w:tc>
          <w:tcPr>
            <w:tcW w:w="6204" w:type="dxa"/>
          </w:tcPr>
          <w:p w14:paraId="3365D183" w14:textId="77777777" w:rsidR="00446CED" w:rsidRDefault="00446CED" w:rsidP="00021C78">
            <w:pPr>
              <w:spacing w:after="0" w:line="259" w:lineRule="auto"/>
            </w:pPr>
            <w:r>
              <w:t>ANZSIC class</w:t>
            </w:r>
          </w:p>
        </w:tc>
      </w:tr>
      <w:tr w:rsidR="00446CED" w14:paraId="60ED5A1D" w14:textId="77777777" w:rsidTr="00046835">
        <w:trPr>
          <w:trHeight w:val="241"/>
        </w:trPr>
        <w:tc>
          <w:tcPr>
            <w:tcW w:w="1295" w:type="dxa"/>
          </w:tcPr>
          <w:p w14:paraId="3939E5DF" w14:textId="77777777" w:rsidR="00446CED" w:rsidRDefault="00446CED" w:rsidP="00021C78">
            <w:pPr>
              <w:spacing w:after="0" w:line="259" w:lineRule="auto"/>
              <w:ind w:left="120"/>
            </w:pPr>
            <w:r>
              <w:t>1</w:t>
            </w:r>
          </w:p>
        </w:tc>
        <w:tc>
          <w:tcPr>
            <w:tcW w:w="6204" w:type="dxa"/>
          </w:tcPr>
          <w:p w14:paraId="7D347805" w14:textId="77777777" w:rsidR="00446CED" w:rsidRDefault="00446CED" w:rsidP="00021C78">
            <w:pPr>
              <w:spacing w:after="0" w:line="259" w:lineRule="auto"/>
            </w:pPr>
            <w:r>
              <w:t>Q-8710-Child Care Services</w:t>
            </w:r>
          </w:p>
        </w:tc>
      </w:tr>
      <w:tr w:rsidR="00446CED" w14:paraId="3A520B44" w14:textId="77777777" w:rsidTr="00046835">
        <w:trPr>
          <w:trHeight w:val="239"/>
        </w:trPr>
        <w:tc>
          <w:tcPr>
            <w:tcW w:w="1295" w:type="dxa"/>
          </w:tcPr>
          <w:p w14:paraId="0CA705F2" w14:textId="77777777" w:rsidR="00446CED" w:rsidRDefault="00446CED" w:rsidP="00021C78">
            <w:pPr>
              <w:spacing w:after="0" w:line="259" w:lineRule="auto"/>
              <w:ind w:left="120"/>
            </w:pPr>
            <w:r>
              <w:t>2</w:t>
            </w:r>
          </w:p>
        </w:tc>
        <w:tc>
          <w:tcPr>
            <w:tcW w:w="6204" w:type="dxa"/>
          </w:tcPr>
          <w:p w14:paraId="7E9BCE9B" w14:textId="77777777" w:rsidR="00446CED" w:rsidRDefault="00446CED" w:rsidP="00021C78">
            <w:pPr>
              <w:spacing w:after="0" w:line="259" w:lineRule="auto"/>
            </w:pPr>
            <w:r>
              <w:t>Q-8601-Aged Care Residential Services</w:t>
            </w:r>
          </w:p>
        </w:tc>
      </w:tr>
      <w:tr w:rsidR="00446CED" w14:paraId="5E0F61DB" w14:textId="77777777" w:rsidTr="00046835">
        <w:trPr>
          <w:trHeight w:val="239"/>
        </w:trPr>
        <w:tc>
          <w:tcPr>
            <w:tcW w:w="1295" w:type="dxa"/>
          </w:tcPr>
          <w:p w14:paraId="78870C63" w14:textId="77777777" w:rsidR="00446CED" w:rsidRDefault="00446CED" w:rsidP="00021C78">
            <w:pPr>
              <w:spacing w:after="0" w:line="259" w:lineRule="auto"/>
              <w:ind w:left="120"/>
            </w:pPr>
            <w:r>
              <w:t>3</w:t>
            </w:r>
          </w:p>
        </w:tc>
        <w:tc>
          <w:tcPr>
            <w:tcW w:w="6204" w:type="dxa"/>
          </w:tcPr>
          <w:p w14:paraId="6FF32640" w14:textId="77777777" w:rsidR="00446CED" w:rsidRDefault="00446CED" w:rsidP="00021C78">
            <w:pPr>
              <w:spacing w:after="0" w:line="259" w:lineRule="auto"/>
            </w:pPr>
            <w:r>
              <w:t>Q-8511-General Practice Medical Services</w:t>
            </w:r>
          </w:p>
        </w:tc>
      </w:tr>
      <w:tr w:rsidR="00446CED" w14:paraId="12503707" w14:textId="77777777" w:rsidTr="00046835">
        <w:trPr>
          <w:trHeight w:val="239"/>
        </w:trPr>
        <w:tc>
          <w:tcPr>
            <w:tcW w:w="1295" w:type="dxa"/>
          </w:tcPr>
          <w:p w14:paraId="0F29EB19" w14:textId="77777777" w:rsidR="00446CED" w:rsidRDefault="00446CED" w:rsidP="00021C78">
            <w:pPr>
              <w:spacing w:after="0" w:line="259" w:lineRule="auto"/>
              <w:ind w:left="120"/>
            </w:pPr>
            <w:r>
              <w:t>4</w:t>
            </w:r>
          </w:p>
        </w:tc>
        <w:tc>
          <w:tcPr>
            <w:tcW w:w="6204" w:type="dxa"/>
          </w:tcPr>
          <w:p w14:paraId="562CDE12" w14:textId="77777777" w:rsidR="00446CED" w:rsidRDefault="00446CED" w:rsidP="00021C78">
            <w:pPr>
              <w:spacing w:after="0" w:line="259" w:lineRule="auto"/>
            </w:pPr>
            <w:r>
              <w:t>Q-8531-Dental Services</w:t>
            </w:r>
          </w:p>
        </w:tc>
      </w:tr>
      <w:tr w:rsidR="00446CED" w14:paraId="37886C11" w14:textId="77777777" w:rsidTr="00046835">
        <w:trPr>
          <w:trHeight w:val="239"/>
        </w:trPr>
        <w:tc>
          <w:tcPr>
            <w:tcW w:w="1295" w:type="dxa"/>
          </w:tcPr>
          <w:p w14:paraId="2A5BBCE5" w14:textId="77777777" w:rsidR="00446CED" w:rsidRDefault="00446CED" w:rsidP="00021C78">
            <w:pPr>
              <w:spacing w:after="0" w:line="259" w:lineRule="auto"/>
              <w:ind w:left="120"/>
            </w:pPr>
            <w:r>
              <w:t>5</w:t>
            </w:r>
          </w:p>
        </w:tc>
        <w:tc>
          <w:tcPr>
            <w:tcW w:w="6204" w:type="dxa"/>
          </w:tcPr>
          <w:p w14:paraId="1C6A5D42" w14:textId="77777777" w:rsidR="00446CED" w:rsidRDefault="00446CED" w:rsidP="00021C78">
            <w:pPr>
              <w:spacing w:after="0" w:line="259" w:lineRule="auto"/>
            </w:pPr>
            <w:r>
              <w:t>G-4110-Supermarket and Grocery Stores</w:t>
            </w:r>
          </w:p>
        </w:tc>
      </w:tr>
      <w:tr w:rsidR="00446CED" w14:paraId="66024D4B" w14:textId="77777777" w:rsidTr="00046835">
        <w:trPr>
          <w:trHeight w:val="239"/>
        </w:trPr>
        <w:tc>
          <w:tcPr>
            <w:tcW w:w="1295" w:type="dxa"/>
          </w:tcPr>
          <w:p w14:paraId="07A69FC5" w14:textId="77777777" w:rsidR="00446CED" w:rsidRDefault="00446CED" w:rsidP="00021C78">
            <w:pPr>
              <w:spacing w:after="0" w:line="259" w:lineRule="auto"/>
              <w:ind w:left="120"/>
            </w:pPr>
            <w:r>
              <w:t>6</w:t>
            </w:r>
          </w:p>
        </w:tc>
        <w:tc>
          <w:tcPr>
            <w:tcW w:w="6204" w:type="dxa"/>
          </w:tcPr>
          <w:p w14:paraId="1E4C0902" w14:textId="77777777" w:rsidR="00446CED" w:rsidRDefault="00446CED" w:rsidP="00021C78">
            <w:pPr>
              <w:spacing w:after="0" w:line="259" w:lineRule="auto"/>
            </w:pPr>
            <w:r>
              <w:t>M-7000-Computer System Design and Related Services</w:t>
            </w:r>
          </w:p>
        </w:tc>
      </w:tr>
      <w:tr w:rsidR="00446CED" w14:paraId="78570B83" w14:textId="77777777" w:rsidTr="00046835">
        <w:trPr>
          <w:trHeight w:val="239"/>
        </w:trPr>
        <w:tc>
          <w:tcPr>
            <w:tcW w:w="1295" w:type="dxa"/>
          </w:tcPr>
          <w:p w14:paraId="015C1F99" w14:textId="77777777" w:rsidR="00446CED" w:rsidRDefault="00446CED" w:rsidP="00021C78">
            <w:pPr>
              <w:spacing w:after="0" w:line="259" w:lineRule="auto"/>
              <w:ind w:left="120"/>
            </w:pPr>
            <w:r>
              <w:t>7</w:t>
            </w:r>
          </w:p>
        </w:tc>
        <w:tc>
          <w:tcPr>
            <w:tcW w:w="6204" w:type="dxa"/>
          </w:tcPr>
          <w:p w14:paraId="4634F2E5" w14:textId="77777777" w:rsidR="00446CED" w:rsidRDefault="00446CED" w:rsidP="00021C78">
            <w:pPr>
              <w:spacing w:after="0" w:line="259" w:lineRule="auto"/>
            </w:pPr>
            <w:r>
              <w:t>H-4512-Takeaway Food Services</w:t>
            </w:r>
          </w:p>
        </w:tc>
      </w:tr>
      <w:tr w:rsidR="00446CED" w14:paraId="33206447" w14:textId="77777777" w:rsidTr="00046835">
        <w:trPr>
          <w:trHeight w:val="239"/>
        </w:trPr>
        <w:tc>
          <w:tcPr>
            <w:tcW w:w="1295" w:type="dxa"/>
          </w:tcPr>
          <w:p w14:paraId="3E61A178" w14:textId="77777777" w:rsidR="00446CED" w:rsidRDefault="00446CED" w:rsidP="00021C78">
            <w:pPr>
              <w:spacing w:after="0" w:line="259" w:lineRule="auto"/>
              <w:ind w:left="120"/>
            </w:pPr>
            <w:r>
              <w:t>8</w:t>
            </w:r>
          </w:p>
        </w:tc>
        <w:tc>
          <w:tcPr>
            <w:tcW w:w="6204" w:type="dxa"/>
          </w:tcPr>
          <w:p w14:paraId="427C3C41" w14:textId="77777777" w:rsidR="00446CED" w:rsidRDefault="00446CED" w:rsidP="00021C78">
            <w:pPr>
              <w:spacing w:after="0" w:line="259" w:lineRule="auto"/>
            </w:pPr>
            <w:r>
              <w:t>G-4271-Pharmaceutical, Cosmetic and Toiletry Goods Retailing</w:t>
            </w:r>
          </w:p>
        </w:tc>
      </w:tr>
      <w:tr w:rsidR="00446CED" w14:paraId="30653F19" w14:textId="77777777" w:rsidTr="00046835">
        <w:trPr>
          <w:trHeight w:val="239"/>
        </w:trPr>
        <w:tc>
          <w:tcPr>
            <w:tcW w:w="1295" w:type="dxa"/>
          </w:tcPr>
          <w:p w14:paraId="7CB3C963" w14:textId="77777777" w:rsidR="00446CED" w:rsidRDefault="00446CED" w:rsidP="00021C78">
            <w:pPr>
              <w:spacing w:after="0" w:line="259" w:lineRule="auto"/>
              <w:ind w:left="120"/>
            </w:pPr>
            <w:r>
              <w:t>9</w:t>
            </w:r>
          </w:p>
        </w:tc>
        <w:tc>
          <w:tcPr>
            <w:tcW w:w="6204" w:type="dxa"/>
          </w:tcPr>
          <w:p w14:paraId="1841D3C1" w14:textId="77777777" w:rsidR="00446CED" w:rsidRDefault="00446CED" w:rsidP="00021C78">
            <w:pPr>
              <w:spacing w:after="0" w:line="259" w:lineRule="auto"/>
            </w:pPr>
            <w:r>
              <w:t>H-4400-Accommodation</w:t>
            </w:r>
          </w:p>
        </w:tc>
      </w:tr>
      <w:tr w:rsidR="00446CED" w14:paraId="5FF34045" w14:textId="77777777" w:rsidTr="00046835">
        <w:trPr>
          <w:trHeight w:val="283"/>
        </w:trPr>
        <w:tc>
          <w:tcPr>
            <w:tcW w:w="1295" w:type="dxa"/>
          </w:tcPr>
          <w:p w14:paraId="37326D76" w14:textId="77777777" w:rsidR="00446CED" w:rsidRDefault="00446CED" w:rsidP="00021C78">
            <w:pPr>
              <w:spacing w:after="0" w:line="259" w:lineRule="auto"/>
              <w:ind w:left="120"/>
            </w:pPr>
            <w:r>
              <w:t>10</w:t>
            </w:r>
          </w:p>
        </w:tc>
        <w:tc>
          <w:tcPr>
            <w:tcW w:w="6204" w:type="dxa"/>
          </w:tcPr>
          <w:p w14:paraId="249E175E" w14:textId="77777777" w:rsidR="00446CED" w:rsidRDefault="00446CED" w:rsidP="00021C78">
            <w:pPr>
              <w:spacing w:after="0" w:line="259" w:lineRule="auto"/>
            </w:pPr>
            <w:r>
              <w:t>H-4520-Pubs, Taverns and Bars</w:t>
            </w:r>
          </w:p>
        </w:tc>
      </w:tr>
    </w:tbl>
    <w:p w14:paraId="14A51028" w14:textId="77777777" w:rsidR="00446CED" w:rsidRDefault="00446CED" w:rsidP="00BA137E">
      <w:r>
        <w:t>While this provides some initial insights into serial acquisitions, but there are numerous areas that could be explored in the future. For example, to what extent have serial acquisitions actually increased market concentration? What are the characteristics of those being acquired? Do they tend to be more innovative, raising concerns around the potential for ‘killer acquisitions’ aimed at discontinuing a competitors innovative ideas (Cunningham et al. (2021))? And what happens to the workers in these firms?</w:t>
      </w:r>
    </w:p>
    <w:p w14:paraId="1B698D8C" w14:textId="77777777" w:rsidR="00446CED" w:rsidRDefault="00446CED" w:rsidP="00A46351">
      <w:pPr>
        <w:pStyle w:val="Heading1Numbered"/>
      </w:pPr>
      <w:bookmarkStart w:id="21" w:name="_Toc211507333"/>
      <w:r>
        <w:t>The characteristics of acquiring and target firms</w:t>
      </w:r>
      <w:bookmarkEnd w:id="21"/>
    </w:p>
    <w:p w14:paraId="3B68047C" w14:textId="77777777" w:rsidR="00446CED" w:rsidRDefault="00446CED" w:rsidP="00682F8D">
      <w:r>
        <w:t>The database lets us explore the characteristics of those firms involved in M&amp;A activity, which is useful for a range of reasons. For example, understanding the nature of acquiring and acquired firms can provide valuable insights for policy. For example, better understanding the relative size of the parties can help us understand what share of the activity appears to be mergers of equals, and what share acquisition on firms. Considering the profitability and productivity of acquired firms can help us to understand issues around whether acquisitions appear to be focused on under-performing firms that can be turned around, or high-performing firms. And exploring the industry dimensions can help us understand where the activity tends to take place, and therefore where more focus could be beneficial for competition regulators.</w:t>
      </w:r>
    </w:p>
    <w:p w14:paraId="2080CD9C" w14:textId="77777777" w:rsidR="00446CED" w:rsidRDefault="00446CED" w:rsidP="00682F8D">
      <w:r>
        <w:t>More generally, exploring the nature of these firms can help us better understand the motivations for M&amp;A. While the overseas literature is relatively well-developed on this issue, studies in an Australian context are rare owing to the data limitations discussed above. For example, overseas analysis has shown that firms may seek to increase innovation or patent stock (Mahdiyeh and Moshiri (2019)), relieve financial frictions in target firms, especially when the target firm is relatively small (Erel et al.; 2015), or be driven by cyclical technological or industry shocks (Martynova and Renneboog (2008)). Managerial hubris or misstep may also be a factor: Martynova and Renneboog (2008) argues that takeovers towards the end of each cyclical wave of mergers are usually driven by non-rational, frequently self-interested managerial decision-making. The motivation for mergers can also be highly industry-specific and strategic within a regulatory environment: for example, the desire to obtain ‘too-big-to-fail’ status may motivate US banking mergers (DeYoung et al.; 2009).</w:t>
      </w:r>
    </w:p>
    <w:p w14:paraId="085C94DE" w14:textId="275FAFF3" w:rsidR="00446CED" w:rsidRDefault="00446CED" w:rsidP="00682F8D">
      <w:r>
        <w:t>Our dataset is well-placed to explore questions relating to a range of entity characteristics such as size, productivity, broader performance measures including profitability, and more niche issues such as the role of intellectual property</w:t>
      </w:r>
      <w:r w:rsidR="00B04C67">
        <w:t>.</w:t>
      </w:r>
      <w:r w:rsidR="00B04C67">
        <w:rPr>
          <w:rStyle w:val="FootnoteReference"/>
        </w:rPr>
        <w:footnoteReference w:id="6"/>
      </w:r>
      <w:r>
        <w:rPr>
          <w:rFonts w:ascii="Cambria" w:eastAsia="Cambria" w:hAnsi="Cambria" w:cs="Cambria"/>
          <w:vertAlign w:val="superscript"/>
        </w:rPr>
        <w:t xml:space="preserve"> </w:t>
      </w:r>
      <w:r>
        <w:t>As detailed below, we use this dataset to quantify how these characteristics affect the likelihood of a business being involved in at least one merger in a given year, providing separate estimates for acquirers and targets.</w:t>
      </w:r>
    </w:p>
    <w:p w14:paraId="62C7CF27" w14:textId="77777777" w:rsidR="00446CED" w:rsidRDefault="00446CED" w:rsidP="00A46351">
      <w:pPr>
        <w:pStyle w:val="Heading2Numbered"/>
      </w:pPr>
      <w:bookmarkStart w:id="22" w:name="_Toc211507334"/>
      <w:r>
        <w:t>Trends by firm size over time and industry</w:t>
      </w:r>
      <w:bookmarkEnd w:id="22"/>
    </w:p>
    <w:p w14:paraId="26630873" w14:textId="77777777" w:rsidR="00446CED" w:rsidRDefault="00446CED" w:rsidP="00682F8D">
      <w:r>
        <w:t>We start by simply looking at the sizes of acquiring firms and acquired firms over time. For this analysis, we generally focus on the labour flows approach, because it should capture a more representative cross-section of firm types than the other approaches.</w:t>
      </w:r>
    </w:p>
    <w:p w14:paraId="4047F23A" w14:textId="77777777" w:rsidR="00446CED" w:rsidRDefault="00446CED" w:rsidP="00682F8D">
      <w:r>
        <w:t>Figures 6a and 6b decompose acquisitions based on the size of the acquirer and target firm. We can see that most target firms are medium-sized businesses, while acquisitions are disproportionately made by very large firms (who account for less than 1% of the universe of firms). After a large spike in activity in 2009 by very large acquirers (related to the health sector) merger activity stabilised for all sizes of acquirers for a run of years before slowly increasing after 2013. The increase was particularly notable for very large firms.</w:t>
      </w:r>
    </w:p>
    <w:p w14:paraId="23247BBB" w14:textId="43C1DF80" w:rsidR="00446CED" w:rsidRDefault="00446CED" w:rsidP="00682F8D">
      <w:r>
        <w:t>Figure 7 shows the average annual distribution of M&amp;A activity by Division over the sample period</w:t>
      </w:r>
    </w:p>
    <w:p w14:paraId="49AB748C" w14:textId="77777777" w:rsidR="00446CED" w:rsidRDefault="00446CED" w:rsidP="00682F8D">
      <w:r>
        <w:t>2002 to 2018. It shows that in terms of total numbers, M&amp;A was more frequent in the utilities, professional services, retail trade and health divisions. But when scaling by the size of the industry the story looks a bit different, with administrative services, health, mining and manufacturing featuring more prominently.</w:t>
      </w:r>
    </w:p>
    <w:p w14:paraId="48EC67DE" w14:textId="14D8701C" w:rsidR="00F032F4" w:rsidRDefault="00F032F4" w:rsidP="00B1227F">
      <w:pPr>
        <w:pStyle w:val="ChartMainHeading"/>
      </w:pPr>
      <w:bookmarkStart w:id="23" w:name="_Toc211507335"/>
      <w:r>
        <w:t xml:space="preserve">Figure 6: </w:t>
      </w:r>
      <w:r w:rsidR="0068252E">
        <w:t>Number of Acquisitions</w:t>
      </w:r>
      <w:bookmarkEnd w:id="23"/>
    </w:p>
    <w:p w14:paraId="250E9E6D" w14:textId="02488D1A" w:rsidR="00C37CB8" w:rsidRDefault="00275B20" w:rsidP="00C37CB8">
      <w:pPr>
        <w:pStyle w:val="ChartGraphic"/>
      </w:pPr>
      <w:r>
        <w:rPr>
          <w:noProof/>
        </w:rPr>
        <w:drawing>
          <wp:inline distT="0" distB="0" distL="0" distR="0" wp14:anchorId="4E924D7E" wp14:editId="36891CDB">
            <wp:extent cx="5688330" cy="2883535"/>
            <wp:effectExtent l="0" t="0" r="0" b="0"/>
            <wp:docPr id="88971268" name="Picture 5" descr="Two line charts side by side. Left chart shows the number of business acquisitions by acquirer size. Medium sized firms tend to make the most acquisitions, followed by very large, large and small firms. There is a large spike in the number of firms acquired by very large firms in 2008. Right chart shows the number of business acquisitions by 3 acquired size firms: Large or very large, medium and small. Medium firms make the highest number of acquisitions closely followed by large or very large firms. Small firms make considerably less acqui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1268" name="Picture 5" descr="Two line charts side by side. Left chart shows the number of business acquisitions by acquirer size. Medium sized firms tend to make the most acquisitions, followed by very large, large and small firms. There is a large spike in the number of firms acquired by very large firms in 2008. Right chart shows the number of business acquisitions by 3 acquired size firms: Large or very large, medium and small. Medium firms make the highest number of acquisitions closely followed by large or very large firms. Small firms make considerably less acquisi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2883535"/>
                    </a:xfrm>
                    <a:prstGeom prst="rect">
                      <a:avLst/>
                    </a:prstGeom>
                    <a:noFill/>
                  </pic:spPr>
                </pic:pic>
              </a:graphicData>
            </a:graphic>
          </wp:inline>
        </w:drawing>
      </w:r>
    </w:p>
    <w:p w14:paraId="55D32EEA" w14:textId="06E1F8F5" w:rsidR="00C37CB8" w:rsidRDefault="00C37CB8" w:rsidP="004027D3">
      <w:pPr>
        <w:pStyle w:val="ChartorTableNote"/>
      </w:pPr>
      <w:r>
        <w:t>Each count is a single ABN. Pre-exist or multiple flow</w:t>
      </w:r>
      <w:r w:rsidR="00BC1861">
        <w:t xml:space="preserve"> sample. Small is 1-19 employees, me</w:t>
      </w:r>
      <w:r w:rsidR="00B33CEF">
        <w:t>d</w:t>
      </w:r>
      <w:r w:rsidR="00BC1861">
        <w:t>ium is 19-200 employees</w:t>
      </w:r>
      <w:r w:rsidR="00B33CEF">
        <w:t>, l</w:t>
      </w:r>
      <w:r w:rsidR="00BC1861">
        <w:t>arge is 200-499 employees</w:t>
      </w:r>
      <w:r w:rsidR="00B33CEF">
        <w:t>, v</w:t>
      </w:r>
      <w:r w:rsidR="00BC1861">
        <w:t>ery large is 500+ employees.</w:t>
      </w:r>
    </w:p>
    <w:p w14:paraId="75650E9A" w14:textId="7F8B6B8B" w:rsidR="00446CED" w:rsidRDefault="00B33CEF" w:rsidP="004027D3">
      <w:pPr>
        <w:pStyle w:val="ChartorTableNote"/>
        <w:rPr>
          <w:rFonts w:eastAsia="Cambria"/>
        </w:rPr>
      </w:pPr>
      <w:r>
        <w:t>Source: Author’s calculations</w:t>
      </w:r>
    </w:p>
    <w:p w14:paraId="0EF35BDF" w14:textId="1F3CCA18" w:rsidR="00F032F4" w:rsidRDefault="00F032F4" w:rsidP="00B1227F">
      <w:pPr>
        <w:pStyle w:val="ChartMainHeading"/>
      </w:pPr>
      <w:bookmarkStart w:id="24" w:name="_Toc211507336"/>
      <w:r>
        <w:t>Figure 7: Mergers by Division</w:t>
      </w:r>
      <w:bookmarkEnd w:id="24"/>
    </w:p>
    <w:p w14:paraId="031238A2" w14:textId="027E6D4E" w:rsidR="00B856BC" w:rsidRDefault="00B856BC" w:rsidP="00B74AF0">
      <w:pPr>
        <w:pStyle w:val="ChartSecondHeading"/>
      </w:pPr>
      <w:r>
        <w:t>Med</w:t>
      </w:r>
      <w:r w:rsidR="00B74AF0">
        <w:t>ian number annual over sample</w:t>
      </w:r>
    </w:p>
    <w:p w14:paraId="66D5A61D" w14:textId="2DC768EC" w:rsidR="00597F31" w:rsidRPr="00597F31" w:rsidRDefault="00597F31" w:rsidP="00597F31">
      <w:pPr>
        <w:pStyle w:val="ChartGraphic"/>
      </w:pPr>
      <w:r>
        <w:rPr>
          <w:noProof/>
        </w:rPr>
        <w:drawing>
          <wp:inline distT="0" distB="0" distL="0" distR="0" wp14:anchorId="76F276DC" wp14:editId="785CB418">
            <wp:extent cx="5590540" cy="4176395"/>
            <wp:effectExtent l="0" t="0" r="0" b="0"/>
            <wp:docPr id="915577955" name="Picture 9" descr="Two bar charts stacked with the top chart showing the share of firms that have merged in that division level industry and the bottom showing the number of mergers by division-level industry. Public Admin has the highest share of firms but second lowest number of merged. Utilities, professional services and retail have a high number of mergers in their respective division, but medium level share of firms in their respectiv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7955" name="Picture 9" descr="Two bar charts stacked with the top chart showing the share of firms that have merged in that division level industry and the bottom showing the number of mergers by division-level industry. Public Admin has the highest share of firms but second lowest number of merged. Utilities, professional services and retail have a high number of mergers in their respective division, but medium level share of firms in their respective divi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0540" cy="4176395"/>
                    </a:xfrm>
                    <a:prstGeom prst="rect">
                      <a:avLst/>
                    </a:prstGeom>
                    <a:noFill/>
                  </pic:spPr>
                </pic:pic>
              </a:graphicData>
            </a:graphic>
          </wp:inline>
        </w:drawing>
      </w:r>
    </w:p>
    <w:p w14:paraId="07AF155A" w14:textId="6201C06A" w:rsidR="00446CED" w:rsidRDefault="00446CED" w:rsidP="00B856BC">
      <w:pPr>
        <w:pStyle w:val="ChartGraphic"/>
      </w:pPr>
    </w:p>
    <w:p w14:paraId="48EF81A4" w14:textId="70F698F4" w:rsidR="00AC1DBB" w:rsidRPr="00AC1DBB" w:rsidRDefault="00AC1DBB" w:rsidP="00936A6D">
      <w:pPr>
        <w:pStyle w:val="ChartorTableNote"/>
      </w:pPr>
      <w:r>
        <w:t>Source: Authors’ calculations</w:t>
      </w:r>
    </w:p>
    <w:p w14:paraId="4CA0F74D" w14:textId="77777777" w:rsidR="00446CED" w:rsidRDefault="00446CED" w:rsidP="00A46351">
      <w:pPr>
        <w:pStyle w:val="Heading2Numbered"/>
      </w:pPr>
      <w:bookmarkStart w:id="25" w:name="_Toc211507337"/>
      <w:r>
        <w:t>Modelling the odds of acquisition</w:t>
      </w:r>
      <w:bookmarkEnd w:id="25"/>
    </w:p>
    <w:p w14:paraId="563C32F7" w14:textId="77777777" w:rsidR="00446CED" w:rsidRDefault="00446CED" w:rsidP="00682F8D">
      <w:r>
        <w:t>We now turn to a more formal statistical model of the probability of a firm being an acquirer, or being acquired. This allows is to assess multiple dimensions at the same time, and tease out which factors might be important. For example, it could be that the earlier finding that acquirer tend to be larger is driven by the fact that acquirers tend to be in certain industries, and firms in those industries tend to be larger.</w:t>
      </w:r>
    </w:p>
    <w:p w14:paraId="5E7C2072" w14:textId="77777777" w:rsidR="00446CED" w:rsidRDefault="00446CED" w:rsidP="00682F8D">
      <w:r>
        <w:t>To do this, we need to decide how to treat business/enterprise group. For targets, we estimate the odds of being acquired at the level of the firm, as firm-level characteristics are likely to be most relevant when considering an acquisition. For acquirers, if the firm is part of an enterprise group, we proceed by aggregating all variables discussed at the enterprise group level. Where an acquiring firm is not a member of an enterprise group, it is treated as a one-firm enterprise group and all variables are constructed at firm-level. This means that an acquisition by any firm within a business group (regardless of its share of the group’s activity) is taken as an acquisition by the group as a whole. This is consistent with the notion that strategic business decisions are made at the enterprise group level. For acquirer estimates, we use the mergers as measured by the labour flows and ASIC methods outlined above. For target estimates we use mergers as measured by labour flows (as the ASIC dataset does not contain details of targets).</w:t>
      </w:r>
    </w:p>
    <w:p w14:paraId="5AF592C6" w14:textId="77777777" w:rsidR="00446CED" w:rsidRDefault="00446CED" w:rsidP="00682F8D">
      <w:r>
        <w:t>We do not include mergers as measured by movements between tax consolidated groups for this analysis. This is because movements between these tax-consolidated entities consist of groups of entities moving together, some of which post no income or employees. In this case, performance measures cannot be calculated or may not reflect the true nature of the acquisitions even where they can be calculated.</w:t>
      </w:r>
    </w:p>
    <w:p w14:paraId="1A0C9C36" w14:textId="77777777" w:rsidR="00446CED" w:rsidRDefault="00446CED" w:rsidP="00682F8D">
      <w:r>
        <w:t xml:space="preserve">We explore the impact of enterprise group/firm size, measured by both employment and turnover, on the likelihood of being an acquirer or target. An examination of the raw data indicates that the percentage of firms/enterprise groups making at least one acquisition in a financial year rises monotonically with size (consistent with Figure 6a), with around 8% of all enterprise groups with a turnover of over </w:t>
      </w:r>
      <w:r>
        <w:rPr>
          <w:rFonts w:ascii="Calibri" w:eastAsia="Calibri" w:hAnsi="Calibri" w:cs="Calibri"/>
        </w:rPr>
        <w:t>$</w:t>
      </w:r>
      <w:r>
        <w:t xml:space="preserve">500 million tagged in the dataset as acquirers, compared to around 5% in the </w:t>
      </w:r>
      <w:r>
        <w:rPr>
          <w:rFonts w:ascii="Calibri" w:eastAsia="Calibri" w:hAnsi="Calibri" w:cs="Calibri"/>
        </w:rPr>
        <w:t>$</w:t>
      </w:r>
      <w:r>
        <w:t xml:space="preserve">200 to </w:t>
      </w:r>
      <w:r>
        <w:rPr>
          <w:rFonts w:ascii="Calibri" w:eastAsia="Calibri" w:hAnsi="Calibri" w:cs="Calibri"/>
        </w:rPr>
        <w:t>$</w:t>
      </w:r>
      <w:r>
        <w:t xml:space="preserve">500 million turnover bucket and 2% in the </w:t>
      </w:r>
      <w:r>
        <w:rPr>
          <w:rFonts w:ascii="Calibri" w:eastAsia="Calibri" w:hAnsi="Calibri" w:cs="Calibri"/>
        </w:rPr>
        <w:t>$</w:t>
      </w:r>
      <w:r>
        <w:t xml:space="preserve">50 to </w:t>
      </w:r>
      <w:r>
        <w:rPr>
          <w:rFonts w:ascii="Calibri" w:eastAsia="Calibri" w:hAnsi="Calibri" w:cs="Calibri"/>
        </w:rPr>
        <w:t>$</w:t>
      </w:r>
      <w:r>
        <w:t xml:space="preserve">200 million turnover bucket. Less than 1% of firms in the smallest turnover buckets (under </w:t>
      </w:r>
      <w:r>
        <w:rPr>
          <w:rFonts w:ascii="Calibri" w:eastAsia="Calibri" w:hAnsi="Calibri" w:cs="Calibri"/>
        </w:rPr>
        <w:t>$</w:t>
      </w:r>
      <w:r>
        <w:t xml:space="preserve">10 million and between </w:t>
      </w:r>
      <w:r>
        <w:rPr>
          <w:rFonts w:ascii="Calibri" w:eastAsia="Calibri" w:hAnsi="Calibri" w:cs="Calibri"/>
        </w:rPr>
        <w:t>$</w:t>
      </w:r>
      <w:r>
        <w:t xml:space="preserve">10 to </w:t>
      </w:r>
      <w:r>
        <w:rPr>
          <w:rFonts w:ascii="Calibri" w:eastAsia="Calibri" w:hAnsi="Calibri" w:cs="Calibri"/>
        </w:rPr>
        <w:t>$</w:t>
      </w:r>
      <w:r>
        <w:t>50 million) are acquirers. For target firms, there is a relatively higher distribution of targets among the mid-sized turnover buckets, consistent with Figure 6b.</w:t>
      </w:r>
    </w:p>
    <w:p w14:paraId="70D174C4" w14:textId="4667620C" w:rsidR="00446CED" w:rsidRDefault="00446CED" w:rsidP="00682F8D">
      <w:r>
        <w:t>We also include measures of firm/enterprise group performance, measured by (the log of) productivity and profitability. Productivity (calculated as value added divided by full-time-equivalent employment) and profitability (profitability is calculated as income divided by expenses) are constructed using variables from the business income tax records in BLADE</w:t>
      </w:r>
      <w:r w:rsidR="00B04C67">
        <w:t>.</w:t>
      </w:r>
      <w:r w:rsidR="00B04C67">
        <w:rPr>
          <w:rStyle w:val="FootnoteReference"/>
        </w:rPr>
        <w:footnoteReference w:id="7"/>
      </w:r>
      <w:r>
        <w:rPr>
          <w:rFonts w:ascii="Cambria" w:eastAsia="Cambria" w:hAnsi="Cambria" w:cs="Cambria"/>
          <w:vertAlign w:val="superscript"/>
        </w:rPr>
        <w:t xml:space="preserve"> </w:t>
      </w:r>
      <w:r>
        <w:t>We use a 3-year average of these variables to abstract from volatility, and to account for the fact that sustained profit and productivity performance may be relevant for an acquirer to undertake a merger, or for a firm to be considered a target.</w:t>
      </w:r>
    </w:p>
    <w:p w14:paraId="2E798967" w14:textId="77777777" w:rsidR="00446CED" w:rsidRDefault="00446CED" w:rsidP="00682F8D">
      <w:r>
        <w:t>To explore the role of intellectual property, we include variables for whether the firm/enterprise group involved in the merger holds one or more patents and trademarks. We use trademarks and patents registered by each firm as recorded by Intellectual Property Longitudinal Research Dataset (IPLORD).</w:t>
      </w:r>
    </w:p>
    <w:p w14:paraId="0798F430" w14:textId="1F39374E" w:rsidR="00446CED" w:rsidRDefault="00446CED" w:rsidP="00682F8D">
      <w:r>
        <w:t xml:space="preserve">Finally, we include industry and year effects. Inclusion of year dummies allows us to abstract from macroeconomic conditions and more general year-to-year volatility in M&amp;A activity. For some specifications we account interact these with years dummies, which allow us to account for industry conditions and other factors that may be driving M&amp;A </w:t>
      </w:r>
      <w:r w:rsidR="001C4182">
        <w:t>activity</w:t>
      </w:r>
      <w:r>
        <w:t>, and so just compare firms within industries. For acquired firms, we use 2-digit ANZSIC codes. For acquirers, we use 1-digit ANZSIC Divisions. This is because there is a large number of complex enterprise groups among the acquirer sample. The complex entities may tend to have operations in a number of subdivisions, so we focus on a coarser industry control. In cases where the acquirer has activities across several Divisions, we assign the most common ANZSIC Division to the entire group.</w:t>
      </w:r>
    </w:p>
    <w:p w14:paraId="11DC78A8" w14:textId="77777777" w:rsidR="00446CED" w:rsidRDefault="00446CED" w:rsidP="00682F8D">
      <w:r>
        <w:t xml:space="preserve">Formally, we estimate a logistic regression where the dependent variable is equal to 1 if the enterprise group </w:t>
      </w:r>
      <w:r>
        <w:rPr>
          <w:rFonts w:ascii="Cambria" w:eastAsia="Cambria" w:hAnsi="Cambria" w:cs="Cambria"/>
          <w:i/>
        </w:rPr>
        <w:t xml:space="preserve">i </w:t>
      </w:r>
      <w:r>
        <w:t xml:space="preserve">engages in at least one acquisition in a year </w:t>
      </w:r>
      <w:r>
        <w:rPr>
          <w:rFonts w:ascii="Cambria" w:eastAsia="Cambria" w:hAnsi="Cambria" w:cs="Cambria"/>
          <w:i/>
        </w:rPr>
        <w:t xml:space="preserve">t </w:t>
      </w:r>
      <w:r>
        <w:t>and 0 otherwise. We include firm size dummies (size</w:t>
      </w:r>
      <w:r>
        <w:rPr>
          <w:rFonts w:ascii="Cambria" w:eastAsia="Cambria" w:hAnsi="Cambria" w:cs="Cambria"/>
          <w:i/>
          <w:vertAlign w:val="subscript"/>
        </w:rPr>
        <w:t>it</w:t>
      </w:r>
      <w:r>
        <w:t>), whether the enterprise group held at least one patent (patent</w:t>
      </w:r>
      <w:r>
        <w:rPr>
          <w:rFonts w:ascii="Cambria" w:eastAsia="Cambria" w:hAnsi="Cambria" w:cs="Cambria"/>
          <w:i/>
          <w:vertAlign w:val="subscript"/>
        </w:rPr>
        <w:t xml:space="preserve">it </w:t>
      </w:r>
      <w:r>
        <w:t>) or registered trademark (trademark</w:t>
      </w:r>
      <w:r>
        <w:rPr>
          <w:rFonts w:ascii="Cambria" w:eastAsia="Cambria" w:hAnsi="Cambria" w:cs="Cambria"/>
          <w:i/>
          <w:vertAlign w:val="subscript"/>
        </w:rPr>
        <w:t>it</w:t>
      </w:r>
      <w:r>
        <w:t>) as well as profitability (profitability</w:t>
      </w:r>
      <w:r>
        <w:rPr>
          <w:rFonts w:ascii="Cambria" w:eastAsia="Cambria" w:hAnsi="Cambria" w:cs="Cambria"/>
          <w:i/>
          <w:vertAlign w:val="subscript"/>
        </w:rPr>
        <w:t>it</w:t>
      </w:r>
      <w:r>
        <w:t>) and productivity (productivity</w:t>
      </w:r>
      <w:r>
        <w:rPr>
          <w:rFonts w:ascii="Cambria" w:eastAsia="Cambria" w:hAnsi="Cambria" w:cs="Cambria"/>
          <w:i/>
          <w:vertAlign w:val="subscript"/>
        </w:rPr>
        <w:t>it</w:t>
      </w:r>
      <w:r>
        <w:t>). In the regressions we also control for industry-year fixed effects (</w:t>
      </w:r>
      <w:r>
        <w:rPr>
          <w:rFonts w:ascii="Cambria" w:eastAsia="Cambria" w:hAnsi="Cambria" w:cs="Cambria"/>
          <w:i/>
        </w:rPr>
        <w:t>γ</w:t>
      </w:r>
      <w:r>
        <w:rPr>
          <w:rFonts w:ascii="Cambria" w:eastAsia="Cambria" w:hAnsi="Cambria" w:cs="Cambria"/>
          <w:i/>
          <w:vertAlign w:val="subscript"/>
        </w:rPr>
        <w:t>it</w:t>
      </w:r>
      <w:r>
        <w:t>) to capture broader conditions in the sector. Standard errors are clustered at the firm/enterprise group level, and so allow for autocorrelation.</w:t>
      </w:r>
    </w:p>
    <w:p w14:paraId="5188E05A" w14:textId="1F314BFD" w:rsidR="00B04C67" w:rsidRPr="0061714A" w:rsidRDefault="00062C4D" w:rsidP="0061714A">
      <w:pPr>
        <w:ind w:left="13"/>
        <w:jc w:val="center"/>
      </w:pP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=1</m:t>
                            </m:r>
                          </m:e>
                        </m:d>
                      </m:e>
                    </m:func>
                  </m:num>
                  <m:den>
                    <m:r>
                      <w:rPr>
                        <w:rFonts w:ascii="Cambria Math" w:hAnsi="Cambria Math"/>
                      </w:rPr>
                      <m:t>1-</m:t>
                    </m:r>
                    <m:r>
                      <m:rPr>
                        <m:sty m:val="p"/>
                      </m:rPr>
                      <w:rPr>
                        <w:rFonts w:ascii="Cambria Math" w:hAnsi="Cambria Math"/>
                      </w:rPr>
                      <m:t xml:space="preserve">Pr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=1</m:t>
                        </m:r>
                      </m:e>
                    </m:d>
                  </m:den>
                </m:f>
              </m:e>
            </m:d>
          </m:e>
        </m:func>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siz</m:t>
        </m:r>
        <m:sSub>
          <m:sSubPr>
            <m:ctrlPr>
              <w:rPr>
                <w:rFonts w:ascii="Cambria Math" w:hAnsi="Cambria Math"/>
                <w:i/>
              </w:rPr>
            </m:ctrlPr>
          </m:sSubPr>
          <m:e>
            <m:r>
              <m:rPr>
                <m:sty m:val="p"/>
              </m:rPr>
              <w:rPr>
                <w:rFonts w:ascii="Cambria Math" w:hAnsi="Cambria Math"/>
              </w:rPr>
              <m:t>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m:rPr>
                    <m:sty m:val="p"/>
                  </m:rPr>
                  <w:rPr>
                    <w:rFonts w:ascii="Cambria Math" w:hAnsi="Cambria Math"/>
                  </w:rPr>
                  <m:t>productivit</m:t>
                </m:r>
                <m:sSub>
                  <m:sSubPr>
                    <m:ctrlPr>
                      <w:rPr>
                        <w:rFonts w:ascii="Cambria Math" w:hAnsi="Cambria Math"/>
                        <w:i/>
                      </w:rPr>
                    </m:ctrlPr>
                  </m:sSubPr>
                  <m:e>
                    <m:r>
                      <m:rPr>
                        <m:sty m:val="p"/>
                      </m:rPr>
                      <w:rPr>
                        <w:rFonts w:ascii="Cambria Math" w:hAnsi="Cambria Math"/>
                      </w:rPr>
                      <m:t>y</m:t>
                    </m:r>
                  </m:e>
                  <m:sub>
                    <m:r>
                      <w:rPr>
                        <w:rFonts w:ascii="Cambria Math" w:hAnsi="Cambria Math"/>
                      </w:rPr>
                      <m:t>it</m:t>
                    </m:r>
                  </m:sub>
                </m:sSub>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m:rPr>
                    <m:sty m:val="p"/>
                  </m:rPr>
                  <w:rPr>
                    <w:rFonts w:ascii="Cambria Math" w:hAnsi="Cambria Math"/>
                  </w:rPr>
                  <m:t>profitabilit</m:t>
                </m:r>
                <m:sSub>
                  <m:sSubPr>
                    <m:ctrlPr>
                      <w:rPr>
                        <w:rFonts w:ascii="Cambria Math" w:hAnsi="Cambria Math"/>
                        <w:i/>
                      </w:rPr>
                    </m:ctrlPr>
                  </m:sSubPr>
                  <m:e>
                    <m:r>
                      <m:rPr>
                        <m:sty m:val="p"/>
                      </m:rPr>
                      <w:rPr>
                        <w:rFonts w:ascii="Cambria Math" w:hAnsi="Cambria Math"/>
                      </w:rPr>
                      <m:t>y</m:t>
                    </m:r>
                  </m:e>
                  <m:sub>
                    <m:r>
                      <w:rPr>
                        <w:rFonts w:ascii="Cambria Math" w:hAnsi="Cambria Math"/>
                      </w:rPr>
                      <m:t>it</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trademark</m:t>
                </m:r>
              </m:e>
              <m:sub>
                <m:r>
                  <m:rPr>
                    <m:sty m:val="p"/>
                  </m:rP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m:rPr>
                    <m:sty m:val="p"/>
                  </m:rPr>
                  <w:rPr>
                    <w:rFonts w:ascii="Cambria Math" w:hAnsi="Cambria Math"/>
                  </w:rPr>
                  <m:t>patent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e>
        </m:func>
      </m:oMath>
      <w:r w:rsidR="0061714A">
        <w:t xml:space="preserve">              (1)</w:t>
      </w:r>
    </w:p>
    <w:p w14:paraId="6BF70C53" w14:textId="4D2840FD" w:rsidR="00446CED" w:rsidRDefault="00446CED" w:rsidP="00446CED">
      <w:pPr>
        <w:tabs>
          <w:tab w:val="center" w:pos="2888"/>
          <w:tab w:val="center" w:pos="4809"/>
          <w:tab w:val="right" w:pos="9426"/>
        </w:tabs>
        <w:spacing w:after="713" w:line="265" w:lineRule="auto"/>
      </w:pPr>
      <w:r>
        <w:rPr>
          <w:rFonts w:ascii="Calibri" w:eastAsia="Calibri" w:hAnsi="Calibri" w:cs="Calibri"/>
        </w:rPr>
        <w:tab/>
      </w:r>
    </w:p>
    <w:p w14:paraId="7FA0BC2B" w14:textId="77777777" w:rsidR="00446CED" w:rsidRDefault="00446CED" w:rsidP="00A46351">
      <w:pPr>
        <w:pStyle w:val="Heading2Numbered"/>
      </w:pPr>
      <w:bookmarkStart w:id="26" w:name="_Toc211507338"/>
      <w:r>
        <w:t>Acquirer results</w:t>
      </w:r>
      <w:bookmarkEnd w:id="26"/>
    </w:p>
    <w:p w14:paraId="545FACBD" w14:textId="77777777" w:rsidR="00446CED" w:rsidRDefault="00446CED" w:rsidP="00682F8D">
      <w:r>
        <w:t xml:space="preserve">The likelihood of being an acquirer rises monotonically by size, measured both by employment and turnover. Compared to enterprise groups with a turnover of less than </w:t>
      </w:r>
      <w:r>
        <w:rPr>
          <w:rFonts w:ascii="Calibri" w:eastAsia="Calibri" w:hAnsi="Calibri" w:cs="Calibri"/>
        </w:rPr>
        <w:t>$</w:t>
      </w:r>
      <w:r>
        <w:t xml:space="preserve">10 million, firms/enterprise groups in the next turnover bucket are 6 times more likely to be acquirers. This increases to 15 and 29 times more likely for firms in the </w:t>
      </w:r>
      <w:r>
        <w:rPr>
          <w:rFonts w:ascii="Calibri" w:eastAsia="Calibri" w:hAnsi="Calibri" w:cs="Calibri"/>
        </w:rPr>
        <w:t>$</w:t>
      </w:r>
      <w:r>
        <w:t xml:space="preserve">50 million to </w:t>
      </w:r>
      <w:r>
        <w:rPr>
          <w:rFonts w:ascii="Calibri" w:eastAsia="Calibri" w:hAnsi="Calibri" w:cs="Calibri"/>
        </w:rPr>
        <w:t>$</w:t>
      </w:r>
      <w:r>
        <w:t xml:space="preserve">200 million and the </w:t>
      </w:r>
      <w:r>
        <w:rPr>
          <w:rFonts w:ascii="Calibri" w:eastAsia="Calibri" w:hAnsi="Calibri" w:cs="Calibri"/>
        </w:rPr>
        <w:t>$</w:t>
      </w:r>
      <w:r>
        <w:t xml:space="preserve">200 million to </w:t>
      </w:r>
      <w:r>
        <w:rPr>
          <w:rFonts w:ascii="Calibri" w:eastAsia="Calibri" w:hAnsi="Calibri" w:cs="Calibri"/>
        </w:rPr>
        <w:t>$</w:t>
      </w:r>
      <w:r>
        <w:t xml:space="preserve">500 million turnover buckets. The largest enterprise groups with a turnover of more than </w:t>
      </w:r>
      <w:r>
        <w:rPr>
          <w:rFonts w:ascii="Calibri" w:eastAsia="Calibri" w:hAnsi="Calibri" w:cs="Calibri"/>
        </w:rPr>
        <w:t>$</w:t>
      </w:r>
      <w:r>
        <w:t xml:space="preserve">500 million have the highest odds of being an acquirer - they are 48 times more likely to be acquirers compared to the reference group of firms/enterprise groups with a turnover of less than </w:t>
      </w:r>
      <w:r>
        <w:rPr>
          <w:rFonts w:ascii="Calibri" w:eastAsia="Calibri" w:hAnsi="Calibri" w:cs="Calibri"/>
        </w:rPr>
        <w:t>$</w:t>
      </w:r>
      <w:r>
        <w:t>10 million. This monotonic increase in the odds of being an acquirer is also apparent when we measure size using employee headcounts instead of turnover. Results controlling for industry show similar (under headcount measures of size) or stronger (under turnover measures if size) relationships between the size of an enterprise group and the odds of it being an acquirer.</w:t>
      </w:r>
    </w:p>
    <w:p w14:paraId="7572B6E2" w14:textId="77777777" w:rsidR="00446CED" w:rsidRDefault="00446CED" w:rsidP="00682F8D">
      <w:r>
        <w:t>The profitability of an enterprise group/firm seems to have little bearing on the odds of being an acquirer with the productivity results are mixed: they range from higher productivity leading to a slightly lower likelihood (under turnover measures of size) to a slightly higher likelihood (under headcount measures of size).</w:t>
      </w:r>
    </w:p>
    <w:p w14:paraId="4CDEEF57" w14:textId="77777777" w:rsidR="00446CED" w:rsidRDefault="00446CED" w:rsidP="00682F8D">
      <w:r>
        <w:t>Enterprise groups holding at least one trademark are around 1.6 to 2 times as likely to be an acquirer, with slightly smaller odds after controlling for industry. The existence of a patent does not seem to increase the odds of an enterprise group being an acquirer.</w:t>
      </w:r>
    </w:p>
    <w:p w14:paraId="1F90C489" w14:textId="77777777" w:rsidR="00446CED" w:rsidRDefault="00446CED" w:rsidP="00682F8D">
      <w:r>
        <w:t xml:space="preserve">Australia’s new mandatory merger regime will require notification where (a) the acquirer has a turnover above </w:t>
      </w:r>
      <w:r>
        <w:rPr>
          <w:rFonts w:ascii="Calibri" w:eastAsia="Calibri" w:hAnsi="Calibri" w:cs="Calibri"/>
        </w:rPr>
        <w:t>$</w:t>
      </w:r>
      <w:r>
        <w:t xml:space="preserve">200 million, and the target has Australian turnover of more than </w:t>
      </w:r>
      <w:r>
        <w:rPr>
          <w:rFonts w:ascii="Calibri" w:eastAsia="Calibri" w:hAnsi="Calibri" w:cs="Calibri"/>
        </w:rPr>
        <w:t>$</w:t>
      </w:r>
      <w:r>
        <w:t xml:space="preserve">50 million; and (b) a business with Australian turnover of more than </w:t>
      </w:r>
      <w:r>
        <w:rPr>
          <w:rFonts w:ascii="Calibri" w:eastAsia="Calibri" w:hAnsi="Calibri" w:cs="Calibri"/>
        </w:rPr>
        <w:t>$</w:t>
      </w:r>
      <w:r>
        <w:t xml:space="preserve">500 million and the target has a turnover above </w:t>
      </w:r>
      <w:r>
        <w:rPr>
          <w:rFonts w:ascii="Calibri" w:eastAsia="Calibri" w:hAnsi="Calibri" w:cs="Calibri"/>
        </w:rPr>
        <w:t>$</w:t>
      </w:r>
      <w:r>
        <w:t xml:space="preserve">10 million. These results indicate that the threshold at </w:t>
      </w:r>
      <w:r>
        <w:rPr>
          <w:rFonts w:ascii="Calibri" w:eastAsia="Calibri" w:hAnsi="Calibri" w:cs="Calibri"/>
        </w:rPr>
        <w:t>$</w:t>
      </w:r>
      <w:r>
        <w:t>200 million would capture firms most likely to be acquirers.</w:t>
      </w:r>
    </w:p>
    <w:p w14:paraId="49E9B9D3" w14:textId="023BA075" w:rsidR="00446CED" w:rsidRDefault="00046835" w:rsidP="00B1227F">
      <w:pPr>
        <w:pStyle w:val="TableMainHeading"/>
      </w:pPr>
      <w:bookmarkStart w:id="27" w:name="_Toc211507339"/>
      <w:r>
        <w:t>Table 4: Odds ratios and diagnostics from logit model to predict acquirer firms</w:t>
      </w:r>
      <w:bookmarkEnd w:id="27"/>
    </w:p>
    <w:p w14:paraId="268AC1F3" w14:textId="51204A48" w:rsidR="00446CED" w:rsidRDefault="00446CED" w:rsidP="00446CED">
      <w:pPr>
        <w:spacing w:after="0" w:line="259" w:lineRule="auto"/>
        <w:ind w:left="150" w:right="24"/>
      </w:pPr>
    </w:p>
    <w:tbl>
      <w:tblPr>
        <w:tblStyle w:val="TableGrid"/>
        <w:tblW w:w="9384" w:type="dxa"/>
        <w:tblLook w:val="04A0" w:firstRow="1" w:lastRow="0" w:firstColumn="1" w:lastColumn="0" w:noHBand="0" w:noVBand="1"/>
      </w:tblPr>
      <w:tblGrid>
        <w:gridCol w:w="4296"/>
        <w:gridCol w:w="1208"/>
        <w:gridCol w:w="1208"/>
        <w:gridCol w:w="1464"/>
        <w:gridCol w:w="1208"/>
      </w:tblGrid>
      <w:tr w:rsidR="00054AB5" w14:paraId="1EA1F5F8" w14:textId="77777777" w:rsidTr="00054AB5">
        <w:trPr>
          <w:cnfStyle w:val="100000000000" w:firstRow="1" w:lastRow="0" w:firstColumn="0" w:lastColumn="0" w:oddVBand="0" w:evenVBand="0" w:oddHBand="0" w:evenHBand="0" w:firstRowFirstColumn="0" w:firstRowLastColumn="0" w:lastRowFirstColumn="0" w:lastRowLastColumn="0"/>
          <w:trHeight w:val="293"/>
        </w:trPr>
        <w:tc>
          <w:tcPr>
            <w:tcW w:w="4296" w:type="dxa"/>
          </w:tcPr>
          <w:p w14:paraId="5452DB04" w14:textId="2523795D" w:rsidR="00054AB5" w:rsidRDefault="00054AB5" w:rsidP="00054AB5">
            <w:pPr>
              <w:spacing w:after="0"/>
              <w:rPr>
                <w:rFonts w:ascii="Calibri" w:eastAsia="Calibri" w:hAnsi="Calibri" w:cs="Calibri"/>
              </w:rPr>
            </w:pPr>
          </w:p>
        </w:tc>
        <w:tc>
          <w:tcPr>
            <w:tcW w:w="2416" w:type="dxa"/>
            <w:gridSpan w:val="2"/>
          </w:tcPr>
          <w:p w14:paraId="3595B43A" w14:textId="396A8405" w:rsidR="00054AB5" w:rsidRDefault="00054AB5" w:rsidP="00054AB5">
            <w:pPr>
              <w:spacing w:after="0"/>
            </w:pPr>
            <w:r>
              <w:t>Turnover size controls</w:t>
            </w:r>
          </w:p>
        </w:tc>
        <w:tc>
          <w:tcPr>
            <w:tcW w:w="2672" w:type="dxa"/>
            <w:gridSpan w:val="2"/>
          </w:tcPr>
          <w:p w14:paraId="07C7FF83" w14:textId="0F2C7A3D" w:rsidR="00054AB5" w:rsidRDefault="00054AB5" w:rsidP="00054AB5">
            <w:pPr>
              <w:spacing w:after="0"/>
            </w:pPr>
            <w:r>
              <w:t>Employment size controls</w:t>
            </w:r>
          </w:p>
        </w:tc>
      </w:tr>
      <w:tr w:rsidR="00054AB5" w14:paraId="652DF3F9" w14:textId="77777777" w:rsidTr="00054AB5">
        <w:trPr>
          <w:trHeight w:val="293"/>
        </w:trPr>
        <w:tc>
          <w:tcPr>
            <w:tcW w:w="4296" w:type="dxa"/>
            <w:tcBorders>
              <w:bottom w:val="single" w:sz="4" w:space="0" w:color="auto"/>
            </w:tcBorders>
          </w:tcPr>
          <w:p w14:paraId="49B07C44" w14:textId="5CF39F27" w:rsidR="00054AB5" w:rsidRPr="00FA16C3" w:rsidRDefault="00054AB5" w:rsidP="00054AB5">
            <w:pPr>
              <w:spacing w:after="0"/>
              <w:rPr>
                <w:b/>
                <w:bCs/>
              </w:rPr>
            </w:pPr>
            <w:r w:rsidRPr="00FA16C3">
              <w:rPr>
                <w:b/>
                <w:bCs/>
              </w:rPr>
              <w:t>Turnover bins</w:t>
            </w:r>
          </w:p>
        </w:tc>
        <w:tc>
          <w:tcPr>
            <w:tcW w:w="2416" w:type="dxa"/>
            <w:gridSpan w:val="2"/>
            <w:tcBorders>
              <w:bottom w:val="single" w:sz="4" w:space="0" w:color="auto"/>
            </w:tcBorders>
          </w:tcPr>
          <w:p w14:paraId="129C1067" w14:textId="77777777" w:rsidR="00054AB5" w:rsidRDefault="00054AB5" w:rsidP="00054AB5">
            <w:pPr>
              <w:spacing w:after="0"/>
            </w:pPr>
          </w:p>
        </w:tc>
        <w:tc>
          <w:tcPr>
            <w:tcW w:w="2672" w:type="dxa"/>
            <w:gridSpan w:val="2"/>
            <w:tcBorders>
              <w:bottom w:val="single" w:sz="4" w:space="0" w:color="auto"/>
            </w:tcBorders>
          </w:tcPr>
          <w:p w14:paraId="082DEEC7" w14:textId="77777777" w:rsidR="00054AB5" w:rsidRDefault="00054AB5" w:rsidP="00054AB5">
            <w:pPr>
              <w:spacing w:after="0"/>
            </w:pPr>
          </w:p>
        </w:tc>
      </w:tr>
      <w:tr w:rsidR="00446CED" w14:paraId="5631AD9B" w14:textId="77777777" w:rsidTr="00054AB5">
        <w:trPr>
          <w:trHeight w:val="293"/>
        </w:trPr>
        <w:tc>
          <w:tcPr>
            <w:tcW w:w="4296" w:type="dxa"/>
            <w:tcBorders>
              <w:top w:val="single" w:sz="4" w:space="0" w:color="auto"/>
            </w:tcBorders>
          </w:tcPr>
          <w:p w14:paraId="343F4924" w14:textId="77777777" w:rsidR="00446CED" w:rsidRDefault="00446CED" w:rsidP="00054AB5">
            <w:pPr>
              <w:spacing w:after="0"/>
            </w:pPr>
            <w:r>
              <w:rPr>
                <w:rFonts w:ascii="Calibri" w:eastAsia="Calibri" w:hAnsi="Calibri" w:cs="Calibri"/>
              </w:rPr>
              <w:t>$</w:t>
            </w:r>
            <w:r>
              <w:t xml:space="preserve">10m to </w:t>
            </w:r>
            <w:r>
              <w:rPr>
                <w:rFonts w:ascii="Calibri" w:eastAsia="Calibri" w:hAnsi="Calibri" w:cs="Calibri"/>
              </w:rPr>
              <w:t>$</w:t>
            </w:r>
            <w:r>
              <w:t>50m</w:t>
            </w:r>
          </w:p>
        </w:tc>
        <w:tc>
          <w:tcPr>
            <w:tcW w:w="1208" w:type="dxa"/>
            <w:tcBorders>
              <w:top w:val="single" w:sz="4" w:space="0" w:color="auto"/>
            </w:tcBorders>
          </w:tcPr>
          <w:p w14:paraId="7AE5B6F4" w14:textId="77777777" w:rsidR="00446CED" w:rsidRDefault="00446CED" w:rsidP="00054AB5">
            <w:pPr>
              <w:spacing w:after="0"/>
            </w:pPr>
            <w:r>
              <w:t>6.301***</w:t>
            </w:r>
          </w:p>
        </w:tc>
        <w:tc>
          <w:tcPr>
            <w:tcW w:w="1208" w:type="dxa"/>
            <w:tcBorders>
              <w:top w:val="single" w:sz="4" w:space="0" w:color="auto"/>
            </w:tcBorders>
          </w:tcPr>
          <w:p w14:paraId="59A8966A" w14:textId="77777777" w:rsidR="00446CED" w:rsidRDefault="00446CED" w:rsidP="00054AB5">
            <w:pPr>
              <w:spacing w:after="0"/>
            </w:pPr>
            <w:r>
              <w:t>6.866***</w:t>
            </w:r>
          </w:p>
        </w:tc>
        <w:tc>
          <w:tcPr>
            <w:tcW w:w="1464" w:type="dxa"/>
            <w:tcBorders>
              <w:top w:val="single" w:sz="4" w:space="0" w:color="auto"/>
            </w:tcBorders>
          </w:tcPr>
          <w:p w14:paraId="339F5060" w14:textId="77777777" w:rsidR="00446CED" w:rsidRDefault="00446CED" w:rsidP="00054AB5">
            <w:pPr>
              <w:spacing w:after="0"/>
            </w:pPr>
          </w:p>
        </w:tc>
        <w:tc>
          <w:tcPr>
            <w:tcW w:w="1208" w:type="dxa"/>
            <w:tcBorders>
              <w:top w:val="single" w:sz="4" w:space="0" w:color="auto"/>
            </w:tcBorders>
          </w:tcPr>
          <w:p w14:paraId="01DB53FC" w14:textId="77777777" w:rsidR="00446CED" w:rsidRDefault="00446CED" w:rsidP="00054AB5">
            <w:pPr>
              <w:spacing w:after="0"/>
            </w:pPr>
          </w:p>
        </w:tc>
      </w:tr>
      <w:tr w:rsidR="00446CED" w14:paraId="3BECC8B4" w14:textId="77777777" w:rsidTr="00054AB5">
        <w:trPr>
          <w:trHeight w:val="293"/>
        </w:trPr>
        <w:tc>
          <w:tcPr>
            <w:tcW w:w="4296" w:type="dxa"/>
          </w:tcPr>
          <w:p w14:paraId="4ADE02F4" w14:textId="77777777" w:rsidR="00446CED" w:rsidRDefault="00446CED" w:rsidP="00054AB5">
            <w:pPr>
              <w:spacing w:after="0"/>
            </w:pPr>
          </w:p>
        </w:tc>
        <w:tc>
          <w:tcPr>
            <w:tcW w:w="1208" w:type="dxa"/>
          </w:tcPr>
          <w:p w14:paraId="42242DD9" w14:textId="77777777" w:rsidR="00446CED" w:rsidRDefault="00446CED" w:rsidP="00054AB5">
            <w:pPr>
              <w:spacing w:after="0"/>
            </w:pPr>
            <w:r>
              <w:t>(0.194)</w:t>
            </w:r>
          </w:p>
        </w:tc>
        <w:tc>
          <w:tcPr>
            <w:tcW w:w="1208" w:type="dxa"/>
          </w:tcPr>
          <w:p w14:paraId="00FFA432" w14:textId="77777777" w:rsidR="00446CED" w:rsidRDefault="00446CED" w:rsidP="00054AB5">
            <w:pPr>
              <w:spacing w:after="0"/>
            </w:pPr>
            <w:r>
              <w:t>(0.234)</w:t>
            </w:r>
          </w:p>
        </w:tc>
        <w:tc>
          <w:tcPr>
            <w:tcW w:w="1464" w:type="dxa"/>
          </w:tcPr>
          <w:p w14:paraId="6A4AB4C7" w14:textId="77777777" w:rsidR="00446CED" w:rsidRDefault="00446CED" w:rsidP="00054AB5">
            <w:pPr>
              <w:spacing w:after="0"/>
            </w:pPr>
          </w:p>
        </w:tc>
        <w:tc>
          <w:tcPr>
            <w:tcW w:w="1208" w:type="dxa"/>
          </w:tcPr>
          <w:p w14:paraId="4F063359" w14:textId="77777777" w:rsidR="00446CED" w:rsidRDefault="00446CED" w:rsidP="00054AB5">
            <w:pPr>
              <w:spacing w:after="0"/>
            </w:pPr>
          </w:p>
        </w:tc>
      </w:tr>
      <w:tr w:rsidR="00446CED" w14:paraId="72280369" w14:textId="77777777" w:rsidTr="00054AB5">
        <w:trPr>
          <w:trHeight w:val="293"/>
        </w:trPr>
        <w:tc>
          <w:tcPr>
            <w:tcW w:w="4296" w:type="dxa"/>
          </w:tcPr>
          <w:p w14:paraId="05DC8666" w14:textId="77777777" w:rsidR="00446CED" w:rsidRDefault="00446CED" w:rsidP="00054AB5">
            <w:pPr>
              <w:spacing w:after="0"/>
            </w:pPr>
            <w:r>
              <w:rPr>
                <w:rFonts w:ascii="Calibri" w:eastAsia="Calibri" w:hAnsi="Calibri" w:cs="Calibri"/>
              </w:rPr>
              <w:t>$</w:t>
            </w:r>
            <w:r>
              <w:t xml:space="preserve">50m - </w:t>
            </w:r>
            <w:r>
              <w:rPr>
                <w:rFonts w:ascii="Calibri" w:eastAsia="Calibri" w:hAnsi="Calibri" w:cs="Calibri"/>
              </w:rPr>
              <w:t>$</w:t>
            </w:r>
            <w:r>
              <w:t>200m</w:t>
            </w:r>
          </w:p>
        </w:tc>
        <w:tc>
          <w:tcPr>
            <w:tcW w:w="1208" w:type="dxa"/>
          </w:tcPr>
          <w:p w14:paraId="781CA4D5" w14:textId="77777777" w:rsidR="00446CED" w:rsidRDefault="00446CED" w:rsidP="00054AB5">
            <w:pPr>
              <w:spacing w:after="0"/>
            </w:pPr>
            <w:r>
              <w:t>15.16***</w:t>
            </w:r>
          </w:p>
        </w:tc>
        <w:tc>
          <w:tcPr>
            <w:tcW w:w="1208" w:type="dxa"/>
          </w:tcPr>
          <w:p w14:paraId="7DEC7EE7" w14:textId="77777777" w:rsidR="00446CED" w:rsidRDefault="00446CED" w:rsidP="00054AB5">
            <w:pPr>
              <w:spacing w:after="0"/>
            </w:pPr>
            <w:r>
              <w:t>16.72***</w:t>
            </w:r>
          </w:p>
        </w:tc>
        <w:tc>
          <w:tcPr>
            <w:tcW w:w="1464" w:type="dxa"/>
          </w:tcPr>
          <w:p w14:paraId="74CD6A1D" w14:textId="77777777" w:rsidR="00446CED" w:rsidRDefault="00446CED" w:rsidP="00054AB5">
            <w:pPr>
              <w:spacing w:after="0"/>
            </w:pPr>
          </w:p>
        </w:tc>
        <w:tc>
          <w:tcPr>
            <w:tcW w:w="1208" w:type="dxa"/>
          </w:tcPr>
          <w:p w14:paraId="076CC0AB" w14:textId="77777777" w:rsidR="00446CED" w:rsidRDefault="00446CED" w:rsidP="00054AB5">
            <w:pPr>
              <w:spacing w:after="0"/>
            </w:pPr>
          </w:p>
        </w:tc>
      </w:tr>
      <w:tr w:rsidR="00446CED" w14:paraId="2FE8AF6F" w14:textId="77777777" w:rsidTr="00054AB5">
        <w:trPr>
          <w:trHeight w:val="293"/>
        </w:trPr>
        <w:tc>
          <w:tcPr>
            <w:tcW w:w="4296" w:type="dxa"/>
          </w:tcPr>
          <w:p w14:paraId="0417C231" w14:textId="77777777" w:rsidR="00446CED" w:rsidRDefault="00446CED" w:rsidP="00054AB5">
            <w:pPr>
              <w:spacing w:after="0"/>
            </w:pPr>
          </w:p>
        </w:tc>
        <w:tc>
          <w:tcPr>
            <w:tcW w:w="1208" w:type="dxa"/>
          </w:tcPr>
          <w:p w14:paraId="1E818CC6" w14:textId="77777777" w:rsidR="00446CED" w:rsidRDefault="00446CED" w:rsidP="00054AB5">
            <w:pPr>
              <w:spacing w:after="0"/>
            </w:pPr>
            <w:r>
              <w:t>(0.719)</w:t>
            </w:r>
          </w:p>
        </w:tc>
        <w:tc>
          <w:tcPr>
            <w:tcW w:w="1208" w:type="dxa"/>
          </w:tcPr>
          <w:p w14:paraId="6B023988" w14:textId="77777777" w:rsidR="00446CED" w:rsidRDefault="00446CED" w:rsidP="00054AB5">
            <w:pPr>
              <w:spacing w:after="0"/>
            </w:pPr>
            <w:r>
              <w:t>(0.862)</w:t>
            </w:r>
          </w:p>
        </w:tc>
        <w:tc>
          <w:tcPr>
            <w:tcW w:w="1464" w:type="dxa"/>
          </w:tcPr>
          <w:p w14:paraId="4F65F9B0" w14:textId="77777777" w:rsidR="00446CED" w:rsidRDefault="00446CED" w:rsidP="00054AB5">
            <w:pPr>
              <w:spacing w:after="0"/>
            </w:pPr>
          </w:p>
        </w:tc>
        <w:tc>
          <w:tcPr>
            <w:tcW w:w="1208" w:type="dxa"/>
          </w:tcPr>
          <w:p w14:paraId="1628A257" w14:textId="77777777" w:rsidR="00446CED" w:rsidRDefault="00446CED" w:rsidP="00054AB5">
            <w:pPr>
              <w:spacing w:after="0"/>
            </w:pPr>
          </w:p>
        </w:tc>
      </w:tr>
      <w:tr w:rsidR="00446CED" w14:paraId="4F8BCB7F" w14:textId="77777777" w:rsidTr="00054AB5">
        <w:trPr>
          <w:trHeight w:val="293"/>
        </w:trPr>
        <w:tc>
          <w:tcPr>
            <w:tcW w:w="4296" w:type="dxa"/>
          </w:tcPr>
          <w:p w14:paraId="0C9F0846" w14:textId="77777777" w:rsidR="00446CED" w:rsidRDefault="00446CED" w:rsidP="00054AB5">
            <w:pPr>
              <w:spacing w:after="0"/>
            </w:pPr>
            <w:r>
              <w:rPr>
                <w:rFonts w:ascii="Calibri" w:eastAsia="Calibri" w:hAnsi="Calibri" w:cs="Calibri"/>
              </w:rPr>
              <w:t>$</w:t>
            </w:r>
            <w:r>
              <w:t xml:space="preserve">200m - </w:t>
            </w:r>
            <w:r>
              <w:rPr>
                <w:rFonts w:ascii="Calibri" w:eastAsia="Calibri" w:hAnsi="Calibri" w:cs="Calibri"/>
              </w:rPr>
              <w:t>$</w:t>
            </w:r>
            <w:r>
              <w:t>500m</w:t>
            </w:r>
          </w:p>
        </w:tc>
        <w:tc>
          <w:tcPr>
            <w:tcW w:w="1208" w:type="dxa"/>
          </w:tcPr>
          <w:p w14:paraId="4C0D1BD4" w14:textId="77777777" w:rsidR="00446CED" w:rsidRDefault="00446CED" w:rsidP="00054AB5">
            <w:pPr>
              <w:spacing w:after="0"/>
            </w:pPr>
            <w:r>
              <w:t>28.89***</w:t>
            </w:r>
          </w:p>
        </w:tc>
        <w:tc>
          <w:tcPr>
            <w:tcW w:w="1208" w:type="dxa"/>
          </w:tcPr>
          <w:p w14:paraId="2DF168E9" w14:textId="77777777" w:rsidR="00446CED" w:rsidRDefault="00446CED" w:rsidP="00054AB5">
            <w:pPr>
              <w:spacing w:after="0"/>
            </w:pPr>
            <w:r>
              <w:t>32.25***</w:t>
            </w:r>
          </w:p>
        </w:tc>
        <w:tc>
          <w:tcPr>
            <w:tcW w:w="1464" w:type="dxa"/>
          </w:tcPr>
          <w:p w14:paraId="215284C5" w14:textId="77777777" w:rsidR="00446CED" w:rsidRDefault="00446CED" w:rsidP="00054AB5">
            <w:pPr>
              <w:spacing w:after="0"/>
            </w:pPr>
          </w:p>
        </w:tc>
        <w:tc>
          <w:tcPr>
            <w:tcW w:w="1208" w:type="dxa"/>
          </w:tcPr>
          <w:p w14:paraId="75BC3009" w14:textId="77777777" w:rsidR="00446CED" w:rsidRDefault="00446CED" w:rsidP="00054AB5">
            <w:pPr>
              <w:spacing w:after="0"/>
            </w:pPr>
          </w:p>
        </w:tc>
      </w:tr>
      <w:tr w:rsidR="00446CED" w14:paraId="2805CF0C" w14:textId="77777777" w:rsidTr="00054AB5">
        <w:trPr>
          <w:trHeight w:val="293"/>
        </w:trPr>
        <w:tc>
          <w:tcPr>
            <w:tcW w:w="4296" w:type="dxa"/>
          </w:tcPr>
          <w:p w14:paraId="410A954A" w14:textId="77777777" w:rsidR="00446CED" w:rsidRDefault="00446CED" w:rsidP="00054AB5">
            <w:pPr>
              <w:spacing w:after="0"/>
            </w:pPr>
          </w:p>
        </w:tc>
        <w:tc>
          <w:tcPr>
            <w:tcW w:w="1208" w:type="dxa"/>
          </w:tcPr>
          <w:p w14:paraId="4E0DFCAB" w14:textId="77777777" w:rsidR="00446CED" w:rsidRDefault="00446CED" w:rsidP="00054AB5">
            <w:pPr>
              <w:spacing w:after="0"/>
            </w:pPr>
            <w:r>
              <w:t>(2.154)</w:t>
            </w:r>
          </w:p>
        </w:tc>
        <w:tc>
          <w:tcPr>
            <w:tcW w:w="1208" w:type="dxa"/>
          </w:tcPr>
          <w:p w14:paraId="09A2FC39" w14:textId="77777777" w:rsidR="00446CED" w:rsidRDefault="00446CED" w:rsidP="00054AB5">
            <w:pPr>
              <w:spacing w:after="0"/>
            </w:pPr>
            <w:r>
              <w:t>(2.538)</w:t>
            </w:r>
          </w:p>
        </w:tc>
        <w:tc>
          <w:tcPr>
            <w:tcW w:w="1464" w:type="dxa"/>
          </w:tcPr>
          <w:p w14:paraId="4CB2D0DA" w14:textId="77777777" w:rsidR="00446CED" w:rsidRDefault="00446CED" w:rsidP="00054AB5">
            <w:pPr>
              <w:spacing w:after="0"/>
            </w:pPr>
          </w:p>
        </w:tc>
        <w:tc>
          <w:tcPr>
            <w:tcW w:w="1208" w:type="dxa"/>
          </w:tcPr>
          <w:p w14:paraId="0303133D" w14:textId="77777777" w:rsidR="00446CED" w:rsidRDefault="00446CED" w:rsidP="00054AB5">
            <w:pPr>
              <w:spacing w:after="0"/>
            </w:pPr>
          </w:p>
        </w:tc>
      </w:tr>
      <w:tr w:rsidR="00446CED" w14:paraId="2A09BAC8" w14:textId="77777777" w:rsidTr="00054AB5">
        <w:trPr>
          <w:trHeight w:val="293"/>
        </w:trPr>
        <w:tc>
          <w:tcPr>
            <w:tcW w:w="4296" w:type="dxa"/>
          </w:tcPr>
          <w:p w14:paraId="01E4C892" w14:textId="77777777" w:rsidR="00446CED" w:rsidRDefault="00446CED" w:rsidP="00054AB5">
            <w:pPr>
              <w:spacing w:after="0"/>
            </w:pPr>
            <w:r>
              <w:rPr>
                <w:rFonts w:ascii="Calibri" w:eastAsia="Calibri" w:hAnsi="Calibri" w:cs="Calibri"/>
              </w:rPr>
              <w:t>$</w:t>
            </w:r>
            <w:r>
              <w:t>500m+</w:t>
            </w:r>
          </w:p>
        </w:tc>
        <w:tc>
          <w:tcPr>
            <w:tcW w:w="1208" w:type="dxa"/>
          </w:tcPr>
          <w:p w14:paraId="40EF3EEA" w14:textId="77777777" w:rsidR="00446CED" w:rsidRDefault="00446CED" w:rsidP="00054AB5">
            <w:pPr>
              <w:spacing w:after="0"/>
            </w:pPr>
            <w:r>
              <w:t>48.45***</w:t>
            </w:r>
          </w:p>
        </w:tc>
        <w:tc>
          <w:tcPr>
            <w:tcW w:w="1208" w:type="dxa"/>
          </w:tcPr>
          <w:p w14:paraId="354D617D" w14:textId="77777777" w:rsidR="00446CED" w:rsidRDefault="00446CED" w:rsidP="00054AB5">
            <w:pPr>
              <w:spacing w:after="0"/>
            </w:pPr>
            <w:r>
              <w:t>54.58***</w:t>
            </w:r>
          </w:p>
        </w:tc>
        <w:tc>
          <w:tcPr>
            <w:tcW w:w="1464" w:type="dxa"/>
          </w:tcPr>
          <w:p w14:paraId="74A1D804" w14:textId="77777777" w:rsidR="00446CED" w:rsidRDefault="00446CED" w:rsidP="00054AB5">
            <w:pPr>
              <w:spacing w:after="0"/>
            </w:pPr>
          </w:p>
        </w:tc>
        <w:tc>
          <w:tcPr>
            <w:tcW w:w="1208" w:type="dxa"/>
          </w:tcPr>
          <w:p w14:paraId="7FE908F6" w14:textId="77777777" w:rsidR="00446CED" w:rsidRDefault="00446CED" w:rsidP="00054AB5">
            <w:pPr>
              <w:spacing w:after="0"/>
            </w:pPr>
          </w:p>
        </w:tc>
      </w:tr>
      <w:tr w:rsidR="00446CED" w14:paraId="40E2202B" w14:textId="77777777" w:rsidTr="00054AB5">
        <w:trPr>
          <w:trHeight w:val="293"/>
        </w:trPr>
        <w:tc>
          <w:tcPr>
            <w:tcW w:w="4296" w:type="dxa"/>
          </w:tcPr>
          <w:p w14:paraId="524F5668" w14:textId="069AFAA0" w:rsidR="00446CED" w:rsidRDefault="00446CED" w:rsidP="00054AB5">
            <w:pPr>
              <w:spacing w:after="0"/>
            </w:pPr>
          </w:p>
        </w:tc>
        <w:tc>
          <w:tcPr>
            <w:tcW w:w="1208" w:type="dxa"/>
          </w:tcPr>
          <w:p w14:paraId="48B2C61F" w14:textId="77777777" w:rsidR="00446CED" w:rsidRDefault="00446CED" w:rsidP="00054AB5">
            <w:pPr>
              <w:spacing w:after="0"/>
            </w:pPr>
            <w:r>
              <w:t>(4.372)</w:t>
            </w:r>
          </w:p>
        </w:tc>
        <w:tc>
          <w:tcPr>
            <w:tcW w:w="1208" w:type="dxa"/>
          </w:tcPr>
          <w:p w14:paraId="0D677426" w14:textId="77777777" w:rsidR="00446CED" w:rsidRDefault="00446CED" w:rsidP="00054AB5">
            <w:pPr>
              <w:spacing w:after="0"/>
            </w:pPr>
            <w:r>
              <w:t>(5.226)</w:t>
            </w:r>
          </w:p>
        </w:tc>
        <w:tc>
          <w:tcPr>
            <w:tcW w:w="1464" w:type="dxa"/>
          </w:tcPr>
          <w:p w14:paraId="54DF83F6" w14:textId="77777777" w:rsidR="00446CED" w:rsidRDefault="00446CED" w:rsidP="00054AB5">
            <w:pPr>
              <w:spacing w:after="0"/>
            </w:pPr>
          </w:p>
        </w:tc>
        <w:tc>
          <w:tcPr>
            <w:tcW w:w="1208" w:type="dxa"/>
          </w:tcPr>
          <w:p w14:paraId="1DD64A03" w14:textId="77777777" w:rsidR="00446CED" w:rsidRDefault="00446CED" w:rsidP="00054AB5">
            <w:pPr>
              <w:spacing w:after="0"/>
            </w:pPr>
          </w:p>
        </w:tc>
      </w:tr>
      <w:tr w:rsidR="00054AB5" w14:paraId="69CFA3D6" w14:textId="77777777" w:rsidTr="00054AB5">
        <w:trPr>
          <w:trHeight w:val="293"/>
        </w:trPr>
        <w:tc>
          <w:tcPr>
            <w:tcW w:w="4296" w:type="dxa"/>
            <w:tcBorders>
              <w:bottom w:val="single" w:sz="4" w:space="0" w:color="auto"/>
            </w:tcBorders>
          </w:tcPr>
          <w:p w14:paraId="5300A1CA" w14:textId="028D812E" w:rsidR="00054AB5" w:rsidRPr="00FA16C3" w:rsidRDefault="00054AB5" w:rsidP="00054AB5">
            <w:pPr>
              <w:spacing w:after="0"/>
              <w:rPr>
                <w:b/>
                <w:bCs/>
              </w:rPr>
            </w:pPr>
            <w:r w:rsidRPr="00FA16C3">
              <w:rPr>
                <w:b/>
                <w:bCs/>
              </w:rPr>
              <w:t>Employment bins</w:t>
            </w:r>
          </w:p>
        </w:tc>
        <w:tc>
          <w:tcPr>
            <w:tcW w:w="1208" w:type="dxa"/>
            <w:tcBorders>
              <w:bottom w:val="single" w:sz="4" w:space="0" w:color="auto"/>
            </w:tcBorders>
          </w:tcPr>
          <w:p w14:paraId="5A4B9F98" w14:textId="77777777" w:rsidR="00054AB5" w:rsidRDefault="00054AB5" w:rsidP="00054AB5">
            <w:pPr>
              <w:spacing w:after="0"/>
            </w:pPr>
          </w:p>
        </w:tc>
        <w:tc>
          <w:tcPr>
            <w:tcW w:w="1208" w:type="dxa"/>
            <w:tcBorders>
              <w:bottom w:val="single" w:sz="4" w:space="0" w:color="auto"/>
            </w:tcBorders>
          </w:tcPr>
          <w:p w14:paraId="22366290" w14:textId="77777777" w:rsidR="00054AB5" w:rsidRDefault="00054AB5" w:rsidP="00054AB5">
            <w:pPr>
              <w:spacing w:after="0"/>
            </w:pPr>
          </w:p>
        </w:tc>
        <w:tc>
          <w:tcPr>
            <w:tcW w:w="1464" w:type="dxa"/>
            <w:tcBorders>
              <w:bottom w:val="single" w:sz="4" w:space="0" w:color="auto"/>
            </w:tcBorders>
          </w:tcPr>
          <w:p w14:paraId="1B6FE7B6" w14:textId="77777777" w:rsidR="00054AB5" w:rsidRDefault="00054AB5" w:rsidP="00054AB5">
            <w:pPr>
              <w:spacing w:after="0"/>
            </w:pPr>
          </w:p>
        </w:tc>
        <w:tc>
          <w:tcPr>
            <w:tcW w:w="1208" w:type="dxa"/>
            <w:tcBorders>
              <w:bottom w:val="single" w:sz="4" w:space="0" w:color="auto"/>
            </w:tcBorders>
          </w:tcPr>
          <w:p w14:paraId="2F18E9D7" w14:textId="77777777" w:rsidR="00054AB5" w:rsidRDefault="00054AB5" w:rsidP="00054AB5">
            <w:pPr>
              <w:spacing w:after="0"/>
            </w:pPr>
          </w:p>
        </w:tc>
      </w:tr>
      <w:tr w:rsidR="00446CED" w14:paraId="1AB91F10" w14:textId="77777777" w:rsidTr="00054AB5">
        <w:trPr>
          <w:trHeight w:val="293"/>
        </w:trPr>
        <w:tc>
          <w:tcPr>
            <w:tcW w:w="4296" w:type="dxa"/>
            <w:tcBorders>
              <w:top w:val="single" w:sz="4" w:space="0" w:color="auto"/>
            </w:tcBorders>
          </w:tcPr>
          <w:p w14:paraId="3DF8EB9C" w14:textId="77777777" w:rsidR="00446CED" w:rsidRDefault="00446CED" w:rsidP="00054AB5">
            <w:pPr>
              <w:spacing w:after="0"/>
            </w:pPr>
            <w:r>
              <w:t>21-200 employees</w:t>
            </w:r>
          </w:p>
        </w:tc>
        <w:tc>
          <w:tcPr>
            <w:tcW w:w="1208" w:type="dxa"/>
            <w:tcBorders>
              <w:top w:val="single" w:sz="4" w:space="0" w:color="auto"/>
            </w:tcBorders>
          </w:tcPr>
          <w:p w14:paraId="11739F49" w14:textId="77777777" w:rsidR="00446CED" w:rsidRDefault="00446CED" w:rsidP="00054AB5">
            <w:pPr>
              <w:spacing w:after="0"/>
            </w:pPr>
          </w:p>
        </w:tc>
        <w:tc>
          <w:tcPr>
            <w:tcW w:w="1208" w:type="dxa"/>
            <w:tcBorders>
              <w:top w:val="single" w:sz="4" w:space="0" w:color="auto"/>
            </w:tcBorders>
          </w:tcPr>
          <w:p w14:paraId="1BB25E4E" w14:textId="77777777" w:rsidR="00446CED" w:rsidRDefault="00446CED" w:rsidP="00054AB5">
            <w:pPr>
              <w:spacing w:after="0"/>
            </w:pPr>
          </w:p>
        </w:tc>
        <w:tc>
          <w:tcPr>
            <w:tcW w:w="1464" w:type="dxa"/>
            <w:tcBorders>
              <w:top w:val="single" w:sz="4" w:space="0" w:color="auto"/>
            </w:tcBorders>
          </w:tcPr>
          <w:p w14:paraId="24D8A550" w14:textId="77777777" w:rsidR="00446CED" w:rsidRDefault="00446CED" w:rsidP="00054AB5">
            <w:pPr>
              <w:spacing w:after="0"/>
            </w:pPr>
            <w:r>
              <w:t>5.914***</w:t>
            </w:r>
          </w:p>
        </w:tc>
        <w:tc>
          <w:tcPr>
            <w:tcW w:w="1208" w:type="dxa"/>
            <w:tcBorders>
              <w:top w:val="single" w:sz="4" w:space="0" w:color="auto"/>
            </w:tcBorders>
          </w:tcPr>
          <w:p w14:paraId="264AB2C6" w14:textId="77777777" w:rsidR="00446CED" w:rsidRDefault="00446CED" w:rsidP="00054AB5">
            <w:pPr>
              <w:spacing w:after="0"/>
            </w:pPr>
            <w:r>
              <w:t>6.003***</w:t>
            </w:r>
          </w:p>
        </w:tc>
      </w:tr>
      <w:tr w:rsidR="00446CED" w14:paraId="4344C9EF" w14:textId="77777777" w:rsidTr="00054AB5">
        <w:trPr>
          <w:trHeight w:val="293"/>
        </w:trPr>
        <w:tc>
          <w:tcPr>
            <w:tcW w:w="4296" w:type="dxa"/>
          </w:tcPr>
          <w:p w14:paraId="4AE96714" w14:textId="77777777" w:rsidR="00446CED" w:rsidRDefault="00446CED" w:rsidP="00054AB5">
            <w:pPr>
              <w:spacing w:after="0"/>
            </w:pPr>
          </w:p>
        </w:tc>
        <w:tc>
          <w:tcPr>
            <w:tcW w:w="1208" w:type="dxa"/>
          </w:tcPr>
          <w:p w14:paraId="772441EE" w14:textId="77777777" w:rsidR="00446CED" w:rsidRDefault="00446CED" w:rsidP="00054AB5">
            <w:pPr>
              <w:spacing w:after="0"/>
            </w:pPr>
          </w:p>
        </w:tc>
        <w:tc>
          <w:tcPr>
            <w:tcW w:w="1208" w:type="dxa"/>
          </w:tcPr>
          <w:p w14:paraId="4502353B" w14:textId="77777777" w:rsidR="00446CED" w:rsidRDefault="00446CED" w:rsidP="00054AB5">
            <w:pPr>
              <w:spacing w:after="0"/>
            </w:pPr>
          </w:p>
        </w:tc>
        <w:tc>
          <w:tcPr>
            <w:tcW w:w="1464" w:type="dxa"/>
          </w:tcPr>
          <w:p w14:paraId="00C0F653" w14:textId="77777777" w:rsidR="00446CED" w:rsidRDefault="00446CED" w:rsidP="00054AB5">
            <w:pPr>
              <w:spacing w:after="0"/>
            </w:pPr>
            <w:r>
              <w:t>(0.216)</w:t>
            </w:r>
          </w:p>
        </w:tc>
        <w:tc>
          <w:tcPr>
            <w:tcW w:w="1208" w:type="dxa"/>
          </w:tcPr>
          <w:p w14:paraId="05B6721F" w14:textId="77777777" w:rsidR="00446CED" w:rsidRDefault="00446CED" w:rsidP="00054AB5">
            <w:pPr>
              <w:spacing w:after="0"/>
            </w:pPr>
            <w:r>
              <w:t>(0.220)</w:t>
            </w:r>
          </w:p>
        </w:tc>
      </w:tr>
      <w:tr w:rsidR="00446CED" w14:paraId="1299A8CB" w14:textId="77777777" w:rsidTr="00054AB5">
        <w:trPr>
          <w:trHeight w:val="293"/>
        </w:trPr>
        <w:tc>
          <w:tcPr>
            <w:tcW w:w="4296" w:type="dxa"/>
          </w:tcPr>
          <w:p w14:paraId="41039D6A" w14:textId="77777777" w:rsidR="00446CED" w:rsidRDefault="00446CED" w:rsidP="00054AB5">
            <w:pPr>
              <w:spacing w:after="0"/>
            </w:pPr>
            <w:r>
              <w:t>201-500 employees</w:t>
            </w:r>
          </w:p>
        </w:tc>
        <w:tc>
          <w:tcPr>
            <w:tcW w:w="1208" w:type="dxa"/>
          </w:tcPr>
          <w:p w14:paraId="42BABFF4" w14:textId="77777777" w:rsidR="00446CED" w:rsidRDefault="00446CED" w:rsidP="00054AB5">
            <w:pPr>
              <w:spacing w:after="0"/>
            </w:pPr>
          </w:p>
        </w:tc>
        <w:tc>
          <w:tcPr>
            <w:tcW w:w="1208" w:type="dxa"/>
          </w:tcPr>
          <w:p w14:paraId="1162C252" w14:textId="77777777" w:rsidR="00446CED" w:rsidRDefault="00446CED" w:rsidP="00054AB5">
            <w:pPr>
              <w:spacing w:after="0"/>
            </w:pPr>
          </w:p>
        </w:tc>
        <w:tc>
          <w:tcPr>
            <w:tcW w:w="1464" w:type="dxa"/>
          </w:tcPr>
          <w:p w14:paraId="14C56CA1" w14:textId="77777777" w:rsidR="00446CED" w:rsidRDefault="00446CED" w:rsidP="00054AB5">
            <w:pPr>
              <w:spacing w:after="0"/>
            </w:pPr>
            <w:r>
              <w:t>32.79***</w:t>
            </w:r>
          </w:p>
        </w:tc>
        <w:tc>
          <w:tcPr>
            <w:tcW w:w="1208" w:type="dxa"/>
          </w:tcPr>
          <w:p w14:paraId="74E50FBD" w14:textId="77777777" w:rsidR="00446CED" w:rsidRDefault="00446CED" w:rsidP="00054AB5">
            <w:pPr>
              <w:spacing w:after="0"/>
            </w:pPr>
            <w:r>
              <w:t>32.08***</w:t>
            </w:r>
          </w:p>
        </w:tc>
      </w:tr>
      <w:tr w:rsidR="00446CED" w14:paraId="125EF1CF" w14:textId="77777777" w:rsidTr="00054AB5">
        <w:trPr>
          <w:trHeight w:val="293"/>
        </w:trPr>
        <w:tc>
          <w:tcPr>
            <w:tcW w:w="4296" w:type="dxa"/>
          </w:tcPr>
          <w:p w14:paraId="2BED3336" w14:textId="77777777" w:rsidR="00446CED" w:rsidRDefault="00446CED" w:rsidP="00054AB5">
            <w:pPr>
              <w:spacing w:after="0"/>
            </w:pPr>
          </w:p>
        </w:tc>
        <w:tc>
          <w:tcPr>
            <w:tcW w:w="1208" w:type="dxa"/>
          </w:tcPr>
          <w:p w14:paraId="45D272B0" w14:textId="77777777" w:rsidR="00446CED" w:rsidRDefault="00446CED" w:rsidP="00054AB5">
            <w:pPr>
              <w:spacing w:after="0"/>
            </w:pPr>
          </w:p>
        </w:tc>
        <w:tc>
          <w:tcPr>
            <w:tcW w:w="1208" w:type="dxa"/>
          </w:tcPr>
          <w:p w14:paraId="35869C23" w14:textId="77777777" w:rsidR="00446CED" w:rsidRDefault="00446CED" w:rsidP="00054AB5">
            <w:pPr>
              <w:spacing w:after="0"/>
            </w:pPr>
          </w:p>
        </w:tc>
        <w:tc>
          <w:tcPr>
            <w:tcW w:w="1464" w:type="dxa"/>
          </w:tcPr>
          <w:p w14:paraId="0820A829" w14:textId="77777777" w:rsidR="00446CED" w:rsidRDefault="00446CED" w:rsidP="00054AB5">
            <w:pPr>
              <w:spacing w:after="0"/>
            </w:pPr>
            <w:r>
              <w:t>(1.685)</w:t>
            </w:r>
          </w:p>
        </w:tc>
        <w:tc>
          <w:tcPr>
            <w:tcW w:w="1208" w:type="dxa"/>
          </w:tcPr>
          <w:p w14:paraId="67DFDE45" w14:textId="77777777" w:rsidR="00446CED" w:rsidRDefault="00446CED" w:rsidP="00054AB5">
            <w:pPr>
              <w:spacing w:after="0"/>
            </w:pPr>
            <w:r>
              <w:t>(1.696)</w:t>
            </w:r>
          </w:p>
        </w:tc>
      </w:tr>
      <w:tr w:rsidR="00446CED" w14:paraId="2659BC18" w14:textId="77777777" w:rsidTr="00054AB5">
        <w:trPr>
          <w:trHeight w:val="293"/>
        </w:trPr>
        <w:tc>
          <w:tcPr>
            <w:tcW w:w="4296" w:type="dxa"/>
          </w:tcPr>
          <w:p w14:paraId="5F6F4586" w14:textId="77777777" w:rsidR="00446CED" w:rsidRDefault="00446CED" w:rsidP="00054AB5">
            <w:pPr>
              <w:spacing w:after="0"/>
            </w:pPr>
            <w:r>
              <w:t>501+ employees</w:t>
            </w:r>
          </w:p>
        </w:tc>
        <w:tc>
          <w:tcPr>
            <w:tcW w:w="1208" w:type="dxa"/>
          </w:tcPr>
          <w:p w14:paraId="4ACB0FC7" w14:textId="77777777" w:rsidR="00446CED" w:rsidRDefault="00446CED" w:rsidP="00054AB5">
            <w:pPr>
              <w:spacing w:after="0"/>
            </w:pPr>
          </w:p>
        </w:tc>
        <w:tc>
          <w:tcPr>
            <w:tcW w:w="1208" w:type="dxa"/>
          </w:tcPr>
          <w:p w14:paraId="6B2926EC" w14:textId="77777777" w:rsidR="00446CED" w:rsidRDefault="00446CED" w:rsidP="00054AB5">
            <w:pPr>
              <w:spacing w:after="0"/>
            </w:pPr>
          </w:p>
        </w:tc>
        <w:tc>
          <w:tcPr>
            <w:tcW w:w="1464" w:type="dxa"/>
          </w:tcPr>
          <w:p w14:paraId="24C71F93" w14:textId="77777777" w:rsidR="00446CED" w:rsidRDefault="00446CED" w:rsidP="00054AB5">
            <w:pPr>
              <w:spacing w:after="0"/>
            </w:pPr>
            <w:r>
              <w:t>88.36***</w:t>
            </w:r>
          </w:p>
        </w:tc>
        <w:tc>
          <w:tcPr>
            <w:tcW w:w="1208" w:type="dxa"/>
          </w:tcPr>
          <w:p w14:paraId="06131D5A" w14:textId="77777777" w:rsidR="00446CED" w:rsidRDefault="00446CED" w:rsidP="00054AB5">
            <w:pPr>
              <w:spacing w:after="0"/>
            </w:pPr>
            <w:r>
              <w:t>83.68***</w:t>
            </w:r>
          </w:p>
        </w:tc>
      </w:tr>
      <w:tr w:rsidR="00446CED" w14:paraId="56C6EFC7" w14:textId="77777777" w:rsidTr="00054AB5">
        <w:trPr>
          <w:trHeight w:val="293"/>
        </w:trPr>
        <w:tc>
          <w:tcPr>
            <w:tcW w:w="4296" w:type="dxa"/>
          </w:tcPr>
          <w:p w14:paraId="5B91B99C" w14:textId="22BE1471" w:rsidR="00446CED" w:rsidRDefault="00446CED" w:rsidP="00054AB5">
            <w:pPr>
              <w:spacing w:after="0"/>
            </w:pPr>
          </w:p>
        </w:tc>
        <w:tc>
          <w:tcPr>
            <w:tcW w:w="1208" w:type="dxa"/>
          </w:tcPr>
          <w:p w14:paraId="008A8E29" w14:textId="77777777" w:rsidR="00446CED" w:rsidRDefault="00446CED" w:rsidP="00054AB5">
            <w:pPr>
              <w:spacing w:after="0"/>
            </w:pPr>
          </w:p>
        </w:tc>
        <w:tc>
          <w:tcPr>
            <w:tcW w:w="1208" w:type="dxa"/>
          </w:tcPr>
          <w:p w14:paraId="5E7C715E" w14:textId="77777777" w:rsidR="00446CED" w:rsidRDefault="00446CED" w:rsidP="00054AB5">
            <w:pPr>
              <w:spacing w:after="0"/>
            </w:pPr>
          </w:p>
        </w:tc>
        <w:tc>
          <w:tcPr>
            <w:tcW w:w="1464" w:type="dxa"/>
          </w:tcPr>
          <w:p w14:paraId="6715FF02" w14:textId="77777777" w:rsidR="00446CED" w:rsidRDefault="00446CED" w:rsidP="00054AB5">
            <w:pPr>
              <w:spacing w:after="0"/>
            </w:pPr>
            <w:r>
              <w:t>(5.154)</w:t>
            </w:r>
          </w:p>
        </w:tc>
        <w:tc>
          <w:tcPr>
            <w:tcW w:w="1208" w:type="dxa"/>
          </w:tcPr>
          <w:p w14:paraId="51E4EF8E" w14:textId="77777777" w:rsidR="00446CED" w:rsidRDefault="00446CED" w:rsidP="00054AB5">
            <w:pPr>
              <w:spacing w:after="0"/>
            </w:pPr>
            <w:r>
              <w:t>(5.097)</w:t>
            </w:r>
          </w:p>
        </w:tc>
      </w:tr>
      <w:tr w:rsidR="00054AB5" w14:paraId="6B9F0C8C" w14:textId="77777777" w:rsidTr="00054AB5">
        <w:trPr>
          <w:trHeight w:val="293"/>
        </w:trPr>
        <w:tc>
          <w:tcPr>
            <w:tcW w:w="4296" w:type="dxa"/>
            <w:tcBorders>
              <w:bottom w:val="single" w:sz="4" w:space="0" w:color="auto"/>
            </w:tcBorders>
          </w:tcPr>
          <w:p w14:paraId="30EAD307" w14:textId="7122FFD9" w:rsidR="00054AB5" w:rsidRPr="00FA16C3" w:rsidRDefault="00054AB5" w:rsidP="00054AB5">
            <w:pPr>
              <w:spacing w:after="0"/>
              <w:rPr>
                <w:b/>
                <w:bCs/>
              </w:rPr>
            </w:pPr>
            <w:r w:rsidRPr="00FA16C3">
              <w:rPr>
                <w:b/>
                <w:bCs/>
              </w:rPr>
              <w:t>Other characteristics</w:t>
            </w:r>
          </w:p>
        </w:tc>
        <w:tc>
          <w:tcPr>
            <w:tcW w:w="1208" w:type="dxa"/>
            <w:tcBorders>
              <w:bottom w:val="single" w:sz="4" w:space="0" w:color="auto"/>
            </w:tcBorders>
          </w:tcPr>
          <w:p w14:paraId="3BAE7FBF" w14:textId="77777777" w:rsidR="00054AB5" w:rsidRDefault="00054AB5" w:rsidP="00054AB5">
            <w:pPr>
              <w:spacing w:after="0"/>
            </w:pPr>
          </w:p>
        </w:tc>
        <w:tc>
          <w:tcPr>
            <w:tcW w:w="1208" w:type="dxa"/>
            <w:tcBorders>
              <w:bottom w:val="single" w:sz="4" w:space="0" w:color="auto"/>
            </w:tcBorders>
          </w:tcPr>
          <w:p w14:paraId="306791D0" w14:textId="77777777" w:rsidR="00054AB5" w:rsidRDefault="00054AB5" w:rsidP="00054AB5">
            <w:pPr>
              <w:spacing w:after="0"/>
            </w:pPr>
          </w:p>
        </w:tc>
        <w:tc>
          <w:tcPr>
            <w:tcW w:w="1464" w:type="dxa"/>
            <w:tcBorders>
              <w:bottom w:val="single" w:sz="4" w:space="0" w:color="auto"/>
            </w:tcBorders>
          </w:tcPr>
          <w:p w14:paraId="1051A0B9" w14:textId="77777777" w:rsidR="00054AB5" w:rsidRDefault="00054AB5" w:rsidP="00054AB5">
            <w:pPr>
              <w:spacing w:after="0"/>
            </w:pPr>
          </w:p>
        </w:tc>
        <w:tc>
          <w:tcPr>
            <w:tcW w:w="1208" w:type="dxa"/>
            <w:tcBorders>
              <w:bottom w:val="single" w:sz="4" w:space="0" w:color="auto"/>
            </w:tcBorders>
          </w:tcPr>
          <w:p w14:paraId="268F899D" w14:textId="77777777" w:rsidR="00054AB5" w:rsidRDefault="00054AB5" w:rsidP="00054AB5">
            <w:pPr>
              <w:spacing w:after="0"/>
            </w:pPr>
          </w:p>
        </w:tc>
      </w:tr>
      <w:tr w:rsidR="00446CED" w14:paraId="5573ED50" w14:textId="77777777" w:rsidTr="00054AB5">
        <w:trPr>
          <w:trHeight w:val="293"/>
        </w:trPr>
        <w:tc>
          <w:tcPr>
            <w:tcW w:w="4296" w:type="dxa"/>
            <w:tcBorders>
              <w:top w:val="single" w:sz="4" w:space="0" w:color="auto"/>
            </w:tcBorders>
          </w:tcPr>
          <w:p w14:paraId="28E9934A" w14:textId="77777777" w:rsidR="00446CED" w:rsidRDefault="00446CED" w:rsidP="00054AB5">
            <w:pPr>
              <w:spacing w:after="0"/>
            </w:pPr>
            <w:r>
              <w:t>At least one patent</w:t>
            </w:r>
          </w:p>
        </w:tc>
        <w:tc>
          <w:tcPr>
            <w:tcW w:w="1208" w:type="dxa"/>
            <w:tcBorders>
              <w:top w:val="single" w:sz="4" w:space="0" w:color="auto"/>
            </w:tcBorders>
          </w:tcPr>
          <w:p w14:paraId="23C44A3D" w14:textId="77777777" w:rsidR="00446CED" w:rsidRDefault="00446CED" w:rsidP="00054AB5">
            <w:pPr>
              <w:spacing w:after="0"/>
            </w:pPr>
            <w:r>
              <w:t>1.033</w:t>
            </w:r>
          </w:p>
        </w:tc>
        <w:tc>
          <w:tcPr>
            <w:tcW w:w="1208" w:type="dxa"/>
            <w:tcBorders>
              <w:top w:val="single" w:sz="4" w:space="0" w:color="auto"/>
            </w:tcBorders>
          </w:tcPr>
          <w:p w14:paraId="3C60BD28" w14:textId="77777777" w:rsidR="00446CED" w:rsidRDefault="00446CED" w:rsidP="00054AB5">
            <w:pPr>
              <w:spacing w:after="0"/>
            </w:pPr>
            <w:r>
              <w:t>1.094</w:t>
            </w:r>
          </w:p>
        </w:tc>
        <w:tc>
          <w:tcPr>
            <w:tcW w:w="1464" w:type="dxa"/>
            <w:tcBorders>
              <w:top w:val="single" w:sz="4" w:space="0" w:color="auto"/>
            </w:tcBorders>
          </w:tcPr>
          <w:p w14:paraId="66458DCE" w14:textId="77777777" w:rsidR="00446CED" w:rsidRDefault="00446CED" w:rsidP="00054AB5">
            <w:pPr>
              <w:spacing w:after="0"/>
            </w:pPr>
            <w:r>
              <w:t>1.139</w:t>
            </w:r>
          </w:p>
        </w:tc>
        <w:tc>
          <w:tcPr>
            <w:tcW w:w="1208" w:type="dxa"/>
            <w:tcBorders>
              <w:top w:val="single" w:sz="4" w:space="0" w:color="auto"/>
            </w:tcBorders>
          </w:tcPr>
          <w:p w14:paraId="155E15B8" w14:textId="77777777" w:rsidR="00446CED" w:rsidRDefault="00446CED" w:rsidP="00054AB5">
            <w:pPr>
              <w:spacing w:after="0"/>
            </w:pPr>
            <w:r>
              <w:t>1.189*</w:t>
            </w:r>
          </w:p>
        </w:tc>
      </w:tr>
      <w:tr w:rsidR="00446CED" w14:paraId="2C2D4B9D" w14:textId="77777777" w:rsidTr="00054AB5">
        <w:trPr>
          <w:trHeight w:val="293"/>
        </w:trPr>
        <w:tc>
          <w:tcPr>
            <w:tcW w:w="4296" w:type="dxa"/>
          </w:tcPr>
          <w:p w14:paraId="5B63FC1D" w14:textId="77777777" w:rsidR="00446CED" w:rsidRDefault="00446CED" w:rsidP="00054AB5">
            <w:pPr>
              <w:spacing w:after="0"/>
            </w:pPr>
          </w:p>
        </w:tc>
        <w:tc>
          <w:tcPr>
            <w:tcW w:w="1208" w:type="dxa"/>
          </w:tcPr>
          <w:p w14:paraId="25CBCD83" w14:textId="77777777" w:rsidR="00446CED" w:rsidRDefault="00446CED" w:rsidP="00054AB5">
            <w:pPr>
              <w:spacing w:after="0"/>
            </w:pPr>
            <w:r>
              <w:t>(0.0934)</w:t>
            </w:r>
          </w:p>
        </w:tc>
        <w:tc>
          <w:tcPr>
            <w:tcW w:w="1208" w:type="dxa"/>
          </w:tcPr>
          <w:p w14:paraId="1697E06D" w14:textId="77777777" w:rsidR="00446CED" w:rsidRDefault="00446CED" w:rsidP="00054AB5">
            <w:pPr>
              <w:spacing w:after="0"/>
            </w:pPr>
            <w:r>
              <w:t>(0.0989)</w:t>
            </w:r>
          </w:p>
        </w:tc>
        <w:tc>
          <w:tcPr>
            <w:tcW w:w="1464" w:type="dxa"/>
          </w:tcPr>
          <w:p w14:paraId="5B897429" w14:textId="77777777" w:rsidR="00446CED" w:rsidRDefault="00446CED" w:rsidP="00054AB5">
            <w:pPr>
              <w:spacing w:after="0"/>
            </w:pPr>
            <w:r>
              <w:t>(0.101)</w:t>
            </w:r>
          </w:p>
        </w:tc>
        <w:tc>
          <w:tcPr>
            <w:tcW w:w="1208" w:type="dxa"/>
          </w:tcPr>
          <w:p w14:paraId="433A3C6F" w14:textId="77777777" w:rsidR="00446CED" w:rsidRDefault="00446CED" w:rsidP="00054AB5">
            <w:pPr>
              <w:spacing w:after="0"/>
            </w:pPr>
            <w:r>
              <w:t>(0.105)</w:t>
            </w:r>
          </w:p>
        </w:tc>
      </w:tr>
      <w:tr w:rsidR="00446CED" w14:paraId="36FA8F3C" w14:textId="77777777" w:rsidTr="00054AB5">
        <w:trPr>
          <w:trHeight w:val="293"/>
        </w:trPr>
        <w:tc>
          <w:tcPr>
            <w:tcW w:w="4296" w:type="dxa"/>
          </w:tcPr>
          <w:p w14:paraId="60BA7EFB" w14:textId="77777777" w:rsidR="00446CED" w:rsidRDefault="00446CED" w:rsidP="00054AB5">
            <w:pPr>
              <w:spacing w:after="0"/>
            </w:pPr>
            <w:r>
              <w:t>At least one trademark</w:t>
            </w:r>
          </w:p>
        </w:tc>
        <w:tc>
          <w:tcPr>
            <w:tcW w:w="1208" w:type="dxa"/>
          </w:tcPr>
          <w:p w14:paraId="6DA63ED2" w14:textId="77777777" w:rsidR="00446CED" w:rsidRDefault="00446CED" w:rsidP="00054AB5">
            <w:pPr>
              <w:spacing w:after="0"/>
            </w:pPr>
            <w:r>
              <w:t>1.881***</w:t>
            </w:r>
          </w:p>
        </w:tc>
        <w:tc>
          <w:tcPr>
            <w:tcW w:w="1208" w:type="dxa"/>
          </w:tcPr>
          <w:p w14:paraId="1DC4DDC0" w14:textId="77777777" w:rsidR="00446CED" w:rsidRDefault="00446CED" w:rsidP="00054AB5">
            <w:pPr>
              <w:spacing w:after="0"/>
            </w:pPr>
            <w:r>
              <w:t>1.726***</w:t>
            </w:r>
          </w:p>
        </w:tc>
        <w:tc>
          <w:tcPr>
            <w:tcW w:w="1464" w:type="dxa"/>
          </w:tcPr>
          <w:p w14:paraId="247BD21D" w14:textId="77777777" w:rsidR="00446CED" w:rsidRDefault="00446CED" w:rsidP="00054AB5">
            <w:pPr>
              <w:spacing w:after="0"/>
            </w:pPr>
            <w:r>
              <w:t>1.601***</w:t>
            </w:r>
          </w:p>
        </w:tc>
        <w:tc>
          <w:tcPr>
            <w:tcW w:w="1208" w:type="dxa"/>
          </w:tcPr>
          <w:p w14:paraId="3D386153" w14:textId="77777777" w:rsidR="00446CED" w:rsidRDefault="00446CED" w:rsidP="00054AB5">
            <w:pPr>
              <w:spacing w:after="0"/>
            </w:pPr>
            <w:r>
              <w:t>1.591***</w:t>
            </w:r>
          </w:p>
        </w:tc>
      </w:tr>
      <w:tr w:rsidR="00446CED" w14:paraId="04D9280B" w14:textId="77777777" w:rsidTr="00054AB5">
        <w:trPr>
          <w:trHeight w:val="293"/>
        </w:trPr>
        <w:tc>
          <w:tcPr>
            <w:tcW w:w="4296" w:type="dxa"/>
          </w:tcPr>
          <w:p w14:paraId="4555C1B8" w14:textId="77777777" w:rsidR="00446CED" w:rsidRDefault="00446CED" w:rsidP="00054AB5">
            <w:pPr>
              <w:spacing w:after="0"/>
            </w:pPr>
          </w:p>
        </w:tc>
        <w:tc>
          <w:tcPr>
            <w:tcW w:w="1208" w:type="dxa"/>
          </w:tcPr>
          <w:p w14:paraId="05F59048" w14:textId="77777777" w:rsidR="00446CED" w:rsidRDefault="00446CED" w:rsidP="00054AB5">
            <w:pPr>
              <w:spacing w:after="0"/>
            </w:pPr>
            <w:r>
              <w:t>(0.125)</w:t>
            </w:r>
          </w:p>
        </w:tc>
        <w:tc>
          <w:tcPr>
            <w:tcW w:w="1208" w:type="dxa"/>
          </w:tcPr>
          <w:p w14:paraId="38ACC4DE" w14:textId="77777777" w:rsidR="00446CED" w:rsidRDefault="00446CED" w:rsidP="00054AB5">
            <w:pPr>
              <w:spacing w:after="0"/>
            </w:pPr>
            <w:r>
              <w:t>(0.118)</w:t>
            </w:r>
          </w:p>
        </w:tc>
        <w:tc>
          <w:tcPr>
            <w:tcW w:w="1464" w:type="dxa"/>
          </w:tcPr>
          <w:p w14:paraId="570940A7" w14:textId="77777777" w:rsidR="00446CED" w:rsidRDefault="00446CED" w:rsidP="00054AB5">
            <w:pPr>
              <w:spacing w:after="0"/>
            </w:pPr>
            <w:r>
              <w:t>(0.0983)</w:t>
            </w:r>
          </w:p>
        </w:tc>
        <w:tc>
          <w:tcPr>
            <w:tcW w:w="1208" w:type="dxa"/>
          </w:tcPr>
          <w:p w14:paraId="190235DD" w14:textId="77777777" w:rsidR="00446CED" w:rsidRDefault="00446CED" w:rsidP="00054AB5">
            <w:pPr>
              <w:spacing w:after="0"/>
            </w:pPr>
            <w:r>
              <w:t>(0.102)</w:t>
            </w:r>
          </w:p>
        </w:tc>
      </w:tr>
      <w:tr w:rsidR="00446CED" w14:paraId="32987928" w14:textId="77777777" w:rsidTr="00054AB5">
        <w:trPr>
          <w:trHeight w:val="293"/>
        </w:trPr>
        <w:tc>
          <w:tcPr>
            <w:tcW w:w="4296" w:type="dxa"/>
          </w:tcPr>
          <w:p w14:paraId="19E1EFC9" w14:textId="77777777" w:rsidR="00446CED" w:rsidRDefault="00446CED" w:rsidP="00054AB5">
            <w:pPr>
              <w:spacing w:after="0"/>
            </w:pPr>
            <w:r>
              <w:t>Profitability</w:t>
            </w:r>
          </w:p>
        </w:tc>
        <w:tc>
          <w:tcPr>
            <w:tcW w:w="1208" w:type="dxa"/>
          </w:tcPr>
          <w:p w14:paraId="0BB8B7EE" w14:textId="77777777" w:rsidR="00446CED" w:rsidRDefault="00446CED" w:rsidP="00054AB5">
            <w:pPr>
              <w:spacing w:after="0"/>
            </w:pPr>
            <w:r>
              <w:t>0.968</w:t>
            </w:r>
          </w:p>
        </w:tc>
        <w:tc>
          <w:tcPr>
            <w:tcW w:w="1208" w:type="dxa"/>
          </w:tcPr>
          <w:p w14:paraId="4874EAFF" w14:textId="77777777" w:rsidR="00446CED" w:rsidRDefault="00446CED" w:rsidP="00054AB5">
            <w:pPr>
              <w:spacing w:after="0"/>
            </w:pPr>
            <w:r>
              <w:t>0.867**</w:t>
            </w:r>
          </w:p>
        </w:tc>
        <w:tc>
          <w:tcPr>
            <w:tcW w:w="1464" w:type="dxa"/>
          </w:tcPr>
          <w:p w14:paraId="486801B1" w14:textId="77777777" w:rsidR="00446CED" w:rsidRDefault="00446CED" w:rsidP="00054AB5">
            <w:pPr>
              <w:spacing w:after="0"/>
            </w:pPr>
            <w:r>
              <w:t>1.001</w:t>
            </w:r>
          </w:p>
        </w:tc>
        <w:tc>
          <w:tcPr>
            <w:tcW w:w="1208" w:type="dxa"/>
          </w:tcPr>
          <w:p w14:paraId="5915C0F6" w14:textId="77777777" w:rsidR="00446CED" w:rsidRDefault="00446CED" w:rsidP="00054AB5">
            <w:pPr>
              <w:spacing w:after="0"/>
            </w:pPr>
            <w:r>
              <w:t>0.950</w:t>
            </w:r>
          </w:p>
        </w:tc>
      </w:tr>
      <w:tr w:rsidR="00446CED" w14:paraId="28365784" w14:textId="77777777" w:rsidTr="00054AB5">
        <w:trPr>
          <w:trHeight w:val="293"/>
        </w:trPr>
        <w:tc>
          <w:tcPr>
            <w:tcW w:w="4296" w:type="dxa"/>
          </w:tcPr>
          <w:p w14:paraId="1E6CBA91" w14:textId="77777777" w:rsidR="00446CED" w:rsidRDefault="00446CED" w:rsidP="00054AB5">
            <w:pPr>
              <w:spacing w:after="0"/>
            </w:pPr>
          </w:p>
        </w:tc>
        <w:tc>
          <w:tcPr>
            <w:tcW w:w="1208" w:type="dxa"/>
          </w:tcPr>
          <w:p w14:paraId="4C3E07A5" w14:textId="77777777" w:rsidR="00446CED" w:rsidRDefault="00446CED" w:rsidP="00054AB5">
            <w:pPr>
              <w:spacing w:after="0"/>
            </w:pPr>
            <w:r>
              <w:t>(0.0531)</w:t>
            </w:r>
          </w:p>
        </w:tc>
        <w:tc>
          <w:tcPr>
            <w:tcW w:w="1208" w:type="dxa"/>
          </w:tcPr>
          <w:p w14:paraId="02B81CE9" w14:textId="77777777" w:rsidR="00446CED" w:rsidRDefault="00446CED" w:rsidP="00054AB5">
            <w:pPr>
              <w:spacing w:after="0"/>
            </w:pPr>
            <w:r>
              <w:t>(0.0546)</w:t>
            </w:r>
          </w:p>
        </w:tc>
        <w:tc>
          <w:tcPr>
            <w:tcW w:w="1464" w:type="dxa"/>
          </w:tcPr>
          <w:p w14:paraId="6C39D38F" w14:textId="77777777" w:rsidR="00446CED" w:rsidRDefault="00446CED" w:rsidP="00054AB5">
            <w:pPr>
              <w:spacing w:after="0"/>
            </w:pPr>
            <w:r>
              <w:t>(0.0843)</w:t>
            </w:r>
          </w:p>
        </w:tc>
        <w:tc>
          <w:tcPr>
            <w:tcW w:w="1208" w:type="dxa"/>
          </w:tcPr>
          <w:p w14:paraId="017608A5" w14:textId="77777777" w:rsidR="00446CED" w:rsidRDefault="00446CED" w:rsidP="00054AB5">
            <w:pPr>
              <w:spacing w:after="0"/>
            </w:pPr>
            <w:r>
              <w:t>(0.0896)</w:t>
            </w:r>
          </w:p>
        </w:tc>
      </w:tr>
      <w:tr w:rsidR="00446CED" w14:paraId="147B9F44" w14:textId="77777777" w:rsidTr="00054AB5">
        <w:trPr>
          <w:trHeight w:val="293"/>
        </w:trPr>
        <w:tc>
          <w:tcPr>
            <w:tcW w:w="4296" w:type="dxa"/>
          </w:tcPr>
          <w:p w14:paraId="47C837EC" w14:textId="77777777" w:rsidR="00446CED" w:rsidRDefault="00446CED" w:rsidP="00054AB5">
            <w:pPr>
              <w:spacing w:after="0"/>
            </w:pPr>
            <w:r>
              <w:t>Productivity</w:t>
            </w:r>
          </w:p>
        </w:tc>
        <w:tc>
          <w:tcPr>
            <w:tcW w:w="1208" w:type="dxa"/>
          </w:tcPr>
          <w:p w14:paraId="67163D53" w14:textId="77777777" w:rsidR="00446CED" w:rsidRDefault="00446CED" w:rsidP="00054AB5">
            <w:pPr>
              <w:spacing w:after="0"/>
            </w:pPr>
            <w:r>
              <w:t>0.919***</w:t>
            </w:r>
          </w:p>
        </w:tc>
        <w:tc>
          <w:tcPr>
            <w:tcW w:w="1208" w:type="dxa"/>
          </w:tcPr>
          <w:p w14:paraId="5B3B808D" w14:textId="77777777" w:rsidR="00446CED" w:rsidRDefault="00446CED" w:rsidP="00054AB5">
            <w:pPr>
              <w:spacing w:after="0"/>
            </w:pPr>
            <w:r>
              <w:t>0.925***</w:t>
            </w:r>
          </w:p>
        </w:tc>
        <w:tc>
          <w:tcPr>
            <w:tcW w:w="1464" w:type="dxa"/>
          </w:tcPr>
          <w:p w14:paraId="14BF948A" w14:textId="77777777" w:rsidR="00446CED" w:rsidRDefault="00446CED" w:rsidP="00054AB5">
            <w:pPr>
              <w:spacing w:after="0"/>
            </w:pPr>
            <w:r>
              <w:t>1.204***</w:t>
            </w:r>
          </w:p>
        </w:tc>
        <w:tc>
          <w:tcPr>
            <w:tcW w:w="1208" w:type="dxa"/>
          </w:tcPr>
          <w:p w14:paraId="14B23A84" w14:textId="77777777" w:rsidR="00446CED" w:rsidRDefault="00446CED" w:rsidP="00054AB5">
            <w:pPr>
              <w:spacing w:after="0"/>
            </w:pPr>
            <w:r>
              <w:t>1.181***</w:t>
            </w:r>
          </w:p>
        </w:tc>
      </w:tr>
      <w:tr w:rsidR="00446CED" w14:paraId="1E3DDCC0" w14:textId="77777777" w:rsidTr="00054AB5">
        <w:trPr>
          <w:trHeight w:val="293"/>
        </w:trPr>
        <w:tc>
          <w:tcPr>
            <w:tcW w:w="4296" w:type="dxa"/>
            <w:tcBorders>
              <w:bottom w:val="single" w:sz="4" w:space="0" w:color="auto"/>
            </w:tcBorders>
          </w:tcPr>
          <w:p w14:paraId="6599A7DA" w14:textId="77777777" w:rsidR="00446CED" w:rsidRDefault="00446CED" w:rsidP="00054AB5">
            <w:pPr>
              <w:spacing w:after="0"/>
            </w:pPr>
          </w:p>
        </w:tc>
        <w:tc>
          <w:tcPr>
            <w:tcW w:w="1208" w:type="dxa"/>
            <w:tcBorders>
              <w:bottom w:val="single" w:sz="4" w:space="0" w:color="auto"/>
            </w:tcBorders>
          </w:tcPr>
          <w:p w14:paraId="52C94038" w14:textId="77777777" w:rsidR="00446CED" w:rsidRDefault="00446CED" w:rsidP="00054AB5">
            <w:pPr>
              <w:spacing w:after="0"/>
            </w:pPr>
            <w:r>
              <w:t>(0.0121)</w:t>
            </w:r>
          </w:p>
        </w:tc>
        <w:tc>
          <w:tcPr>
            <w:tcW w:w="1208" w:type="dxa"/>
            <w:tcBorders>
              <w:bottom w:val="single" w:sz="4" w:space="0" w:color="auto"/>
            </w:tcBorders>
          </w:tcPr>
          <w:p w14:paraId="0DB17F03" w14:textId="77777777" w:rsidR="00446CED" w:rsidRDefault="00446CED" w:rsidP="00054AB5">
            <w:pPr>
              <w:spacing w:after="0"/>
            </w:pPr>
            <w:r>
              <w:t>(0.0128)</w:t>
            </w:r>
          </w:p>
        </w:tc>
        <w:tc>
          <w:tcPr>
            <w:tcW w:w="1464" w:type="dxa"/>
            <w:tcBorders>
              <w:bottom w:val="single" w:sz="4" w:space="0" w:color="auto"/>
            </w:tcBorders>
          </w:tcPr>
          <w:p w14:paraId="6D624152" w14:textId="77777777" w:rsidR="00446CED" w:rsidRDefault="00446CED" w:rsidP="00054AB5">
            <w:pPr>
              <w:spacing w:after="0"/>
            </w:pPr>
            <w:r>
              <w:t>(0.0248)</w:t>
            </w:r>
          </w:p>
        </w:tc>
        <w:tc>
          <w:tcPr>
            <w:tcW w:w="1208" w:type="dxa"/>
            <w:tcBorders>
              <w:bottom w:val="single" w:sz="4" w:space="0" w:color="auto"/>
            </w:tcBorders>
          </w:tcPr>
          <w:p w14:paraId="6D70DF92" w14:textId="77777777" w:rsidR="00446CED" w:rsidRDefault="00446CED" w:rsidP="00054AB5">
            <w:pPr>
              <w:spacing w:after="0"/>
            </w:pPr>
            <w:r>
              <w:t>(0.0252)</w:t>
            </w:r>
          </w:p>
        </w:tc>
      </w:tr>
      <w:tr w:rsidR="00446CED" w14:paraId="19D1E5C3" w14:textId="77777777" w:rsidTr="00054AB5">
        <w:trPr>
          <w:trHeight w:val="293"/>
        </w:trPr>
        <w:tc>
          <w:tcPr>
            <w:tcW w:w="4296" w:type="dxa"/>
            <w:tcBorders>
              <w:top w:val="single" w:sz="4" w:space="0" w:color="auto"/>
            </w:tcBorders>
          </w:tcPr>
          <w:p w14:paraId="464A7D34" w14:textId="77777777" w:rsidR="00446CED" w:rsidRDefault="00446CED" w:rsidP="00054AB5">
            <w:pPr>
              <w:spacing w:after="0"/>
            </w:pPr>
            <w:r>
              <w:t>Industry-year fixed effects</w:t>
            </w:r>
          </w:p>
        </w:tc>
        <w:tc>
          <w:tcPr>
            <w:tcW w:w="1208" w:type="dxa"/>
            <w:tcBorders>
              <w:top w:val="single" w:sz="4" w:space="0" w:color="auto"/>
            </w:tcBorders>
          </w:tcPr>
          <w:p w14:paraId="32B20A5C" w14:textId="77777777" w:rsidR="00446CED" w:rsidRDefault="00446CED" w:rsidP="00054AB5">
            <w:pPr>
              <w:spacing w:after="0"/>
            </w:pPr>
            <w:r>
              <w:t>NO</w:t>
            </w:r>
          </w:p>
        </w:tc>
        <w:tc>
          <w:tcPr>
            <w:tcW w:w="1208" w:type="dxa"/>
            <w:tcBorders>
              <w:top w:val="single" w:sz="4" w:space="0" w:color="auto"/>
            </w:tcBorders>
          </w:tcPr>
          <w:p w14:paraId="7344366C" w14:textId="77777777" w:rsidR="00446CED" w:rsidRDefault="00446CED" w:rsidP="00054AB5">
            <w:pPr>
              <w:spacing w:after="0"/>
            </w:pPr>
            <w:r>
              <w:t>YES</w:t>
            </w:r>
          </w:p>
        </w:tc>
        <w:tc>
          <w:tcPr>
            <w:tcW w:w="1464" w:type="dxa"/>
            <w:tcBorders>
              <w:top w:val="single" w:sz="4" w:space="0" w:color="auto"/>
            </w:tcBorders>
          </w:tcPr>
          <w:p w14:paraId="1AE8C69F" w14:textId="77777777" w:rsidR="00446CED" w:rsidRDefault="00446CED" w:rsidP="00054AB5">
            <w:pPr>
              <w:spacing w:after="0"/>
            </w:pPr>
            <w:r>
              <w:t>NO</w:t>
            </w:r>
          </w:p>
        </w:tc>
        <w:tc>
          <w:tcPr>
            <w:tcW w:w="1208" w:type="dxa"/>
            <w:tcBorders>
              <w:top w:val="single" w:sz="4" w:space="0" w:color="auto"/>
            </w:tcBorders>
          </w:tcPr>
          <w:p w14:paraId="6F187F20" w14:textId="77777777" w:rsidR="00446CED" w:rsidRDefault="00446CED" w:rsidP="00054AB5">
            <w:pPr>
              <w:spacing w:after="0"/>
            </w:pPr>
            <w:r>
              <w:t>YES</w:t>
            </w:r>
          </w:p>
        </w:tc>
      </w:tr>
      <w:tr w:rsidR="00446CED" w14:paraId="2B814E13" w14:textId="77777777" w:rsidTr="00054AB5">
        <w:trPr>
          <w:trHeight w:val="293"/>
        </w:trPr>
        <w:tc>
          <w:tcPr>
            <w:tcW w:w="4296" w:type="dxa"/>
          </w:tcPr>
          <w:p w14:paraId="24683C7D" w14:textId="77777777" w:rsidR="00446CED" w:rsidRDefault="00446CED" w:rsidP="00054AB5">
            <w:pPr>
              <w:spacing w:after="0"/>
            </w:pPr>
            <w:r>
              <w:t>Year fixed effects</w:t>
            </w:r>
          </w:p>
        </w:tc>
        <w:tc>
          <w:tcPr>
            <w:tcW w:w="1208" w:type="dxa"/>
          </w:tcPr>
          <w:p w14:paraId="4DE5484C" w14:textId="77777777" w:rsidR="00446CED" w:rsidRDefault="00446CED" w:rsidP="00054AB5">
            <w:pPr>
              <w:spacing w:after="0"/>
            </w:pPr>
            <w:r>
              <w:t>YES</w:t>
            </w:r>
          </w:p>
        </w:tc>
        <w:tc>
          <w:tcPr>
            <w:tcW w:w="1208" w:type="dxa"/>
          </w:tcPr>
          <w:p w14:paraId="701370FC" w14:textId="77777777" w:rsidR="00446CED" w:rsidRDefault="00446CED" w:rsidP="00054AB5">
            <w:pPr>
              <w:spacing w:after="0"/>
            </w:pPr>
            <w:r>
              <w:t>NO</w:t>
            </w:r>
          </w:p>
        </w:tc>
        <w:tc>
          <w:tcPr>
            <w:tcW w:w="1464" w:type="dxa"/>
          </w:tcPr>
          <w:p w14:paraId="34E26A89" w14:textId="77777777" w:rsidR="00446CED" w:rsidRDefault="00446CED" w:rsidP="00054AB5">
            <w:pPr>
              <w:spacing w:after="0"/>
            </w:pPr>
            <w:r>
              <w:t>YES</w:t>
            </w:r>
          </w:p>
        </w:tc>
        <w:tc>
          <w:tcPr>
            <w:tcW w:w="1208" w:type="dxa"/>
          </w:tcPr>
          <w:p w14:paraId="6D1DCE54" w14:textId="77777777" w:rsidR="00446CED" w:rsidRDefault="00446CED" w:rsidP="00054AB5">
            <w:pPr>
              <w:spacing w:after="0"/>
            </w:pPr>
            <w:r>
              <w:t>NO</w:t>
            </w:r>
          </w:p>
        </w:tc>
      </w:tr>
      <w:tr w:rsidR="00446CED" w14:paraId="1C09ACDB" w14:textId="77777777" w:rsidTr="00054AB5">
        <w:trPr>
          <w:trHeight w:val="293"/>
        </w:trPr>
        <w:tc>
          <w:tcPr>
            <w:tcW w:w="4296" w:type="dxa"/>
          </w:tcPr>
          <w:p w14:paraId="1A9CF590" w14:textId="77777777" w:rsidR="00446CED" w:rsidRDefault="00446CED" w:rsidP="00054AB5">
            <w:pPr>
              <w:spacing w:after="0"/>
            </w:pPr>
            <w:r>
              <w:t>Pseudo R-squared</w:t>
            </w:r>
          </w:p>
        </w:tc>
        <w:tc>
          <w:tcPr>
            <w:tcW w:w="1208" w:type="dxa"/>
          </w:tcPr>
          <w:p w14:paraId="128553CE" w14:textId="77777777" w:rsidR="00446CED" w:rsidRDefault="00446CED" w:rsidP="00054AB5">
            <w:pPr>
              <w:spacing w:after="0"/>
            </w:pPr>
            <w:r>
              <w:t>0.01</w:t>
            </w:r>
          </w:p>
        </w:tc>
        <w:tc>
          <w:tcPr>
            <w:tcW w:w="1208" w:type="dxa"/>
          </w:tcPr>
          <w:p w14:paraId="1FECCC0C" w14:textId="77777777" w:rsidR="00446CED" w:rsidRDefault="00446CED" w:rsidP="00054AB5">
            <w:pPr>
              <w:spacing w:after="0"/>
            </w:pPr>
            <w:r>
              <w:t>0.03</w:t>
            </w:r>
          </w:p>
        </w:tc>
        <w:tc>
          <w:tcPr>
            <w:tcW w:w="1464" w:type="dxa"/>
          </w:tcPr>
          <w:p w14:paraId="5A5CA367" w14:textId="77777777" w:rsidR="00446CED" w:rsidRDefault="00446CED" w:rsidP="00054AB5">
            <w:pPr>
              <w:spacing w:after="0"/>
            </w:pPr>
            <w:r>
              <w:t>0.01</w:t>
            </w:r>
          </w:p>
        </w:tc>
        <w:tc>
          <w:tcPr>
            <w:tcW w:w="1208" w:type="dxa"/>
          </w:tcPr>
          <w:p w14:paraId="2EF5855A" w14:textId="77777777" w:rsidR="00446CED" w:rsidRDefault="00446CED" w:rsidP="00054AB5">
            <w:pPr>
              <w:spacing w:after="0"/>
            </w:pPr>
            <w:r>
              <w:t>0.03</w:t>
            </w:r>
          </w:p>
        </w:tc>
      </w:tr>
      <w:tr w:rsidR="00446CED" w14:paraId="19D1FF98" w14:textId="77777777" w:rsidTr="00054AB5">
        <w:trPr>
          <w:trHeight w:val="293"/>
        </w:trPr>
        <w:tc>
          <w:tcPr>
            <w:tcW w:w="4296" w:type="dxa"/>
          </w:tcPr>
          <w:p w14:paraId="3A391B43" w14:textId="77777777" w:rsidR="00446CED" w:rsidRDefault="00446CED" w:rsidP="00054AB5">
            <w:pPr>
              <w:spacing w:after="0"/>
            </w:pPr>
            <w:r>
              <w:t>Observations</w:t>
            </w:r>
          </w:p>
        </w:tc>
        <w:tc>
          <w:tcPr>
            <w:tcW w:w="1208" w:type="dxa"/>
          </w:tcPr>
          <w:p w14:paraId="3BD79AAE" w14:textId="77777777" w:rsidR="00446CED" w:rsidRDefault="00446CED" w:rsidP="00054AB5">
            <w:pPr>
              <w:spacing w:after="0"/>
            </w:pPr>
            <w:r>
              <w:t>2,307,395</w:t>
            </w:r>
          </w:p>
        </w:tc>
        <w:tc>
          <w:tcPr>
            <w:tcW w:w="1208" w:type="dxa"/>
          </w:tcPr>
          <w:p w14:paraId="5955C7AC" w14:textId="77777777" w:rsidR="00446CED" w:rsidRDefault="00446CED" w:rsidP="00054AB5">
            <w:pPr>
              <w:spacing w:after="0"/>
            </w:pPr>
            <w:r>
              <w:t>2,307,395</w:t>
            </w:r>
          </w:p>
        </w:tc>
        <w:tc>
          <w:tcPr>
            <w:tcW w:w="1464" w:type="dxa"/>
          </w:tcPr>
          <w:p w14:paraId="4AD9EFBE" w14:textId="77777777" w:rsidR="00446CED" w:rsidRDefault="00446CED" w:rsidP="00054AB5">
            <w:pPr>
              <w:spacing w:after="0"/>
            </w:pPr>
            <w:r>
              <w:t>2,339,760</w:t>
            </w:r>
          </w:p>
        </w:tc>
        <w:tc>
          <w:tcPr>
            <w:tcW w:w="1208" w:type="dxa"/>
          </w:tcPr>
          <w:p w14:paraId="25CF3932" w14:textId="77777777" w:rsidR="00446CED" w:rsidRDefault="00446CED" w:rsidP="00054AB5">
            <w:pPr>
              <w:spacing w:after="0"/>
            </w:pPr>
            <w:r>
              <w:t>2,339,760</w:t>
            </w:r>
          </w:p>
        </w:tc>
      </w:tr>
    </w:tbl>
    <w:p w14:paraId="28472830" w14:textId="77777777" w:rsidR="00446CED" w:rsidRDefault="00446CED" w:rsidP="00B04C67">
      <w:pPr>
        <w:pStyle w:val="ChartorTableNote"/>
      </w:pPr>
      <w:r>
        <w:rPr>
          <w:rFonts w:eastAsia="Cambria"/>
        </w:rPr>
        <w:t>Note: standard errors are for the odds ratios not the coefficients from the logit model.</w:t>
      </w:r>
    </w:p>
    <w:p w14:paraId="66E73053" w14:textId="77777777" w:rsidR="00446CED" w:rsidRDefault="00446CED" w:rsidP="00A46351">
      <w:pPr>
        <w:pStyle w:val="Heading2Numbered"/>
      </w:pPr>
      <w:bookmarkStart w:id="28" w:name="_Toc211507340"/>
      <w:r>
        <w:t>Target results</w:t>
      </w:r>
      <w:bookmarkEnd w:id="28"/>
    </w:p>
    <w:p w14:paraId="4E35BC77" w14:textId="77777777" w:rsidR="00446CED" w:rsidRDefault="00446CED" w:rsidP="00682F8D">
      <w:r>
        <w:t xml:space="preserve">The target results (estimated at firm level) indicate that mid-sized firms are most likely to be targets in a merger. Firms with a turnover of between </w:t>
      </w:r>
      <w:r>
        <w:rPr>
          <w:rFonts w:ascii="Calibri" w:eastAsia="Calibri" w:hAnsi="Calibri" w:cs="Calibri"/>
        </w:rPr>
        <w:t>$</w:t>
      </w:r>
      <w:r>
        <w:t xml:space="preserve">10 million and </w:t>
      </w:r>
      <w:r>
        <w:rPr>
          <w:rFonts w:ascii="Calibri" w:eastAsia="Calibri" w:hAnsi="Calibri" w:cs="Calibri"/>
        </w:rPr>
        <w:t>$</w:t>
      </w:r>
      <w:r>
        <w:t xml:space="preserve">50 million are around 1.4 times more likely to be a merger target in any given year, compared to the benchmark firms with a turnover of less than </w:t>
      </w:r>
      <w:r>
        <w:rPr>
          <w:rFonts w:ascii="Calibri" w:eastAsia="Calibri" w:hAnsi="Calibri" w:cs="Calibri"/>
        </w:rPr>
        <w:t>$</w:t>
      </w:r>
      <w:r>
        <w:t xml:space="preserve">1 million. Firms with a turnover of between </w:t>
      </w:r>
      <w:r>
        <w:rPr>
          <w:rFonts w:ascii="Calibri" w:eastAsia="Calibri" w:hAnsi="Calibri" w:cs="Calibri"/>
        </w:rPr>
        <w:t>$</w:t>
      </w:r>
      <w:r>
        <w:t xml:space="preserve">5 million and </w:t>
      </w:r>
      <w:r>
        <w:rPr>
          <w:rFonts w:ascii="Calibri" w:eastAsia="Calibri" w:hAnsi="Calibri" w:cs="Calibri"/>
        </w:rPr>
        <w:t>$</w:t>
      </w:r>
      <w:r>
        <w:t xml:space="preserve">10 million are the next most likely group to be acquired and are around 1.2 times more likely to be targets compared to the benchmark group. In both cases, the likelihood is a bit stronger once the industry distribution of the types of firms is accounted for. In contrast small firms with a turnover between </w:t>
      </w:r>
      <w:r>
        <w:rPr>
          <w:rFonts w:ascii="Calibri" w:eastAsia="Calibri" w:hAnsi="Calibri" w:cs="Calibri"/>
        </w:rPr>
        <w:t>$</w:t>
      </w:r>
      <w:r>
        <w:t xml:space="preserve">1 million and </w:t>
      </w:r>
      <w:r>
        <w:rPr>
          <w:rFonts w:ascii="Calibri" w:eastAsia="Calibri" w:hAnsi="Calibri" w:cs="Calibri"/>
        </w:rPr>
        <w:t>$</w:t>
      </w:r>
      <w:r>
        <w:t>5 million are least likely to be targets in a merger.</w:t>
      </w:r>
    </w:p>
    <w:p w14:paraId="7E8BF2AD" w14:textId="77777777" w:rsidR="00446CED" w:rsidRDefault="00446CED" w:rsidP="00682F8D">
      <w:r>
        <w:t xml:space="preserve">Using the headcount measure of size, firms employing between 20 and 100 employees are most likely to be targets once the distribution of firms across industries is taken into account, followed by firms employing between 101 and 500 employees (1.4 times more likely). The results for larger firms earning over </w:t>
      </w:r>
      <w:r>
        <w:rPr>
          <w:rFonts w:ascii="Calibri" w:eastAsia="Calibri" w:hAnsi="Calibri" w:cs="Calibri"/>
        </w:rPr>
        <w:t>$</w:t>
      </w:r>
      <w:r>
        <w:t>50 million and those employing over 500 employees is insignificant, suggesting they have a similar probability of being a target as very small firms.</w:t>
      </w:r>
    </w:p>
    <w:p w14:paraId="59E9C1B2" w14:textId="77777777" w:rsidR="00446CED" w:rsidRDefault="00446CED" w:rsidP="00682F8D">
      <w:r>
        <w:t>Interestingly, under all specifications, firms are less likely to be a member of an enterprise group.</w:t>
      </w:r>
    </w:p>
    <w:p w14:paraId="2C2CB68B" w14:textId="77777777" w:rsidR="00FA16C3" w:rsidRDefault="00446CED" w:rsidP="00682F8D">
      <w:r>
        <w:t>Notably, more profitable firms are more likely to be targets, but so are less productive firms. Recall that profitability is calculated here as income divided by expenses, while productivity is calculated as value added divided by employment. These results could imply that these target firms are considered good revenue generating prospects that would benefit from reorganization, which could include rationalising the workforce and gaining synergies from existing auxiliary services (like administration and HR). A future area of research could be to track the productivity and profitability performance of acquirers and targets both before and after a merger. Given the possibility that the target’s workforce may be rationalised, analysing what happens to workers of the target may also be a good avenue for future research.</w:t>
      </w:r>
    </w:p>
    <w:p w14:paraId="6371B74B" w14:textId="4C6AA878" w:rsidR="00446CED" w:rsidRDefault="00FA16C3" w:rsidP="00B1227F">
      <w:pPr>
        <w:pStyle w:val="TableMainHeading"/>
      </w:pPr>
      <w:bookmarkStart w:id="29" w:name="_Toc211507341"/>
      <w:r>
        <w:t>Table 5: Odds ratios and diagnostics from logit model to predict target firms</w:t>
      </w:r>
      <w:bookmarkEnd w:id="29"/>
      <w:r w:rsidR="00446CED">
        <w:rPr>
          <w:rFonts w:eastAsia="Calibri" w:cs="Calibri"/>
          <w:sz w:val="22"/>
        </w:rPr>
        <w:tab/>
      </w:r>
    </w:p>
    <w:tbl>
      <w:tblPr>
        <w:tblStyle w:val="TableGrid"/>
        <w:tblW w:w="8937" w:type="dxa"/>
        <w:tblLook w:val="04A0" w:firstRow="1" w:lastRow="0" w:firstColumn="1" w:lastColumn="0" w:noHBand="0" w:noVBand="1"/>
      </w:tblPr>
      <w:tblGrid>
        <w:gridCol w:w="3849"/>
        <w:gridCol w:w="1208"/>
        <w:gridCol w:w="1208"/>
        <w:gridCol w:w="1464"/>
        <w:gridCol w:w="1208"/>
      </w:tblGrid>
      <w:tr w:rsidR="00FA16C3" w14:paraId="63143464" w14:textId="77777777" w:rsidTr="00FA16C3">
        <w:trPr>
          <w:cnfStyle w:val="100000000000" w:firstRow="1" w:lastRow="0" w:firstColumn="0" w:lastColumn="0" w:oddVBand="0" w:evenVBand="0" w:oddHBand="0" w:evenHBand="0" w:firstRowFirstColumn="0" w:firstRowLastColumn="0" w:lastRowFirstColumn="0" w:lastRowLastColumn="0"/>
          <w:trHeight w:val="20"/>
        </w:trPr>
        <w:tc>
          <w:tcPr>
            <w:tcW w:w="3849" w:type="dxa"/>
          </w:tcPr>
          <w:p w14:paraId="60628811" w14:textId="77777777" w:rsidR="00FA16C3" w:rsidRDefault="00FA16C3" w:rsidP="00FA16C3">
            <w:pPr>
              <w:spacing w:after="0" w:line="259" w:lineRule="auto"/>
              <w:ind w:left="1191"/>
              <w:jc w:val="center"/>
              <w:rPr>
                <w:rFonts w:ascii="Calibri" w:eastAsia="Calibri" w:hAnsi="Calibri" w:cs="Calibri"/>
              </w:rPr>
            </w:pPr>
          </w:p>
        </w:tc>
        <w:tc>
          <w:tcPr>
            <w:tcW w:w="2416" w:type="dxa"/>
            <w:gridSpan w:val="2"/>
          </w:tcPr>
          <w:p w14:paraId="1CB0BF93" w14:textId="11104931" w:rsidR="00FA16C3" w:rsidRDefault="00FA16C3" w:rsidP="00FA16C3">
            <w:pPr>
              <w:spacing w:after="0" w:line="259" w:lineRule="auto"/>
              <w:ind w:left="28"/>
            </w:pPr>
            <w:r>
              <w:t>Turnover size controls</w:t>
            </w:r>
          </w:p>
        </w:tc>
        <w:tc>
          <w:tcPr>
            <w:tcW w:w="2672" w:type="dxa"/>
            <w:gridSpan w:val="2"/>
          </w:tcPr>
          <w:p w14:paraId="2736241D" w14:textId="279F4467" w:rsidR="00FA16C3" w:rsidRDefault="00FA16C3" w:rsidP="00FA16C3">
            <w:pPr>
              <w:spacing w:after="0" w:line="259" w:lineRule="auto"/>
            </w:pPr>
            <w:r>
              <w:t>Employment size controls</w:t>
            </w:r>
          </w:p>
        </w:tc>
      </w:tr>
      <w:tr w:rsidR="00FA16C3" w14:paraId="11A11D5B" w14:textId="77777777" w:rsidTr="00FA16C3">
        <w:trPr>
          <w:trHeight w:val="20"/>
        </w:trPr>
        <w:tc>
          <w:tcPr>
            <w:tcW w:w="3849" w:type="dxa"/>
            <w:tcBorders>
              <w:bottom w:val="single" w:sz="4" w:space="0" w:color="auto"/>
            </w:tcBorders>
          </w:tcPr>
          <w:p w14:paraId="607F57D6" w14:textId="21197C10" w:rsidR="00FA16C3" w:rsidRPr="00554974" w:rsidRDefault="00FA16C3" w:rsidP="00FA16C3">
            <w:pPr>
              <w:spacing w:after="0" w:line="259" w:lineRule="auto"/>
              <w:jc w:val="both"/>
              <w:rPr>
                <w:rFonts w:ascii="Calibri" w:eastAsia="Calibri" w:hAnsi="Calibri" w:cs="Calibri"/>
                <w:b/>
                <w:bCs/>
              </w:rPr>
            </w:pPr>
            <w:r w:rsidRPr="00554974">
              <w:rPr>
                <w:b/>
                <w:bCs/>
              </w:rPr>
              <w:t>Turnover bins</w:t>
            </w:r>
          </w:p>
        </w:tc>
        <w:tc>
          <w:tcPr>
            <w:tcW w:w="1208" w:type="dxa"/>
            <w:tcBorders>
              <w:bottom w:val="single" w:sz="4" w:space="0" w:color="auto"/>
            </w:tcBorders>
          </w:tcPr>
          <w:p w14:paraId="10598802" w14:textId="77777777" w:rsidR="00FA16C3" w:rsidRDefault="00FA16C3" w:rsidP="00FA16C3">
            <w:pPr>
              <w:spacing w:after="0" w:line="259" w:lineRule="auto"/>
              <w:ind w:left="28"/>
            </w:pPr>
          </w:p>
        </w:tc>
        <w:tc>
          <w:tcPr>
            <w:tcW w:w="1208" w:type="dxa"/>
            <w:tcBorders>
              <w:bottom w:val="single" w:sz="4" w:space="0" w:color="auto"/>
            </w:tcBorders>
          </w:tcPr>
          <w:p w14:paraId="55C37158" w14:textId="77777777" w:rsidR="00FA16C3" w:rsidRDefault="00FA16C3" w:rsidP="00FA16C3">
            <w:pPr>
              <w:spacing w:after="0" w:line="259" w:lineRule="auto"/>
              <w:ind w:left="28"/>
            </w:pPr>
          </w:p>
        </w:tc>
        <w:tc>
          <w:tcPr>
            <w:tcW w:w="1464" w:type="dxa"/>
            <w:tcBorders>
              <w:bottom w:val="single" w:sz="4" w:space="0" w:color="auto"/>
            </w:tcBorders>
          </w:tcPr>
          <w:p w14:paraId="45E014C9" w14:textId="77777777" w:rsidR="00FA16C3" w:rsidRDefault="00FA16C3" w:rsidP="00FA16C3">
            <w:pPr>
              <w:spacing w:after="0" w:line="259" w:lineRule="auto"/>
            </w:pPr>
          </w:p>
        </w:tc>
        <w:tc>
          <w:tcPr>
            <w:tcW w:w="1208" w:type="dxa"/>
            <w:tcBorders>
              <w:bottom w:val="single" w:sz="4" w:space="0" w:color="auto"/>
            </w:tcBorders>
          </w:tcPr>
          <w:p w14:paraId="408A385D" w14:textId="77777777" w:rsidR="00FA16C3" w:rsidRDefault="00FA16C3" w:rsidP="00FA16C3">
            <w:pPr>
              <w:spacing w:after="0" w:line="259" w:lineRule="auto"/>
            </w:pPr>
          </w:p>
        </w:tc>
      </w:tr>
      <w:tr w:rsidR="00446CED" w14:paraId="2E30AEE7" w14:textId="77777777" w:rsidTr="00FA16C3">
        <w:trPr>
          <w:trHeight w:val="20"/>
        </w:trPr>
        <w:tc>
          <w:tcPr>
            <w:tcW w:w="3849" w:type="dxa"/>
            <w:tcBorders>
              <w:top w:val="single" w:sz="4" w:space="0" w:color="auto"/>
            </w:tcBorders>
          </w:tcPr>
          <w:p w14:paraId="1C91A9B1" w14:textId="77777777" w:rsidR="00446CED" w:rsidRDefault="00446CED" w:rsidP="00FA16C3">
            <w:pPr>
              <w:spacing w:after="0" w:line="259" w:lineRule="auto"/>
            </w:pPr>
            <w:r>
              <w:rPr>
                <w:rFonts w:ascii="Calibri" w:eastAsia="Calibri" w:hAnsi="Calibri" w:cs="Calibri"/>
              </w:rPr>
              <w:t>$</w:t>
            </w:r>
            <w:r>
              <w:t xml:space="preserve">1m to </w:t>
            </w:r>
            <w:r>
              <w:rPr>
                <w:rFonts w:ascii="Calibri" w:eastAsia="Calibri" w:hAnsi="Calibri" w:cs="Calibri"/>
              </w:rPr>
              <w:t>$</w:t>
            </w:r>
            <w:r>
              <w:t>5m</w:t>
            </w:r>
          </w:p>
        </w:tc>
        <w:tc>
          <w:tcPr>
            <w:tcW w:w="1208" w:type="dxa"/>
            <w:tcBorders>
              <w:top w:val="single" w:sz="4" w:space="0" w:color="auto"/>
            </w:tcBorders>
          </w:tcPr>
          <w:p w14:paraId="1B279EEE" w14:textId="77777777" w:rsidR="00446CED" w:rsidRDefault="00446CED" w:rsidP="00FA16C3">
            <w:pPr>
              <w:spacing w:after="0" w:line="259" w:lineRule="auto"/>
              <w:ind w:left="28"/>
            </w:pPr>
            <w:r>
              <w:t>0.866***</w:t>
            </w:r>
          </w:p>
        </w:tc>
        <w:tc>
          <w:tcPr>
            <w:tcW w:w="1208" w:type="dxa"/>
            <w:tcBorders>
              <w:top w:val="single" w:sz="4" w:space="0" w:color="auto"/>
            </w:tcBorders>
          </w:tcPr>
          <w:p w14:paraId="5A08C9B4" w14:textId="77777777" w:rsidR="00446CED" w:rsidRDefault="00446CED" w:rsidP="00FA16C3">
            <w:pPr>
              <w:spacing w:after="0" w:line="259" w:lineRule="auto"/>
              <w:ind w:left="28"/>
            </w:pPr>
            <w:r>
              <w:t>0.877***</w:t>
            </w:r>
          </w:p>
        </w:tc>
        <w:tc>
          <w:tcPr>
            <w:tcW w:w="1464" w:type="dxa"/>
            <w:tcBorders>
              <w:top w:val="single" w:sz="4" w:space="0" w:color="auto"/>
            </w:tcBorders>
          </w:tcPr>
          <w:p w14:paraId="1E2EF5E7" w14:textId="77777777" w:rsidR="00446CED" w:rsidRDefault="00446CED" w:rsidP="00FA16C3">
            <w:pPr>
              <w:spacing w:after="0" w:line="259" w:lineRule="auto"/>
            </w:pPr>
          </w:p>
        </w:tc>
        <w:tc>
          <w:tcPr>
            <w:tcW w:w="1208" w:type="dxa"/>
            <w:tcBorders>
              <w:top w:val="single" w:sz="4" w:space="0" w:color="auto"/>
            </w:tcBorders>
          </w:tcPr>
          <w:p w14:paraId="0A9C6DE5" w14:textId="77777777" w:rsidR="00446CED" w:rsidRDefault="00446CED" w:rsidP="00FA16C3">
            <w:pPr>
              <w:spacing w:after="0" w:line="259" w:lineRule="auto"/>
            </w:pPr>
          </w:p>
        </w:tc>
      </w:tr>
      <w:tr w:rsidR="00446CED" w14:paraId="71290178" w14:textId="77777777" w:rsidTr="00FA16C3">
        <w:trPr>
          <w:trHeight w:val="20"/>
        </w:trPr>
        <w:tc>
          <w:tcPr>
            <w:tcW w:w="3849" w:type="dxa"/>
          </w:tcPr>
          <w:p w14:paraId="1CB29D0D" w14:textId="77777777" w:rsidR="00446CED" w:rsidRDefault="00446CED" w:rsidP="00FA16C3">
            <w:pPr>
              <w:spacing w:after="0" w:line="259" w:lineRule="auto"/>
            </w:pPr>
          </w:p>
        </w:tc>
        <w:tc>
          <w:tcPr>
            <w:tcW w:w="1208" w:type="dxa"/>
          </w:tcPr>
          <w:p w14:paraId="0B3FB9FE" w14:textId="77777777" w:rsidR="00446CED" w:rsidRDefault="00446CED" w:rsidP="00FA16C3">
            <w:pPr>
              <w:spacing w:after="0" w:line="259" w:lineRule="auto"/>
              <w:ind w:left="50"/>
            </w:pPr>
            <w:r>
              <w:t>(0.0169)</w:t>
            </w:r>
          </w:p>
        </w:tc>
        <w:tc>
          <w:tcPr>
            <w:tcW w:w="1208" w:type="dxa"/>
          </w:tcPr>
          <w:p w14:paraId="26CEF694" w14:textId="77777777" w:rsidR="00446CED" w:rsidRDefault="00446CED" w:rsidP="00FA16C3">
            <w:pPr>
              <w:spacing w:after="0" w:line="259" w:lineRule="auto"/>
              <w:ind w:left="50"/>
            </w:pPr>
            <w:r>
              <w:t>(0.0185)</w:t>
            </w:r>
          </w:p>
        </w:tc>
        <w:tc>
          <w:tcPr>
            <w:tcW w:w="1464" w:type="dxa"/>
          </w:tcPr>
          <w:p w14:paraId="6CD6532B" w14:textId="77777777" w:rsidR="00446CED" w:rsidRDefault="00446CED" w:rsidP="00FA16C3">
            <w:pPr>
              <w:spacing w:after="0" w:line="259" w:lineRule="auto"/>
            </w:pPr>
          </w:p>
        </w:tc>
        <w:tc>
          <w:tcPr>
            <w:tcW w:w="1208" w:type="dxa"/>
          </w:tcPr>
          <w:p w14:paraId="75419CCB" w14:textId="77777777" w:rsidR="00446CED" w:rsidRDefault="00446CED" w:rsidP="00FA16C3">
            <w:pPr>
              <w:spacing w:after="0" w:line="259" w:lineRule="auto"/>
            </w:pPr>
          </w:p>
        </w:tc>
      </w:tr>
      <w:tr w:rsidR="00446CED" w14:paraId="4440BAEA" w14:textId="77777777" w:rsidTr="00FA16C3">
        <w:trPr>
          <w:trHeight w:val="20"/>
        </w:trPr>
        <w:tc>
          <w:tcPr>
            <w:tcW w:w="3849" w:type="dxa"/>
          </w:tcPr>
          <w:p w14:paraId="4D2A3DD2" w14:textId="77777777" w:rsidR="00446CED" w:rsidRDefault="00446CED" w:rsidP="00FA16C3">
            <w:pPr>
              <w:spacing w:after="0" w:line="259" w:lineRule="auto"/>
            </w:pPr>
            <w:r>
              <w:rPr>
                <w:rFonts w:ascii="Calibri" w:eastAsia="Calibri" w:hAnsi="Calibri" w:cs="Calibri"/>
              </w:rPr>
              <w:t>$</w:t>
            </w:r>
            <w:r>
              <w:t xml:space="preserve">5m to </w:t>
            </w:r>
            <w:r>
              <w:rPr>
                <w:rFonts w:ascii="Calibri" w:eastAsia="Calibri" w:hAnsi="Calibri" w:cs="Calibri"/>
              </w:rPr>
              <w:t>$</w:t>
            </w:r>
            <w:r>
              <w:t>10m</w:t>
            </w:r>
          </w:p>
        </w:tc>
        <w:tc>
          <w:tcPr>
            <w:tcW w:w="1208" w:type="dxa"/>
          </w:tcPr>
          <w:p w14:paraId="68928A69" w14:textId="77777777" w:rsidR="00446CED" w:rsidRDefault="00446CED" w:rsidP="00FA16C3">
            <w:pPr>
              <w:spacing w:after="0" w:line="259" w:lineRule="auto"/>
              <w:ind w:left="28"/>
            </w:pPr>
            <w:r>
              <w:t>1.169***</w:t>
            </w:r>
          </w:p>
        </w:tc>
        <w:tc>
          <w:tcPr>
            <w:tcW w:w="1208" w:type="dxa"/>
          </w:tcPr>
          <w:p w14:paraId="58D4D847" w14:textId="77777777" w:rsidR="00446CED" w:rsidRDefault="00446CED" w:rsidP="00FA16C3">
            <w:pPr>
              <w:spacing w:after="0" w:line="259" w:lineRule="auto"/>
              <w:ind w:left="28"/>
            </w:pPr>
            <w:r>
              <w:t>1.207***</w:t>
            </w:r>
          </w:p>
        </w:tc>
        <w:tc>
          <w:tcPr>
            <w:tcW w:w="1464" w:type="dxa"/>
          </w:tcPr>
          <w:p w14:paraId="7879F87A" w14:textId="77777777" w:rsidR="00446CED" w:rsidRDefault="00446CED" w:rsidP="00FA16C3">
            <w:pPr>
              <w:spacing w:after="0" w:line="259" w:lineRule="auto"/>
            </w:pPr>
          </w:p>
        </w:tc>
        <w:tc>
          <w:tcPr>
            <w:tcW w:w="1208" w:type="dxa"/>
          </w:tcPr>
          <w:p w14:paraId="7A3E549B" w14:textId="77777777" w:rsidR="00446CED" w:rsidRDefault="00446CED" w:rsidP="00FA16C3">
            <w:pPr>
              <w:spacing w:after="0" w:line="259" w:lineRule="auto"/>
            </w:pPr>
          </w:p>
        </w:tc>
      </w:tr>
      <w:tr w:rsidR="00446CED" w14:paraId="41F24AF7" w14:textId="77777777" w:rsidTr="00FA16C3">
        <w:trPr>
          <w:trHeight w:val="20"/>
        </w:trPr>
        <w:tc>
          <w:tcPr>
            <w:tcW w:w="3849" w:type="dxa"/>
          </w:tcPr>
          <w:p w14:paraId="024F7F8C" w14:textId="77777777" w:rsidR="00446CED" w:rsidRDefault="00446CED" w:rsidP="00FA16C3">
            <w:pPr>
              <w:spacing w:after="0" w:line="259" w:lineRule="auto"/>
            </w:pPr>
          </w:p>
        </w:tc>
        <w:tc>
          <w:tcPr>
            <w:tcW w:w="1208" w:type="dxa"/>
          </w:tcPr>
          <w:p w14:paraId="3EDCDDD9" w14:textId="77777777" w:rsidR="00446CED" w:rsidRDefault="00446CED" w:rsidP="00FA16C3">
            <w:pPr>
              <w:spacing w:after="0" w:line="259" w:lineRule="auto"/>
              <w:ind w:left="50"/>
            </w:pPr>
            <w:r>
              <w:t>(0.0349)</w:t>
            </w:r>
          </w:p>
        </w:tc>
        <w:tc>
          <w:tcPr>
            <w:tcW w:w="1208" w:type="dxa"/>
          </w:tcPr>
          <w:p w14:paraId="3A37AC52" w14:textId="77777777" w:rsidR="00446CED" w:rsidRDefault="00446CED" w:rsidP="00FA16C3">
            <w:pPr>
              <w:spacing w:after="0" w:line="259" w:lineRule="auto"/>
              <w:ind w:left="11"/>
            </w:pPr>
            <w:r>
              <w:t>(0.0385))</w:t>
            </w:r>
          </w:p>
        </w:tc>
        <w:tc>
          <w:tcPr>
            <w:tcW w:w="1464" w:type="dxa"/>
          </w:tcPr>
          <w:p w14:paraId="04DA9225" w14:textId="77777777" w:rsidR="00446CED" w:rsidRDefault="00446CED" w:rsidP="00FA16C3">
            <w:pPr>
              <w:spacing w:after="0" w:line="259" w:lineRule="auto"/>
            </w:pPr>
          </w:p>
        </w:tc>
        <w:tc>
          <w:tcPr>
            <w:tcW w:w="1208" w:type="dxa"/>
          </w:tcPr>
          <w:p w14:paraId="50254C70" w14:textId="77777777" w:rsidR="00446CED" w:rsidRDefault="00446CED" w:rsidP="00FA16C3">
            <w:pPr>
              <w:spacing w:after="0" w:line="259" w:lineRule="auto"/>
            </w:pPr>
          </w:p>
        </w:tc>
      </w:tr>
      <w:tr w:rsidR="00446CED" w14:paraId="4EE06D12" w14:textId="77777777" w:rsidTr="00FA16C3">
        <w:trPr>
          <w:trHeight w:val="20"/>
        </w:trPr>
        <w:tc>
          <w:tcPr>
            <w:tcW w:w="3849" w:type="dxa"/>
          </w:tcPr>
          <w:p w14:paraId="0732BD40" w14:textId="77777777" w:rsidR="00446CED" w:rsidRDefault="00446CED" w:rsidP="00FA16C3">
            <w:pPr>
              <w:spacing w:after="0" w:line="259" w:lineRule="auto"/>
            </w:pPr>
            <w:r>
              <w:rPr>
                <w:rFonts w:ascii="Calibri" w:eastAsia="Calibri" w:hAnsi="Calibri" w:cs="Calibri"/>
              </w:rPr>
              <w:t>$</w:t>
            </w:r>
            <w:r>
              <w:t xml:space="preserve">10m to </w:t>
            </w:r>
            <w:r>
              <w:rPr>
                <w:rFonts w:ascii="Calibri" w:eastAsia="Calibri" w:hAnsi="Calibri" w:cs="Calibri"/>
              </w:rPr>
              <w:t>$</w:t>
            </w:r>
            <w:r>
              <w:t>50m</w:t>
            </w:r>
          </w:p>
        </w:tc>
        <w:tc>
          <w:tcPr>
            <w:tcW w:w="1208" w:type="dxa"/>
          </w:tcPr>
          <w:p w14:paraId="4092F9B8" w14:textId="77777777" w:rsidR="00446CED" w:rsidRDefault="00446CED" w:rsidP="00FA16C3">
            <w:pPr>
              <w:spacing w:after="0" w:line="259" w:lineRule="auto"/>
              <w:ind w:left="28"/>
            </w:pPr>
            <w:r>
              <w:t>1.348***</w:t>
            </w:r>
          </w:p>
        </w:tc>
        <w:tc>
          <w:tcPr>
            <w:tcW w:w="1208" w:type="dxa"/>
          </w:tcPr>
          <w:p w14:paraId="6182EDE5" w14:textId="77777777" w:rsidR="00446CED" w:rsidRDefault="00446CED" w:rsidP="00FA16C3">
            <w:pPr>
              <w:spacing w:after="0" w:line="259" w:lineRule="auto"/>
              <w:ind w:left="28"/>
            </w:pPr>
            <w:r>
              <w:t>1.396***</w:t>
            </w:r>
          </w:p>
        </w:tc>
        <w:tc>
          <w:tcPr>
            <w:tcW w:w="1464" w:type="dxa"/>
          </w:tcPr>
          <w:p w14:paraId="76ED532A" w14:textId="77777777" w:rsidR="00446CED" w:rsidRDefault="00446CED" w:rsidP="00FA16C3">
            <w:pPr>
              <w:spacing w:after="0" w:line="259" w:lineRule="auto"/>
            </w:pPr>
          </w:p>
        </w:tc>
        <w:tc>
          <w:tcPr>
            <w:tcW w:w="1208" w:type="dxa"/>
          </w:tcPr>
          <w:p w14:paraId="099C5E75" w14:textId="77777777" w:rsidR="00446CED" w:rsidRDefault="00446CED" w:rsidP="00FA16C3">
            <w:pPr>
              <w:spacing w:after="0" w:line="259" w:lineRule="auto"/>
            </w:pPr>
          </w:p>
        </w:tc>
      </w:tr>
      <w:tr w:rsidR="00446CED" w14:paraId="42BEA09E" w14:textId="77777777" w:rsidTr="00FA16C3">
        <w:trPr>
          <w:trHeight w:val="20"/>
        </w:trPr>
        <w:tc>
          <w:tcPr>
            <w:tcW w:w="3849" w:type="dxa"/>
          </w:tcPr>
          <w:p w14:paraId="12C518B8" w14:textId="77777777" w:rsidR="00446CED" w:rsidRDefault="00446CED" w:rsidP="00FA16C3">
            <w:pPr>
              <w:spacing w:after="0" w:line="259" w:lineRule="auto"/>
            </w:pPr>
          </w:p>
        </w:tc>
        <w:tc>
          <w:tcPr>
            <w:tcW w:w="1208" w:type="dxa"/>
          </w:tcPr>
          <w:p w14:paraId="2E5201C5" w14:textId="77777777" w:rsidR="00446CED" w:rsidRDefault="00446CED" w:rsidP="00FA16C3">
            <w:pPr>
              <w:spacing w:after="0" w:line="259" w:lineRule="auto"/>
              <w:ind w:left="50"/>
            </w:pPr>
            <w:r>
              <w:t>(0.0424)</w:t>
            </w:r>
          </w:p>
        </w:tc>
        <w:tc>
          <w:tcPr>
            <w:tcW w:w="1208" w:type="dxa"/>
          </w:tcPr>
          <w:p w14:paraId="1B1A9B84" w14:textId="77777777" w:rsidR="00446CED" w:rsidRDefault="00446CED" w:rsidP="00FA16C3">
            <w:pPr>
              <w:spacing w:after="0" w:line="259" w:lineRule="auto"/>
              <w:ind w:left="50"/>
            </w:pPr>
            <w:r>
              <w:t>(0.0474)</w:t>
            </w:r>
          </w:p>
        </w:tc>
        <w:tc>
          <w:tcPr>
            <w:tcW w:w="1464" w:type="dxa"/>
          </w:tcPr>
          <w:p w14:paraId="66CCCC3A" w14:textId="77777777" w:rsidR="00446CED" w:rsidRDefault="00446CED" w:rsidP="00FA16C3">
            <w:pPr>
              <w:spacing w:after="0" w:line="259" w:lineRule="auto"/>
            </w:pPr>
          </w:p>
        </w:tc>
        <w:tc>
          <w:tcPr>
            <w:tcW w:w="1208" w:type="dxa"/>
          </w:tcPr>
          <w:p w14:paraId="59C3AC87" w14:textId="77777777" w:rsidR="00446CED" w:rsidRDefault="00446CED" w:rsidP="00FA16C3">
            <w:pPr>
              <w:spacing w:after="0" w:line="259" w:lineRule="auto"/>
            </w:pPr>
          </w:p>
        </w:tc>
      </w:tr>
      <w:tr w:rsidR="00446CED" w14:paraId="5A966EC0" w14:textId="77777777" w:rsidTr="00FA16C3">
        <w:trPr>
          <w:trHeight w:val="20"/>
        </w:trPr>
        <w:tc>
          <w:tcPr>
            <w:tcW w:w="3849" w:type="dxa"/>
          </w:tcPr>
          <w:p w14:paraId="2624A49E" w14:textId="77777777" w:rsidR="00446CED" w:rsidRDefault="00446CED" w:rsidP="00FA16C3">
            <w:pPr>
              <w:spacing w:after="0" w:line="259" w:lineRule="auto"/>
            </w:pPr>
            <w:r>
              <w:t xml:space="preserve">Over </w:t>
            </w:r>
            <w:r>
              <w:rPr>
                <w:rFonts w:ascii="Calibri" w:eastAsia="Calibri" w:hAnsi="Calibri" w:cs="Calibri"/>
              </w:rPr>
              <w:t>$</w:t>
            </w:r>
            <w:r>
              <w:t>50m</w:t>
            </w:r>
          </w:p>
        </w:tc>
        <w:tc>
          <w:tcPr>
            <w:tcW w:w="1208" w:type="dxa"/>
          </w:tcPr>
          <w:p w14:paraId="66CC055B" w14:textId="77777777" w:rsidR="00446CED" w:rsidRDefault="00446CED" w:rsidP="00FA16C3">
            <w:pPr>
              <w:spacing w:after="0" w:line="259" w:lineRule="auto"/>
              <w:ind w:left="177"/>
            </w:pPr>
            <w:r>
              <w:t>1.047</w:t>
            </w:r>
          </w:p>
        </w:tc>
        <w:tc>
          <w:tcPr>
            <w:tcW w:w="1208" w:type="dxa"/>
          </w:tcPr>
          <w:p w14:paraId="3BF66A99" w14:textId="77777777" w:rsidR="00446CED" w:rsidRDefault="00446CED" w:rsidP="00FA16C3">
            <w:pPr>
              <w:spacing w:after="0" w:line="259" w:lineRule="auto"/>
              <w:ind w:left="177"/>
            </w:pPr>
            <w:r>
              <w:t>1.071</w:t>
            </w:r>
          </w:p>
        </w:tc>
        <w:tc>
          <w:tcPr>
            <w:tcW w:w="1464" w:type="dxa"/>
          </w:tcPr>
          <w:p w14:paraId="776430B1" w14:textId="77777777" w:rsidR="00446CED" w:rsidRDefault="00446CED" w:rsidP="00FA16C3">
            <w:pPr>
              <w:spacing w:after="0" w:line="259" w:lineRule="auto"/>
            </w:pPr>
          </w:p>
        </w:tc>
        <w:tc>
          <w:tcPr>
            <w:tcW w:w="1208" w:type="dxa"/>
          </w:tcPr>
          <w:p w14:paraId="59ACF095" w14:textId="77777777" w:rsidR="00446CED" w:rsidRDefault="00446CED" w:rsidP="00FA16C3">
            <w:pPr>
              <w:spacing w:after="0" w:line="259" w:lineRule="auto"/>
            </w:pPr>
          </w:p>
        </w:tc>
      </w:tr>
      <w:tr w:rsidR="00FA16C3" w14:paraId="32F25310" w14:textId="77777777" w:rsidTr="00FA16C3">
        <w:trPr>
          <w:trHeight w:val="20"/>
        </w:trPr>
        <w:tc>
          <w:tcPr>
            <w:tcW w:w="3849" w:type="dxa"/>
          </w:tcPr>
          <w:p w14:paraId="7E67C2B2" w14:textId="77777777" w:rsidR="00FA16C3" w:rsidRDefault="00FA16C3" w:rsidP="00FA16C3">
            <w:pPr>
              <w:spacing w:after="0" w:line="259" w:lineRule="auto"/>
              <w:ind w:left="120"/>
            </w:pPr>
          </w:p>
        </w:tc>
        <w:tc>
          <w:tcPr>
            <w:tcW w:w="1208" w:type="dxa"/>
          </w:tcPr>
          <w:p w14:paraId="6DA5357A" w14:textId="392A5409" w:rsidR="00FA16C3" w:rsidRDefault="00FA16C3" w:rsidP="00FA16C3">
            <w:pPr>
              <w:spacing w:after="0" w:line="259" w:lineRule="auto"/>
              <w:ind w:left="50"/>
            </w:pPr>
            <w:r>
              <w:t>(0.0789)</w:t>
            </w:r>
          </w:p>
        </w:tc>
        <w:tc>
          <w:tcPr>
            <w:tcW w:w="1208" w:type="dxa"/>
          </w:tcPr>
          <w:p w14:paraId="76016B40" w14:textId="27E69E3C" w:rsidR="00FA16C3" w:rsidRDefault="00FA16C3" w:rsidP="00FA16C3">
            <w:pPr>
              <w:spacing w:after="0" w:line="259" w:lineRule="auto"/>
              <w:ind w:left="50"/>
            </w:pPr>
            <w:r>
              <w:t>(0.0831)</w:t>
            </w:r>
          </w:p>
        </w:tc>
        <w:tc>
          <w:tcPr>
            <w:tcW w:w="1464" w:type="dxa"/>
          </w:tcPr>
          <w:p w14:paraId="2F7C5FAD" w14:textId="77777777" w:rsidR="00FA16C3" w:rsidRDefault="00FA16C3" w:rsidP="00FA16C3">
            <w:pPr>
              <w:spacing w:after="0" w:line="259" w:lineRule="auto"/>
            </w:pPr>
          </w:p>
        </w:tc>
        <w:tc>
          <w:tcPr>
            <w:tcW w:w="1208" w:type="dxa"/>
          </w:tcPr>
          <w:p w14:paraId="516F3934" w14:textId="77777777" w:rsidR="00FA16C3" w:rsidRDefault="00FA16C3" w:rsidP="00FA16C3">
            <w:pPr>
              <w:spacing w:after="0" w:line="259" w:lineRule="auto"/>
            </w:pPr>
          </w:p>
        </w:tc>
      </w:tr>
      <w:tr w:rsidR="00FA16C3" w14:paraId="54DBD810" w14:textId="77777777" w:rsidTr="00FA16C3">
        <w:trPr>
          <w:trHeight w:val="20"/>
        </w:trPr>
        <w:tc>
          <w:tcPr>
            <w:tcW w:w="3849" w:type="dxa"/>
            <w:tcBorders>
              <w:bottom w:val="single" w:sz="4" w:space="0" w:color="auto"/>
            </w:tcBorders>
          </w:tcPr>
          <w:p w14:paraId="5823A7CC" w14:textId="6F53A6D4" w:rsidR="00FA16C3" w:rsidRPr="00554974" w:rsidRDefault="00FA16C3" w:rsidP="00FA16C3">
            <w:pPr>
              <w:spacing w:after="0" w:line="259" w:lineRule="auto"/>
              <w:rPr>
                <w:b/>
                <w:bCs/>
              </w:rPr>
            </w:pPr>
            <w:r w:rsidRPr="00554974">
              <w:rPr>
                <w:b/>
                <w:bCs/>
              </w:rPr>
              <w:t>Employment bins</w:t>
            </w:r>
          </w:p>
        </w:tc>
        <w:tc>
          <w:tcPr>
            <w:tcW w:w="1208" w:type="dxa"/>
            <w:tcBorders>
              <w:bottom w:val="single" w:sz="4" w:space="0" w:color="auto"/>
            </w:tcBorders>
          </w:tcPr>
          <w:p w14:paraId="6AE91419" w14:textId="27F4D9E7" w:rsidR="00FA16C3" w:rsidRDefault="00FA16C3" w:rsidP="00FA16C3">
            <w:pPr>
              <w:spacing w:after="0" w:line="259" w:lineRule="auto"/>
              <w:ind w:left="50"/>
            </w:pPr>
          </w:p>
        </w:tc>
        <w:tc>
          <w:tcPr>
            <w:tcW w:w="1208" w:type="dxa"/>
            <w:tcBorders>
              <w:bottom w:val="single" w:sz="4" w:space="0" w:color="auto"/>
            </w:tcBorders>
          </w:tcPr>
          <w:p w14:paraId="0AB4FEDE" w14:textId="6180DEEB" w:rsidR="00FA16C3" w:rsidRDefault="00FA16C3" w:rsidP="00FA16C3">
            <w:pPr>
              <w:spacing w:after="0" w:line="259" w:lineRule="auto"/>
              <w:ind w:left="50"/>
            </w:pPr>
          </w:p>
        </w:tc>
        <w:tc>
          <w:tcPr>
            <w:tcW w:w="1464" w:type="dxa"/>
            <w:tcBorders>
              <w:bottom w:val="single" w:sz="4" w:space="0" w:color="auto"/>
            </w:tcBorders>
          </w:tcPr>
          <w:p w14:paraId="5CA240D2" w14:textId="77777777" w:rsidR="00FA16C3" w:rsidRDefault="00FA16C3" w:rsidP="00FA16C3">
            <w:pPr>
              <w:spacing w:after="0" w:line="259" w:lineRule="auto"/>
            </w:pPr>
          </w:p>
        </w:tc>
        <w:tc>
          <w:tcPr>
            <w:tcW w:w="1208" w:type="dxa"/>
            <w:tcBorders>
              <w:bottom w:val="single" w:sz="4" w:space="0" w:color="auto"/>
            </w:tcBorders>
          </w:tcPr>
          <w:p w14:paraId="579D9EA4" w14:textId="77777777" w:rsidR="00FA16C3" w:rsidRDefault="00FA16C3" w:rsidP="00FA16C3">
            <w:pPr>
              <w:spacing w:after="0" w:line="259" w:lineRule="auto"/>
            </w:pPr>
          </w:p>
        </w:tc>
      </w:tr>
      <w:tr w:rsidR="00FA16C3" w14:paraId="7AAF2745" w14:textId="77777777" w:rsidTr="00FA16C3">
        <w:trPr>
          <w:trHeight w:val="20"/>
        </w:trPr>
        <w:tc>
          <w:tcPr>
            <w:tcW w:w="3849" w:type="dxa"/>
            <w:tcBorders>
              <w:top w:val="single" w:sz="4" w:space="0" w:color="auto"/>
            </w:tcBorders>
          </w:tcPr>
          <w:p w14:paraId="10FCB987" w14:textId="77777777" w:rsidR="00FA16C3" w:rsidRDefault="00FA16C3" w:rsidP="00FA16C3">
            <w:pPr>
              <w:spacing w:after="0" w:line="259" w:lineRule="auto"/>
            </w:pPr>
            <w:r>
              <w:t>20 to 100 employees</w:t>
            </w:r>
          </w:p>
        </w:tc>
        <w:tc>
          <w:tcPr>
            <w:tcW w:w="1208" w:type="dxa"/>
            <w:tcBorders>
              <w:top w:val="single" w:sz="4" w:space="0" w:color="auto"/>
            </w:tcBorders>
          </w:tcPr>
          <w:p w14:paraId="4A66301B" w14:textId="77777777" w:rsidR="00FA16C3" w:rsidRDefault="00FA16C3" w:rsidP="00FA16C3">
            <w:pPr>
              <w:spacing w:after="0" w:line="259" w:lineRule="auto"/>
            </w:pPr>
          </w:p>
        </w:tc>
        <w:tc>
          <w:tcPr>
            <w:tcW w:w="1208" w:type="dxa"/>
            <w:tcBorders>
              <w:top w:val="single" w:sz="4" w:space="0" w:color="auto"/>
            </w:tcBorders>
          </w:tcPr>
          <w:p w14:paraId="4D506143" w14:textId="77777777" w:rsidR="00FA16C3" w:rsidRDefault="00FA16C3" w:rsidP="00FA16C3">
            <w:pPr>
              <w:spacing w:after="0" w:line="259" w:lineRule="auto"/>
            </w:pPr>
          </w:p>
        </w:tc>
        <w:tc>
          <w:tcPr>
            <w:tcW w:w="1464" w:type="dxa"/>
            <w:tcBorders>
              <w:top w:val="single" w:sz="4" w:space="0" w:color="auto"/>
            </w:tcBorders>
          </w:tcPr>
          <w:p w14:paraId="1FB01EEF" w14:textId="77777777" w:rsidR="00FA16C3" w:rsidRDefault="00FA16C3" w:rsidP="00FA16C3">
            <w:pPr>
              <w:spacing w:after="0" w:line="259" w:lineRule="auto"/>
              <w:ind w:left="28"/>
            </w:pPr>
            <w:r>
              <w:t>1.592***</w:t>
            </w:r>
          </w:p>
        </w:tc>
        <w:tc>
          <w:tcPr>
            <w:tcW w:w="1208" w:type="dxa"/>
            <w:tcBorders>
              <w:top w:val="single" w:sz="4" w:space="0" w:color="auto"/>
            </w:tcBorders>
          </w:tcPr>
          <w:p w14:paraId="429F7743" w14:textId="77777777" w:rsidR="00FA16C3" w:rsidRDefault="00FA16C3" w:rsidP="00FA16C3">
            <w:pPr>
              <w:spacing w:after="0" w:line="259" w:lineRule="auto"/>
              <w:ind w:left="28"/>
            </w:pPr>
            <w:r>
              <w:t>1.531***</w:t>
            </w:r>
          </w:p>
        </w:tc>
      </w:tr>
      <w:tr w:rsidR="00FA16C3" w14:paraId="452B3328" w14:textId="77777777" w:rsidTr="00FA16C3">
        <w:trPr>
          <w:trHeight w:val="20"/>
        </w:trPr>
        <w:tc>
          <w:tcPr>
            <w:tcW w:w="3849" w:type="dxa"/>
          </w:tcPr>
          <w:p w14:paraId="2C826B6B" w14:textId="77777777" w:rsidR="00FA16C3" w:rsidRDefault="00FA16C3" w:rsidP="00FA16C3">
            <w:pPr>
              <w:spacing w:after="0" w:line="259" w:lineRule="auto"/>
            </w:pPr>
          </w:p>
        </w:tc>
        <w:tc>
          <w:tcPr>
            <w:tcW w:w="1208" w:type="dxa"/>
          </w:tcPr>
          <w:p w14:paraId="225FAA56" w14:textId="77777777" w:rsidR="00FA16C3" w:rsidRDefault="00FA16C3" w:rsidP="00FA16C3">
            <w:pPr>
              <w:spacing w:after="0" w:line="259" w:lineRule="auto"/>
            </w:pPr>
          </w:p>
        </w:tc>
        <w:tc>
          <w:tcPr>
            <w:tcW w:w="1208" w:type="dxa"/>
          </w:tcPr>
          <w:p w14:paraId="4B165D23" w14:textId="77777777" w:rsidR="00FA16C3" w:rsidRDefault="00FA16C3" w:rsidP="00FA16C3">
            <w:pPr>
              <w:spacing w:after="0" w:line="259" w:lineRule="auto"/>
            </w:pPr>
          </w:p>
        </w:tc>
        <w:tc>
          <w:tcPr>
            <w:tcW w:w="1464" w:type="dxa"/>
          </w:tcPr>
          <w:p w14:paraId="33FFF4E3" w14:textId="77777777" w:rsidR="00FA16C3" w:rsidRDefault="00FA16C3" w:rsidP="00FA16C3">
            <w:pPr>
              <w:spacing w:after="0" w:line="259" w:lineRule="auto"/>
              <w:ind w:left="50"/>
            </w:pPr>
            <w:r>
              <w:t>(0.0278)</w:t>
            </w:r>
          </w:p>
        </w:tc>
        <w:tc>
          <w:tcPr>
            <w:tcW w:w="1208" w:type="dxa"/>
          </w:tcPr>
          <w:p w14:paraId="7D6274E3" w14:textId="77777777" w:rsidR="00FA16C3" w:rsidRDefault="00FA16C3" w:rsidP="00FA16C3">
            <w:pPr>
              <w:spacing w:after="0" w:line="259" w:lineRule="auto"/>
              <w:ind w:left="50"/>
            </w:pPr>
            <w:r>
              <w:t>(0.0274)</w:t>
            </w:r>
          </w:p>
        </w:tc>
      </w:tr>
      <w:tr w:rsidR="00FA16C3" w14:paraId="68F1B35D" w14:textId="77777777" w:rsidTr="00FA16C3">
        <w:trPr>
          <w:trHeight w:val="20"/>
        </w:trPr>
        <w:tc>
          <w:tcPr>
            <w:tcW w:w="3849" w:type="dxa"/>
          </w:tcPr>
          <w:p w14:paraId="255667C4" w14:textId="77777777" w:rsidR="00FA16C3" w:rsidRDefault="00FA16C3" w:rsidP="00FA16C3">
            <w:pPr>
              <w:spacing w:after="0" w:line="259" w:lineRule="auto"/>
              <w:ind w:right="178"/>
            </w:pPr>
            <w:r>
              <w:t>101 to 500 employees</w:t>
            </w:r>
          </w:p>
        </w:tc>
        <w:tc>
          <w:tcPr>
            <w:tcW w:w="1208" w:type="dxa"/>
          </w:tcPr>
          <w:p w14:paraId="7ED782B2" w14:textId="77777777" w:rsidR="00FA16C3" w:rsidRDefault="00FA16C3" w:rsidP="00FA16C3">
            <w:pPr>
              <w:spacing w:after="0" w:line="259" w:lineRule="auto"/>
            </w:pPr>
          </w:p>
        </w:tc>
        <w:tc>
          <w:tcPr>
            <w:tcW w:w="1208" w:type="dxa"/>
          </w:tcPr>
          <w:p w14:paraId="2CBDE538" w14:textId="77777777" w:rsidR="00FA16C3" w:rsidRDefault="00FA16C3" w:rsidP="00FA16C3">
            <w:pPr>
              <w:spacing w:after="0" w:line="259" w:lineRule="auto"/>
            </w:pPr>
          </w:p>
        </w:tc>
        <w:tc>
          <w:tcPr>
            <w:tcW w:w="1464" w:type="dxa"/>
          </w:tcPr>
          <w:p w14:paraId="0C0F673E" w14:textId="77777777" w:rsidR="00FA16C3" w:rsidRDefault="00FA16C3" w:rsidP="00FA16C3">
            <w:pPr>
              <w:spacing w:after="0" w:line="259" w:lineRule="auto"/>
              <w:ind w:left="28"/>
            </w:pPr>
            <w:r>
              <w:t>1.591***</w:t>
            </w:r>
          </w:p>
        </w:tc>
        <w:tc>
          <w:tcPr>
            <w:tcW w:w="1208" w:type="dxa"/>
          </w:tcPr>
          <w:p w14:paraId="45F87D74" w14:textId="77777777" w:rsidR="00FA16C3" w:rsidRDefault="00FA16C3" w:rsidP="00FA16C3">
            <w:pPr>
              <w:spacing w:after="0" w:line="259" w:lineRule="auto"/>
              <w:ind w:left="28"/>
            </w:pPr>
            <w:r>
              <w:t>1.410***</w:t>
            </w:r>
          </w:p>
        </w:tc>
      </w:tr>
      <w:tr w:rsidR="00FA16C3" w14:paraId="4B6F326A" w14:textId="77777777" w:rsidTr="00FA16C3">
        <w:trPr>
          <w:trHeight w:val="20"/>
        </w:trPr>
        <w:tc>
          <w:tcPr>
            <w:tcW w:w="3849" w:type="dxa"/>
          </w:tcPr>
          <w:p w14:paraId="1B7AEA07" w14:textId="77777777" w:rsidR="00FA16C3" w:rsidRDefault="00FA16C3" w:rsidP="00FA16C3">
            <w:pPr>
              <w:spacing w:after="0" w:line="259" w:lineRule="auto"/>
            </w:pPr>
          </w:p>
        </w:tc>
        <w:tc>
          <w:tcPr>
            <w:tcW w:w="1208" w:type="dxa"/>
          </w:tcPr>
          <w:p w14:paraId="5570CFF4" w14:textId="77777777" w:rsidR="00FA16C3" w:rsidRDefault="00FA16C3" w:rsidP="00FA16C3">
            <w:pPr>
              <w:spacing w:after="0" w:line="259" w:lineRule="auto"/>
            </w:pPr>
          </w:p>
        </w:tc>
        <w:tc>
          <w:tcPr>
            <w:tcW w:w="1208" w:type="dxa"/>
          </w:tcPr>
          <w:p w14:paraId="63E6B36F" w14:textId="77777777" w:rsidR="00FA16C3" w:rsidRDefault="00FA16C3" w:rsidP="00FA16C3">
            <w:pPr>
              <w:spacing w:after="0" w:line="259" w:lineRule="auto"/>
            </w:pPr>
          </w:p>
        </w:tc>
        <w:tc>
          <w:tcPr>
            <w:tcW w:w="1464" w:type="dxa"/>
          </w:tcPr>
          <w:p w14:paraId="247E8377" w14:textId="77777777" w:rsidR="00FA16C3" w:rsidRDefault="00FA16C3" w:rsidP="00FA16C3">
            <w:pPr>
              <w:spacing w:after="0" w:line="259" w:lineRule="auto"/>
              <w:ind w:left="50"/>
            </w:pPr>
            <w:r>
              <w:t>(0.0591)</w:t>
            </w:r>
          </w:p>
        </w:tc>
        <w:tc>
          <w:tcPr>
            <w:tcW w:w="1208" w:type="dxa"/>
          </w:tcPr>
          <w:p w14:paraId="2486336A" w14:textId="77777777" w:rsidR="00FA16C3" w:rsidRDefault="00FA16C3" w:rsidP="00FA16C3">
            <w:pPr>
              <w:spacing w:after="0" w:line="259" w:lineRule="auto"/>
              <w:ind w:left="50"/>
            </w:pPr>
            <w:r>
              <w:t>(0.0547)</w:t>
            </w:r>
          </w:p>
        </w:tc>
      </w:tr>
      <w:tr w:rsidR="00FA16C3" w14:paraId="31545488" w14:textId="77777777" w:rsidTr="00FA16C3">
        <w:trPr>
          <w:trHeight w:val="20"/>
        </w:trPr>
        <w:tc>
          <w:tcPr>
            <w:tcW w:w="3849" w:type="dxa"/>
          </w:tcPr>
          <w:p w14:paraId="03EDDC3C" w14:textId="77777777" w:rsidR="00FA16C3" w:rsidRDefault="00FA16C3" w:rsidP="00FA16C3">
            <w:pPr>
              <w:spacing w:after="0" w:line="259" w:lineRule="auto"/>
            </w:pPr>
            <w:r>
              <w:t>501+ employees</w:t>
            </w:r>
          </w:p>
        </w:tc>
        <w:tc>
          <w:tcPr>
            <w:tcW w:w="1208" w:type="dxa"/>
          </w:tcPr>
          <w:p w14:paraId="5726A776" w14:textId="77777777" w:rsidR="00FA16C3" w:rsidRDefault="00FA16C3" w:rsidP="00FA16C3">
            <w:pPr>
              <w:spacing w:after="0" w:line="259" w:lineRule="auto"/>
            </w:pPr>
          </w:p>
        </w:tc>
        <w:tc>
          <w:tcPr>
            <w:tcW w:w="1208" w:type="dxa"/>
          </w:tcPr>
          <w:p w14:paraId="00F34684" w14:textId="77777777" w:rsidR="00FA16C3" w:rsidRDefault="00FA16C3" w:rsidP="00FA16C3">
            <w:pPr>
              <w:spacing w:after="0" w:line="259" w:lineRule="auto"/>
            </w:pPr>
          </w:p>
        </w:tc>
        <w:tc>
          <w:tcPr>
            <w:tcW w:w="1464" w:type="dxa"/>
          </w:tcPr>
          <w:p w14:paraId="0FE4F7F8" w14:textId="77777777" w:rsidR="00FA16C3" w:rsidRDefault="00FA16C3" w:rsidP="00FA16C3">
            <w:pPr>
              <w:spacing w:after="0" w:line="259" w:lineRule="auto"/>
              <w:ind w:left="177"/>
            </w:pPr>
            <w:r>
              <w:t>0.872</w:t>
            </w:r>
          </w:p>
        </w:tc>
        <w:tc>
          <w:tcPr>
            <w:tcW w:w="1208" w:type="dxa"/>
          </w:tcPr>
          <w:p w14:paraId="5E09998B" w14:textId="77777777" w:rsidR="00FA16C3" w:rsidRDefault="00FA16C3" w:rsidP="00FA16C3">
            <w:pPr>
              <w:spacing w:after="0" w:line="259" w:lineRule="auto"/>
              <w:ind w:left="77"/>
            </w:pPr>
            <w:r>
              <w:t>0.709**</w:t>
            </w:r>
          </w:p>
        </w:tc>
      </w:tr>
      <w:tr w:rsidR="00FA16C3" w14:paraId="508D7724" w14:textId="77777777" w:rsidTr="00FA16C3">
        <w:trPr>
          <w:trHeight w:val="20"/>
        </w:trPr>
        <w:tc>
          <w:tcPr>
            <w:tcW w:w="3849" w:type="dxa"/>
          </w:tcPr>
          <w:p w14:paraId="6655EDC2" w14:textId="77777777" w:rsidR="00FA16C3" w:rsidRDefault="00FA16C3" w:rsidP="00FA16C3">
            <w:pPr>
              <w:spacing w:after="0" w:line="259" w:lineRule="auto"/>
              <w:ind w:left="120"/>
            </w:pPr>
          </w:p>
        </w:tc>
        <w:tc>
          <w:tcPr>
            <w:tcW w:w="1208" w:type="dxa"/>
          </w:tcPr>
          <w:p w14:paraId="098F2098" w14:textId="77777777" w:rsidR="00FA16C3" w:rsidRDefault="00FA16C3" w:rsidP="00FA16C3">
            <w:pPr>
              <w:spacing w:after="0" w:line="259" w:lineRule="auto"/>
            </w:pPr>
          </w:p>
        </w:tc>
        <w:tc>
          <w:tcPr>
            <w:tcW w:w="1208" w:type="dxa"/>
          </w:tcPr>
          <w:p w14:paraId="52E21706" w14:textId="77777777" w:rsidR="00FA16C3" w:rsidRDefault="00FA16C3" w:rsidP="00FA16C3">
            <w:pPr>
              <w:spacing w:after="0" w:line="259" w:lineRule="auto"/>
            </w:pPr>
          </w:p>
        </w:tc>
        <w:tc>
          <w:tcPr>
            <w:tcW w:w="1464" w:type="dxa"/>
          </w:tcPr>
          <w:p w14:paraId="469A16AC" w14:textId="409E65DF" w:rsidR="00FA16C3" w:rsidRDefault="00FA16C3" w:rsidP="00FA16C3">
            <w:pPr>
              <w:spacing w:after="0" w:line="259" w:lineRule="auto"/>
              <w:ind w:left="100"/>
            </w:pPr>
            <w:r>
              <w:t>(0.117)</w:t>
            </w:r>
          </w:p>
        </w:tc>
        <w:tc>
          <w:tcPr>
            <w:tcW w:w="1208" w:type="dxa"/>
          </w:tcPr>
          <w:p w14:paraId="2064A7FE" w14:textId="17B6E8F7" w:rsidR="00FA16C3" w:rsidRDefault="00FA16C3" w:rsidP="00FA16C3">
            <w:pPr>
              <w:spacing w:after="0" w:line="259" w:lineRule="auto"/>
              <w:ind w:left="50"/>
            </w:pPr>
            <w:r>
              <w:t>(0.0955)</w:t>
            </w:r>
          </w:p>
        </w:tc>
      </w:tr>
      <w:tr w:rsidR="00FA16C3" w14:paraId="72BEE08B" w14:textId="77777777" w:rsidTr="00FA16C3">
        <w:trPr>
          <w:trHeight w:val="20"/>
        </w:trPr>
        <w:tc>
          <w:tcPr>
            <w:tcW w:w="3849" w:type="dxa"/>
            <w:tcBorders>
              <w:bottom w:val="single" w:sz="4" w:space="0" w:color="auto"/>
            </w:tcBorders>
          </w:tcPr>
          <w:p w14:paraId="0B3BBE46" w14:textId="77777777" w:rsidR="00FA16C3" w:rsidRPr="00554974" w:rsidRDefault="00FA16C3" w:rsidP="00FA16C3">
            <w:pPr>
              <w:spacing w:after="0" w:line="259" w:lineRule="auto"/>
              <w:rPr>
                <w:b/>
                <w:bCs/>
              </w:rPr>
            </w:pPr>
            <w:r w:rsidRPr="00554974">
              <w:rPr>
                <w:b/>
                <w:bCs/>
              </w:rPr>
              <w:t>Other characteristics</w:t>
            </w:r>
          </w:p>
        </w:tc>
        <w:tc>
          <w:tcPr>
            <w:tcW w:w="1208" w:type="dxa"/>
            <w:tcBorders>
              <w:bottom w:val="single" w:sz="4" w:space="0" w:color="auto"/>
            </w:tcBorders>
          </w:tcPr>
          <w:p w14:paraId="0DFF473E" w14:textId="77777777" w:rsidR="00FA16C3" w:rsidRDefault="00FA16C3" w:rsidP="00FA16C3">
            <w:pPr>
              <w:spacing w:after="0" w:line="259" w:lineRule="auto"/>
            </w:pPr>
          </w:p>
        </w:tc>
        <w:tc>
          <w:tcPr>
            <w:tcW w:w="1208" w:type="dxa"/>
            <w:tcBorders>
              <w:bottom w:val="single" w:sz="4" w:space="0" w:color="auto"/>
            </w:tcBorders>
          </w:tcPr>
          <w:p w14:paraId="155CD7C3" w14:textId="77777777" w:rsidR="00FA16C3" w:rsidRDefault="00FA16C3" w:rsidP="00FA16C3">
            <w:pPr>
              <w:spacing w:after="0" w:line="259" w:lineRule="auto"/>
            </w:pPr>
          </w:p>
        </w:tc>
        <w:tc>
          <w:tcPr>
            <w:tcW w:w="1464" w:type="dxa"/>
            <w:tcBorders>
              <w:bottom w:val="single" w:sz="4" w:space="0" w:color="auto"/>
            </w:tcBorders>
          </w:tcPr>
          <w:p w14:paraId="25CE1D32" w14:textId="58C476B3" w:rsidR="00FA16C3" w:rsidRDefault="00FA16C3" w:rsidP="00FA16C3">
            <w:pPr>
              <w:spacing w:after="0" w:line="259" w:lineRule="auto"/>
              <w:ind w:left="100"/>
            </w:pPr>
          </w:p>
        </w:tc>
        <w:tc>
          <w:tcPr>
            <w:tcW w:w="1208" w:type="dxa"/>
            <w:tcBorders>
              <w:bottom w:val="single" w:sz="4" w:space="0" w:color="auto"/>
            </w:tcBorders>
          </w:tcPr>
          <w:p w14:paraId="6F42DA55" w14:textId="68D544FC" w:rsidR="00FA16C3" w:rsidRDefault="00FA16C3" w:rsidP="00FA16C3">
            <w:pPr>
              <w:spacing w:after="0" w:line="259" w:lineRule="auto"/>
              <w:ind w:left="50"/>
            </w:pPr>
          </w:p>
        </w:tc>
      </w:tr>
      <w:tr w:rsidR="00FA16C3" w14:paraId="7DEFEDC1" w14:textId="77777777" w:rsidTr="00FA16C3">
        <w:trPr>
          <w:trHeight w:val="20"/>
        </w:trPr>
        <w:tc>
          <w:tcPr>
            <w:tcW w:w="3849" w:type="dxa"/>
            <w:tcBorders>
              <w:top w:val="single" w:sz="4" w:space="0" w:color="auto"/>
            </w:tcBorders>
          </w:tcPr>
          <w:p w14:paraId="1FB92378" w14:textId="77777777" w:rsidR="00FA16C3" w:rsidRDefault="00FA16C3" w:rsidP="00FA16C3">
            <w:pPr>
              <w:spacing w:after="0" w:line="259" w:lineRule="auto"/>
            </w:pPr>
            <w:r>
              <w:t>Belongs to EG</w:t>
            </w:r>
          </w:p>
        </w:tc>
        <w:tc>
          <w:tcPr>
            <w:tcW w:w="1208" w:type="dxa"/>
            <w:tcBorders>
              <w:top w:val="single" w:sz="4" w:space="0" w:color="auto"/>
            </w:tcBorders>
          </w:tcPr>
          <w:p w14:paraId="1C926686" w14:textId="77777777" w:rsidR="00FA16C3" w:rsidRDefault="00FA16C3" w:rsidP="00FA16C3">
            <w:pPr>
              <w:spacing w:after="0" w:line="259" w:lineRule="auto"/>
              <w:ind w:left="177"/>
            </w:pPr>
            <w:r>
              <w:t>0.914</w:t>
            </w:r>
          </w:p>
        </w:tc>
        <w:tc>
          <w:tcPr>
            <w:tcW w:w="1208" w:type="dxa"/>
            <w:tcBorders>
              <w:top w:val="single" w:sz="4" w:space="0" w:color="auto"/>
            </w:tcBorders>
          </w:tcPr>
          <w:p w14:paraId="3773D170" w14:textId="77777777" w:rsidR="00FA16C3" w:rsidRDefault="00FA16C3" w:rsidP="00FA16C3">
            <w:pPr>
              <w:spacing w:after="0" w:line="259" w:lineRule="auto"/>
              <w:ind w:left="78"/>
            </w:pPr>
            <w:r>
              <w:t>0.872**</w:t>
            </w:r>
          </w:p>
        </w:tc>
        <w:tc>
          <w:tcPr>
            <w:tcW w:w="1464" w:type="dxa"/>
            <w:tcBorders>
              <w:top w:val="single" w:sz="4" w:space="0" w:color="auto"/>
            </w:tcBorders>
          </w:tcPr>
          <w:p w14:paraId="71367659" w14:textId="77777777" w:rsidR="00FA16C3" w:rsidRDefault="00FA16C3" w:rsidP="00FA16C3">
            <w:pPr>
              <w:spacing w:after="0" w:line="259" w:lineRule="auto"/>
              <w:ind w:left="177"/>
            </w:pPr>
            <w:r>
              <w:t>0.910</w:t>
            </w:r>
          </w:p>
        </w:tc>
        <w:tc>
          <w:tcPr>
            <w:tcW w:w="1208" w:type="dxa"/>
            <w:tcBorders>
              <w:top w:val="single" w:sz="4" w:space="0" w:color="auto"/>
            </w:tcBorders>
          </w:tcPr>
          <w:p w14:paraId="51672B2B" w14:textId="77777777" w:rsidR="00FA16C3" w:rsidRDefault="00FA16C3" w:rsidP="00FA16C3">
            <w:pPr>
              <w:spacing w:after="0" w:line="259" w:lineRule="auto"/>
              <w:ind w:left="177"/>
            </w:pPr>
            <w:r>
              <w:t>0.922</w:t>
            </w:r>
          </w:p>
        </w:tc>
      </w:tr>
      <w:tr w:rsidR="00FA16C3" w14:paraId="762DD381" w14:textId="77777777" w:rsidTr="00FA16C3">
        <w:trPr>
          <w:trHeight w:val="20"/>
        </w:trPr>
        <w:tc>
          <w:tcPr>
            <w:tcW w:w="3849" w:type="dxa"/>
          </w:tcPr>
          <w:p w14:paraId="7880FCD8" w14:textId="77777777" w:rsidR="00FA16C3" w:rsidRDefault="00FA16C3" w:rsidP="00FA16C3">
            <w:pPr>
              <w:spacing w:after="0" w:line="259" w:lineRule="auto"/>
            </w:pPr>
          </w:p>
        </w:tc>
        <w:tc>
          <w:tcPr>
            <w:tcW w:w="1208" w:type="dxa"/>
          </w:tcPr>
          <w:p w14:paraId="0770F4DD" w14:textId="77777777" w:rsidR="00FA16C3" w:rsidRDefault="00FA16C3" w:rsidP="00FA16C3">
            <w:pPr>
              <w:spacing w:after="0" w:line="259" w:lineRule="auto"/>
              <w:ind w:left="50"/>
            </w:pPr>
            <w:r>
              <w:t>(0.0552)</w:t>
            </w:r>
          </w:p>
        </w:tc>
        <w:tc>
          <w:tcPr>
            <w:tcW w:w="1208" w:type="dxa"/>
          </w:tcPr>
          <w:p w14:paraId="136E88A5" w14:textId="77777777" w:rsidR="00FA16C3" w:rsidRDefault="00FA16C3" w:rsidP="00FA16C3">
            <w:pPr>
              <w:spacing w:after="0" w:line="259" w:lineRule="auto"/>
              <w:ind w:left="50"/>
            </w:pPr>
            <w:r>
              <w:t>(0.0538)</w:t>
            </w:r>
          </w:p>
        </w:tc>
        <w:tc>
          <w:tcPr>
            <w:tcW w:w="1464" w:type="dxa"/>
          </w:tcPr>
          <w:p w14:paraId="127CEAED" w14:textId="77777777" w:rsidR="00FA16C3" w:rsidRDefault="00FA16C3" w:rsidP="00FA16C3">
            <w:pPr>
              <w:spacing w:after="0" w:line="259" w:lineRule="auto"/>
              <w:ind w:left="50"/>
            </w:pPr>
            <w:r>
              <w:t>(0.0542)</w:t>
            </w:r>
          </w:p>
        </w:tc>
        <w:tc>
          <w:tcPr>
            <w:tcW w:w="1208" w:type="dxa"/>
          </w:tcPr>
          <w:p w14:paraId="5D4D366D" w14:textId="77777777" w:rsidR="00FA16C3" w:rsidRDefault="00FA16C3" w:rsidP="00FA16C3">
            <w:pPr>
              <w:spacing w:after="0" w:line="259" w:lineRule="auto"/>
              <w:ind w:left="50"/>
            </w:pPr>
            <w:r>
              <w:t>(0.0556)</w:t>
            </w:r>
          </w:p>
        </w:tc>
      </w:tr>
      <w:tr w:rsidR="00FA16C3" w14:paraId="6098BC10" w14:textId="77777777" w:rsidTr="00FA16C3">
        <w:trPr>
          <w:trHeight w:val="20"/>
        </w:trPr>
        <w:tc>
          <w:tcPr>
            <w:tcW w:w="3849" w:type="dxa"/>
          </w:tcPr>
          <w:p w14:paraId="5717E8E2" w14:textId="77777777" w:rsidR="00FA16C3" w:rsidRDefault="00FA16C3" w:rsidP="00FA16C3">
            <w:pPr>
              <w:spacing w:after="0" w:line="259" w:lineRule="auto"/>
            </w:pPr>
            <w:r>
              <w:t>At least one patent</w:t>
            </w:r>
          </w:p>
        </w:tc>
        <w:tc>
          <w:tcPr>
            <w:tcW w:w="1208" w:type="dxa"/>
          </w:tcPr>
          <w:p w14:paraId="4B4E0B08" w14:textId="77777777" w:rsidR="00FA16C3" w:rsidRDefault="00FA16C3" w:rsidP="00FA16C3">
            <w:pPr>
              <w:spacing w:after="0" w:line="259" w:lineRule="auto"/>
              <w:ind w:left="177"/>
            </w:pPr>
            <w:r>
              <w:t>0.845</w:t>
            </w:r>
          </w:p>
        </w:tc>
        <w:tc>
          <w:tcPr>
            <w:tcW w:w="1208" w:type="dxa"/>
          </w:tcPr>
          <w:p w14:paraId="0C09FF16" w14:textId="77777777" w:rsidR="00FA16C3" w:rsidRDefault="00FA16C3" w:rsidP="00FA16C3">
            <w:pPr>
              <w:spacing w:after="0" w:line="259" w:lineRule="auto"/>
              <w:ind w:left="177"/>
            </w:pPr>
            <w:r>
              <w:t>0.875</w:t>
            </w:r>
          </w:p>
        </w:tc>
        <w:tc>
          <w:tcPr>
            <w:tcW w:w="1464" w:type="dxa"/>
          </w:tcPr>
          <w:p w14:paraId="768BA5E9" w14:textId="77777777" w:rsidR="00FA16C3" w:rsidRDefault="00FA16C3" w:rsidP="00FA16C3">
            <w:pPr>
              <w:spacing w:after="0" w:line="259" w:lineRule="auto"/>
              <w:ind w:left="177"/>
            </w:pPr>
            <w:r>
              <w:t>0.854</w:t>
            </w:r>
          </w:p>
        </w:tc>
        <w:tc>
          <w:tcPr>
            <w:tcW w:w="1208" w:type="dxa"/>
          </w:tcPr>
          <w:p w14:paraId="6668E151" w14:textId="77777777" w:rsidR="00FA16C3" w:rsidRDefault="00FA16C3" w:rsidP="00FA16C3">
            <w:pPr>
              <w:spacing w:after="0" w:line="259" w:lineRule="auto"/>
              <w:ind w:left="177"/>
            </w:pPr>
            <w:r>
              <w:t>0.895</w:t>
            </w:r>
          </w:p>
        </w:tc>
      </w:tr>
      <w:tr w:rsidR="00FA16C3" w14:paraId="315A7C98" w14:textId="77777777" w:rsidTr="00FA16C3">
        <w:trPr>
          <w:trHeight w:val="20"/>
        </w:trPr>
        <w:tc>
          <w:tcPr>
            <w:tcW w:w="3849" w:type="dxa"/>
          </w:tcPr>
          <w:p w14:paraId="5E739145" w14:textId="77777777" w:rsidR="00FA16C3" w:rsidRDefault="00FA16C3" w:rsidP="00FA16C3">
            <w:pPr>
              <w:spacing w:after="0" w:line="259" w:lineRule="auto"/>
            </w:pPr>
          </w:p>
        </w:tc>
        <w:tc>
          <w:tcPr>
            <w:tcW w:w="1208" w:type="dxa"/>
          </w:tcPr>
          <w:p w14:paraId="1298EDA5" w14:textId="77777777" w:rsidR="00FA16C3" w:rsidRDefault="00FA16C3" w:rsidP="00FA16C3">
            <w:pPr>
              <w:spacing w:after="0" w:line="259" w:lineRule="auto"/>
              <w:ind w:left="100"/>
            </w:pPr>
            <w:r>
              <w:t>(0.131)</w:t>
            </w:r>
          </w:p>
        </w:tc>
        <w:tc>
          <w:tcPr>
            <w:tcW w:w="1208" w:type="dxa"/>
          </w:tcPr>
          <w:p w14:paraId="0FE183CC" w14:textId="77777777" w:rsidR="00FA16C3" w:rsidRDefault="00FA16C3" w:rsidP="00FA16C3">
            <w:pPr>
              <w:spacing w:after="0" w:line="259" w:lineRule="auto"/>
              <w:ind w:left="100"/>
            </w:pPr>
            <w:r>
              <w:t>(0.136)</w:t>
            </w:r>
          </w:p>
        </w:tc>
        <w:tc>
          <w:tcPr>
            <w:tcW w:w="1464" w:type="dxa"/>
          </w:tcPr>
          <w:p w14:paraId="5989ED11" w14:textId="77777777" w:rsidR="00FA16C3" w:rsidRDefault="00FA16C3" w:rsidP="00FA16C3">
            <w:pPr>
              <w:spacing w:after="0" w:line="259" w:lineRule="auto"/>
              <w:ind w:left="100"/>
            </w:pPr>
            <w:r>
              <w:t>(0.132)</w:t>
            </w:r>
          </w:p>
        </w:tc>
        <w:tc>
          <w:tcPr>
            <w:tcW w:w="1208" w:type="dxa"/>
          </w:tcPr>
          <w:p w14:paraId="1B589BB7" w14:textId="77777777" w:rsidR="00FA16C3" w:rsidRDefault="00FA16C3" w:rsidP="00FA16C3">
            <w:pPr>
              <w:spacing w:after="0" w:line="259" w:lineRule="auto"/>
              <w:ind w:left="100"/>
            </w:pPr>
            <w:r>
              <w:t>(0.138)</w:t>
            </w:r>
          </w:p>
        </w:tc>
      </w:tr>
      <w:tr w:rsidR="00FA16C3" w14:paraId="5D24DA7C" w14:textId="77777777" w:rsidTr="00FA16C3">
        <w:trPr>
          <w:trHeight w:val="20"/>
        </w:trPr>
        <w:tc>
          <w:tcPr>
            <w:tcW w:w="3849" w:type="dxa"/>
          </w:tcPr>
          <w:p w14:paraId="776AA723" w14:textId="77777777" w:rsidR="00FA16C3" w:rsidRDefault="00FA16C3" w:rsidP="00FA16C3">
            <w:pPr>
              <w:spacing w:after="0" w:line="259" w:lineRule="auto"/>
            </w:pPr>
            <w:r>
              <w:t>At least one trademark</w:t>
            </w:r>
          </w:p>
        </w:tc>
        <w:tc>
          <w:tcPr>
            <w:tcW w:w="1208" w:type="dxa"/>
          </w:tcPr>
          <w:p w14:paraId="519AD456" w14:textId="77777777" w:rsidR="00FA16C3" w:rsidRDefault="00FA16C3" w:rsidP="00FA16C3">
            <w:pPr>
              <w:spacing w:after="0" w:line="259" w:lineRule="auto"/>
              <w:ind w:left="28"/>
            </w:pPr>
            <w:r>
              <w:t>0.583***</w:t>
            </w:r>
          </w:p>
        </w:tc>
        <w:tc>
          <w:tcPr>
            <w:tcW w:w="1208" w:type="dxa"/>
          </w:tcPr>
          <w:p w14:paraId="3BD0D35D" w14:textId="77777777" w:rsidR="00FA16C3" w:rsidRDefault="00FA16C3" w:rsidP="00FA16C3">
            <w:pPr>
              <w:spacing w:after="0" w:line="259" w:lineRule="auto"/>
              <w:ind w:left="28"/>
            </w:pPr>
            <w:r>
              <w:t>0.561***</w:t>
            </w:r>
          </w:p>
        </w:tc>
        <w:tc>
          <w:tcPr>
            <w:tcW w:w="1464" w:type="dxa"/>
          </w:tcPr>
          <w:p w14:paraId="554974BF" w14:textId="77777777" w:rsidR="00FA16C3" w:rsidRDefault="00FA16C3" w:rsidP="00FA16C3">
            <w:pPr>
              <w:spacing w:after="0" w:line="259" w:lineRule="auto"/>
              <w:ind w:left="28"/>
            </w:pPr>
            <w:r>
              <w:t>0.579***</w:t>
            </w:r>
          </w:p>
        </w:tc>
        <w:tc>
          <w:tcPr>
            <w:tcW w:w="1208" w:type="dxa"/>
          </w:tcPr>
          <w:p w14:paraId="7E1094AE" w14:textId="77777777" w:rsidR="00FA16C3" w:rsidRDefault="00FA16C3" w:rsidP="00FA16C3">
            <w:pPr>
              <w:spacing w:after="0" w:line="259" w:lineRule="auto"/>
              <w:ind w:left="28"/>
            </w:pPr>
            <w:r>
              <w:t>0.566***</w:t>
            </w:r>
          </w:p>
        </w:tc>
      </w:tr>
      <w:tr w:rsidR="00FA16C3" w14:paraId="4BD6F7EE" w14:textId="77777777" w:rsidTr="00FA16C3">
        <w:trPr>
          <w:trHeight w:val="20"/>
        </w:trPr>
        <w:tc>
          <w:tcPr>
            <w:tcW w:w="3849" w:type="dxa"/>
          </w:tcPr>
          <w:p w14:paraId="69DEA9E0" w14:textId="77777777" w:rsidR="00FA16C3" w:rsidRDefault="00FA16C3" w:rsidP="00FA16C3">
            <w:pPr>
              <w:spacing w:after="0" w:line="259" w:lineRule="auto"/>
            </w:pPr>
          </w:p>
        </w:tc>
        <w:tc>
          <w:tcPr>
            <w:tcW w:w="1208" w:type="dxa"/>
          </w:tcPr>
          <w:p w14:paraId="1E27E69F" w14:textId="77777777" w:rsidR="00FA16C3" w:rsidRDefault="00FA16C3" w:rsidP="00FA16C3">
            <w:pPr>
              <w:spacing w:after="0" w:line="259" w:lineRule="auto"/>
              <w:ind w:left="50"/>
            </w:pPr>
            <w:r>
              <w:t>(0.0260)</w:t>
            </w:r>
          </w:p>
        </w:tc>
        <w:tc>
          <w:tcPr>
            <w:tcW w:w="1208" w:type="dxa"/>
          </w:tcPr>
          <w:p w14:paraId="7BC718FB" w14:textId="77777777" w:rsidR="00FA16C3" w:rsidRDefault="00FA16C3" w:rsidP="00FA16C3">
            <w:pPr>
              <w:spacing w:after="0" w:line="259" w:lineRule="auto"/>
              <w:ind w:left="50"/>
            </w:pPr>
            <w:r>
              <w:t>(0.0252)</w:t>
            </w:r>
          </w:p>
        </w:tc>
        <w:tc>
          <w:tcPr>
            <w:tcW w:w="1464" w:type="dxa"/>
          </w:tcPr>
          <w:p w14:paraId="2016505E" w14:textId="77777777" w:rsidR="00FA16C3" w:rsidRDefault="00FA16C3" w:rsidP="00FA16C3">
            <w:pPr>
              <w:spacing w:after="0" w:line="259" w:lineRule="auto"/>
              <w:ind w:left="50"/>
            </w:pPr>
            <w:r>
              <w:t>(0.0253)</w:t>
            </w:r>
          </w:p>
        </w:tc>
        <w:tc>
          <w:tcPr>
            <w:tcW w:w="1208" w:type="dxa"/>
          </w:tcPr>
          <w:p w14:paraId="1315F14E" w14:textId="77777777" w:rsidR="00FA16C3" w:rsidRDefault="00FA16C3" w:rsidP="00FA16C3">
            <w:pPr>
              <w:spacing w:after="0" w:line="259" w:lineRule="auto"/>
              <w:ind w:left="50"/>
            </w:pPr>
            <w:r>
              <w:t>(0.0252)</w:t>
            </w:r>
          </w:p>
        </w:tc>
      </w:tr>
      <w:tr w:rsidR="00FA16C3" w14:paraId="403CDB4F" w14:textId="77777777" w:rsidTr="00FA16C3">
        <w:trPr>
          <w:trHeight w:val="20"/>
        </w:trPr>
        <w:tc>
          <w:tcPr>
            <w:tcW w:w="3849" w:type="dxa"/>
          </w:tcPr>
          <w:p w14:paraId="10F240F4" w14:textId="77777777" w:rsidR="00FA16C3" w:rsidRDefault="00FA16C3" w:rsidP="00FA16C3">
            <w:pPr>
              <w:spacing w:after="0" w:line="259" w:lineRule="auto"/>
            </w:pPr>
            <w:r>
              <w:t>Profitability</w:t>
            </w:r>
          </w:p>
        </w:tc>
        <w:tc>
          <w:tcPr>
            <w:tcW w:w="1208" w:type="dxa"/>
          </w:tcPr>
          <w:p w14:paraId="38B27BCD" w14:textId="77777777" w:rsidR="00FA16C3" w:rsidRDefault="00FA16C3" w:rsidP="00FA16C3">
            <w:pPr>
              <w:spacing w:after="0" w:line="259" w:lineRule="auto"/>
              <w:ind w:left="28"/>
            </w:pPr>
            <w:r>
              <w:t>1.338***</w:t>
            </w:r>
          </w:p>
        </w:tc>
        <w:tc>
          <w:tcPr>
            <w:tcW w:w="1208" w:type="dxa"/>
          </w:tcPr>
          <w:p w14:paraId="324432ED" w14:textId="77777777" w:rsidR="00FA16C3" w:rsidRDefault="00FA16C3" w:rsidP="00FA16C3">
            <w:pPr>
              <w:spacing w:after="0" w:line="259" w:lineRule="auto"/>
              <w:ind w:left="28"/>
            </w:pPr>
            <w:r>
              <w:t>1.235***</w:t>
            </w:r>
          </w:p>
        </w:tc>
        <w:tc>
          <w:tcPr>
            <w:tcW w:w="1464" w:type="dxa"/>
          </w:tcPr>
          <w:p w14:paraId="7D628490" w14:textId="77777777" w:rsidR="00FA16C3" w:rsidRDefault="00FA16C3" w:rsidP="00FA16C3">
            <w:pPr>
              <w:spacing w:after="0" w:line="259" w:lineRule="auto"/>
              <w:ind w:left="28"/>
            </w:pPr>
            <w:r>
              <w:t>1.336***</w:t>
            </w:r>
          </w:p>
        </w:tc>
        <w:tc>
          <w:tcPr>
            <w:tcW w:w="1208" w:type="dxa"/>
          </w:tcPr>
          <w:p w14:paraId="478479AE" w14:textId="77777777" w:rsidR="00FA16C3" w:rsidRDefault="00FA16C3" w:rsidP="00FA16C3">
            <w:pPr>
              <w:spacing w:after="0" w:line="259" w:lineRule="auto"/>
              <w:ind w:left="28"/>
            </w:pPr>
            <w:r>
              <w:t>1.231***</w:t>
            </w:r>
          </w:p>
        </w:tc>
      </w:tr>
      <w:tr w:rsidR="00FA16C3" w14:paraId="74372D8E" w14:textId="77777777" w:rsidTr="00FA16C3">
        <w:trPr>
          <w:trHeight w:val="20"/>
        </w:trPr>
        <w:tc>
          <w:tcPr>
            <w:tcW w:w="3849" w:type="dxa"/>
          </w:tcPr>
          <w:p w14:paraId="79B62A08" w14:textId="77777777" w:rsidR="00FA16C3" w:rsidRDefault="00FA16C3" w:rsidP="00FA16C3">
            <w:pPr>
              <w:spacing w:after="0" w:line="259" w:lineRule="auto"/>
            </w:pPr>
          </w:p>
        </w:tc>
        <w:tc>
          <w:tcPr>
            <w:tcW w:w="1208" w:type="dxa"/>
          </w:tcPr>
          <w:p w14:paraId="5C7767EB" w14:textId="77777777" w:rsidR="00FA16C3" w:rsidRDefault="00FA16C3" w:rsidP="00FA16C3">
            <w:pPr>
              <w:spacing w:after="0" w:line="259" w:lineRule="auto"/>
              <w:ind w:left="50"/>
            </w:pPr>
            <w:r>
              <w:t>(0.0301)</w:t>
            </w:r>
          </w:p>
        </w:tc>
        <w:tc>
          <w:tcPr>
            <w:tcW w:w="1208" w:type="dxa"/>
          </w:tcPr>
          <w:p w14:paraId="6BDA9BAD" w14:textId="77777777" w:rsidR="00FA16C3" w:rsidRDefault="00FA16C3" w:rsidP="00FA16C3">
            <w:pPr>
              <w:spacing w:after="0" w:line="259" w:lineRule="auto"/>
              <w:ind w:left="50"/>
            </w:pPr>
            <w:r>
              <w:t>(0.0346)</w:t>
            </w:r>
          </w:p>
        </w:tc>
        <w:tc>
          <w:tcPr>
            <w:tcW w:w="1464" w:type="dxa"/>
          </w:tcPr>
          <w:p w14:paraId="3C933EF9" w14:textId="77777777" w:rsidR="00FA16C3" w:rsidRDefault="00FA16C3" w:rsidP="00FA16C3">
            <w:pPr>
              <w:spacing w:after="0" w:line="259" w:lineRule="auto"/>
              <w:ind w:left="50"/>
            </w:pPr>
            <w:r>
              <w:t>(0.0311)</w:t>
            </w:r>
          </w:p>
        </w:tc>
        <w:tc>
          <w:tcPr>
            <w:tcW w:w="1208" w:type="dxa"/>
          </w:tcPr>
          <w:p w14:paraId="77E3AB7F" w14:textId="77777777" w:rsidR="00FA16C3" w:rsidRDefault="00FA16C3" w:rsidP="00FA16C3">
            <w:pPr>
              <w:spacing w:after="0" w:line="259" w:lineRule="auto"/>
              <w:ind w:left="50"/>
            </w:pPr>
            <w:r>
              <w:t>(0.0356)</w:t>
            </w:r>
          </w:p>
        </w:tc>
      </w:tr>
      <w:tr w:rsidR="00FA16C3" w14:paraId="188739BF" w14:textId="77777777" w:rsidTr="00FA16C3">
        <w:trPr>
          <w:trHeight w:val="20"/>
        </w:trPr>
        <w:tc>
          <w:tcPr>
            <w:tcW w:w="3849" w:type="dxa"/>
          </w:tcPr>
          <w:p w14:paraId="03DB9BB2" w14:textId="77777777" w:rsidR="00FA16C3" w:rsidRDefault="00FA16C3" w:rsidP="00FA16C3">
            <w:pPr>
              <w:spacing w:after="0" w:line="259" w:lineRule="auto"/>
            </w:pPr>
            <w:r>
              <w:t>Productivity</w:t>
            </w:r>
          </w:p>
        </w:tc>
        <w:tc>
          <w:tcPr>
            <w:tcW w:w="1208" w:type="dxa"/>
          </w:tcPr>
          <w:p w14:paraId="1AF0BFED" w14:textId="77777777" w:rsidR="00FA16C3" w:rsidRDefault="00FA16C3" w:rsidP="00FA16C3">
            <w:pPr>
              <w:spacing w:after="0" w:line="259" w:lineRule="auto"/>
              <w:ind w:left="28"/>
            </w:pPr>
            <w:r>
              <w:t>0.898***</w:t>
            </w:r>
          </w:p>
        </w:tc>
        <w:tc>
          <w:tcPr>
            <w:tcW w:w="1208" w:type="dxa"/>
          </w:tcPr>
          <w:p w14:paraId="20FFACC8" w14:textId="77777777" w:rsidR="00FA16C3" w:rsidRDefault="00FA16C3" w:rsidP="00FA16C3">
            <w:pPr>
              <w:spacing w:after="0" w:line="259" w:lineRule="auto"/>
              <w:ind w:left="28"/>
            </w:pPr>
            <w:r>
              <w:t>0.878***</w:t>
            </w:r>
          </w:p>
        </w:tc>
        <w:tc>
          <w:tcPr>
            <w:tcW w:w="1464" w:type="dxa"/>
          </w:tcPr>
          <w:p w14:paraId="0B944BA7" w14:textId="77777777" w:rsidR="00FA16C3" w:rsidRDefault="00FA16C3" w:rsidP="00FA16C3">
            <w:pPr>
              <w:spacing w:after="0" w:line="259" w:lineRule="auto"/>
              <w:ind w:left="28"/>
            </w:pPr>
            <w:r>
              <w:t>0.925***</w:t>
            </w:r>
          </w:p>
        </w:tc>
        <w:tc>
          <w:tcPr>
            <w:tcW w:w="1208" w:type="dxa"/>
          </w:tcPr>
          <w:p w14:paraId="5326F4B9" w14:textId="77777777" w:rsidR="00FA16C3" w:rsidRDefault="00FA16C3" w:rsidP="00FA16C3">
            <w:pPr>
              <w:spacing w:after="0" w:line="259" w:lineRule="auto"/>
              <w:ind w:left="28"/>
            </w:pPr>
            <w:r>
              <w:t>0.895***</w:t>
            </w:r>
          </w:p>
        </w:tc>
      </w:tr>
      <w:tr w:rsidR="00FA16C3" w14:paraId="65E82DFA" w14:textId="77777777" w:rsidTr="00FA16C3">
        <w:trPr>
          <w:trHeight w:val="20"/>
        </w:trPr>
        <w:tc>
          <w:tcPr>
            <w:tcW w:w="3849" w:type="dxa"/>
            <w:tcBorders>
              <w:bottom w:val="single" w:sz="4" w:space="0" w:color="auto"/>
            </w:tcBorders>
          </w:tcPr>
          <w:p w14:paraId="16BF1461" w14:textId="77777777" w:rsidR="00FA16C3" w:rsidRDefault="00FA16C3" w:rsidP="00FA16C3">
            <w:pPr>
              <w:spacing w:after="0" w:line="259" w:lineRule="auto"/>
            </w:pPr>
          </w:p>
        </w:tc>
        <w:tc>
          <w:tcPr>
            <w:tcW w:w="1208" w:type="dxa"/>
            <w:tcBorders>
              <w:bottom w:val="single" w:sz="4" w:space="0" w:color="auto"/>
            </w:tcBorders>
          </w:tcPr>
          <w:p w14:paraId="3B7D855C" w14:textId="77777777" w:rsidR="00FA16C3" w:rsidRDefault="00FA16C3" w:rsidP="00FA16C3">
            <w:pPr>
              <w:spacing w:after="0" w:line="259" w:lineRule="auto"/>
              <w:ind w:left="50"/>
            </w:pPr>
            <w:r>
              <w:t>(0.0100)</w:t>
            </w:r>
          </w:p>
        </w:tc>
        <w:tc>
          <w:tcPr>
            <w:tcW w:w="1208" w:type="dxa"/>
            <w:tcBorders>
              <w:bottom w:val="single" w:sz="4" w:space="0" w:color="auto"/>
            </w:tcBorders>
          </w:tcPr>
          <w:p w14:paraId="5971F622" w14:textId="77777777" w:rsidR="00FA16C3" w:rsidRDefault="00FA16C3" w:rsidP="00FA16C3">
            <w:pPr>
              <w:spacing w:after="0" w:line="259" w:lineRule="auto"/>
            </w:pPr>
            <w:r>
              <w:t>(0.00957)</w:t>
            </w:r>
          </w:p>
        </w:tc>
        <w:tc>
          <w:tcPr>
            <w:tcW w:w="1464" w:type="dxa"/>
            <w:tcBorders>
              <w:bottom w:val="single" w:sz="4" w:space="0" w:color="auto"/>
            </w:tcBorders>
          </w:tcPr>
          <w:p w14:paraId="03FC5CC8" w14:textId="77777777" w:rsidR="00FA16C3" w:rsidRDefault="00FA16C3" w:rsidP="00FA16C3">
            <w:pPr>
              <w:spacing w:after="0" w:line="259" w:lineRule="auto"/>
              <w:ind w:left="50"/>
            </w:pPr>
            <w:r>
              <w:t>(0.0105)</w:t>
            </w:r>
          </w:p>
        </w:tc>
        <w:tc>
          <w:tcPr>
            <w:tcW w:w="1208" w:type="dxa"/>
            <w:tcBorders>
              <w:bottom w:val="single" w:sz="4" w:space="0" w:color="auto"/>
            </w:tcBorders>
          </w:tcPr>
          <w:p w14:paraId="038023C0" w14:textId="77777777" w:rsidR="00FA16C3" w:rsidRDefault="00FA16C3" w:rsidP="00FA16C3">
            <w:pPr>
              <w:spacing w:after="0" w:line="259" w:lineRule="auto"/>
            </w:pPr>
            <w:r>
              <w:t>(0.00996)</w:t>
            </w:r>
          </w:p>
        </w:tc>
      </w:tr>
      <w:tr w:rsidR="00FA16C3" w14:paraId="7CEF2D0E" w14:textId="77777777" w:rsidTr="00FA16C3">
        <w:trPr>
          <w:trHeight w:val="20"/>
        </w:trPr>
        <w:tc>
          <w:tcPr>
            <w:tcW w:w="3849" w:type="dxa"/>
            <w:tcBorders>
              <w:top w:val="single" w:sz="4" w:space="0" w:color="auto"/>
            </w:tcBorders>
          </w:tcPr>
          <w:p w14:paraId="1738B6A0" w14:textId="77777777" w:rsidR="00FA16C3" w:rsidRDefault="00FA16C3" w:rsidP="00FA16C3">
            <w:pPr>
              <w:spacing w:after="0" w:line="259" w:lineRule="auto"/>
            </w:pPr>
            <w:r>
              <w:t>Industry-year FE</w:t>
            </w:r>
          </w:p>
        </w:tc>
        <w:tc>
          <w:tcPr>
            <w:tcW w:w="1208" w:type="dxa"/>
            <w:tcBorders>
              <w:top w:val="single" w:sz="4" w:space="0" w:color="auto"/>
            </w:tcBorders>
          </w:tcPr>
          <w:p w14:paraId="75C2D3B1" w14:textId="77777777" w:rsidR="00FA16C3" w:rsidRDefault="00FA16C3" w:rsidP="00FA16C3">
            <w:pPr>
              <w:spacing w:after="0" w:line="259" w:lineRule="auto"/>
              <w:ind w:left="252"/>
            </w:pPr>
            <w:r>
              <w:t>NO</w:t>
            </w:r>
          </w:p>
        </w:tc>
        <w:tc>
          <w:tcPr>
            <w:tcW w:w="1208" w:type="dxa"/>
            <w:tcBorders>
              <w:top w:val="single" w:sz="4" w:space="0" w:color="auto"/>
            </w:tcBorders>
          </w:tcPr>
          <w:p w14:paraId="4E4016A6" w14:textId="77777777" w:rsidR="00FA16C3" w:rsidRDefault="00FA16C3" w:rsidP="00FA16C3">
            <w:pPr>
              <w:spacing w:after="0" w:line="259" w:lineRule="auto"/>
              <w:ind w:left="206"/>
            </w:pPr>
            <w:r>
              <w:t>YES</w:t>
            </w:r>
          </w:p>
        </w:tc>
        <w:tc>
          <w:tcPr>
            <w:tcW w:w="1464" w:type="dxa"/>
            <w:tcBorders>
              <w:top w:val="single" w:sz="4" w:space="0" w:color="auto"/>
            </w:tcBorders>
          </w:tcPr>
          <w:p w14:paraId="0BB1C722" w14:textId="77777777" w:rsidR="00FA16C3" w:rsidRDefault="00FA16C3" w:rsidP="00FA16C3">
            <w:pPr>
              <w:spacing w:after="0" w:line="259" w:lineRule="auto"/>
              <w:ind w:left="252"/>
            </w:pPr>
            <w:r>
              <w:t>NO</w:t>
            </w:r>
          </w:p>
        </w:tc>
        <w:tc>
          <w:tcPr>
            <w:tcW w:w="1208" w:type="dxa"/>
            <w:tcBorders>
              <w:top w:val="single" w:sz="4" w:space="0" w:color="auto"/>
            </w:tcBorders>
          </w:tcPr>
          <w:p w14:paraId="3E311B40" w14:textId="77777777" w:rsidR="00FA16C3" w:rsidRDefault="00FA16C3" w:rsidP="00FA16C3">
            <w:pPr>
              <w:spacing w:after="0" w:line="259" w:lineRule="auto"/>
              <w:ind w:left="206"/>
            </w:pPr>
            <w:r>
              <w:t>YES</w:t>
            </w:r>
          </w:p>
        </w:tc>
      </w:tr>
      <w:tr w:rsidR="00FA16C3" w14:paraId="47EBA376" w14:textId="77777777" w:rsidTr="00FA16C3">
        <w:trPr>
          <w:trHeight w:val="20"/>
        </w:trPr>
        <w:tc>
          <w:tcPr>
            <w:tcW w:w="3849" w:type="dxa"/>
          </w:tcPr>
          <w:p w14:paraId="7EA064DF" w14:textId="77777777" w:rsidR="00FA16C3" w:rsidRDefault="00FA16C3" w:rsidP="00FA16C3">
            <w:pPr>
              <w:spacing w:after="0" w:line="259" w:lineRule="auto"/>
            </w:pPr>
            <w:r>
              <w:t>Year FE</w:t>
            </w:r>
          </w:p>
        </w:tc>
        <w:tc>
          <w:tcPr>
            <w:tcW w:w="1208" w:type="dxa"/>
          </w:tcPr>
          <w:p w14:paraId="6A4AC9B4" w14:textId="77777777" w:rsidR="00FA16C3" w:rsidRDefault="00FA16C3" w:rsidP="00FA16C3">
            <w:pPr>
              <w:spacing w:after="0" w:line="259" w:lineRule="auto"/>
              <w:ind w:left="206"/>
            </w:pPr>
            <w:r>
              <w:t>YES</w:t>
            </w:r>
          </w:p>
        </w:tc>
        <w:tc>
          <w:tcPr>
            <w:tcW w:w="1208" w:type="dxa"/>
          </w:tcPr>
          <w:p w14:paraId="5228E09F" w14:textId="77777777" w:rsidR="00FA16C3" w:rsidRDefault="00FA16C3" w:rsidP="00FA16C3">
            <w:pPr>
              <w:spacing w:after="0" w:line="259" w:lineRule="auto"/>
              <w:ind w:left="206"/>
            </w:pPr>
            <w:r>
              <w:t>YES</w:t>
            </w:r>
          </w:p>
        </w:tc>
        <w:tc>
          <w:tcPr>
            <w:tcW w:w="1464" w:type="dxa"/>
          </w:tcPr>
          <w:p w14:paraId="053E12A0" w14:textId="77777777" w:rsidR="00FA16C3" w:rsidRDefault="00FA16C3" w:rsidP="00FA16C3">
            <w:pPr>
              <w:spacing w:after="0" w:line="259" w:lineRule="auto"/>
              <w:ind w:left="252"/>
            </w:pPr>
            <w:r>
              <w:t>NO</w:t>
            </w:r>
          </w:p>
        </w:tc>
        <w:tc>
          <w:tcPr>
            <w:tcW w:w="1208" w:type="dxa"/>
          </w:tcPr>
          <w:p w14:paraId="395D35F4" w14:textId="77777777" w:rsidR="00FA16C3" w:rsidRDefault="00FA16C3" w:rsidP="00FA16C3">
            <w:pPr>
              <w:spacing w:after="0" w:line="259" w:lineRule="auto"/>
              <w:ind w:left="252"/>
            </w:pPr>
            <w:r>
              <w:t>NO</w:t>
            </w:r>
          </w:p>
        </w:tc>
      </w:tr>
      <w:tr w:rsidR="00FA16C3" w14:paraId="566566BB" w14:textId="77777777" w:rsidTr="00FA16C3">
        <w:trPr>
          <w:trHeight w:val="20"/>
        </w:trPr>
        <w:tc>
          <w:tcPr>
            <w:tcW w:w="3849" w:type="dxa"/>
          </w:tcPr>
          <w:p w14:paraId="35EACD32" w14:textId="77777777" w:rsidR="00FA16C3" w:rsidRDefault="00FA16C3" w:rsidP="00FA16C3">
            <w:pPr>
              <w:spacing w:after="0" w:line="259" w:lineRule="auto"/>
            </w:pPr>
            <w:r>
              <w:t>Pseudo R-square</w:t>
            </w:r>
          </w:p>
        </w:tc>
        <w:tc>
          <w:tcPr>
            <w:tcW w:w="1208" w:type="dxa"/>
          </w:tcPr>
          <w:p w14:paraId="0BCEBD27" w14:textId="77777777" w:rsidR="00FA16C3" w:rsidRDefault="00FA16C3" w:rsidP="00FA16C3">
            <w:pPr>
              <w:spacing w:after="0" w:line="259" w:lineRule="auto"/>
              <w:ind w:left="227"/>
            </w:pPr>
            <w:r>
              <w:t>0.01</w:t>
            </w:r>
          </w:p>
        </w:tc>
        <w:tc>
          <w:tcPr>
            <w:tcW w:w="1208" w:type="dxa"/>
          </w:tcPr>
          <w:p w14:paraId="153B274F" w14:textId="77777777" w:rsidR="00FA16C3" w:rsidRDefault="00FA16C3" w:rsidP="00FA16C3">
            <w:pPr>
              <w:spacing w:after="0" w:line="259" w:lineRule="auto"/>
              <w:ind w:left="227"/>
            </w:pPr>
            <w:r>
              <w:t>0.04</w:t>
            </w:r>
          </w:p>
        </w:tc>
        <w:tc>
          <w:tcPr>
            <w:tcW w:w="1464" w:type="dxa"/>
          </w:tcPr>
          <w:p w14:paraId="195FC6A3" w14:textId="77777777" w:rsidR="00FA16C3" w:rsidRDefault="00FA16C3" w:rsidP="00FA16C3">
            <w:pPr>
              <w:spacing w:after="0" w:line="259" w:lineRule="auto"/>
              <w:ind w:left="227"/>
            </w:pPr>
            <w:r>
              <w:t>0.01</w:t>
            </w:r>
          </w:p>
        </w:tc>
        <w:tc>
          <w:tcPr>
            <w:tcW w:w="1208" w:type="dxa"/>
          </w:tcPr>
          <w:p w14:paraId="0A5412E4" w14:textId="77777777" w:rsidR="00FA16C3" w:rsidRDefault="00FA16C3" w:rsidP="00FA16C3">
            <w:pPr>
              <w:spacing w:after="0" w:line="259" w:lineRule="auto"/>
              <w:ind w:left="227"/>
            </w:pPr>
            <w:r>
              <w:t>0.04</w:t>
            </w:r>
          </w:p>
        </w:tc>
      </w:tr>
      <w:tr w:rsidR="00FA16C3" w14:paraId="404BD4B2" w14:textId="77777777" w:rsidTr="00FA16C3">
        <w:trPr>
          <w:trHeight w:val="20"/>
        </w:trPr>
        <w:tc>
          <w:tcPr>
            <w:tcW w:w="3849" w:type="dxa"/>
          </w:tcPr>
          <w:p w14:paraId="0B22ECBA" w14:textId="77777777" w:rsidR="00FA16C3" w:rsidRDefault="00FA16C3" w:rsidP="00FA16C3">
            <w:pPr>
              <w:spacing w:after="0" w:line="259" w:lineRule="auto"/>
            </w:pPr>
            <w:r>
              <w:t>Observations</w:t>
            </w:r>
          </w:p>
        </w:tc>
        <w:tc>
          <w:tcPr>
            <w:tcW w:w="1208" w:type="dxa"/>
          </w:tcPr>
          <w:p w14:paraId="55E05869" w14:textId="77777777" w:rsidR="00FA16C3" w:rsidRDefault="00FA16C3" w:rsidP="00FA16C3">
            <w:pPr>
              <w:spacing w:after="0" w:line="259" w:lineRule="auto"/>
            </w:pPr>
            <w:r>
              <w:t>2,353,462</w:t>
            </w:r>
          </w:p>
        </w:tc>
        <w:tc>
          <w:tcPr>
            <w:tcW w:w="1208" w:type="dxa"/>
          </w:tcPr>
          <w:p w14:paraId="1AACA0DE" w14:textId="77777777" w:rsidR="00FA16C3" w:rsidRDefault="00FA16C3" w:rsidP="00FA16C3">
            <w:pPr>
              <w:spacing w:after="0" w:line="259" w:lineRule="auto"/>
            </w:pPr>
            <w:r>
              <w:t>2,353,332</w:t>
            </w:r>
          </w:p>
        </w:tc>
        <w:tc>
          <w:tcPr>
            <w:tcW w:w="1464" w:type="dxa"/>
          </w:tcPr>
          <w:p w14:paraId="6BA42DA0" w14:textId="77777777" w:rsidR="00FA16C3" w:rsidRDefault="00FA16C3" w:rsidP="00FA16C3">
            <w:pPr>
              <w:spacing w:after="0" w:line="259" w:lineRule="auto"/>
            </w:pPr>
            <w:r>
              <w:t>2,353,462</w:t>
            </w:r>
          </w:p>
        </w:tc>
        <w:tc>
          <w:tcPr>
            <w:tcW w:w="1208" w:type="dxa"/>
          </w:tcPr>
          <w:p w14:paraId="1477502F" w14:textId="77777777" w:rsidR="00FA16C3" w:rsidRDefault="00FA16C3" w:rsidP="00FA16C3">
            <w:pPr>
              <w:spacing w:after="0" w:line="259" w:lineRule="auto"/>
            </w:pPr>
            <w:r>
              <w:t>2,353,332</w:t>
            </w:r>
          </w:p>
        </w:tc>
      </w:tr>
    </w:tbl>
    <w:p w14:paraId="382B7E4A" w14:textId="77777777" w:rsidR="00446CED" w:rsidRDefault="00446CED" w:rsidP="00B04C67">
      <w:pPr>
        <w:pStyle w:val="ChartorTableNote"/>
      </w:pPr>
      <w:r>
        <w:rPr>
          <w:rFonts w:eastAsia="Cambria"/>
        </w:rPr>
        <w:t>Note: standard errors are for the odds ratios not the coefficients from the logit model.</w:t>
      </w:r>
    </w:p>
    <w:p w14:paraId="39AF1CFB" w14:textId="329D8C26" w:rsidR="00446CED" w:rsidRDefault="00446CED" w:rsidP="00682F8D">
      <w:r>
        <w:t xml:space="preserve">Target firms are less likely to hold a registered trademark and the existence of at least one registered patent does not seem to have a bearing on whether a firm is a target in any given year, with results insignificant across all specifications. This is </w:t>
      </w:r>
      <w:r w:rsidR="001C4182">
        <w:t>a</w:t>
      </w:r>
      <w:r>
        <w:t xml:space="preserve"> surprising result, since acquisition of intellectual property rights may be a motivation for merger activity.</w:t>
      </w:r>
    </w:p>
    <w:p w14:paraId="0DF7A739" w14:textId="77777777" w:rsidR="00446CED" w:rsidRDefault="00446CED" w:rsidP="00682F8D">
      <w:r>
        <w:t>To explore this further, we re-run the regression with the IP intensity, using the count of trademarks and patents held by target firms. The results indicate that the intensive margin does matter, with each additional patent held by a firm increasing the odds of it becoming a target by 3%. In contrast, an additional trademark held by a firm slightly decreases the odds of it becoming a target in a given year.</w:t>
      </w:r>
    </w:p>
    <w:p w14:paraId="7F802475" w14:textId="07B358A7" w:rsidR="00446CED" w:rsidRDefault="00446CED" w:rsidP="00B02C77">
      <w:r>
        <w:t xml:space="preserve">One potential explanation for the patent results may relate to target firms holding rights to products that acquirers may see as </w:t>
      </w:r>
      <w:r w:rsidR="00F106FC">
        <w:t>particularly</w:t>
      </w:r>
      <w:r>
        <w:t xml:space="preserve"> valuable. For example, it may show a preference for products with mid-level complexity, which are ready to bring to the Australian market. (Fernandez Donoso (2014)) shows that products with mid-level complexity are more likely to have a high patent count while products with very high complexity are likely to</w:t>
      </w:r>
      <w:r w:rsidR="001C4182">
        <w:t xml:space="preserve"> be</w:t>
      </w:r>
      <w:r>
        <w:t xml:space="preserve"> cutting-edge technologies that are protected by trade secrets, making them less likely to be shared with the world through the patenting system. This nuanced relationship between intellectual property and mergers would be a valuable area for future research.</w:t>
      </w:r>
    </w:p>
    <w:p w14:paraId="7203A625" w14:textId="541AD0B7" w:rsidR="00446CED" w:rsidRDefault="00B02C77" w:rsidP="00554974">
      <w:pPr>
        <w:pStyle w:val="TableMainHeading"/>
      </w:pPr>
      <w:bookmarkStart w:id="30" w:name="_Toc211507342"/>
      <w:r>
        <w:t>Table 6: Odds ratios and diagnostics from logit model to predict target firms - IP intensity</w:t>
      </w:r>
      <w:bookmarkEnd w:id="30"/>
    </w:p>
    <w:tbl>
      <w:tblPr>
        <w:tblStyle w:val="TableGrid"/>
        <w:tblW w:w="8893" w:type="dxa"/>
        <w:tblLook w:val="04A0" w:firstRow="1" w:lastRow="0" w:firstColumn="1" w:lastColumn="0" w:noHBand="0" w:noVBand="1"/>
      </w:tblPr>
      <w:tblGrid>
        <w:gridCol w:w="3792"/>
        <w:gridCol w:w="1221"/>
        <w:gridCol w:w="1208"/>
        <w:gridCol w:w="1464"/>
        <w:gridCol w:w="1208"/>
      </w:tblGrid>
      <w:tr w:rsidR="00B02C77" w14:paraId="08D510D5" w14:textId="77777777" w:rsidTr="00554974">
        <w:trPr>
          <w:cnfStyle w:val="100000000000" w:firstRow="1" w:lastRow="0" w:firstColumn="0" w:lastColumn="0" w:oddVBand="0" w:evenVBand="0" w:oddHBand="0" w:evenHBand="0" w:firstRowFirstColumn="0" w:firstRowLastColumn="0" w:lastRowFirstColumn="0" w:lastRowLastColumn="0"/>
          <w:trHeight w:val="20"/>
        </w:trPr>
        <w:tc>
          <w:tcPr>
            <w:tcW w:w="3792" w:type="dxa"/>
          </w:tcPr>
          <w:p w14:paraId="0BB97511" w14:textId="77777777" w:rsidR="00B02C77" w:rsidRDefault="00B02C77" w:rsidP="00554974">
            <w:pPr>
              <w:spacing w:after="0"/>
              <w:ind w:left="1234"/>
              <w:jc w:val="center"/>
              <w:rPr>
                <w:rFonts w:ascii="Calibri" w:eastAsia="Calibri" w:hAnsi="Calibri" w:cs="Calibri"/>
              </w:rPr>
            </w:pPr>
          </w:p>
        </w:tc>
        <w:tc>
          <w:tcPr>
            <w:tcW w:w="2429" w:type="dxa"/>
            <w:gridSpan w:val="2"/>
          </w:tcPr>
          <w:p w14:paraId="1D04E3FB" w14:textId="5FB555A7" w:rsidR="00B02C77" w:rsidRDefault="00B02C77" w:rsidP="00554974">
            <w:pPr>
              <w:spacing w:after="0"/>
              <w:ind w:left="78"/>
            </w:pPr>
            <w:r>
              <w:t>Turnover size controls</w:t>
            </w:r>
          </w:p>
        </w:tc>
        <w:tc>
          <w:tcPr>
            <w:tcW w:w="2672" w:type="dxa"/>
            <w:gridSpan w:val="2"/>
          </w:tcPr>
          <w:p w14:paraId="3980449D" w14:textId="036FA6C3" w:rsidR="00B02C77" w:rsidRDefault="00B02C77" w:rsidP="00554974">
            <w:pPr>
              <w:spacing w:after="160"/>
            </w:pPr>
            <w:r>
              <w:t>Employment size controls</w:t>
            </w:r>
          </w:p>
        </w:tc>
      </w:tr>
      <w:tr w:rsidR="00FA16C3" w14:paraId="1B437E46" w14:textId="77777777" w:rsidTr="00554974">
        <w:trPr>
          <w:trHeight w:val="20"/>
        </w:trPr>
        <w:tc>
          <w:tcPr>
            <w:tcW w:w="3792" w:type="dxa"/>
            <w:tcBorders>
              <w:bottom w:val="single" w:sz="4" w:space="0" w:color="auto"/>
            </w:tcBorders>
          </w:tcPr>
          <w:p w14:paraId="4C6EA204" w14:textId="2D3E9F99" w:rsidR="00FA16C3" w:rsidRPr="00554974" w:rsidRDefault="00B02C77" w:rsidP="00554974">
            <w:pPr>
              <w:spacing w:after="0"/>
              <w:rPr>
                <w:rFonts w:ascii="Calibri" w:eastAsia="Calibri" w:hAnsi="Calibri" w:cs="Calibri"/>
                <w:b/>
                <w:bCs/>
              </w:rPr>
            </w:pPr>
            <w:r w:rsidRPr="00554974">
              <w:rPr>
                <w:b/>
                <w:bCs/>
              </w:rPr>
              <w:t>Turnover bins</w:t>
            </w:r>
          </w:p>
        </w:tc>
        <w:tc>
          <w:tcPr>
            <w:tcW w:w="1221" w:type="dxa"/>
            <w:tcBorders>
              <w:bottom w:val="single" w:sz="4" w:space="0" w:color="auto"/>
            </w:tcBorders>
          </w:tcPr>
          <w:p w14:paraId="4B4A53E3" w14:textId="77777777" w:rsidR="00FA16C3" w:rsidRDefault="00FA16C3" w:rsidP="00554974">
            <w:pPr>
              <w:spacing w:after="0"/>
              <w:ind w:left="39"/>
            </w:pPr>
          </w:p>
        </w:tc>
        <w:tc>
          <w:tcPr>
            <w:tcW w:w="1208" w:type="dxa"/>
            <w:tcBorders>
              <w:bottom w:val="single" w:sz="4" w:space="0" w:color="auto"/>
            </w:tcBorders>
          </w:tcPr>
          <w:p w14:paraId="7D80FC89" w14:textId="77777777" w:rsidR="00FA16C3" w:rsidRDefault="00FA16C3" w:rsidP="00554974">
            <w:pPr>
              <w:spacing w:after="0"/>
              <w:ind w:left="78"/>
            </w:pPr>
          </w:p>
        </w:tc>
        <w:tc>
          <w:tcPr>
            <w:tcW w:w="1464" w:type="dxa"/>
            <w:tcBorders>
              <w:bottom w:val="single" w:sz="4" w:space="0" w:color="auto"/>
            </w:tcBorders>
          </w:tcPr>
          <w:p w14:paraId="58650223" w14:textId="77777777" w:rsidR="00FA16C3" w:rsidRDefault="00FA16C3" w:rsidP="00554974">
            <w:pPr>
              <w:spacing w:after="160"/>
            </w:pPr>
          </w:p>
        </w:tc>
        <w:tc>
          <w:tcPr>
            <w:tcW w:w="1208" w:type="dxa"/>
            <w:tcBorders>
              <w:bottom w:val="single" w:sz="4" w:space="0" w:color="auto"/>
            </w:tcBorders>
          </w:tcPr>
          <w:p w14:paraId="360FE7FC" w14:textId="77777777" w:rsidR="00FA16C3" w:rsidRDefault="00FA16C3" w:rsidP="00554974">
            <w:pPr>
              <w:spacing w:after="160"/>
            </w:pPr>
          </w:p>
        </w:tc>
      </w:tr>
      <w:tr w:rsidR="00446CED" w14:paraId="46C713A9" w14:textId="77777777" w:rsidTr="00554974">
        <w:trPr>
          <w:trHeight w:val="20"/>
        </w:trPr>
        <w:tc>
          <w:tcPr>
            <w:tcW w:w="3792" w:type="dxa"/>
            <w:tcBorders>
              <w:top w:val="single" w:sz="4" w:space="0" w:color="auto"/>
            </w:tcBorders>
          </w:tcPr>
          <w:p w14:paraId="1109CD35" w14:textId="77777777" w:rsidR="00446CED" w:rsidRDefault="00446CED" w:rsidP="00554974">
            <w:pPr>
              <w:spacing w:after="0"/>
            </w:pPr>
            <w:r>
              <w:rPr>
                <w:rFonts w:ascii="Calibri" w:eastAsia="Calibri" w:hAnsi="Calibri" w:cs="Calibri"/>
              </w:rPr>
              <w:t>$</w:t>
            </w:r>
            <w:r>
              <w:t xml:space="preserve">1m to </w:t>
            </w:r>
            <w:r>
              <w:rPr>
                <w:rFonts w:ascii="Calibri" w:eastAsia="Calibri" w:hAnsi="Calibri" w:cs="Calibri"/>
              </w:rPr>
              <w:t>$</w:t>
            </w:r>
            <w:r>
              <w:t>5m</w:t>
            </w:r>
          </w:p>
        </w:tc>
        <w:tc>
          <w:tcPr>
            <w:tcW w:w="1221" w:type="dxa"/>
            <w:tcBorders>
              <w:top w:val="single" w:sz="4" w:space="0" w:color="auto"/>
            </w:tcBorders>
          </w:tcPr>
          <w:p w14:paraId="40123628" w14:textId="77777777" w:rsidR="00446CED" w:rsidRDefault="00446CED" w:rsidP="00554974">
            <w:pPr>
              <w:spacing w:after="0"/>
              <w:ind w:left="39"/>
            </w:pPr>
            <w:r>
              <w:t>0.935***</w:t>
            </w:r>
          </w:p>
        </w:tc>
        <w:tc>
          <w:tcPr>
            <w:tcW w:w="1208" w:type="dxa"/>
            <w:tcBorders>
              <w:top w:val="single" w:sz="4" w:space="0" w:color="auto"/>
            </w:tcBorders>
          </w:tcPr>
          <w:p w14:paraId="15B47673" w14:textId="77777777" w:rsidR="00446CED" w:rsidRDefault="00446CED" w:rsidP="00554974">
            <w:pPr>
              <w:spacing w:after="0"/>
              <w:ind w:left="78"/>
            </w:pPr>
            <w:r>
              <w:t>0.952**</w:t>
            </w:r>
          </w:p>
        </w:tc>
        <w:tc>
          <w:tcPr>
            <w:tcW w:w="1464" w:type="dxa"/>
            <w:tcBorders>
              <w:top w:val="single" w:sz="4" w:space="0" w:color="auto"/>
            </w:tcBorders>
          </w:tcPr>
          <w:p w14:paraId="4730CC0E" w14:textId="77777777" w:rsidR="00446CED" w:rsidRDefault="00446CED" w:rsidP="00554974">
            <w:pPr>
              <w:spacing w:after="160"/>
            </w:pPr>
          </w:p>
        </w:tc>
        <w:tc>
          <w:tcPr>
            <w:tcW w:w="1208" w:type="dxa"/>
            <w:tcBorders>
              <w:top w:val="single" w:sz="4" w:space="0" w:color="auto"/>
            </w:tcBorders>
          </w:tcPr>
          <w:p w14:paraId="36110A5B" w14:textId="77777777" w:rsidR="00446CED" w:rsidRDefault="00446CED" w:rsidP="00554974">
            <w:pPr>
              <w:spacing w:after="160"/>
            </w:pPr>
          </w:p>
        </w:tc>
      </w:tr>
      <w:tr w:rsidR="00446CED" w14:paraId="15B5558A" w14:textId="77777777" w:rsidTr="00554974">
        <w:trPr>
          <w:trHeight w:val="20"/>
        </w:trPr>
        <w:tc>
          <w:tcPr>
            <w:tcW w:w="3792" w:type="dxa"/>
          </w:tcPr>
          <w:p w14:paraId="5E4A02A0" w14:textId="77777777" w:rsidR="00446CED" w:rsidRDefault="00446CED" w:rsidP="00554974">
            <w:pPr>
              <w:spacing w:after="160"/>
            </w:pPr>
          </w:p>
        </w:tc>
        <w:tc>
          <w:tcPr>
            <w:tcW w:w="1221" w:type="dxa"/>
          </w:tcPr>
          <w:p w14:paraId="585391DC" w14:textId="77777777" w:rsidR="00446CED" w:rsidRDefault="00446CED" w:rsidP="00554974">
            <w:pPr>
              <w:spacing w:after="0"/>
              <w:ind w:left="61"/>
            </w:pPr>
            <w:r>
              <w:t>(0.0188)</w:t>
            </w:r>
          </w:p>
        </w:tc>
        <w:tc>
          <w:tcPr>
            <w:tcW w:w="1208" w:type="dxa"/>
          </w:tcPr>
          <w:p w14:paraId="190F87AE" w14:textId="77777777" w:rsidR="00446CED" w:rsidRDefault="00446CED" w:rsidP="00554974">
            <w:pPr>
              <w:spacing w:after="0"/>
              <w:ind w:left="50"/>
            </w:pPr>
            <w:r>
              <w:t>(0.0207)</w:t>
            </w:r>
          </w:p>
        </w:tc>
        <w:tc>
          <w:tcPr>
            <w:tcW w:w="1464" w:type="dxa"/>
          </w:tcPr>
          <w:p w14:paraId="03D4E120" w14:textId="77777777" w:rsidR="00446CED" w:rsidRDefault="00446CED" w:rsidP="00554974">
            <w:pPr>
              <w:spacing w:after="160"/>
            </w:pPr>
          </w:p>
        </w:tc>
        <w:tc>
          <w:tcPr>
            <w:tcW w:w="1208" w:type="dxa"/>
          </w:tcPr>
          <w:p w14:paraId="18CD43F9" w14:textId="77777777" w:rsidR="00446CED" w:rsidRDefault="00446CED" w:rsidP="00554974">
            <w:pPr>
              <w:spacing w:after="160"/>
            </w:pPr>
          </w:p>
        </w:tc>
      </w:tr>
      <w:tr w:rsidR="00446CED" w14:paraId="38C00E77" w14:textId="77777777" w:rsidTr="00554974">
        <w:trPr>
          <w:trHeight w:val="20"/>
        </w:trPr>
        <w:tc>
          <w:tcPr>
            <w:tcW w:w="3792" w:type="dxa"/>
          </w:tcPr>
          <w:p w14:paraId="689F5DCE" w14:textId="77777777" w:rsidR="00446CED" w:rsidRDefault="00446CED" w:rsidP="00554974">
            <w:pPr>
              <w:spacing w:after="0"/>
            </w:pPr>
            <w:r>
              <w:rPr>
                <w:rFonts w:ascii="Calibri" w:eastAsia="Calibri" w:hAnsi="Calibri" w:cs="Calibri"/>
              </w:rPr>
              <w:t>$</w:t>
            </w:r>
            <w:r>
              <w:t xml:space="preserve">5m to </w:t>
            </w:r>
            <w:r>
              <w:rPr>
                <w:rFonts w:ascii="Calibri" w:eastAsia="Calibri" w:hAnsi="Calibri" w:cs="Calibri"/>
              </w:rPr>
              <w:t>$</w:t>
            </w:r>
            <w:r>
              <w:t>10m</w:t>
            </w:r>
          </w:p>
        </w:tc>
        <w:tc>
          <w:tcPr>
            <w:tcW w:w="1221" w:type="dxa"/>
          </w:tcPr>
          <w:p w14:paraId="44DE9D66" w14:textId="77777777" w:rsidR="00446CED" w:rsidRDefault="00446CED" w:rsidP="00554974">
            <w:pPr>
              <w:spacing w:after="0"/>
              <w:ind w:left="39"/>
            </w:pPr>
            <w:r>
              <w:t>1.258***</w:t>
            </w:r>
          </w:p>
        </w:tc>
        <w:tc>
          <w:tcPr>
            <w:tcW w:w="1208" w:type="dxa"/>
          </w:tcPr>
          <w:p w14:paraId="2B492BAC" w14:textId="77777777" w:rsidR="00446CED" w:rsidRDefault="00446CED" w:rsidP="00554974">
            <w:pPr>
              <w:spacing w:after="0"/>
              <w:ind w:left="28"/>
            </w:pPr>
            <w:r>
              <w:t>1.318***</w:t>
            </w:r>
          </w:p>
        </w:tc>
        <w:tc>
          <w:tcPr>
            <w:tcW w:w="1464" w:type="dxa"/>
          </w:tcPr>
          <w:p w14:paraId="311D2241" w14:textId="77777777" w:rsidR="00446CED" w:rsidRDefault="00446CED" w:rsidP="00554974">
            <w:pPr>
              <w:spacing w:after="160"/>
            </w:pPr>
          </w:p>
        </w:tc>
        <w:tc>
          <w:tcPr>
            <w:tcW w:w="1208" w:type="dxa"/>
          </w:tcPr>
          <w:p w14:paraId="45B7D701" w14:textId="77777777" w:rsidR="00446CED" w:rsidRDefault="00446CED" w:rsidP="00554974">
            <w:pPr>
              <w:spacing w:after="160"/>
            </w:pPr>
          </w:p>
        </w:tc>
      </w:tr>
      <w:tr w:rsidR="00446CED" w14:paraId="22EC5611" w14:textId="77777777" w:rsidTr="00554974">
        <w:trPr>
          <w:trHeight w:val="20"/>
        </w:trPr>
        <w:tc>
          <w:tcPr>
            <w:tcW w:w="3792" w:type="dxa"/>
          </w:tcPr>
          <w:p w14:paraId="3AF7C18C" w14:textId="77777777" w:rsidR="00446CED" w:rsidRDefault="00446CED" w:rsidP="00554974">
            <w:pPr>
              <w:spacing w:after="160"/>
            </w:pPr>
          </w:p>
        </w:tc>
        <w:tc>
          <w:tcPr>
            <w:tcW w:w="1221" w:type="dxa"/>
          </w:tcPr>
          <w:p w14:paraId="4DC8FB4A" w14:textId="77777777" w:rsidR="00446CED" w:rsidRDefault="00446CED" w:rsidP="00554974">
            <w:pPr>
              <w:spacing w:after="0"/>
              <w:ind w:left="111"/>
            </w:pPr>
            <w:r>
              <w:t>(0.038)</w:t>
            </w:r>
          </w:p>
        </w:tc>
        <w:tc>
          <w:tcPr>
            <w:tcW w:w="1208" w:type="dxa"/>
          </w:tcPr>
          <w:p w14:paraId="325D2126" w14:textId="77777777" w:rsidR="00446CED" w:rsidRDefault="00446CED" w:rsidP="00554974">
            <w:pPr>
              <w:spacing w:after="0"/>
              <w:ind w:left="50"/>
            </w:pPr>
            <w:r>
              <w:t>(0.0425)</w:t>
            </w:r>
          </w:p>
        </w:tc>
        <w:tc>
          <w:tcPr>
            <w:tcW w:w="1464" w:type="dxa"/>
          </w:tcPr>
          <w:p w14:paraId="39CD6B6C" w14:textId="77777777" w:rsidR="00446CED" w:rsidRDefault="00446CED" w:rsidP="00554974">
            <w:pPr>
              <w:spacing w:after="160"/>
            </w:pPr>
          </w:p>
        </w:tc>
        <w:tc>
          <w:tcPr>
            <w:tcW w:w="1208" w:type="dxa"/>
          </w:tcPr>
          <w:p w14:paraId="189EE60E" w14:textId="77777777" w:rsidR="00446CED" w:rsidRDefault="00446CED" w:rsidP="00554974">
            <w:pPr>
              <w:spacing w:after="160"/>
            </w:pPr>
          </w:p>
        </w:tc>
      </w:tr>
      <w:tr w:rsidR="00446CED" w14:paraId="126FD70B" w14:textId="77777777" w:rsidTr="00554974">
        <w:trPr>
          <w:trHeight w:val="20"/>
        </w:trPr>
        <w:tc>
          <w:tcPr>
            <w:tcW w:w="3792" w:type="dxa"/>
          </w:tcPr>
          <w:p w14:paraId="5FAE9FBE" w14:textId="77777777" w:rsidR="00446CED" w:rsidRDefault="00446CED" w:rsidP="00554974">
            <w:pPr>
              <w:spacing w:after="0"/>
            </w:pPr>
            <w:r>
              <w:rPr>
                <w:rFonts w:ascii="Calibri" w:eastAsia="Calibri" w:hAnsi="Calibri" w:cs="Calibri"/>
              </w:rPr>
              <w:t>$</w:t>
            </w:r>
            <w:r>
              <w:t xml:space="preserve">10m to </w:t>
            </w:r>
            <w:r>
              <w:rPr>
                <w:rFonts w:ascii="Calibri" w:eastAsia="Calibri" w:hAnsi="Calibri" w:cs="Calibri"/>
              </w:rPr>
              <w:t>$</w:t>
            </w:r>
            <w:r>
              <w:t>50m</w:t>
            </w:r>
          </w:p>
        </w:tc>
        <w:tc>
          <w:tcPr>
            <w:tcW w:w="1221" w:type="dxa"/>
          </w:tcPr>
          <w:p w14:paraId="4933267F" w14:textId="77777777" w:rsidR="00446CED" w:rsidRDefault="00446CED" w:rsidP="00554974">
            <w:pPr>
              <w:spacing w:after="0"/>
              <w:ind w:left="39"/>
            </w:pPr>
            <w:r>
              <w:t>1.465***</w:t>
            </w:r>
          </w:p>
        </w:tc>
        <w:tc>
          <w:tcPr>
            <w:tcW w:w="1208" w:type="dxa"/>
          </w:tcPr>
          <w:p w14:paraId="4A58B43F" w14:textId="77777777" w:rsidR="00446CED" w:rsidRDefault="00446CED" w:rsidP="00554974">
            <w:pPr>
              <w:spacing w:after="0"/>
              <w:ind w:left="28"/>
            </w:pPr>
            <w:r>
              <w:t>1.546***</w:t>
            </w:r>
          </w:p>
        </w:tc>
        <w:tc>
          <w:tcPr>
            <w:tcW w:w="1464" w:type="dxa"/>
          </w:tcPr>
          <w:p w14:paraId="4807B41F" w14:textId="77777777" w:rsidR="00446CED" w:rsidRDefault="00446CED" w:rsidP="00554974">
            <w:pPr>
              <w:spacing w:after="160"/>
            </w:pPr>
          </w:p>
        </w:tc>
        <w:tc>
          <w:tcPr>
            <w:tcW w:w="1208" w:type="dxa"/>
          </w:tcPr>
          <w:p w14:paraId="6A95DDEE" w14:textId="77777777" w:rsidR="00446CED" w:rsidRDefault="00446CED" w:rsidP="00554974">
            <w:pPr>
              <w:spacing w:after="160"/>
            </w:pPr>
          </w:p>
        </w:tc>
      </w:tr>
      <w:tr w:rsidR="00446CED" w14:paraId="551738D8" w14:textId="77777777" w:rsidTr="00554974">
        <w:trPr>
          <w:trHeight w:val="20"/>
        </w:trPr>
        <w:tc>
          <w:tcPr>
            <w:tcW w:w="3792" w:type="dxa"/>
          </w:tcPr>
          <w:p w14:paraId="679983D4" w14:textId="77777777" w:rsidR="00446CED" w:rsidRDefault="00446CED" w:rsidP="00554974">
            <w:pPr>
              <w:spacing w:after="160"/>
            </w:pPr>
          </w:p>
        </w:tc>
        <w:tc>
          <w:tcPr>
            <w:tcW w:w="1221" w:type="dxa"/>
          </w:tcPr>
          <w:p w14:paraId="07635D1F" w14:textId="77777777" w:rsidR="00446CED" w:rsidRDefault="00446CED" w:rsidP="00554974">
            <w:pPr>
              <w:spacing w:after="0"/>
              <w:ind w:left="61"/>
            </w:pPr>
            <w:r>
              <w:t>(0.0463)</w:t>
            </w:r>
          </w:p>
        </w:tc>
        <w:tc>
          <w:tcPr>
            <w:tcW w:w="1208" w:type="dxa"/>
          </w:tcPr>
          <w:p w14:paraId="09F82078" w14:textId="77777777" w:rsidR="00446CED" w:rsidRDefault="00446CED" w:rsidP="00554974">
            <w:pPr>
              <w:spacing w:after="0"/>
              <w:ind w:left="50"/>
            </w:pPr>
            <w:r>
              <w:t>(0.0527)</w:t>
            </w:r>
          </w:p>
        </w:tc>
        <w:tc>
          <w:tcPr>
            <w:tcW w:w="1464" w:type="dxa"/>
          </w:tcPr>
          <w:p w14:paraId="0F024389" w14:textId="77777777" w:rsidR="00446CED" w:rsidRDefault="00446CED" w:rsidP="00554974">
            <w:pPr>
              <w:spacing w:after="160"/>
            </w:pPr>
          </w:p>
        </w:tc>
        <w:tc>
          <w:tcPr>
            <w:tcW w:w="1208" w:type="dxa"/>
          </w:tcPr>
          <w:p w14:paraId="64E58B20" w14:textId="77777777" w:rsidR="00446CED" w:rsidRDefault="00446CED" w:rsidP="00554974">
            <w:pPr>
              <w:spacing w:after="160"/>
            </w:pPr>
          </w:p>
        </w:tc>
      </w:tr>
      <w:tr w:rsidR="00446CED" w14:paraId="46282BF9" w14:textId="77777777" w:rsidTr="00554974">
        <w:trPr>
          <w:trHeight w:val="20"/>
        </w:trPr>
        <w:tc>
          <w:tcPr>
            <w:tcW w:w="3792" w:type="dxa"/>
          </w:tcPr>
          <w:p w14:paraId="76EC97B9" w14:textId="77777777" w:rsidR="00446CED" w:rsidRDefault="00446CED" w:rsidP="00554974">
            <w:pPr>
              <w:spacing w:after="0"/>
            </w:pPr>
            <w:r>
              <w:t xml:space="preserve">Over </w:t>
            </w:r>
            <w:r>
              <w:rPr>
                <w:rFonts w:ascii="Calibri" w:eastAsia="Calibri" w:hAnsi="Calibri" w:cs="Calibri"/>
              </w:rPr>
              <w:t>$</w:t>
            </w:r>
            <w:r>
              <w:t>50m</w:t>
            </w:r>
          </w:p>
        </w:tc>
        <w:tc>
          <w:tcPr>
            <w:tcW w:w="1221" w:type="dxa"/>
          </w:tcPr>
          <w:p w14:paraId="6D858B91" w14:textId="77777777" w:rsidR="00446CED" w:rsidRDefault="00446CED" w:rsidP="00554974">
            <w:pPr>
              <w:spacing w:after="0"/>
              <w:ind w:left="39"/>
            </w:pPr>
            <w:r>
              <w:t>2.140***</w:t>
            </w:r>
          </w:p>
        </w:tc>
        <w:tc>
          <w:tcPr>
            <w:tcW w:w="1208" w:type="dxa"/>
          </w:tcPr>
          <w:p w14:paraId="37482127" w14:textId="77777777" w:rsidR="00446CED" w:rsidRDefault="00446CED" w:rsidP="00554974">
            <w:pPr>
              <w:spacing w:after="0"/>
              <w:ind w:left="28"/>
            </w:pPr>
            <w:r>
              <w:t>1.997***</w:t>
            </w:r>
          </w:p>
        </w:tc>
        <w:tc>
          <w:tcPr>
            <w:tcW w:w="1464" w:type="dxa"/>
          </w:tcPr>
          <w:p w14:paraId="652CA929" w14:textId="77777777" w:rsidR="00446CED" w:rsidRDefault="00446CED" w:rsidP="00554974">
            <w:pPr>
              <w:spacing w:after="160"/>
            </w:pPr>
          </w:p>
        </w:tc>
        <w:tc>
          <w:tcPr>
            <w:tcW w:w="1208" w:type="dxa"/>
          </w:tcPr>
          <w:p w14:paraId="7D627B7B" w14:textId="77777777" w:rsidR="00446CED" w:rsidRDefault="00446CED" w:rsidP="00554974">
            <w:pPr>
              <w:spacing w:after="160"/>
            </w:pPr>
          </w:p>
        </w:tc>
      </w:tr>
      <w:tr w:rsidR="00B02C77" w14:paraId="010F36B4" w14:textId="77777777" w:rsidTr="00554974">
        <w:trPr>
          <w:trHeight w:val="20"/>
        </w:trPr>
        <w:tc>
          <w:tcPr>
            <w:tcW w:w="3792" w:type="dxa"/>
          </w:tcPr>
          <w:p w14:paraId="0EE999BA" w14:textId="77777777" w:rsidR="00B02C77" w:rsidRDefault="00B02C77" w:rsidP="00554974">
            <w:pPr>
              <w:spacing w:after="0"/>
              <w:ind w:left="120"/>
            </w:pPr>
          </w:p>
        </w:tc>
        <w:tc>
          <w:tcPr>
            <w:tcW w:w="1221" w:type="dxa"/>
          </w:tcPr>
          <w:p w14:paraId="32BB3516" w14:textId="2E79E339" w:rsidR="00B02C77" w:rsidRDefault="00B02C77" w:rsidP="00554974">
            <w:pPr>
              <w:spacing w:after="0"/>
              <w:ind w:left="61"/>
            </w:pPr>
            <w:r>
              <w:t>(0.0895)</w:t>
            </w:r>
          </w:p>
        </w:tc>
        <w:tc>
          <w:tcPr>
            <w:tcW w:w="1208" w:type="dxa"/>
          </w:tcPr>
          <w:p w14:paraId="52F04F87" w14:textId="150EDE8C" w:rsidR="00B02C77" w:rsidRDefault="00B02C77" w:rsidP="00554974">
            <w:pPr>
              <w:spacing w:after="0"/>
              <w:ind w:left="50"/>
            </w:pPr>
            <w:r>
              <w:t>(0.0871)</w:t>
            </w:r>
          </w:p>
        </w:tc>
        <w:tc>
          <w:tcPr>
            <w:tcW w:w="1464" w:type="dxa"/>
          </w:tcPr>
          <w:p w14:paraId="6827D345" w14:textId="77777777" w:rsidR="00B02C77" w:rsidRDefault="00B02C77" w:rsidP="00554974">
            <w:pPr>
              <w:spacing w:after="160"/>
            </w:pPr>
          </w:p>
        </w:tc>
        <w:tc>
          <w:tcPr>
            <w:tcW w:w="1208" w:type="dxa"/>
          </w:tcPr>
          <w:p w14:paraId="5AE0E71D" w14:textId="77777777" w:rsidR="00B02C77" w:rsidRDefault="00B02C77" w:rsidP="00554974">
            <w:pPr>
              <w:spacing w:after="160"/>
            </w:pPr>
          </w:p>
        </w:tc>
      </w:tr>
      <w:tr w:rsidR="00B02C77" w14:paraId="3498C35C" w14:textId="77777777" w:rsidTr="00554974">
        <w:trPr>
          <w:trHeight w:val="20"/>
        </w:trPr>
        <w:tc>
          <w:tcPr>
            <w:tcW w:w="3792" w:type="dxa"/>
            <w:tcBorders>
              <w:bottom w:val="single" w:sz="4" w:space="0" w:color="auto"/>
            </w:tcBorders>
          </w:tcPr>
          <w:p w14:paraId="0E2BC6E7" w14:textId="77777777" w:rsidR="00B02C77" w:rsidRPr="00554974" w:rsidRDefault="00B02C77" w:rsidP="00554974">
            <w:pPr>
              <w:spacing w:after="0"/>
              <w:rPr>
                <w:b/>
                <w:bCs/>
              </w:rPr>
            </w:pPr>
            <w:r w:rsidRPr="00554974">
              <w:rPr>
                <w:b/>
                <w:bCs/>
              </w:rPr>
              <w:t>Employment bins</w:t>
            </w:r>
          </w:p>
        </w:tc>
        <w:tc>
          <w:tcPr>
            <w:tcW w:w="1221" w:type="dxa"/>
            <w:tcBorders>
              <w:bottom w:val="single" w:sz="4" w:space="0" w:color="auto"/>
            </w:tcBorders>
          </w:tcPr>
          <w:p w14:paraId="407A3E6C" w14:textId="555F1E63" w:rsidR="00B02C77" w:rsidRDefault="00B02C77" w:rsidP="00554974">
            <w:pPr>
              <w:spacing w:after="0"/>
              <w:ind w:left="61"/>
            </w:pPr>
          </w:p>
        </w:tc>
        <w:tc>
          <w:tcPr>
            <w:tcW w:w="1208" w:type="dxa"/>
            <w:tcBorders>
              <w:bottom w:val="single" w:sz="4" w:space="0" w:color="auto"/>
            </w:tcBorders>
          </w:tcPr>
          <w:p w14:paraId="2CB9790C" w14:textId="21730A4E" w:rsidR="00B02C77" w:rsidRDefault="00B02C77" w:rsidP="00554974">
            <w:pPr>
              <w:spacing w:after="0"/>
              <w:ind w:left="50"/>
            </w:pPr>
          </w:p>
        </w:tc>
        <w:tc>
          <w:tcPr>
            <w:tcW w:w="1464" w:type="dxa"/>
            <w:tcBorders>
              <w:bottom w:val="single" w:sz="4" w:space="0" w:color="auto"/>
            </w:tcBorders>
          </w:tcPr>
          <w:p w14:paraId="62658398" w14:textId="77777777" w:rsidR="00B02C77" w:rsidRDefault="00B02C77" w:rsidP="00554974">
            <w:pPr>
              <w:spacing w:after="160"/>
            </w:pPr>
          </w:p>
        </w:tc>
        <w:tc>
          <w:tcPr>
            <w:tcW w:w="1208" w:type="dxa"/>
            <w:tcBorders>
              <w:bottom w:val="single" w:sz="4" w:space="0" w:color="auto"/>
            </w:tcBorders>
          </w:tcPr>
          <w:p w14:paraId="6B764DEF" w14:textId="77777777" w:rsidR="00B02C77" w:rsidRDefault="00B02C77" w:rsidP="00554974">
            <w:pPr>
              <w:spacing w:after="160"/>
            </w:pPr>
          </w:p>
        </w:tc>
      </w:tr>
      <w:tr w:rsidR="00B02C77" w14:paraId="316394E3" w14:textId="77777777" w:rsidTr="00554974">
        <w:trPr>
          <w:trHeight w:val="20"/>
        </w:trPr>
        <w:tc>
          <w:tcPr>
            <w:tcW w:w="3792" w:type="dxa"/>
            <w:tcBorders>
              <w:top w:val="single" w:sz="4" w:space="0" w:color="auto"/>
            </w:tcBorders>
          </w:tcPr>
          <w:p w14:paraId="638B6BDF" w14:textId="77777777" w:rsidR="00B02C77" w:rsidRDefault="00B02C77" w:rsidP="00554974">
            <w:pPr>
              <w:spacing w:after="0"/>
            </w:pPr>
            <w:r>
              <w:t>20 to 100 employees</w:t>
            </w:r>
          </w:p>
        </w:tc>
        <w:tc>
          <w:tcPr>
            <w:tcW w:w="1221" w:type="dxa"/>
            <w:tcBorders>
              <w:top w:val="single" w:sz="4" w:space="0" w:color="auto"/>
            </w:tcBorders>
          </w:tcPr>
          <w:p w14:paraId="76B646D7" w14:textId="77777777" w:rsidR="00B02C77" w:rsidRDefault="00B02C77" w:rsidP="00554974">
            <w:pPr>
              <w:spacing w:after="160"/>
            </w:pPr>
          </w:p>
        </w:tc>
        <w:tc>
          <w:tcPr>
            <w:tcW w:w="1208" w:type="dxa"/>
            <w:tcBorders>
              <w:top w:val="single" w:sz="4" w:space="0" w:color="auto"/>
            </w:tcBorders>
          </w:tcPr>
          <w:p w14:paraId="49C89779" w14:textId="77777777" w:rsidR="00B02C77" w:rsidRDefault="00B02C77" w:rsidP="00554974">
            <w:pPr>
              <w:spacing w:after="160"/>
            </w:pPr>
          </w:p>
        </w:tc>
        <w:tc>
          <w:tcPr>
            <w:tcW w:w="1464" w:type="dxa"/>
            <w:tcBorders>
              <w:top w:val="single" w:sz="4" w:space="0" w:color="auto"/>
            </w:tcBorders>
          </w:tcPr>
          <w:p w14:paraId="2F67D00E" w14:textId="77777777" w:rsidR="00B02C77" w:rsidRDefault="00B02C77" w:rsidP="00554974">
            <w:pPr>
              <w:spacing w:after="0"/>
              <w:ind w:left="28"/>
            </w:pPr>
            <w:r>
              <w:t>1.583***</w:t>
            </w:r>
          </w:p>
        </w:tc>
        <w:tc>
          <w:tcPr>
            <w:tcW w:w="1208" w:type="dxa"/>
            <w:tcBorders>
              <w:top w:val="single" w:sz="4" w:space="0" w:color="auto"/>
            </w:tcBorders>
          </w:tcPr>
          <w:p w14:paraId="3CA56D6C" w14:textId="77777777" w:rsidR="00B02C77" w:rsidRDefault="00B02C77" w:rsidP="00554974">
            <w:pPr>
              <w:spacing w:after="0"/>
              <w:ind w:left="28"/>
            </w:pPr>
            <w:r>
              <w:t>1.522***</w:t>
            </w:r>
          </w:p>
        </w:tc>
      </w:tr>
      <w:tr w:rsidR="00B02C77" w14:paraId="2BD830EB" w14:textId="77777777" w:rsidTr="00554974">
        <w:trPr>
          <w:trHeight w:val="20"/>
        </w:trPr>
        <w:tc>
          <w:tcPr>
            <w:tcW w:w="3792" w:type="dxa"/>
          </w:tcPr>
          <w:p w14:paraId="54539B56" w14:textId="77777777" w:rsidR="00B02C77" w:rsidRDefault="00B02C77" w:rsidP="00554974">
            <w:pPr>
              <w:spacing w:after="160"/>
            </w:pPr>
          </w:p>
        </w:tc>
        <w:tc>
          <w:tcPr>
            <w:tcW w:w="1221" w:type="dxa"/>
          </w:tcPr>
          <w:p w14:paraId="267B0809" w14:textId="77777777" w:rsidR="00B02C77" w:rsidRDefault="00B02C77" w:rsidP="00554974">
            <w:pPr>
              <w:spacing w:after="160"/>
            </w:pPr>
          </w:p>
        </w:tc>
        <w:tc>
          <w:tcPr>
            <w:tcW w:w="1208" w:type="dxa"/>
          </w:tcPr>
          <w:p w14:paraId="58F01A48" w14:textId="77777777" w:rsidR="00B02C77" w:rsidRDefault="00B02C77" w:rsidP="00554974">
            <w:pPr>
              <w:spacing w:after="160"/>
            </w:pPr>
          </w:p>
        </w:tc>
        <w:tc>
          <w:tcPr>
            <w:tcW w:w="1464" w:type="dxa"/>
          </w:tcPr>
          <w:p w14:paraId="0E2D3445" w14:textId="77777777" w:rsidR="00B02C77" w:rsidRDefault="00B02C77" w:rsidP="00554974">
            <w:pPr>
              <w:spacing w:after="0"/>
              <w:ind w:left="50"/>
            </w:pPr>
            <w:r>
              <w:t>(0.0276)</w:t>
            </w:r>
          </w:p>
        </w:tc>
        <w:tc>
          <w:tcPr>
            <w:tcW w:w="1208" w:type="dxa"/>
          </w:tcPr>
          <w:p w14:paraId="773AF50F" w14:textId="77777777" w:rsidR="00B02C77" w:rsidRDefault="00B02C77" w:rsidP="00554974">
            <w:pPr>
              <w:spacing w:after="0"/>
              <w:ind w:left="50"/>
            </w:pPr>
            <w:r>
              <w:t>(0.0272)</w:t>
            </w:r>
          </w:p>
        </w:tc>
      </w:tr>
      <w:tr w:rsidR="00B02C77" w14:paraId="12E5F4CA" w14:textId="77777777" w:rsidTr="00554974">
        <w:trPr>
          <w:trHeight w:val="20"/>
        </w:trPr>
        <w:tc>
          <w:tcPr>
            <w:tcW w:w="3792" w:type="dxa"/>
          </w:tcPr>
          <w:p w14:paraId="1FD97393" w14:textId="77777777" w:rsidR="00B02C77" w:rsidRDefault="00B02C77" w:rsidP="00554974">
            <w:pPr>
              <w:spacing w:after="0"/>
              <w:ind w:right="134"/>
            </w:pPr>
            <w:r>
              <w:t>101 to 500 employees</w:t>
            </w:r>
          </w:p>
        </w:tc>
        <w:tc>
          <w:tcPr>
            <w:tcW w:w="1221" w:type="dxa"/>
          </w:tcPr>
          <w:p w14:paraId="74339DD3" w14:textId="77777777" w:rsidR="00B02C77" w:rsidRDefault="00B02C77" w:rsidP="00554974">
            <w:pPr>
              <w:spacing w:after="160"/>
            </w:pPr>
          </w:p>
        </w:tc>
        <w:tc>
          <w:tcPr>
            <w:tcW w:w="1208" w:type="dxa"/>
          </w:tcPr>
          <w:p w14:paraId="7B3A962B" w14:textId="77777777" w:rsidR="00B02C77" w:rsidRDefault="00B02C77" w:rsidP="00554974">
            <w:pPr>
              <w:spacing w:after="160"/>
            </w:pPr>
          </w:p>
        </w:tc>
        <w:tc>
          <w:tcPr>
            <w:tcW w:w="1464" w:type="dxa"/>
          </w:tcPr>
          <w:p w14:paraId="119FECD4" w14:textId="77777777" w:rsidR="00B02C77" w:rsidRDefault="00B02C77" w:rsidP="00554974">
            <w:pPr>
              <w:spacing w:after="0"/>
              <w:ind w:left="28"/>
            </w:pPr>
            <w:r>
              <w:t>1.576***</w:t>
            </w:r>
          </w:p>
        </w:tc>
        <w:tc>
          <w:tcPr>
            <w:tcW w:w="1208" w:type="dxa"/>
          </w:tcPr>
          <w:p w14:paraId="3F4D4893" w14:textId="77777777" w:rsidR="00B02C77" w:rsidRDefault="00B02C77" w:rsidP="00554974">
            <w:pPr>
              <w:spacing w:after="0"/>
              <w:ind w:left="28"/>
            </w:pPr>
            <w:r>
              <w:t>1.393***</w:t>
            </w:r>
          </w:p>
        </w:tc>
      </w:tr>
      <w:tr w:rsidR="00B02C77" w14:paraId="5FE724E0" w14:textId="77777777" w:rsidTr="00554974">
        <w:trPr>
          <w:trHeight w:val="20"/>
        </w:trPr>
        <w:tc>
          <w:tcPr>
            <w:tcW w:w="3792" w:type="dxa"/>
          </w:tcPr>
          <w:p w14:paraId="1AECA481" w14:textId="77777777" w:rsidR="00B02C77" w:rsidRDefault="00B02C77" w:rsidP="00554974">
            <w:pPr>
              <w:spacing w:after="160"/>
            </w:pPr>
          </w:p>
        </w:tc>
        <w:tc>
          <w:tcPr>
            <w:tcW w:w="1221" w:type="dxa"/>
          </w:tcPr>
          <w:p w14:paraId="036FA868" w14:textId="77777777" w:rsidR="00B02C77" w:rsidRDefault="00B02C77" w:rsidP="00554974">
            <w:pPr>
              <w:spacing w:after="160"/>
            </w:pPr>
          </w:p>
        </w:tc>
        <w:tc>
          <w:tcPr>
            <w:tcW w:w="1208" w:type="dxa"/>
          </w:tcPr>
          <w:p w14:paraId="6D9C5274" w14:textId="77777777" w:rsidR="00B02C77" w:rsidRDefault="00B02C77" w:rsidP="00554974">
            <w:pPr>
              <w:spacing w:after="160"/>
            </w:pPr>
          </w:p>
        </w:tc>
        <w:tc>
          <w:tcPr>
            <w:tcW w:w="1464" w:type="dxa"/>
          </w:tcPr>
          <w:p w14:paraId="21142095" w14:textId="77777777" w:rsidR="00B02C77" w:rsidRDefault="00B02C77" w:rsidP="00554974">
            <w:pPr>
              <w:spacing w:after="0"/>
              <w:ind w:left="50"/>
            </w:pPr>
            <w:r>
              <w:t>(0.0586)</w:t>
            </w:r>
          </w:p>
        </w:tc>
        <w:tc>
          <w:tcPr>
            <w:tcW w:w="1208" w:type="dxa"/>
          </w:tcPr>
          <w:p w14:paraId="1C32B219" w14:textId="77777777" w:rsidR="00B02C77" w:rsidRDefault="00B02C77" w:rsidP="00554974">
            <w:pPr>
              <w:spacing w:after="0"/>
              <w:ind w:left="50"/>
            </w:pPr>
            <w:r>
              <w:t>(0.0541)</w:t>
            </w:r>
          </w:p>
        </w:tc>
      </w:tr>
      <w:tr w:rsidR="00B02C77" w14:paraId="78E91318" w14:textId="77777777" w:rsidTr="00554974">
        <w:trPr>
          <w:trHeight w:val="20"/>
        </w:trPr>
        <w:tc>
          <w:tcPr>
            <w:tcW w:w="3792" w:type="dxa"/>
          </w:tcPr>
          <w:p w14:paraId="417E7D44" w14:textId="77777777" w:rsidR="00B02C77" w:rsidRDefault="00B02C77" w:rsidP="00554974">
            <w:pPr>
              <w:spacing w:after="0"/>
            </w:pPr>
            <w:r>
              <w:t>501+ employees</w:t>
            </w:r>
          </w:p>
        </w:tc>
        <w:tc>
          <w:tcPr>
            <w:tcW w:w="1221" w:type="dxa"/>
          </w:tcPr>
          <w:p w14:paraId="2C987604" w14:textId="77777777" w:rsidR="00B02C77" w:rsidRDefault="00B02C77" w:rsidP="00554974">
            <w:pPr>
              <w:spacing w:after="160"/>
            </w:pPr>
          </w:p>
        </w:tc>
        <w:tc>
          <w:tcPr>
            <w:tcW w:w="1208" w:type="dxa"/>
          </w:tcPr>
          <w:p w14:paraId="6FF448E6" w14:textId="77777777" w:rsidR="00B02C77" w:rsidRDefault="00B02C77" w:rsidP="00554974">
            <w:pPr>
              <w:spacing w:after="160"/>
            </w:pPr>
          </w:p>
        </w:tc>
        <w:tc>
          <w:tcPr>
            <w:tcW w:w="1464" w:type="dxa"/>
          </w:tcPr>
          <w:p w14:paraId="099D8A68" w14:textId="77777777" w:rsidR="00B02C77" w:rsidRDefault="00B02C77" w:rsidP="00554974">
            <w:pPr>
              <w:spacing w:after="0"/>
              <w:ind w:left="177"/>
            </w:pPr>
            <w:r>
              <w:t>0.909</w:t>
            </w:r>
          </w:p>
        </w:tc>
        <w:tc>
          <w:tcPr>
            <w:tcW w:w="1208" w:type="dxa"/>
          </w:tcPr>
          <w:p w14:paraId="7BD36C27" w14:textId="77777777" w:rsidR="00B02C77" w:rsidRDefault="00B02C77" w:rsidP="00554974">
            <w:pPr>
              <w:spacing w:after="0"/>
              <w:ind w:left="78"/>
            </w:pPr>
            <w:r>
              <w:t>0.734**</w:t>
            </w:r>
          </w:p>
        </w:tc>
      </w:tr>
      <w:tr w:rsidR="00B02C77" w14:paraId="2CD16688" w14:textId="77777777" w:rsidTr="00554974">
        <w:trPr>
          <w:trHeight w:val="20"/>
        </w:trPr>
        <w:tc>
          <w:tcPr>
            <w:tcW w:w="3792" w:type="dxa"/>
          </w:tcPr>
          <w:p w14:paraId="4B0C89DA" w14:textId="77777777" w:rsidR="00B02C77" w:rsidRDefault="00B02C77" w:rsidP="00554974">
            <w:pPr>
              <w:spacing w:after="0"/>
              <w:ind w:left="120"/>
            </w:pPr>
          </w:p>
        </w:tc>
        <w:tc>
          <w:tcPr>
            <w:tcW w:w="1221" w:type="dxa"/>
          </w:tcPr>
          <w:p w14:paraId="3B113DBF" w14:textId="77777777" w:rsidR="00B02C77" w:rsidRDefault="00B02C77" w:rsidP="00554974">
            <w:pPr>
              <w:spacing w:after="160"/>
            </w:pPr>
          </w:p>
        </w:tc>
        <w:tc>
          <w:tcPr>
            <w:tcW w:w="1208" w:type="dxa"/>
          </w:tcPr>
          <w:p w14:paraId="1F7AA227" w14:textId="77777777" w:rsidR="00B02C77" w:rsidRDefault="00B02C77" w:rsidP="00554974">
            <w:pPr>
              <w:spacing w:after="160"/>
            </w:pPr>
          </w:p>
        </w:tc>
        <w:tc>
          <w:tcPr>
            <w:tcW w:w="1464" w:type="dxa"/>
          </w:tcPr>
          <w:p w14:paraId="3EAB7CDF" w14:textId="6B7625E5" w:rsidR="00B02C77" w:rsidRDefault="00B02C77" w:rsidP="00554974">
            <w:pPr>
              <w:spacing w:after="0"/>
              <w:ind w:left="100"/>
            </w:pPr>
            <w:r>
              <w:t>(0.122)</w:t>
            </w:r>
          </w:p>
        </w:tc>
        <w:tc>
          <w:tcPr>
            <w:tcW w:w="1208" w:type="dxa"/>
          </w:tcPr>
          <w:p w14:paraId="53E25485" w14:textId="2E98B3C9" w:rsidR="00B02C77" w:rsidRDefault="00B02C77" w:rsidP="00554974">
            <w:pPr>
              <w:spacing w:after="0"/>
              <w:ind w:left="50"/>
            </w:pPr>
            <w:r>
              <w:t>(0.0984)</w:t>
            </w:r>
          </w:p>
        </w:tc>
      </w:tr>
      <w:tr w:rsidR="00B02C77" w14:paraId="0F8AD015" w14:textId="77777777" w:rsidTr="00554974">
        <w:trPr>
          <w:trHeight w:val="20"/>
        </w:trPr>
        <w:tc>
          <w:tcPr>
            <w:tcW w:w="3792" w:type="dxa"/>
            <w:tcBorders>
              <w:bottom w:val="single" w:sz="4" w:space="0" w:color="auto"/>
            </w:tcBorders>
          </w:tcPr>
          <w:p w14:paraId="208E7489" w14:textId="77777777" w:rsidR="00B02C77" w:rsidRPr="00554974" w:rsidRDefault="00B02C77" w:rsidP="00554974">
            <w:pPr>
              <w:spacing w:after="0"/>
              <w:rPr>
                <w:b/>
                <w:bCs/>
              </w:rPr>
            </w:pPr>
            <w:r w:rsidRPr="00554974">
              <w:rPr>
                <w:b/>
                <w:bCs/>
              </w:rPr>
              <w:t>Other characteristics</w:t>
            </w:r>
          </w:p>
        </w:tc>
        <w:tc>
          <w:tcPr>
            <w:tcW w:w="1221" w:type="dxa"/>
            <w:tcBorders>
              <w:bottom w:val="single" w:sz="4" w:space="0" w:color="auto"/>
            </w:tcBorders>
          </w:tcPr>
          <w:p w14:paraId="14196624" w14:textId="77777777" w:rsidR="00B02C77" w:rsidRDefault="00B02C77" w:rsidP="00554974">
            <w:pPr>
              <w:spacing w:after="160"/>
            </w:pPr>
          </w:p>
        </w:tc>
        <w:tc>
          <w:tcPr>
            <w:tcW w:w="1208" w:type="dxa"/>
            <w:tcBorders>
              <w:bottom w:val="single" w:sz="4" w:space="0" w:color="auto"/>
            </w:tcBorders>
          </w:tcPr>
          <w:p w14:paraId="2D7039A9" w14:textId="77777777" w:rsidR="00B02C77" w:rsidRDefault="00B02C77" w:rsidP="00554974">
            <w:pPr>
              <w:spacing w:after="160"/>
            </w:pPr>
          </w:p>
        </w:tc>
        <w:tc>
          <w:tcPr>
            <w:tcW w:w="1464" w:type="dxa"/>
            <w:tcBorders>
              <w:bottom w:val="single" w:sz="4" w:space="0" w:color="auto"/>
            </w:tcBorders>
          </w:tcPr>
          <w:p w14:paraId="4560E648" w14:textId="2AEE8F4D" w:rsidR="00B02C77" w:rsidRDefault="00B02C77" w:rsidP="00554974">
            <w:pPr>
              <w:spacing w:after="0"/>
              <w:ind w:left="100"/>
            </w:pPr>
          </w:p>
        </w:tc>
        <w:tc>
          <w:tcPr>
            <w:tcW w:w="1208" w:type="dxa"/>
            <w:tcBorders>
              <w:bottom w:val="single" w:sz="4" w:space="0" w:color="auto"/>
            </w:tcBorders>
          </w:tcPr>
          <w:p w14:paraId="316F227D" w14:textId="48C0E3C3" w:rsidR="00B02C77" w:rsidRDefault="00B02C77" w:rsidP="00554974">
            <w:pPr>
              <w:spacing w:after="0"/>
              <w:ind w:left="50"/>
            </w:pPr>
          </w:p>
        </w:tc>
      </w:tr>
      <w:tr w:rsidR="00B02C77" w14:paraId="5D502564" w14:textId="77777777" w:rsidTr="00554974">
        <w:trPr>
          <w:trHeight w:val="20"/>
        </w:trPr>
        <w:tc>
          <w:tcPr>
            <w:tcW w:w="3792" w:type="dxa"/>
            <w:tcBorders>
              <w:top w:val="single" w:sz="4" w:space="0" w:color="auto"/>
            </w:tcBorders>
          </w:tcPr>
          <w:p w14:paraId="5B5D71B8" w14:textId="77777777" w:rsidR="00B02C77" w:rsidRDefault="00B02C77" w:rsidP="00554974">
            <w:pPr>
              <w:spacing w:after="0"/>
            </w:pPr>
            <w:r>
              <w:t>Belongs to EG</w:t>
            </w:r>
          </w:p>
        </w:tc>
        <w:tc>
          <w:tcPr>
            <w:tcW w:w="1221" w:type="dxa"/>
            <w:tcBorders>
              <w:top w:val="single" w:sz="4" w:space="0" w:color="auto"/>
            </w:tcBorders>
          </w:tcPr>
          <w:p w14:paraId="2AE0939C" w14:textId="77777777" w:rsidR="00B02C77" w:rsidRDefault="00B02C77" w:rsidP="00554974">
            <w:pPr>
              <w:spacing w:after="0"/>
              <w:ind w:left="39"/>
            </w:pPr>
            <w:r>
              <w:t>0.686***</w:t>
            </w:r>
          </w:p>
        </w:tc>
        <w:tc>
          <w:tcPr>
            <w:tcW w:w="1208" w:type="dxa"/>
            <w:tcBorders>
              <w:top w:val="single" w:sz="4" w:space="0" w:color="auto"/>
            </w:tcBorders>
          </w:tcPr>
          <w:p w14:paraId="048B9381" w14:textId="77777777" w:rsidR="00B02C77" w:rsidRDefault="00B02C77" w:rsidP="00554974">
            <w:pPr>
              <w:spacing w:after="0"/>
              <w:ind w:left="28"/>
            </w:pPr>
            <w:r>
              <w:t>0.676***</w:t>
            </w:r>
          </w:p>
        </w:tc>
        <w:tc>
          <w:tcPr>
            <w:tcW w:w="1464" w:type="dxa"/>
            <w:tcBorders>
              <w:top w:val="single" w:sz="4" w:space="0" w:color="auto"/>
            </w:tcBorders>
          </w:tcPr>
          <w:p w14:paraId="79A66871" w14:textId="77777777" w:rsidR="00B02C77" w:rsidRDefault="00B02C77" w:rsidP="00554974">
            <w:pPr>
              <w:spacing w:after="0"/>
              <w:ind w:left="177"/>
            </w:pPr>
            <w:r>
              <w:t>0.921</w:t>
            </w:r>
          </w:p>
        </w:tc>
        <w:tc>
          <w:tcPr>
            <w:tcW w:w="1208" w:type="dxa"/>
            <w:tcBorders>
              <w:top w:val="single" w:sz="4" w:space="0" w:color="auto"/>
            </w:tcBorders>
          </w:tcPr>
          <w:p w14:paraId="0001BA2E" w14:textId="77777777" w:rsidR="00B02C77" w:rsidRDefault="00B02C77" w:rsidP="00554974">
            <w:pPr>
              <w:spacing w:after="0"/>
              <w:ind w:left="177"/>
            </w:pPr>
            <w:r>
              <w:t>0.929</w:t>
            </w:r>
          </w:p>
        </w:tc>
      </w:tr>
      <w:tr w:rsidR="00B02C77" w14:paraId="1AE9C064" w14:textId="77777777" w:rsidTr="00554974">
        <w:trPr>
          <w:trHeight w:val="20"/>
        </w:trPr>
        <w:tc>
          <w:tcPr>
            <w:tcW w:w="3792" w:type="dxa"/>
          </w:tcPr>
          <w:p w14:paraId="66B74D63" w14:textId="77777777" w:rsidR="00B02C77" w:rsidRDefault="00B02C77" w:rsidP="00554974">
            <w:pPr>
              <w:spacing w:after="160"/>
            </w:pPr>
          </w:p>
        </w:tc>
        <w:tc>
          <w:tcPr>
            <w:tcW w:w="1221" w:type="dxa"/>
          </w:tcPr>
          <w:p w14:paraId="2120B16C" w14:textId="77777777" w:rsidR="00B02C77" w:rsidRDefault="00B02C77" w:rsidP="00554974">
            <w:pPr>
              <w:spacing w:after="0"/>
              <w:ind w:left="111"/>
            </w:pPr>
            <w:r>
              <w:t>(0.043)</w:t>
            </w:r>
          </w:p>
        </w:tc>
        <w:tc>
          <w:tcPr>
            <w:tcW w:w="1208" w:type="dxa"/>
          </w:tcPr>
          <w:p w14:paraId="7E4349A2" w14:textId="77777777" w:rsidR="00B02C77" w:rsidRDefault="00B02C77" w:rsidP="00554974">
            <w:pPr>
              <w:spacing w:after="0"/>
              <w:ind w:left="50"/>
            </w:pPr>
            <w:r>
              <w:t>(0.0429)</w:t>
            </w:r>
          </w:p>
        </w:tc>
        <w:tc>
          <w:tcPr>
            <w:tcW w:w="1464" w:type="dxa"/>
          </w:tcPr>
          <w:p w14:paraId="766CBE0A" w14:textId="77777777" w:rsidR="00B02C77" w:rsidRDefault="00B02C77" w:rsidP="00554974">
            <w:pPr>
              <w:spacing w:after="0"/>
              <w:ind w:left="50"/>
            </w:pPr>
            <w:r>
              <w:t>(0.0546)</w:t>
            </w:r>
          </w:p>
        </w:tc>
        <w:tc>
          <w:tcPr>
            <w:tcW w:w="1208" w:type="dxa"/>
          </w:tcPr>
          <w:p w14:paraId="44C37EF1" w14:textId="77777777" w:rsidR="00B02C77" w:rsidRDefault="00B02C77" w:rsidP="00554974">
            <w:pPr>
              <w:spacing w:after="0"/>
              <w:ind w:left="50"/>
            </w:pPr>
            <w:r>
              <w:t>(0.0558)</w:t>
            </w:r>
          </w:p>
        </w:tc>
      </w:tr>
      <w:tr w:rsidR="00B02C77" w14:paraId="06B9CD58" w14:textId="77777777" w:rsidTr="00554974">
        <w:trPr>
          <w:trHeight w:val="20"/>
        </w:trPr>
        <w:tc>
          <w:tcPr>
            <w:tcW w:w="3792" w:type="dxa"/>
          </w:tcPr>
          <w:p w14:paraId="148671D4" w14:textId="77777777" w:rsidR="00B02C77" w:rsidRDefault="00B02C77" w:rsidP="00554974">
            <w:pPr>
              <w:spacing w:after="0"/>
            </w:pPr>
            <w:r>
              <w:t>Number of patents</w:t>
            </w:r>
          </w:p>
        </w:tc>
        <w:tc>
          <w:tcPr>
            <w:tcW w:w="1221" w:type="dxa"/>
          </w:tcPr>
          <w:p w14:paraId="04C9A005" w14:textId="77777777" w:rsidR="00B02C77" w:rsidRDefault="00B02C77" w:rsidP="00554974">
            <w:pPr>
              <w:spacing w:after="0"/>
              <w:ind w:left="39"/>
            </w:pPr>
            <w:r>
              <w:t>1.027***</w:t>
            </w:r>
          </w:p>
        </w:tc>
        <w:tc>
          <w:tcPr>
            <w:tcW w:w="1208" w:type="dxa"/>
          </w:tcPr>
          <w:p w14:paraId="460C96AA" w14:textId="77777777" w:rsidR="00B02C77" w:rsidRDefault="00B02C77" w:rsidP="00554974">
            <w:pPr>
              <w:spacing w:after="0"/>
              <w:ind w:left="28"/>
            </w:pPr>
            <w:r>
              <w:t>1.027***</w:t>
            </w:r>
          </w:p>
        </w:tc>
        <w:tc>
          <w:tcPr>
            <w:tcW w:w="1464" w:type="dxa"/>
          </w:tcPr>
          <w:p w14:paraId="6BFCD019" w14:textId="77777777" w:rsidR="00B02C77" w:rsidRDefault="00B02C77" w:rsidP="00554974">
            <w:pPr>
              <w:spacing w:after="0"/>
              <w:ind w:left="28"/>
            </w:pPr>
            <w:r>
              <w:t>1.025***</w:t>
            </w:r>
          </w:p>
        </w:tc>
        <w:tc>
          <w:tcPr>
            <w:tcW w:w="1208" w:type="dxa"/>
          </w:tcPr>
          <w:p w14:paraId="5CC82ED7" w14:textId="77777777" w:rsidR="00B02C77" w:rsidRDefault="00B02C77" w:rsidP="00554974">
            <w:pPr>
              <w:spacing w:after="0"/>
              <w:ind w:left="28"/>
            </w:pPr>
            <w:r>
              <w:t>1.025***</w:t>
            </w:r>
          </w:p>
        </w:tc>
      </w:tr>
      <w:tr w:rsidR="00B02C77" w14:paraId="1CFC3A00" w14:textId="77777777" w:rsidTr="00554974">
        <w:trPr>
          <w:trHeight w:val="20"/>
        </w:trPr>
        <w:tc>
          <w:tcPr>
            <w:tcW w:w="3792" w:type="dxa"/>
          </w:tcPr>
          <w:p w14:paraId="21075747" w14:textId="77777777" w:rsidR="00B02C77" w:rsidRDefault="00B02C77" w:rsidP="00554974">
            <w:pPr>
              <w:spacing w:after="160"/>
            </w:pPr>
          </w:p>
        </w:tc>
        <w:tc>
          <w:tcPr>
            <w:tcW w:w="1221" w:type="dxa"/>
          </w:tcPr>
          <w:p w14:paraId="31ABFC03" w14:textId="77777777" w:rsidR="00B02C77" w:rsidRDefault="00B02C77" w:rsidP="00554974">
            <w:pPr>
              <w:spacing w:after="0"/>
              <w:ind w:left="11"/>
            </w:pPr>
            <w:r>
              <w:t>(0.00293)</w:t>
            </w:r>
          </w:p>
        </w:tc>
        <w:tc>
          <w:tcPr>
            <w:tcW w:w="1208" w:type="dxa"/>
          </w:tcPr>
          <w:p w14:paraId="2DEFC1ED" w14:textId="77777777" w:rsidR="00B02C77" w:rsidRDefault="00B02C77" w:rsidP="00554974">
            <w:pPr>
              <w:spacing w:after="0"/>
            </w:pPr>
            <w:r>
              <w:t>(0.00306)</w:t>
            </w:r>
          </w:p>
        </w:tc>
        <w:tc>
          <w:tcPr>
            <w:tcW w:w="1464" w:type="dxa"/>
          </w:tcPr>
          <w:p w14:paraId="61EF7BD6" w14:textId="77777777" w:rsidR="00B02C77" w:rsidRDefault="00B02C77" w:rsidP="00554974">
            <w:pPr>
              <w:spacing w:after="0"/>
            </w:pPr>
            <w:r>
              <w:t>(0.00289)</w:t>
            </w:r>
          </w:p>
        </w:tc>
        <w:tc>
          <w:tcPr>
            <w:tcW w:w="1208" w:type="dxa"/>
          </w:tcPr>
          <w:p w14:paraId="3B6E994F" w14:textId="77777777" w:rsidR="00B02C77" w:rsidRDefault="00B02C77" w:rsidP="00554974">
            <w:pPr>
              <w:spacing w:after="0"/>
            </w:pPr>
            <w:r>
              <w:t>(0.00302)</w:t>
            </w:r>
          </w:p>
        </w:tc>
      </w:tr>
      <w:tr w:rsidR="00B02C77" w14:paraId="072C5AF1" w14:textId="77777777" w:rsidTr="00554974">
        <w:trPr>
          <w:trHeight w:val="20"/>
        </w:trPr>
        <w:tc>
          <w:tcPr>
            <w:tcW w:w="3792" w:type="dxa"/>
          </w:tcPr>
          <w:p w14:paraId="1349E4B9" w14:textId="77777777" w:rsidR="00B02C77" w:rsidRDefault="00B02C77" w:rsidP="00554974">
            <w:pPr>
              <w:spacing w:after="0"/>
            </w:pPr>
            <w:r>
              <w:t>Number of trademarks</w:t>
            </w:r>
          </w:p>
        </w:tc>
        <w:tc>
          <w:tcPr>
            <w:tcW w:w="1221" w:type="dxa"/>
          </w:tcPr>
          <w:p w14:paraId="14D85511" w14:textId="77777777" w:rsidR="00B02C77" w:rsidRDefault="00B02C77" w:rsidP="00554974">
            <w:pPr>
              <w:spacing w:after="0"/>
              <w:ind w:left="39"/>
            </w:pPr>
            <w:r>
              <w:t>0.893***</w:t>
            </w:r>
          </w:p>
        </w:tc>
        <w:tc>
          <w:tcPr>
            <w:tcW w:w="1208" w:type="dxa"/>
          </w:tcPr>
          <w:p w14:paraId="4A442812" w14:textId="77777777" w:rsidR="00B02C77" w:rsidRDefault="00B02C77" w:rsidP="00554974">
            <w:pPr>
              <w:spacing w:after="0"/>
              <w:ind w:left="28"/>
            </w:pPr>
            <w:r>
              <w:t>0.893***</w:t>
            </w:r>
          </w:p>
        </w:tc>
        <w:tc>
          <w:tcPr>
            <w:tcW w:w="1464" w:type="dxa"/>
          </w:tcPr>
          <w:p w14:paraId="33C20B8A" w14:textId="77777777" w:rsidR="00B02C77" w:rsidRDefault="00B02C77" w:rsidP="00554974">
            <w:pPr>
              <w:spacing w:after="0"/>
              <w:ind w:left="28"/>
            </w:pPr>
            <w:r>
              <w:t>0.903***</w:t>
            </w:r>
          </w:p>
        </w:tc>
        <w:tc>
          <w:tcPr>
            <w:tcW w:w="1208" w:type="dxa"/>
          </w:tcPr>
          <w:p w14:paraId="36416E2C" w14:textId="77777777" w:rsidR="00B02C77" w:rsidRDefault="00B02C77" w:rsidP="00554974">
            <w:pPr>
              <w:spacing w:after="0"/>
              <w:ind w:left="28"/>
            </w:pPr>
            <w:r>
              <w:t>0.903***</w:t>
            </w:r>
          </w:p>
        </w:tc>
      </w:tr>
      <w:tr w:rsidR="00B02C77" w14:paraId="56356127" w14:textId="77777777" w:rsidTr="00554974">
        <w:trPr>
          <w:trHeight w:val="20"/>
        </w:trPr>
        <w:tc>
          <w:tcPr>
            <w:tcW w:w="3792" w:type="dxa"/>
          </w:tcPr>
          <w:p w14:paraId="4BA97191" w14:textId="77777777" w:rsidR="00B02C77" w:rsidRDefault="00B02C77" w:rsidP="00554974">
            <w:pPr>
              <w:spacing w:after="160"/>
            </w:pPr>
          </w:p>
        </w:tc>
        <w:tc>
          <w:tcPr>
            <w:tcW w:w="1221" w:type="dxa"/>
          </w:tcPr>
          <w:p w14:paraId="3E76B359" w14:textId="77777777" w:rsidR="00B02C77" w:rsidRDefault="00B02C77" w:rsidP="00554974">
            <w:pPr>
              <w:spacing w:after="0"/>
              <w:ind w:left="61"/>
            </w:pPr>
            <w:r>
              <w:t>(0.0134)</w:t>
            </w:r>
          </w:p>
        </w:tc>
        <w:tc>
          <w:tcPr>
            <w:tcW w:w="1208" w:type="dxa"/>
          </w:tcPr>
          <w:p w14:paraId="6ACB37D8" w14:textId="77777777" w:rsidR="00B02C77" w:rsidRDefault="00B02C77" w:rsidP="00554974">
            <w:pPr>
              <w:spacing w:after="0"/>
              <w:ind w:left="100"/>
            </w:pPr>
            <w:r>
              <w:t>(0.014)</w:t>
            </w:r>
          </w:p>
        </w:tc>
        <w:tc>
          <w:tcPr>
            <w:tcW w:w="1464" w:type="dxa"/>
          </w:tcPr>
          <w:p w14:paraId="112A437F" w14:textId="77777777" w:rsidR="00B02C77" w:rsidRDefault="00B02C77" w:rsidP="00554974">
            <w:pPr>
              <w:spacing w:after="0"/>
              <w:ind w:left="50"/>
            </w:pPr>
            <w:r>
              <w:t>(0.0134)</w:t>
            </w:r>
          </w:p>
        </w:tc>
        <w:tc>
          <w:tcPr>
            <w:tcW w:w="1208" w:type="dxa"/>
          </w:tcPr>
          <w:p w14:paraId="1D6C1384" w14:textId="77777777" w:rsidR="00B02C77" w:rsidRDefault="00B02C77" w:rsidP="00554974">
            <w:pPr>
              <w:spacing w:after="0"/>
              <w:ind w:left="100"/>
            </w:pPr>
            <w:r>
              <w:t>(0.014)</w:t>
            </w:r>
          </w:p>
        </w:tc>
      </w:tr>
      <w:tr w:rsidR="00B02C77" w14:paraId="15C8425D" w14:textId="77777777" w:rsidTr="00554974">
        <w:trPr>
          <w:trHeight w:val="20"/>
        </w:trPr>
        <w:tc>
          <w:tcPr>
            <w:tcW w:w="3792" w:type="dxa"/>
          </w:tcPr>
          <w:p w14:paraId="58DD09D5" w14:textId="77777777" w:rsidR="00B02C77" w:rsidRDefault="00B02C77" w:rsidP="00554974">
            <w:pPr>
              <w:spacing w:after="0"/>
            </w:pPr>
            <w:r>
              <w:t>Profitability</w:t>
            </w:r>
          </w:p>
        </w:tc>
        <w:tc>
          <w:tcPr>
            <w:tcW w:w="1221" w:type="dxa"/>
          </w:tcPr>
          <w:p w14:paraId="32CF031A" w14:textId="77777777" w:rsidR="00B02C77" w:rsidRDefault="00B02C77" w:rsidP="00554974">
            <w:pPr>
              <w:spacing w:after="0"/>
              <w:ind w:left="39"/>
            </w:pPr>
            <w:r>
              <w:t>1.249***</w:t>
            </w:r>
          </w:p>
        </w:tc>
        <w:tc>
          <w:tcPr>
            <w:tcW w:w="1208" w:type="dxa"/>
          </w:tcPr>
          <w:p w14:paraId="4AB6C44D" w14:textId="77777777" w:rsidR="00B02C77" w:rsidRDefault="00B02C77" w:rsidP="00554974">
            <w:pPr>
              <w:spacing w:after="0"/>
              <w:ind w:left="28"/>
            </w:pPr>
            <w:r>
              <w:t>1.133***</w:t>
            </w:r>
          </w:p>
        </w:tc>
        <w:tc>
          <w:tcPr>
            <w:tcW w:w="1464" w:type="dxa"/>
          </w:tcPr>
          <w:p w14:paraId="60959F3A" w14:textId="77777777" w:rsidR="00B02C77" w:rsidRDefault="00B02C77" w:rsidP="00554974">
            <w:pPr>
              <w:spacing w:after="0"/>
              <w:ind w:left="28"/>
            </w:pPr>
            <w:r>
              <w:t>1.283***</w:t>
            </w:r>
          </w:p>
        </w:tc>
        <w:tc>
          <w:tcPr>
            <w:tcW w:w="1208" w:type="dxa"/>
          </w:tcPr>
          <w:p w14:paraId="670A6B6E" w14:textId="77777777" w:rsidR="00B02C77" w:rsidRDefault="00B02C77" w:rsidP="00554974">
            <w:pPr>
              <w:spacing w:after="0"/>
              <w:ind w:left="28"/>
            </w:pPr>
            <w:r>
              <w:t>1.158***</w:t>
            </w:r>
          </w:p>
        </w:tc>
      </w:tr>
      <w:tr w:rsidR="00B02C77" w14:paraId="47739C39" w14:textId="77777777" w:rsidTr="00554974">
        <w:trPr>
          <w:trHeight w:val="20"/>
        </w:trPr>
        <w:tc>
          <w:tcPr>
            <w:tcW w:w="3792" w:type="dxa"/>
          </w:tcPr>
          <w:p w14:paraId="3EA6B6BD" w14:textId="77777777" w:rsidR="00B02C77" w:rsidRDefault="00B02C77" w:rsidP="00554974">
            <w:pPr>
              <w:spacing w:after="160"/>
            </w:pPr>
          </w:p>
        </w:tc>
        <w:tc>
          <w:tcPr>
            <w:tcW w:w="1221" w:type="dxa"/>
          </w:tcPr>
          <w:p w14:paraId="1CBD390B" w14:textId="77777777" w:rsidR="00B02C77" w:rsidRDefault="00B02C77" w:rsidP="00554974">
            <w:pPr>
              <w:spacing w:after="0"/>
              <w:ind w:left="61"/>
            </w:pPr>
            <w:r>
              <w:t>(0.0363)</w:t>
            </w:r>
          </w:p>
        </w:tc>
        <w:tc>
          <w:tcPr>
            <w:tcW w:w="1208" w:type="dxa"/>
          </w:tcPr>
          <w:p w14:paraId="2242204F" w14:textId="77777777" w:rsidR="00B02C77" w:rsidRDefault="00B02C77" w:rsidP="00554974">
            <w:pPr>
              <w:spacing w:after="0"/>
              <w:ind w:left="39"/>
            </w:pPr>
            <w:r>
              <w:t>(0.04170</w:t>
            </w:r>
          </w:p>
        </w:tc>
        <w:tc>
          <w:tcPr>
            <w:tcW w:w="1464" w:type="dxa"/>
          </w:tcPr>
          <w:p w14:paraId="5DDE2AD9" w14:textId="77777777" w:rsidR="00B02C77" w:rsidRDefault="00B02C77" w:rsidP="00554974">
            <w:pPr>
              <w:spacing w:after="0"/>
              <w:ind w:left="50"/>
            </w:pPr>
            <w:r>
              <w:t>(0.0405)</w:t>
            </w:r>
          </w:p>
        </w:tc>
        <w:tc>
          <w:tcPr>
            <w:tcW w:w="1208" w:type="dxa"/>
          </w:tcPr>
          <w:p w14:paraId="2F1EB0DB" w14:textId="77777777" w:rsidR="00B02C77" w:rsidRDefault="00B02C77" w:rsidP="00554974">
            <w:pPr>
              <w:spacing w:after="0"/>
              <w:ind w:left="50"/>
            </w:pPr>
            <w:r>
              <w:t>(0.0459)</w:t>
            </w:r>
          </w:p>
        </w:tc>
      </w:tr>
      <w:tr w:rsidR="00B02C77" w14:paraId="5088C0F2" w14:textId="77777777" w:rsidTr="00554974">
        <w:trPr>
          <w:trHeight w:val="20"/>
        </w:trPr>
        <w:tc>
          <w:tcPr>
            <w:tcW w:w="3792" w:type="dxa"/>
          </w:tcPr>
          <w:p w14:paraId="393D084E" w14:textId="77777777" w:rsidR="00B02C77" w:rsidRDefault="00B02C77" w:rsidP="00554974">
            <w:pPr>
              <w:spacing w:after="0"/>
            </w:pPr>
            <w:r>
              <w:t>Productivity</w:t>
            </w:r>
          </w:p>
        </w:tc>
        <w:tc>
          <w:tcPr>
            <w:tcW w:w="1221" w:type="dxa"/>
          </w:tcPr>
          <w:p w14:paraId="75746AC1" w14:textId="77777777" w:rsidR="00B02C77" w:rsidRDefault="00B02C77" w:rsidP="00554974">
            <w:pPr>
              <w:spacing w:after="0"/>
              <w:ind w:left="39"/>
            </w:pPr>
            <w:r>
              <w:t>0.889***</w:t>
            </w:r>
          </w:p>
        </w:tc>
        <w:tc>
          <w:tcPr>
            <w:tcW w:w="1208" w:type="dxa"/>
          </w:tcPr>
          <w:p w14:paraId="0E3066D3" w14:textId="77777777" w:rsidR="00B02C77" w:rsidRDefault="00B02C77" w:rsidP="00554974">
            <w:pPr>
              <w:spacing w:after="0"/>
              <w:ind w:left="28"/>
            </w:pPr>
            <w:r>
              <w:t>0.873***</w:t>
            </w:r>
          </w:p>
        </w:tc>
        <w:tc>
          <w:tcPr>
            <w:tcW w:w="1464" w:type="dxa"/>
          </w:tcPr>
          <w:p w14:paraId="71E5781A" w14:textId="77777777" w:rsidR="00B02C77" w:rsidRDefault="00B02C77" w:rsidP="00554974">
            <w:pPr>
              <w:spacing w:after="0"/>
              <w:ind w:left="28"/>
            </w:pPr>
            <w:r>
              <w:t>0.927***</w:t>
            </w:r>
          </w:p>
        </w:tc>
        <w:tc>
          <w:tcPr>
            <w:tcW w:w="1208" w:type="dxa"/>
          </w:tcPr>
          <w:p w14:paraId="0B3D7A48" w14:textId="77777777" w:rsidR="00B02C77" w:rsidRDefault="00B02C77" w:rsidP="00554974">
            <w:pPr>
              <w:spacing w:after="0"/>
              <w:ind w:left="28"/>
            </w:pPr>
            <w:r>
              <w:t>0.898***</w:t>
            </w:r>
          </w:p>
        </w:tc>
      </w:tr>
      <w:tr w:rsidR="00B02C77" w14:paraId="6D2CB0A9" w14:textId="77777777" w:rsidTr="00554974">
        <w:trPr>
          <w:trHeight w:val="20"/>
        </w:trPr>
        <w:tc>
          <w:tcPr>
            <w:tcW w:w="3792" w:type="dxa"/>
            <w:tcBorders>
              <w:bottom w:val="single" w:sz="4" w:space="0" w:color="auto"/>
            </w:tcBorders>
          </w:tcPr>
          <w:p w14:paraId="295EE4DF" w14:textId="77777777" w:rsidR="00B02C77" w:rsidRDefault="00B02C77" w:rsidP="00554974">
            <w:pPr>
              <w:spacing w:after="160"/>
            </w:pPr>
          </w:p>
        </w:tc>
        <w:tc>
          <w:tcPr>
            <w:tcW w:w="1221" w:type="dxa"/>
            <w:tcBorders>
              <w:bottom w:val="single" w:sz="4" w:space="0" w:color="auto"/>
            </w:tcBorders>
          </w:tcPr>
          <w:p w14:paraId="387F1A80" w14:textId="77777777" w:rsidR="00B02C77" w:rsidRDefault="00B02C77" w:rsidP="00554974">
            <w:pPr>
              <w:spacing w:after="0"/>
            </w:pPr>
            <w:r>
              <w:t>(0.009540</w:t>
            </w:r>
          </w:p>
        </w:tc>
        <w:tc>
          <w:tcPr>
            <w:tcW w:w="1208" w:type="dxa"/>
            <w:tcBorders>
              <w:bottom w:val="single" w:sz="4" w:space="0" w:color="auto"/>
            </w:tcBorders>
          </w:tcPr>
          <w:p w14:paraId="7F287205" w14:textId="77777777" w:rsidR="00B02C77" w:rsidRDefault="00B02C77" w:rsidP="00554974">
            <w:pPr>
              <w:spacing w:after="0"/>
            </w:pPr>
            <w:r>
              <w:t>(0.00934)</w:t>
            </w:r>
          </w:p>
        </w:tc>
        <w:tc>
          <w:tcPr>
            <w:tcW w:w="1464" w:type="dxa"/>
            <w:tcBorders>
              <w:bottom w:val="single" w:sz="4" w:space="0" w:color="auto"/>
            </w:tcBorders>
          </w:tcPr>
          <w:p w14:paraId="4DAB1BA2" w14:textId="77777777" w:rsidR="00B02C77" w:rsidRDefault="00B02C77" w:rsidP="00554974">
            <w:pPr>
              <w:spacing w:after="0"/>
              <w:ind w:left="50"/>
            </w:pPr>
            <w:r>
              <w:t>(0.0107)</w:t>
            </w:r>
          </w:p>
        </w:tc>
        <w:tc>
          <w:tcPr>
            <w:tcW w:w="1208" w:type="dxa"/>
            <w:tcBorders>
              <w:bottom w:val="single" w:sz="4" w:space="0" w:color="auto"/>
            </w:tcBorders>
          </w:tcPr>
          <w:p w14:paraId="384FEC65" w14:textId="77777777" w:rsidR="00B02C77" w:rsidRDefault="00B02C77" w:rsidP="00554974">
            <w:pPr>
              <w:spacing w:after="0"/>
              <w:ind w:left="50"/>
            </w:pPr>
            <w:r>
              <w:t>(0.0103)</w:t>
            </w:r>
          </w:p>
        </w:tc>
      </w:tr>
      <w:tr w:rsidR="00B02C77" w14:paraId="74E594AD" w14:textId="77777777" w:rsidTr="00554974">
        <w:trPr>
          <w:trHeight w:val="20"/>
        </w:trPr>
        <w:tc>
          <w:tcPr>
            <w:tcW w:w="3792" w:type="dxa"/>
            <w:tcBorders>
              <w:top w:val="single" w:sz="4" w:space="0" w:color="auto"/>
            </w:tcBorders>
          </w:tcPr>
          <w:p w14:paraId="668238A8" w14:textId="77777777" w:rsidR="00B02C77" w:rsidRDefault="00B02C77" w:rsidP="00554974">
            <w:pPr>
              <w:spacing w:after="0"/>
            </w:pPr>
            <w:r>
              <w:t>Industry-year FE</w:t>
            </w:r>
          </w:p>
        </w:tc>
        <w:tc>
          <w:tcPr>
            <w:tcW w:w="1221" w:type="dxa"/>
            <w:tcBorders>
              <w:top w:val="single" w:sz="4" w:space="0" w:color="auto"/>
            </w:tcBorders>
          </w:tcPr>
          <w:p w14:paraId="2CC46936" w14:textId="77777777" w:rsidR="00B02C77" w:rsidRDefault="00B02C77" w:rsidP="00554974">
            <w:pPr>
              <w:spacing w:after="0"/>
              <w:ind w:left="263"/>
            </w:pPr>
            <w:r>
              <w:t>NO</w:t>
            </w:r>
          </w:p>
        </w:tc>
        <w:tc>
          <w:tcPr>
            <w:tcW w:w="1208" w:type="dxa"/>
            <w:tcBorders>
              <w:top w:val="single" w:sz="4" w:space="0" w:color="auto"/>
            </w:tcBorders>
          </w:tcPr>
          <w:p w14:paraId="060510D7" w14:textId="77777777" w:rsidR="00B02C77" w:rsidRDefault="00B02C77" w:rsidP="00554974">
            <w:pPr>
              <w:spacing w:after="0"/>
              <w:ind w:left="206"/>
            </w:pPr>
            <w:r>
              <w:t>YES</w:t>
            </w:r>
          </w:p>
        </w:tc>
        <w:tc>
          <w:tcPr>
            <w:tcW w:w="1464" w:type="dxa"/>
            <w:tcBorders>
              <w:top w:val="single" w:sz="4" w:space="0" w:color="auto"/>
            </w:tcBorders>
          </w:tcPr>
          <w:p w14:paraId="0B63C1E1" w14:textId="77777777" w:rsidR="00B02C77" w:rsidRDefault="00B02C77" w:rsidP="00554974">
            <w:pPr>
              <w:spacing w:after="0"/>
              <w:ind w:left="252"/>
            </w:pPr>
            <w:r>
              <w:t>NO</w:t>
            </w:r>
          </w:p>
        </w:tc>
        <w:tc>
          <w:tcPr>
            <w:tcW w:w="1208" w:type="dxa"/>
            <w:tcBorders>
              <w:top w:val="single" w:sz="4" w:space="0" w:color="auto"/>
            </w:tcBorders>
          </w:tcPr>
          <w:p w14:paraId="0D1189F1" w14:textId="77777777" w:rsidR="00B02C77" w:rsidRDefault="00B02C77" w:rsidP="00554974">
            <w:pPr>
              <w:spacing w:after="0"/>
              <w:ind w:left="206"/>
            </w:pPr>
            <w:r>
              <w:t>YES</w:t>
            </w:r>
          </w:p>
        </w:tc>
      </w:tr>
      <w:tr w:rsidR="00B02C77" w14:paraId="5ADEAFEE" w14:textId="77777777" w:rsidTr="00554974">
        <w:trPr>
          <w:trHeight w:val="20"/>
        </w:trPr>
        <w:tc>
          <w:tcPr>
            <w:tcW w:w="3792" w:type="dxa"/>
          </w:tcPr>
          <w:p w14:paraId="26859E8B" w14:textId="77777777" w:rsidR="00B02C77" w:rsidRDefault="00B02C77" w:rsidP="00554974">
            <w:pPr>
              <w:spacing w:after="0"/>
            </w:pPr>
            <w:r>
              <w:t>Year FE</w:t>
            </w:r>
          </w:p>
        </w:tc>
        <w:tc>
          <w:tcPr>
            <w:tcW w:w="1221" w:type="dxa"/>
          </w:tcPr>
          <w:p w14:paraId="6F201156" w14:textId="77777777" w:rsidR="00B02C77" w:rsidRDefault="00B02C77" w:rsidP="00554974">
            <w:pPr>
              <w:spacing w:after="0"/>
              <w:ind w:left="217"/>
            </w:pPr>
            <w:r>
              <w:t>YES</w:t>
            </w:r>
          </w:p>
        </w:tc>
        <w:tc>
          <w:tcPr>
            <w:tcW w:w="1208" w:type="dxa"/>
          </w:tcPr>
          <w:p w14:paraId="3C45FE16" w14:textId="77777777" w:rsidR="00B02C77" w:rsidRDefault="00B02C77" w:rsidP="00554974">
            <w:pPr>
              <w:spacing w:after="0"/>
              <w:ind w:left="252"/>
            </w:pPr>
            <w:r>
              <w:t>NO</w:t>
            </w:r>
          </w:p>
        </w:tc>
        <w:tc>
          <w:tcPr>
            <w:tcW w:w="1464" w:type="dxa"/>
          </w:tcPr>
          <w:p w14:paraId="643176EB" w14:textId="77777777" w:rsidR="00B02C77" w:rsidRDefault="00B02C77" w:rsidP="00554974">
            <w:pPr>
              <w:spacing w:after="0"/>
              <w:ind w:left="206"/>
            </w:pPr>
            <w:r>
              <w:t>YES</w:t>
            </w:r>
          </w:p>
        </w:tc>
        <w:tc>
          <w:tcPr>
            <w:tcW w:w="1208" w:type="dxa"/>
          </w:tcPr>
          <w:p w14:paraId="58AC08E9" w14:textId="77777777" w:rsidR="00B02C77" w:rsidRDefault="00B02C77" w:rsidP="00554974">
            <w:pPr>
              <w:spacing w:after="0"/>
              <w:ind w:left="252"/>
            </w:pPr>
            <w:r>
              <w:t>NO</w:t>
            </w:r>
          </w:p>
        </w:tc>
      </w:tr>
      <w:tr w:rsidR="00B02C77" w14:paraId="0396639D" w14:textId="77777777" w:rsidTr="00554974">
        <w:trPr>
          <w:trHeight w:val="20"/>
        </w:trPr>
        <w:tc>
          <w:tcPr>
            <w:tcW w:w="3792" w:type="dxa"/>
          </w:tcPr>
          <w:p w14:paraId="2C101CC5" w14:textId="77777777" w:rsidR="00B02C77" w:rsidRDefault="00B02C77" w:rsidP="00554974">
            <w:pPr>
              <w:spacing w:after="0"/>
            </w:pPr>
            <w:r>
              <w:t>Pseudo R-square</w:t>
            </w:r>
          </w:p>
        </w:tc>
        <w:tc>
          <w:tcPr>
            <w:tcW w:w="1221" w:type="dxa"/>
          </w:tcPr>
          <w:p w14:paraId="012C8D35" w14:textId="77777777" w:rsidR="00B02C77" w:rsidRDefault="00B02C77" w:rsidP="00554974">
            <w:pPr>
              <w:spacing w:after="0"/>
              <w:ind w:left="238"/>
            </w:pPr>
            <w:r>
              <w:t>0.01</w:t>
            </w:r>
          </w:p>
        </w:tc>
        <w:tc>
          <w:tcPr>
            <w:tcW w:w="1208" w:type="dxa"/>
          </w:tcPr>
          <w:p w14:paraId="2531E35A" w14:textId="77777777" w:rsidR="00B02C77" w:rsidRDefault="00B02C77" w:rsidP="00554974">
            <w:pPr>
              <w:spacing w:after="0"/>
              <w:ind w:left="227"/>
            </w:pPr>
            <w:r>
              <w:t>0.03</w:t>
            </w:r>
          </w:p>
        </w:tc>
        <w:tc>
          <w:tcPr>
            <w:tcW w:w="1464" w:type="dxa"/>
          </w:tcPr>
          <w:p w14:paraId="05EBB6E9" w14:textId="77777777" w:rsidR="00B02C77" w:rsidRDefault="00B02C77" w:rsidP="00554974">
            <w:pPr>
              <w:spacing w:after="0"/>
              <w:ind w:left="227"/>
            </w:pPr>
            <w:r>
              <w:t>0.01</w:t>
            </w:r>
          </w:p>
        </w:tc>
        <w:tc>
          <w:tcPr>
            <w:tcW w:w="1208" w:type="dxa"/>
          </w:tcPr>
          <w:p w14:paraId="3ED4C500" w14:textId="77777777" w:rsidR="00B02C77" w:rsidRDefault="00B02C77" w:rsidP="00554974">
            <w:pPr>
              <w:spacing w:after="0"/>
              <w:ind w:left="227"/>
            </w:pPr>
            <w:r>
              <w:t>0.03</w:t>
            </w:r>
          </w:p>
        </w:tc>
      </w:tr>
      <w:tr w:rsidR="00B02C77" w14:paraId="50E5D9CA" w14:textId="77777777" w:rsidTr="00554974">
        <w:trPr>
          <w:trHeight w:val="20"/>
        </w:trPr>
        <w:tc>
          <w:tcPr>
            <w:tcW w:w="3792" w:type="dxa"/>
          </w:tcPr>
          <w:p w14:paraId="3B78284C" w14:textId="77777777" w:rsidR="00B02C77" w:rsidRDefault="00B02C77" w:rsidP="00554974">
            <w:pPr>
              <w:spacing w:after="0"/>
            </w:pPr>
            <w:r>
              <w:t>Observations</w:t>
            </w:r>
          </w:p>
        </w:tc>
        <w:tc>
          <w:tcPr>
            <w:tcW w:w="1221" w:type="dxa"/>
          </w:tcPr>
          <w:p w14:paraId="0BAEB02C" w14:textId="77777777" w:rsidR="00B02C77" w:rsidRDefault="00B02C77" w:rsidP="00554974">
            <w:pPr>
              <w:spacing w:after="0"/>
              <w:ind w:left="11"/>
            </w:pPr>
            <w:r>
              <w:t>2,353,497</w:t>
            </w:r>
          </w:p>
        </w:tc>
        <w:tc>
          <w:tcPr>
            <w:tcW w:w="1208" w:type="dxa"/>
          </w:tcPr>
          <w:p w14:paraId="47A9432D" w14:textId="77777777" w:rsidR="00B02C77" w:rsidRDefault="00B02C77" w:rsidP="00554974">
            <w:pPr>
              <w:spacing w:after="0"/>
            </w:pPr>
            <w:r>
              <w:t>2,353,367</w:t>
            </w:r>
          </w:p>
        </w:tc>
        <w:tc>
          <w:tcPr>
            <w:tcW w:w="1464" w:type="dxa"/>
          </w:tcPr>
          <w:p w14:paraId="43830238" w14:textId="77777777" w:rsidR="00B02C77" w:rsidRDefault="00B02C77" w:rsidP="00554974">
            <w:pPr>
              <w:spacing w:after="0"/>
            </w:pPr>
            <w:r>
              <w:t>2,353,497</w:t>
            </w:r>
          </w:p>
        </w:tc>
        <w:tc>
          <w:tcPr>
            <w:tcW w:w="1208" w:type="dxa"/>
          </w:tcPr>
          <w:p w14:paraId="13F8F543" w14:textId="77777777" w:rsidR="00B02C77" w:rsidRDefault="00B02C77" w:rsidP="00554974">
            <w:pPr>
              <w:spacing w:after="0"/>
            </w:pPr>
            <w:r>
              <w:t>2,353,367</w:t>
            </w:r>
          </w:p>
        </w:tc>
      </w:tr>
    </w:tbl>
    <w:p w14:paraId="1CE0FB0B" w14:textId="77777777" w:rsidR="00446CED" w:rsidRDefault="00446CED" w:rsidP="00B04C67">
      <w:pPr>
        <w:pStyle w:val="ChartorTableNote"/>
      </w:pPr>
      <w:r>
        <w:rPr>
          <w:rFonts w:eastAsia="Cambria"/>
        </w:rPr>
        <w:t>Note: standard errors are for the odds ratios not the coefficients from the logit model.</w:t>
      </w:r>
    </w:p>
    <w:p w14:paraId="1D5106AE" w14:textId="77777777" w:rsidR="00446CED" w:rsidRDefault="00446CED" w:rsidP="00A46351">
      <w:pPr>
        <w:pStyle w:val="Heading1Numbered"/>
      </w:pPr>
      <w:bookmarkStart w:id="31" w:name="_Toc211507343"/>
      <w:r>
        <w:t>Conclusion</w:t>
      </w:r>
      <w:bookmarkEnd w:id="31"/>
    </w:p>
    <w:p w14:paraId="487A0B2A" w14:textId="77777777" w:rsidR="00446CED" w:rsidRDefault="00446CED" w:rsidP="00A46351">
      <w:r>
        <w:t>Mergers and acquisition research in Australia has long been hampered by shortcomings in data availability. Previously available data sources have not had full financial details of the transacting parties, nor has it previously allowed linking with the employees in each of the firms.</w:t>
      </w:r>
    </w:p>
    <w:p w14:paraId="0D0B2ED1" w14:textId="77777777" w:rsidR="00446CED" w:rsidRDefault="00446CED" w:rsidP="00A46351">
      <w:r>
        <w:t>In this paper we present a methodology to create a database using linked administrative data. Using clusters of worker flows between firms, movements of clusters firms between tax consolidated groups, and details of firms lodging forms related to takeovers and schemes of arrangement, we find around 1,500 mergers a year.</w:t>
      </w:r>
    </w:p>
    <w:p w14:paraId="010FB244" w14:textId="710B6002" w:rsidR="00446CED" w:rsidRDefault="00446CED" w:rsidP="00682F8D">
      <w:r>
        <w:t xml:space="preserve">Using this new database we provide some valuable early insights into merger activity in Australia. We find that </w:t>
      </w:r>
      <w:r w:rsidR="001C4182">
        <w:t>t</w:t>
      </w:r>
      <w:r>
        <w:t xml:space="preserve">he likelihood of being an acquirer rises dramatically with size of the enterprise groups, and that very large firms have accounted for a large share of the increase in merger activity over the 2010s. Targets are most likely to be mid-sized, singleton firms with slightly higher profitability, slightly lower productivity, and a large number of patents. And serial acquisitions appear to be an important feature of the Australian M&amp;A landscape, and are </w:t>
      </w:r>
      <w:r w:rsidR="00F106FC">
        <w:t>particularly</w:t>
      </w:r>
      <w:r>
        <w:t xml:space="preserve"> prevalent in some high-profile industries like health and supermarkets.</w:t>
      </w:r>
    </w:p>
    <w:p w14:paraId="52367FDE" w14:textId="520CD4BB" w:rsidR="00B04C67" w:rsidRDefault="00446CED" w:rsidP="00682F8D">
      <w:r>
        <w:t>This is the first step in a rich field of future research in Australia and will allow researchers to answer questions including: what happens to workers of firms that merge; what subsequent financial and investment performance of merged firms looks like; and whether managerial quality makes a difference. The set of research questions that can be explored will also expand as new datasets are integrated into the data sharing ecosystem.</w:t>
      </w:r>
    </w:p>
    <w:p w14:paraId="5149FBC0" w14:textId="77777777" w:rsidR="00B04C67" w:rsidRDefault="00B04C67">
      <w:pPr>
        <w:spacing w:before="0" w:after="160" w:line="259" w:lineRule="auto"/>
      </w:pPr>
      <w:r>
        <w:br w:type="page"/>
      </w:r>
    </w:p>
    <w:p w14:paraId="0121CCD7" w14:textId="5AAE1DFF" w:rsidR="00F032F4" w:rsidRDefault="00F032F4" w:rsidP="00446CED">
      <w:pPr>
        <w:pStyle w:val="Heading1"/>
        <w:spacing w:after="0"/>
        <w:ind w:left="497" w:hanging="484"/>
      </w:pPr>
      <w:bookmarkStart w:id="32" w:name="_Toc211507344"/>
      <w:r>
        <w:t>Appendix A</w:t>
      </w:r>
      <w:bookmarkEnd w:id="32"/>
    </w:p>
    <w:p w14:paraId="0FD44517" w14:textId="0110EB5C" w:rsidR="00446CED" w:rsidRDefault="00446CED" w:rsidP="00F032F4">
      <w:pPr>
        <w:pStyle w:val="Heading2"/>
      </w:pPr>
      <w:bookmarkStart w:id="33" w:name="_Toc211507345"/>
      <w:r>
        <w:t>Administrative forms used to determine merger</w:t>
      </w:r>
      <w:bookmarkEnd w:id="33"/>
    </w:p>
    <w:p w14:paraId="066AB77B" w14:textId="470DA759" w:rsidR="00132717" w:rsidRPr="00132717" w:rsidRDefault="00132717" w:rsidP="00B1227F">
      <w:pPr>
        <w:pStyle w:val="TableMainHeading"/>
      </w:pPr>
      <w:bookmarkStart w:id="34" w:name="_Toc211507346"/>
      <w:r>
        <w:t>Table 7: Takeovers forms</w:t>
      </w:r>
      <w:bookmarkEnd w:id="34"/>
    </w:p>
    <w:tbl>
      <w:tblPr>
        <w:tblStyle w:val="TableGrid"/>
        <w:tblW w:w="5000" w:type="pct"/>
        <w:tblLook w:val="04A0" w:firstRow="1" w:lastRow="0" w:firstColumn="1" w:lastColumn="0" w:noHBand="0" w:noVBand="1"/>
      </w:tblPr>
      <w:tblGrid>
        <w:gridCol w:w="1110"/>
        <w:gridCol w:w="902"/>
        <w:gridCol w:w="5761"/>
        <w:gridCol w:w="1320"/>
      </w:tblGrid>
      <w:tr w:rsidR="00132717" w14:paraId="54E77E0B" w14:textId="77777777" w:rsidTr="00132717">
        <w:trPr>
          <w:cnfStyle w:val="100000000000" w:firstRow="1" w:lastRow="0" w:firstColumn="0" w:lastColumn="0" w:oddVBand="0" w:evenVBand="0" w:oddHBand="0" w:evenHBand="0" w:firstRowFirstColumn="0" w:firstRowLastColumn="0" w:lastRowFirstColumn="0" w:lastRowLastColumn="0"/>
          <w:trHeight w:val="374"/>
        </w:trPr>
        <w:tc>
          <w:tcPr>
            <w:tcW w:w="610" w:type="pct"/>
          </w:tcPr>
          <w:p w14:paraId="1F12F08D" w14:textId="3905C5C4" w:rsidR="00132717" w:rsidRDefault="00132717" w:rsidP="00021C78">
            <w:pPr>
              <w:tabs>
                <w:tab w:val="center" w:pos="1398"/>
                <w:tab w:val="center" w:pos="2417"/>
              </w:tabs>
              <w:spacing w:after="0" w:line="259" w:lineRule="auto"/>
            </w:pPr>
            <w:r>
              <w:t>Acquirer</w:t>
            </w:r>
          </w:p>
        </w:tc>
        <w:tc>
          <w:tcPr>
            <w:tcW w:w="496" w:type="pct"/>
          </w:tcPr>
          <w:p w14:paraId="613C444A" w14:textId="041A558B" w:rsidR="00132717" w:rsidRDefault="00132717" w:rsidP="00021C78">
            <w:pPr>
              <w:tabs>
                <w:tab w:val="center" w:pos="1398"/>
                <w:tab w:val="center" w:pos="2417"/>
              </w:tabs>
              <w:spacing w:after="0" w:line="259" w:lineRule="auto"/>
            </w:pPr>
            <w:r>
              <w:t>Target</w:t>
            </w:r>
          </w:p>
        </w:tc>
        <w:tc>
          <w:tcPr>
            <w:tcW w:w="3168" w:type="pct"/>
          </w:tcPr>
          <w:p w14:paraId="5D6B2F56" w14:textId="06D1D35F" w:rsidR="00132717" w:rsidRDefault="00132717" w:rsidP="00021C78">
            <w:pPr>
              <w:tabs>
                <w:tab w:val="center" w:pos="1398"/>
                <w:tab w:val="center" w:pos="2417"/>
              </w:tabs>
              <w:spacing w:after="0" w:line="259" w:lineRule="auto"/>
            </w:pPr>
            <w:r>
              <w:t>Form name</w:t>
            </w:r>
          </w:p>
        </w:tc>
        <w:tc>
          <w:tcPr>
            <w:tcW w:w="726" w:type="pct"/>
          </w:tcPr>
          <w:p w14:paraId="7403E7FB" w14:textId="77777777" w:rsidR="00132717" w:rsidRDefault="00132717" w:rsidP="00021C78">
            <w:pPr>
              <w:spacing w:after="0" w:line="259" w:lineRule="auto"/>
            </w:pPr>
            <w:r>
              <w:t>Form code</w:t>
            </w:r>
          </w:p>
        </w:tc>
      </w:tr>
      <w:tr w:rsidR="00132717" w14:paraId="15FC6B72" w14:textId="77777777" w:rsidTr="00132717">
        <w:trPr>
          <w:trHeight w:val="271"/>
        </w:trPr>
        <w:tc>
          <w:tcPr>
            <w:tcW w:w="5000" w:type="pct"/>
            <w:gridSpan w:val="4"/>
            <w:tcBorders>
              <w:bottom w:val="single" w:sz="4" w:space="0" w:color="auto"/>
            </w:tcBorders>
          </w:tcPr>
          <w:p w14:paraId="2E3A8491" w14:textId="7E20085E" w:rsidR="00132717" w:rsidRDefault="00132717" w:rsidP="00132717">
            <w:r>
              <w:rPr>
                <w:rFonts w:eastAsia="Cambria"/>
              </w:rPr>
              <w:t>Off market takeovers</w:t>
            </w:r>
          </w:p>
        </w:tc>
      </w:tr>
      <w:tr w:rsidR="00132717" w14:paraId="43E57781" w14:textId="77777777" w:rsidTr="00132717">
        <w:trPr>
          <w:trHeight w:val="237"/>
        </w:trPr>
        <w:tc>
          <w:tcPr>
            <w:tcW w:w="610" w:type="pct"/>
            <w:tcBorders>
              <w:top w:val="single" w:sz="4" w:space="0" w:color="auto"/>
            </w:tcBorders>
          </w:tcPr>
          <w:p w14:paraId="463546C9" w14:textId="0F031857" w:rsidR="00132717" w:rsidRDefault="00132717" w:rsidP="00021C78">
            <w:pPr>
              <w:tabs>
                <w:tab w:val="center" w:pos="496"/>
                <w:tab w:val="center" w:pos="2567"/>
              </w:tabs>
              <w:spacing w:after="0" w:line="259" w:lineRule="auto"/>
              <w:rPr>
                <w:rFonts w:ascii="Calibri" w:eastAsia="Calibri" w:hAnsi="Calibri" w:cs="Calibri"/>
              </w:rPr>
            </w:pPr>
            <w:r>
              <w:rPr>
                <w:rFonts w:ascii="Segoe UI Symbol" w:eastAsia="Calibri" w:hAnsi="Segoe UI Symbol" w:cs="Segoe UI Symbol"/>
              </w:rPr>
              <w:t>✓</w:t>
            </w:r>
          </w:p>
        </w:tc>
        <w:tc>
          <w:tcPr>
            <w:tcW w:w="496" w:type="pct"/>
            <w:tcBorders>
              <w:top w:val="single" w:sz="4" w:space="0" w:color="auto"/>
            </w:tcBorders>
          </w:tcPr>
          <w:p w14:paraId="325F38DB" w14:textId="29B60046" w:rsidR="00132717" w:rsidRDefault="00132717" w:rsidP="00021C78">
            <w:pPr>
              <w:tabs>
                <w:tab w:val="center" w:pos="496"/>
                <w:tab w:val="center" w:pos="2567"/>
              </w:tabs>
              <w:spacing w:after="0" w:line="259" w:lineRule="auto"/>
              <w:rPr>
                <w:rFonts w:ascii="Calibri" w:eastAsia="Calibri" w:hAnsi="Calibri" w:cs="Calibri"/>
              </w:rPr>
            </w:pPr>
          </w:p>
        </w:tc>
        <w:tc>
          <w:tcPr>
            <w:tcW w:w="3168" w:type="pct"/>
            <w:tcBorders>
              <w:top w:val="single" w:sz="4" w:space="0" w:color="auto"/>
            </w:tcBorders>
          </w:tcPr>
          <w:p w14:paraId="0FB2B3CF" w14:textId="2473FFA7" w:rsidR="00132717" w:rsidRDefault="00132717" w:rsidP="00021C78">
            <w:pPr>
              <w:tabs>
                <w:tab w:val="center" w:pos="496"/>
                <w:tab w:val="center" w:pos="2567"/>
              </w:tabs>
              <w:spacing w:after="0" w:line="259" w:lineRule="auto"/>
            </w:pPr>
            <w:r>
              <w:rPr>
                <w:rFonts w:ascii="Calibri" w:eastAsia="Calibri" w:hAnsi="Calibri" w:cs="Calibri"/>
              </w:rPr>
              <w:tab/>
            </w:r>
            <w:r>
              <w:t>Off market bid</w:t>
            </w:r>
          </w:p>
        </w:tc>
        <w:tc>
          <w:tcPr>
            <w:tcW w:w="726" w:type="pct"/>
            <w:tcBorders>
              <w:top w:val="single" w:sz="4" w:space="0" w:color="auto"/>
            </w:tcBorders>
          </w:tcPr>
          <w:p w14:paraId="55A8B2F0" w14:textId="77777777" w:rsidR="00132717" w:rsidRDefault="00132717" w:rsidP="00021C78">
            <w:pPr>
              <w:spacing w:after="0" w:line="259" w:lineRule="auto"/>
              <w:ind w:left="189"/>
            </w:pPr>
            <w:r>
              <w:t>6321B</w:t>
            </w:r>
          </w:p>
        </w:tc>
      </w:tr>
      <w:tr w:rsidR="00132717" w14:paraId="11886136" w14:textId="77777777" w:rsidTr="00132717">
        <w:trPr>
          <w:trHeight w:val="239"/>
        </w:trPr>
        <w:tc>
          <w:tcPr>
            <w:tcW w:w="610" w:type="pct"/>
          </w:tcPr>
          <w:p w14:paraId="081C031C" w14:textId="04C97469" w:rsidR="00132717" w:rsidRDefault="00132717" w:rsidP="00021C78">
            <w:pPr>
              <w:tabs>
                <w:tab w:val="center" w:pos="496"/>
                <w:tab w:val="center" w:pos="3641"/>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619DC3D5" w14:textId="04E96032" w:rsidR="00132717" w:rsidRDefault="00132717" w:rsidP="00021C78">
            <w:pPr>
              <w:tabs>
                <w:tab w:val="center" w:pos="496"/>
                <w:tab w:val="center" w:pos="3641"/>
              </w:tabs>
              <w:spacing w:after="0" w:line="259" w:lineRule="auto"/>
              <w:rPr>
                <w:rFonts w:ascii="Calibri" w:eastAsia="Calibri" w:hAnsi="Calibri" w:cs="Calibri"/>
              </w:rPr>
            </w:pPr>
          </w:p>
        </w:tc>
        <w:tc>
          <w:tcPr>
            <w:tcW w:w="3168" w:type="pct"/>
          </w:tcPr>
          <w:p w14:paraId="5526734B" w14:textId="19A70D58" w:rsidR="00132717" w:rsidRDefault="00132717" w:rsidP="00021C78">
            <w:pPr>
              <w:tabs>
                <w:tab w:val="center" w:pos="496"/>
                <w:tab w:val="center" w:pos="3641"/>
              </w:tabs>
              <w:spacing w:after="0" w:line="259" w:lineRule="auto"/>
            </w:pPr>
            <w:r>
              <w:rPr>
                <w:rFonts w:ascii="Calibri" w:eastAsia="Calibri" w:hAnsi="Calibri" w:cs="Calibri"/>
              </w:rPr>
              <w:tab/>
            </w:r>
            <w:r>
              <w:t>Bidder statement and offer - off market</w:t>
            </w:r>
          </w:p>
        </w:tc>
        <w:tc>
          <w:tcPr>
            <w:tcW w:w="726" w:type="pct"/>
          </w:tcPr>
          <w:p w14:paraId="3F21DF82" w14:textId="77777777" w:rsidR="00132717" w:rsidRDefault="00132717" w:rsidP="00021C78">
            <w:pPr>
              <w:spacing w:after="0" w:line="259" w:lineRule="auto"/>
              <w:ind w:left="259"/>
            </w:pPr>
            <w:r>
              <w:t>6181</w:t>
            </w:r>
          </w:p>
        </w:tc>
      </w:tr>
      <w:tr w:rsidR="00132717" w14:paraId="270574AC" w14:textId="77777777" w:rsidTr="00132717">
        <w:trPr>
          <w:trHeight w:val="239"/>
        </w:trPr>
        <w:tc>
          <w:tcPr>
            <w:tcW w:w="610" w:type="pct"/>
          </w:tcPr>
          <w:p w14:paraId="38E43BDA" w14:textId="77777777" w:rsidR="00132717" w:rsidRDefault="00132717" w:rsidP="00021C78">
            <w:pPr>
              <w:spacing w:after="0" w:line="259" w:lineRule="auto"/>
              <w:ind w:left="1315"/>
              <w:rPr>
                <w:rFonts w:ascii="Segoe UI Symbol" w:eastAsia="Calibri" w:hAnsi="Segoe UI Symbol" w:cs="Segoe UI Symbol"/>
              </w:rPr>
            </w:pPr>
          </w:p>
        </w:tc>
        <w:tc>
          <w:tcPr>
            <w:tcW w:w="496" w:type="pct"/>
          </w:tcPr>
          <w:p w14:paraId="3A942035" w14:textId="046087D0" w:rsidR="00132717" w:rsidRDefault="00132717" w:rsidP="00132717">
            <w:pPr>
              <w:spacing w:after="0" w:line="259" w:lineRule="auto"/>
              <w:rPr>
                <w:rFonts w:ascii="Segoe UI Symbol" w:eastAsia="Calibri" w:hAnsi="Segoe UI Symbol" w:cs="Segoe UI Symbol"/>
              </w:rPr>
            </w:pPr>
            <w:r>
              <w:rPr>
                <w:rFonts w:ascii="Segoe UI Symbol" w:eastAsia="Calibri" w:hAnsi="Segoe UI Symbol" w:cs="Segoe UI Symbol"/>
              </w:rPr>
              <w:t>✓</w:t>
            </w:r>
          </w:p>
        </w:tc>
        <w:tc>
          <w:tcPr>
            <w:tcW w:w="3168" w:type="pct"/>
          </w:tcPr>
          <w:p w14:paraId="38060612" w14:textId="75FF7E56" w:rsidR="00132717" w:rsidRDefault="00132717" w:rsidP="00132717">
            <w:pPr>
              <w:spacing w:after="0" w:line="259" w:lineRule="auto"/>
            </w:pPr>
            <w:r>
              <w:t>Target statement and report - off market</w:t>
            </w:r>
          </w:p>
        </w:tc>
        <w:tc>
          <w:tcPr>
            <w:tcW w:w="726" w:type="pct"/>
          </w:tcPr>
          <w:p w14:paraId="5A23B5E2" w14:textId="77777777" w:rsidR="00132717" w:rsidRDefault="00132717" w:rsidP="00021C78">
            <w:pPr>
              <w:spacing w:after="0" w:line="259" w:lineRule="auto"/>
              <w:ind w:left="259"/>
            </w:pPr>
            <w:r>
              <w:t>6211</w:t>
            </w:r>
          </w:p>
        </w:tc>
      </w:tr>
      <w:tr w:rsidR="00132717" w14:paraId="1E6A04C0" w14:textId="77777777" w:rsidTr="00132717">
        <w:trPr>
          <w:trHeight w:val="239"/>
        </w:trPr>
        <w:tc>
          <w:tcPr>
            <w:tcW w:w="610" w:type="pct"/>
          </w:tcPr>
          <w:p w14:paraId="6AF47C00" w14:textId="0646EED6" w:rsidR="00132717" w:rsidRDefault="00132717" w:rsidP="00021C78">
            <w:pPr>
              <w:tabs>
                <w:tab w:val="center" w:pos="496"/>
                <w:tab w:val="center" w:pos="4139"/>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3EB66B88" w14:textId="26D8EC78" w:rsidR="00132717" w:rsidRDefault="00132717" w:rsidP="00021C78">
            <w:pPr>
              <w:tabs>
                <w:tab w:val="center" w:pos="496"/>
                <w:tab w:val="center" w:pos="4139"/>
              </w:tabs>
              <w:spacing w:after="0" w:line="259" w:lineRule="auto"/>
              <w:rPr>
                <w:rFonts w:ascii="Calibri" w:eastAsia="Calibri" w:hAnsi="Calibri" w:cs="Calibri"/>
              </w:rPr>
            </w:pPr>
          </w:p>
        </w:tc>
        <w:tc>
          <w:tcPr>
            <w:tcW w:w="3168" w:type="pct"/>
          </w:tcPr>
          <w:p w14:paraId="1759AE99" w14:textId="30351B30" w:rsidR="00132717" w:rsidRDefault="00132717" w:rsidP="00021C78">
            <w:pPr>
              <w:tabs>
                <w:tab w:val="center" w:pos="496"/>
                <w:tab w:val="center" w:pos="4139"/>
              </w:tabs>
              <w:spacing w:after="0" w:line="259" w:lineRule="auto"/>
            </w:pPr>
            <w:r>
              <w:t>Notice of service of bidder’s statement - off market</w:t>
            </w:r>
          </w:p>
        </w:tc>
        <w:tc>
          <w:tcPr>
            <w:tcW w:w="726" w:type="pct"/>
          </w:tcPr>
          <w:p w14:paraId="668BDB54" w14:textId="77777777" w:rsidR="00132717" w:rsidRDefault="00132717" w:rsidP="00021C78">
            <w:pPr>
              <w:spacing w:after="0" w:line="259" w:lineRule="auto"/>
              <w:ind w:left="259"/>
            </w:pPr>
            <w:r>
              <w:t>6011</w:t>
            </w:r>
          </w:p>
        </w:tc>
      </w:tr>
      <w:tr w:rsidR="00132717" w14:paraId="6735DEF9" w14:textId="77777777" w:rsidTr="00132717">
        <w:trPr>
          <w:trHeight w:val="239"/>
        </w:trPr>
        <w:tc>
          <w:tcPr>
            <w:tcW w:w="610" w:type="pct"/>
          </w:tcPr>
          <w:p w14:paraId="5960634C" w14:textId="6A454B07" w:rsidR="00132717" w:rsidRDefault="00132717" w:rsidP="00021C78">
            <w:pPr>
              <w:tabs>
                <w:tab w:val="center" w:pos="496"/>
                <w:tab w:val="center" w:pos="4296"/>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26235D8A" w14:textId="404605FC" w:rsidR="00132717" w:rsidRDefault="00132717" w:rsidP="00021C78">
            <w:pPr>
              <w:tabs>
                <w:tab w:val="center" w:pos="496"/>
                <w:tab w:val="center" w:pos="4296"/>
              </w:tabs>
              <w:spacing w:after="0" w:line="259" w:lineRule="auto"/>
              <w:rPr>
                <w:rFonts w:ascii="Calibri" w:eastAsia="Calibri" w:hAnsi="Calibri" w:cs="Calibri"/>
              </w:rPr>
            </w:pPr>
          </w:p>
        </w:tc>
        <w:tc>
          <w:tcPr>
            <w:tcW w:w="3168" w:type="pct"/>
          </w:tcPr>
          <w:p w14:paraId="64450E6B" w14:textId="0060C587" w:rsidR="00132717" w:rsidRDefault="00132717" w:rsidP="00021C78">
            <w:pPr>
              <w:tabs>
                <w:tab w:val="center" w:pos="496"/>
                <w:tab w:val="center" w:pos="4296"/>
              </w:tabs>
              <w:spacing w:after="0" w:line="259" w:lineRule="auto"/>
            </w:pPr>
            <w:r>
              <w:t>Notice that takeover offers have been sent - off market</w:t>
            </w:r>
          </w:p>
        </w:tc>
        <w:tc>
          <w:tcPr>
            <w:tcW w:w="726" w:type="pct"/>
          </w:tcPr>
          <w:p w14:paraId="48470273" w14:textId="77777777" w:rsidR="00132717" w:rsidRDefault="00132717" w:rsidP="00021C78">
            <w:pPr>
              <w:spacing w:after="0" w:line="259" w:lineRule="auto"/>
              <w:ind w:left="259"/>
            </w:pPr>
            <w:r>
              <w:t>6201</w:t>
            </w:r>
          </w:p>
        </w:tc>
      </w:tr>
      <w:tr w:rsidR="00132717" w14:paraId="0FC3F342" w14:textId="77777777" w:rsidTr="00132717">
        <w:trPr>
          <w:trHeight w:val="239"/>
        </w:trPr>
        <w:tc>
          <w:tcPr>
            <w:tcW w:w="610" w:type="pct"/>
          </w:tcPr>
          <w:p w14:paraId="3E3217C9" w14:textId="7F5C29B9" w:rsidR="00132717" w:rsidRDefault="00132717" w:rsidP="00021C78">
            <w:pPr>
              <w:tabs>
                <w:tab w:val="center" w:pos="496"/>
                <w:tab w:val="center" w:pos="3629"/>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6013BAEC" w14:textId="61CE30C6" w:rsidR="00132717" w:rsidRDefault="00132717" w:rsidP="00021C78">
            <w:pPr>
              <w:tabs>
                <w:tab w:val="center" w:pos="496"/>
                <w:tab w:val="center" w:pos="3629"/>
              </w:tabs>
              <w:spacing w:after="0" w:line="259" w:lineRule="auto"/>
              <w:rPr>
                <w:rFonts w:ascii="Calibri" w:eastAsia="Calibri" w:hAnsi="Calibri" w:cs="Calibri"/>
              </w:rPr>
            </w:pPr>
          </w:p>
        </w:tc>
        <w:tc>
          <w:tcPr>
            <w:tcW w:w="3168" w:type="pct"/>
          </w:tcPr>
          <w:p w14:paraId="18B7F790" w14:textId="1B866B4A" w:rsidR="00132717" w:rsidRDefault="00132717" w:rsidP="00021C78">
            <w:pPr>
              <w:tabs>
                <w:tab w:val="center" w:pos="496"/>
                <w:tab w:val="center" w:pos="3629"/>
              </w:tabs>
              <w:spacing w:after="0" w:line="259" w:lineRule="auto"/>
            </w:pPr>
            <w:r>
              <w:t>Notice of status of defeating conditions</w:t>
            </w:r>
          </w:p>
        </w:tc>
        <w:tc>
          <w:tcPr>
            <w:tcW w:w="726" w:type="pct"/>
          </w:tcPr>
          <w:p w14:paraId="64A10183" w14:textId="77777777" w:rsidR="00132717" w:rsidRDefault="00132717" w:rsidP="00021C78">
            <w:pPr>
              <w:spacing w:after="0" w:line="259" w:lineRule="auto"/>
              <w:ind w:left="309"/>
            </w:pPr>
            <w:r>
              <w:t>672</w:t>
            </w:r>
          </w:p>
        </w:tc>
      </w:tr>
      <w:tr w:rsidR="00132717" w14:paraId="4D788E6A" w14:textId="77777777" w:rsidTr="00132717">
        <w:trPr>
          <w:trHeight w:val="239"/>
        </w:trPr>
        <w:tc>
          <w:tcPr>
            <w:tcW w:w="610" w:type="pct"/>
          </w:tcPr>
          <w:p w14:paraId="555BBFE9" w14:textId="0DB9AAC7" w:rsidR="00132717" w:rsidRDefault="00132717" w:rsidP="00021C78">
            <w:pPr>
              <w:tabs>
                <w:tab w:val="center" w:pos="496"/>
                <w:tab w:val="center" w:pos="3834"/>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6B4F0AAC" w14:textId="22C75D87" w:rsidR="00132717" w:rsidRDefault="00132717" w:rsidP="00021C78">
            <w:pPr>
              <w:tabs>
                <w:tab w:val="center" w:pos="496"/>
                <w:tab w:val="center" w:pos="3834"/>
              </w:tabs>
              <w:spacing w:after="0" w:line="259" w:lineRule="auto"/>
              <w:rPr>
                <w:rFonts w:ascii="Calibri" w:eastAsia="Calibri" w:hAnsi="Calibri" w:cs="Calibri"/>
              </w:rPr>
            </w:pPr>
          </w:p>
        </w:tc>
        <w:tc>
          <w:tcPr>
            <w:tcW w:w="3168" w:type="pct"/>
          </w:tcPr>
          <w:p w14:paraId="6B57D755" w14:textId="0ECEC5E9" w:rsidR="00132717" w:rsidRDefault="00132717" w:rsidP="00021C78">
            <w:pPr>
              <w:tabs>
                <w:tab w:val="center" w:pos="496"/>
                <w:tab w:val="center" w:pos="3834"/>
              </w:tabs>
              <w:spacing w:after="0" w:line="259" w:lineRule="auto"/>
            </w:pPr>
            <w:r>
              <w:t>Defeating condition near end of offer period</w:t>
            </w:r>
          </w:p>
        </w:tc>
        <w:tc>
          <w:tcPr>
            <w:tcW w:w="726" w:type="pct"/>
          </w:tcPr>
          <w:p w14:paraId="23ECC61A" w14:textId="77777777" w:rsidR="00132717" w:rsidRDefault="00132717" w:rsidP="00021C78">
            <w:pPr>
              <w:spacing w:after="0" w:line="259" w:lineRule="auto"/>
              <w:ind w:left="238"/>
            </w:pPr>
            <w:r>
              <w:t>672B</w:t>
            </w:r>
          </w:p>
        </w:tc>
      </w:tr>
      <w:tr w:rsidR="00132717" w14:paraId="1143927D" w14:textId="77777777" w:rsidTr="00132717">
        <w:trPr>
          <w:trHeight w:val="239"/>
        </w:trPr>
        <w:tc>
          <w:tcPr>
            <w:tcW w:w="610" w:type="pct"/>
          </w:tcPr>
          <w:p w14:paraId="555E290E" w14:textId="26D93E7B" w:rsidR="00132717" w:rsidRDefault="00132717" w:rsidP="00021C78">
            <w:pPr>
              <w:tabs>
                <w:tab w:val="center" w:pos="496"/>
                <w:tab w:val="center" w:pos="3133"/>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4A5A01F6" w14:textId="3BDE2C81" w:rsidR="00132717" w:rsidRDefault="00132717" w:rsidP="00021C78">
            <w:pPr>
              <w:tabs>
                <w:tab w:val="center" w:pos="496"/>
                <w:tab w:val="center" w:pos="3133"/>
              </w:tabs>
              <w:spacing w:after="0" w:line="259" w:lineRule="auto"/>
              <w:rPr>
                <w:rFonts w:ascii="Calibri" w:eastAsia="Calibri" w:hAnsi="Calibri" w:cs="Calibri"/>
              </w:rPr>
            </w:pPr>
          </w:p>
        </w:tc>
        <w:tc>
          <w:tcPr>
            <w:tcW w:w="3168" w:type="pct"/>
          </w:tcPr>
          <w:p w14:paraId="24FC507A" w14:textId="2D8B3D35" w:rsidR="00132717" w:rsidRDefault="00132717" w:rsidP="00021C78">
            <w:pPr>
              <w:tabs>
                <w:tab w:val="center" w:pos="496"/>
                <w:tab w:val="center" w:pos="3133"/>
              </w:tabs>
              <w:spacing w:after="0" w:line="259" w:lineRule="auto"/>
            </w:pPr>
            <w:r>
              <w:t>Defeating condition fulfilled</w:t>
            </w:r>
          </w:p>
        </w:tc>
        <w:tc>
          <w:tcPr>
            <w:tcW w:w="726" w:type="pct"/>
          </w:tcPr>
          <w:p w14:paraId="7EA8153C" w14:textId="77777777" w:rsidR="00132717" w:rsidRDefault="00132717" w:rsidP="00021C78">
            <w:pPr>
              <w:spacing w:after="0" w:line="259" w:lineRule="auto"/>
              <w:ind w:left="234"/>
            </w:pPr>
            <w:r>
              <w:t>672A</w:t>
            </w:r>
          </w:p>
        </w:tc>
      </w:tr>
      <w:tr w:rsidR="00132717" w14:paraId="66EF04BC" w14:textId="77777777" w:rsidTr="00132717">
        <w:trPr>
          <w:trHeight w:val="239"/>
        </w:trPr>
        <w:tc>
          <w:tcPr>
            <w:tcW w:w="610" w:type="pct"/>
          </w:tcPr>
          <w:p w14:paraId="4889DE9B" w14:textId="773EB246" w:rsidR="00132717" w:rsidRDefault="00132717" w:rsidP="00021C78">
            <w:pPr>
              <w:tabs>
                <w:tab w:val="center" w:pos="496"/>
                <w:tab w:val="center" w:pos="4353"/>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6FF823F3" w14:textId="1859CFE9" w:rsidR="00132717" w:rsidRDefault="00132717" w:rsidP="00021C78">
            <w:pPr>
              <w:tabs>
                <w:tab w:val="center" w:pos="496"/>
                <w:tab w:val="center" w:pos="4353"/>
              </w:tabs>
              <w:spacing w:after="0" w:line="259" w:lineRule="auto"/>
              <w:rPr>
                <w:rFonts w:ascii="Calibri" w:eastAsia="Calibri" w:hAnsi="Calibri" w:cs="Calibri"/>
              </w:rPr>
            </w:pPr>
          </w:p>
        </w:tc>
        <w:tc>
          <w:tcPr>
            <w:tcW w:w="3168" w:type="pct"/>
          </w:tcPr>
          <w:p w14:paraId="68578A44" w14:textId="51B7F19F" w:rsidR="00132717" w:rsidRDefault="00132717" w:rsidP="00021C78">
            <w:pPr>
              <w:tabs>
                <w:tab w:val="center" w:pos="496"/>
                <w:tab w:val="center" w:pos="4353"/>
              </w:tabs>
              <w:spacing w:after="0" w:line="259" w:lineRule="auto"/>
            </w:pPr>
            <w:r>
              <w:t>Notice offers free of defeating condition - off market bid</w:t>
            </w:r>
          </w:p>
        </w:tc>
        <w:tc>
          <w:tcPr>
            <w:tcW w:w="726" w:type="pct"/>
          </w:tcPr>
          <w:p w14:paraId="01605023" w14:textId="77777777" w:rsidR="00132717" w:rsidRDefault="00132717" w:rsidP="00021C78">
            <w:pPr>
              <w:spacing w:after="0" w:line="259" w:lineRule="auto"/>
              <w:ind w:left="259"/>
            </w:pPr>
            <w:r>
              <w:t>6261</w:t>
            </w:r>
          </w:p>
        </w:tc>
      </w:tr>
      <w:tr w:rsidR="00132717" w14:paraId="1ECC01AB" w14:textId="77777777" w:rsidTr="00132717">
        <w:trPr>
          <w:trHeight w:val="284"/>
        </w:trPr>
        <w:tc>
          <w:tcPr>
            <w:tcW w:w="610" w:type="pct"/>
          </w:tcPr>
          <w:p w14:paraId="34111589" w14:textId="3B4A0D1C" w:rsidR="00132717" w:rsidRDefault="00132717" w:rsidP="00021C78">
            <w:pPr>
              <w:tabs>
                <w:tab w:val="center" w:pos="496"/>
                <w:tab w:val="right" w:pos="7416"/>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07B61D40" w14:textId="6C2DCCA7" w:rsidR="00132717" w:rsidRDefault="00132717" w:rsidP="00021C78">
            <w:pPr>
              <w:tabs>
                <w:tab w:val="center" w:pos="496"/>
                <w:tab w:val="right" w:pos="7416"/>
              </w:tabs>
              <w:spacing w:after="0" w:line="259" w:lineRule="auto"/>
              <w:rPr>
                <w:rFonts w:ascii="Calibri" w:eastAsia="Calibri" w:hAnsi="Calibri" w:cs="Calibri"/>
              </w:rPr>
            </w:pPr>
          </w:p>
        </w:tc>
        <w:tc>
          <w:tcPr>
            <w:tcW w:w="3168" w:type="pct"/>
          </w:tcPr>
          <w:p w14:paraId="7A959F13" w14:textId="18BD32A9" w:rsidR="00132717" w:rsidRDefault="00132717" w:rsidP="00021C78">
            <w:pPr>
              <w:tabs>
                <w:tab w:val="center" w:pos="496"/>
                <w:tab w:val="right" w:pos="7416"/>
              </w:tabs>
              <w:spacing w:after="0" w:line="259" w:lineRule="auto"/>
            </w:pPr>
            <w:r>
              <w:t>Notice date set for determining securities holders - off market</w:t>
            </w:r>
          </w:p>
        </w:tc>
        <w:tc>
          <w:tcPr>
            <w:tcW w:w="726" w:type="pct"/>
          </w:tcPr>
          <w:p w14:paraId="59048E18" w14:textId="77777777" w:rsidR="00132717" w:rsidRDefault="00132717" w:rsidP="00021C78">
            <w:pPr>
              <w:spacing w:after="0" w:line="259" w:lineRule="auto"/>
              <w:ind w:left="309"/>
            </w:pPr>
            <w:r>
              <w:t>670</w:t>
            </w:r>
          </w:p>
        </w:tc>
      </w:tr>
      <w:tr w:rsidR="00132717" w14:paraId="69494BBD" w14:textId="77777777" w:rsidTr="00132717">
        <w:trPr>
          <w:trHeight w:val="304"/>
        </w:trPr>
        <w:tc>
          <w:tcPr>
            <w:tcW w:w="4274" w:type="pct"/>
            <w:gridSpan w:val="3"/>
            <w:tcBorders>
              <w:bottom w:val="single" w:sz="4" w:space="0" w:color="auto"/>
            </w:tcBorders>
          </w:tcPr>
          <w:p w14:paraId="1368B386" w14:textId="708CC437" w:rsidR="00132717" w:rsidRDefault="00132717" w:rsidP="00132717">
            <w:r>
              <w:rPr>
                <w:rFonts w:eastAsia="Cambria"/>
              </w:rPr>
              <w:t>On market takeovers</w:t>
            </w:r>
          </w:p>
        </w:tc>
        <w:tc>
          <w:tcPr>
            <w:tcW w:w="726" w:type="pct"/>
          </w:tcPr>
          <w:p w14:paraId="32BBCA36" w14:textId="77777777" w:rsidR="00132717" w:rsidRDefault="00132717" w:rsidP="00021C78">
            <w:pPr>
              <w:spacing w:after="160" w:line="259" w:lineRule="auto"/>
            </w:pPr>
          </w:p>
        </w:tc>
      </w:tr>
      <w:tr w:rsidR="00132717" w14:paraId="1F8A0001" w14:textId="77777777" w:rsidTr="00132717">
        <w:trPr>
          <w:trHeight w:val="237"/>
        </w:trPr>
        <w:tc>
          <w:tcPr>
            <w:tcW w:w="610" w:type="pct"/>
            <w:tcBorders>
              <w:top w:val="single" w:sz="4" w:space="0" w:color="auto"/>
            </w:tcBorders>
          </w:tcPr>
          <w:p w14:paraId="22301048" w14:textId="22E5B162" w:rsidR="00132717" w:rsidRDefault="00132717" w:rsidP="00021C78">
            <w:pPr>
              <w:tabs>
                <w:tab w:val="center" w:pos="496"/>
                <w:tab w:val="center" w:pos="2407"/>
              </w:tabs>
              <w:spacing w:after="0" w:line="259" w:lineRule="auto"/>
              <w:rPr>
                <w:rFonts w:ascii="Calibri" w:eastAsia="Calibri" w:hAnsi="Calibri" w:cs="Calibri"/>
              </w:rPr>
            </w:pPr>
            <w:r>
              <w:rPr>
                <w:rFonts w:ascii="Segoe UI Symbol" w:eastAsia="Calibri" w:hAnsi="Segoe UI Symbol" w:cs="Segoe UI Symbol"/>
              </w:rPr>
              <w:t>✓</w:t>
            </w:r>
          </w:p>
        </w:tc>
        <w:tc>
          <w:tcPr>
            <w:tcW w:w="496" w:type="pct"/>
            <w:tcBorders>
              <w:top w:val="single" w:sz="4" w:space="0" w:color="auto"/>
            </w:tcBorders>
          </w:tcPr>
          <w:p w14:paraId="1DF2B422" w14:textId="12C4C7C2" w:rsidR="00132717" w:rsidRDefault="00132717" w:rsidP="00021C78">
            <w:pPr>
              <w:tabs>
                <w:tab w:val="center" w:pos="496"/>
                <w:tab w:val="center" w:pos="2407"/>
              </w:tabs>
              <w:spacing w:after="0" w:line="259" w:lineRule="auto"/>
              <w:rPr>
                <w:rFonts w:ascii="Calibri" w:eastAsia="Calibri" w:hAnsi="Calibri" w:cs="Calibri"/>
              </w:rPr>
            </w:pPr>
          </w:p>
        </w:tc>
        <w:tc>
          <w:tcPr>
            <w:tcW w:w="3168" w:type="pct"/>
            <w:tcBorders>
              <w:top w:val="single" w:sz="4" w:space="0" w:color="auto"/>
            </w:tcBorders>
          </w:tcPr>
          <w:p w14:paraId="3BEB6E7F" w14:textId="2D4D4554" w:rsidR="00132717" w:rsidRDefault="00132717" w:rsidP="00021C78">
            <w:pPr>
              <w:tabs>
                <w:tab w:val="center" w:pos="496"/>
                <w:tab w:val="center" w:pos="2407"/>
              </w:tabs>
              <w:spacing w:after="0" w:line="259" w:lineRule="auto"/>
            </w:pPr>
            <w:r>
              <w:t>Market bid</w:t>
            </w:r>
          </w:p>
        </w:tc>
        <w:tc>
          <w:tcPr>
            <w:tcW w:w="726" w:type="pct"/>
          </w:tcPr>
          <w:p w14:paraId="51FAD9FF" w14:textId="77777777" w:rsidR="00132717" w:rsidRDefault="00132717" w:rsidP="00021C78">
            <w:pPr>
              <w:spacing w:after="0" w:line="259" w:lineRule="auto"/>
              <w:ind w:left="184"/>
            </w:pPr>
            <w:r>
              <w:t>6321A</w:t>
            </w:r>
          </w:p>
        </w:tc>
      </w:tr>
      <w:tr w:rsidR="00132717" w14:paraId="1A3AEEC4" w14:textId="77777777" w:rsidTr="00132717">
        <w:trPr>
          <w:trHeight w:val="239"/>
        </w:trPr>
        <w:tc>
          <w:tcPr>
            <w:tcW w:w="610" w:type="pct"/>
          </w:tcPr>
          <w:p w14:paraId="33A84770" w14:textId="60D2B7A5" w:rsidR="00132717" w:rsidRDefault="00132717" w:rsidP="00021C78">
            <w:pPr>
              <w:tabs>
                <w:tab w:val="center" w:pos="496"/>
                <w:tab w:val="center" w:pos="4214"/>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1640C6C6" w14:textId="28ED537A" w:rsidR="00132717" w:rsidRDefault="00132717" w:rsidP="00021C78">
            <w:pPr>
              <w:tabs>
                <w:tab w:val="center" w:pos="496"/>
                <w:tab w:val="center" w:pos="4214"/>
              </w:tabs>
              <w:spacing w:after="0" w:line="259" w:lineRule="auto"/>
              <w:rPr>
                <w:rFonts w:ascii="Calibri" w:eastAsia="Calibri" w:hAnsi="Calibri" w:cs="Calibri"/>
              </w:rPr>
            </w:pPr>
          </w:p>
        </w:tc>
        <w:tc>
          <w:tcPr>
            <w:tcW w:w="3168" w:type="pct"/>
          </w:tcPr>
          <w:p w14:paraId="0C2EDD37" w14:textId="08696962" w:rsidR="00132717" w:rsidRDefault="00132717" w:rsidP="00021C78">
            <w:pPr>
              <w:tabs>
                <w:tab w:val="center" w:pos="496"/>
                <w:tab w:val="center" w:pos="4214"/>
              </w:tabs>
              <w:spacing w:after="0" w:line="259" w:lineRule="auto"/>
            </w:pPr>
            <w:r>
              <w:t>Takeover bidders statement &amp; docs sent to exchange</w:t>
            </w:r>
          </w:p>
        </w:tc>
        <w:tc>
          <w:tcPr>
            <w:tcW w:w="726" w:type="pct"/>
          </w:tcPr>
          <w:p w14:paraId="7CE938F4" w14:textId="77777777" w:rsidR="00132717" w:rsidRDefault="00132717" w:rsidP="00021C78">
            <w:pPr>
              <w:spacing w:after="0" w:line="259" w:lineRule="auto"/>
              <w:ind w:left="259"/>
            </w:pPr>
            <w:r>
              <w:t>6291</w:t>
            </w:r>
          </w:p>
        </w:tc>
      </w:tr>
      <w:tr w:rsidR="00132717" w14:paraId="4A5E1B9E" w14:textId="77777777" w:rsidTr="00132717">
        <w:trPr>
          <w:trHeight w:val="239"/>
        </w:trPr>
        <w:tc>
          <w:tcPr>
            <w:tcW w:w="610" w:type="pct"/>
          </w:tcPr>
          <w:p w14:paraId="1D3CBF95" w14:textId="0EDC13E1" w:rsidR="00132717" w:rsidRDefault="00132717" w:rsidP="00021C78">
            <w:pPr>
              <w:tabs>
                <w:tab w:val="center" w:pos="496"/>
                <w:tab w:val="center" w:pos="3709"/>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488D787E" w14:textId="59C95E8A" w:rsidR="00132717" w:rsidRDefault="00132717" w:rsidP="00021C78">
            <w:pPr>
              <w:tabs>
                <w:tab w:val="center" w:pos="496"/>
                <w:tab w:val="center" w:pos="3709"/>
              </w:tabs>
              <w:spacing w:after="0" w:line="259" w:lineRule="auto"/>
              <w:rPr>
                <w:rFonts w:ascii="Calibri" w:eastAsia="Calibri" w:hAnsi="Calibri" w:cs="Calibri"/>
              </w:rPr>
            </w:pPr>
          </w:p>
        </w:tc>
        <w:tc>
          <w:tcPr>
            <w:tcW w:w="3168" w:type="pct"/>
          </w:tcPr>
          <w:p w14:paraId="61E68E12" w14:textId="4EFC7B1D" w:rsidR="00132717" w:rsidRDefault="00132717" w:rsidP="00021C78">
            <w:pPr>
              <w:tabs>
                <w:tab w:val="center" w:pos="496"/>
                <w:tab w:val="center" w:pos="3709"/>
              </w:tabs>
              <w:spacing w:after="0" w:line="259" w:lineRule="auto"/>
            </w:pPr>
            <w:r>
              <w:t>Target statement and report - on market</w:t>
            </w:r>
          </w:p>
        </w:tc>
        <w:tc>
          <w:tcPr>
            <w:tcW w:w="726" w:type="pct"/>
          </w:tcPr>
          <w:p w14:paraId="64E54392" w14:textId="77777777" w:rsidR="00132717" w:rsidRDefault="00132717" w:rsidP="00021C78">
            <w:pPr>
              <w:spacing w:after="0" w:line="259" w:lineRule="auto"/>
              <w:ind w:left="259"/>
            </w:pPr>
            <w:r>
              <w:t>6331</w:t>
            </w:r>
          </w:p>
        </w:tc>
      </w:tr>
      <w:tr w:rsidR="00132717" w14:paraId="3D2F175B" w14:textId="77777777" w:rsidTr="00132717">
        <w:trPr>
          <w:trHeight w:val="287"/>
        </w:trPr>
        <w:tc>
          <w:tcPr>
            <w:tcW w:w="610" w:type="pct"/>
          </w:tcPr>
          <w:p w14:paraId="7B542EAE" w14:textId="2BF35789" w:rsidR="00132717" w:rsidRDefault="00132717" w:rsidP="00021C78">
            <w:pPr>
              <w:tabs>
                <w:tab w:val="center" w:pos="496"/>
                <w:tab w:val="center" w:pos="4543"/>
              </w:tabs>
              <w:spacing w:after="0" w:line="259" w:lineRule="auto"/>
              <w:rPr>
                <w:rFonts w:ascii="Calibri" w:eastAsia="Calibri" w:hAnsi="Calibri" w:cs="Calibri"/>
              </w:rPr>
            </w:pPr>
            <w:r>
              <w:rPr>
                <w:rFonts w:ascii="Segoe UI Symbol" w:eastAsia="Calibri" w:hAnsi="Segoe UI Symbol" w:cs="Segoe UI Symbol"/>
              </w:rPr>
              <w:t>✓</w:t>
            </w:r>
          </w:p>
        </w:tc>
        <w:tc>
          <w:tcPr>
            <w:tcW w:w="496" w:type="pct"/>
          </w:tcPr>
          <w:p w14:paraId="19DC7972" w14:textId="3E8E7CBD" w:rsidR="00132717" w:rsidRDefault="00132717" w:rsidP="00021C78">
            <w:pPr>
              <w:tabs>
                <w:tab w:val="center" w:pos="496"/>
                <w:tab w:val="center" w:pos="4543"/>
              </w:tabs>
              <w:spacing w:after="0" w:line="259" w:lineRule="auto"/>
              <w:rPr>
                <w:rFonts w:ascii="Calibri" w:eastAsia="Calibri" w:hAnsi="Calibri" w:cs="Calibri"/>
              </w:rPr>
            </w:pPr>
          </w:p>
        </w:tc>
        <w:tc>
          <w:tcPr>
            <w:tcW w:w="3168" w:type="pct"/>
          </w:tcPr>
          <w:p w14:paraId="1756659A" w14:textId="470BEF50" w:rsidR="00132717" w:rsidRDefault="00132717" w:rsidP="00021C78">
            <w:pPr>
              <w:tabs>
                <w:tab w:val="center" w:pos="496"/>
                <w:tab w:val="center" w:pos="4543"/>
              </w:tabs>
              <w:spacing w:after="0" w:line="259" w:lineRule="auto"/>
            </w:pPr>
            <w:r>
              <w:t>Document accompanying bidders statement - on market bid</w:t>
            </w:r>
          </w:p>
        </w:tc>
        <w:tc>
          <w:tcPr>
            <w:tcW w:w="726" w:type="pct"/>
          </w:tcPr>
          <w:p w14:paraId="68847951" w14:textId="77777777" w:rsidR="00132717" w:rsidRDefault="00132717" w:rsidP="00021C78">
            <w:pPr>
              <w:spacing w:after="0" w:line="259" w:lineRule="auto"/>
              <w:ind w:left="259"/>
            </w:pPr>
            <w:r>
              <w:t>6301</w:t>
            </w:r>
          </w:p>
        </w:tc>
      </w:tr>
    </w:tbl>
    <w:p w14:paraId="529FCC5C" w14:textId="4E0BB87E" w:rsidR="00446CED" w:rsidRDefault="00132717" w:rsidP="00B04C67">
      <w:pPr>
        <w:pStyle w:val="TableMainHeading"/>
      </w:pPr>
      <w:bookmarkStart w:id="35" w:name="_Toc211507347"/>
      <w:r>
        <w:t>Table 8: Takeovers forms - additional</w:t>
      </w:r>
      <w:bookmarkEnd w:id="35"/>
    </w:p>
    <w:tbl>
      <w:tblPr>
        <w:tblStyle w:val="TableGrid"/>
        <w:tblW w:w="5000" w:type="pct"/>
        <w:tblLook w:val="04A0" w:firstRow="1" w:lastRow="0" w:firstColumn="1" w:lastColumn="0" w:noHBand="0" w:noVBand="1"/>
      </w:tblPr>
      <w:tblGrid>
        <w:gridCol w:w="904"/>
        <w:gridCol w:w="735"/>
        <w:gridCol w:w="6396"/>
        <w:gridCol w:w="1058"/>
      </w:tblGrid>
      <w:tr w:rsidR="00132717" w14:paraId="12A1E3DF" w14:textId="77777777" w:rsidTr="00132717">
        <w:trPr>
          <w:cnfStyle w:val="100000000000" w:firstRow="1" w:lastRow="0" w:firstColumn="0" w:lastColumn="0" w:oddVBand="0" w:evenVBand="0" w:oddHBand="0" w:evenHBand="0" w:firstRowFirstColumn="0" w:firstRowLastColumn="0" w:lastRowFirstColumn="0" w:lastRowLastColumn="0"/>
          <w:trHeight w:val="374"/>
        </w:trPr>
        <w:tc>
          <w:tcPr>
            <w:tcW w:w="491" w:type="pct"/>
          </w:tcPr>
          <w:p w14:paraId="1C58D8E9" w14:textId="2E05AEC2" w:rsidR="00132717" w:rsidRDefault="00132717" w:rsidP="00021C78">
            <w:pPr>
              <w:tabs>
                <w:tab w:val="center" w:pos="1580"/>
                <w:tab w:val="center" w:pos="2964"/>
              </w:tabs>
              <w:spacing w:after="0" w:line="259" w:lineRule="auto"/>
            </w:pPr>
            <w:r>
              <w:t>Acquirer</w:t>
            </w:r>
          </w:p>
        </w:tc>
        <w:tc>
          <w:tcPr>
            <w:tcW w:w="399" w:type="pct"/>
          </w:tcPr>
          <w:p w14:paraId="4552C006" w14:textId="707313D0" w:rsidR="00132717" w:rsidRDefault="00132717" w:rsidP="00021C78">
            <w:pPr>
              <w:tabs>
                <w:tab w:val="center" w:pos="1580"/>
                <w:tab w:val="center" w:pos="2964"/>
              </w:tabs>
              <w:spacing w:after="0" w:line="259" w:lineRule="auto"/>
            </w:pPr>
            <w:r>
              <w:t>Target</w:t>
            </w:r>
          </w:p>
        </w:tc>
        <w:tc>
          <w:tcPr>
            <w:tcW w:w="3523" w:type="pct"/>
          </w:tcPr>
          <w:p w14:paraId="576FB824" w14:textId="09CC0787" w:rsidR="00132717" w:rsidRDefault="00132717" w:rsidP="00021C78">
            <w:pPr>
              <w:tabs>
                <w:tab w:val="center" w:pos="1580"/>
                <w:tab w:val="center" w:pos="2964"/>
              </w:tabs>
              <w:spacing w:after="0" w:line="259" w:lineRule="auto"/>
            </w:pPr>
            <w:r>
              <w:t>Form name</w:t>
            </w:r>
          </w:p>
        </w:tc>
        <w:tc>
          <w:tcPr>
            <w:tcW w:w="586" w:type="pct"/>
          </w:tcPr>
          <w:p w14:paraId="73F82B4B" w14:textId="77777777" w:rsidR="00132717" w:rsidRDefault="00132717" w:rsidP="00021C78">
            <w:pPr>
              <w:spacing w:after="0" w:line="259" w:lineRule="auto"/>
            </w:pPr>
            <w:r>
              <w:t>Form code</w:t>
            </w:r>
          </w:p>
        </w:tc>
      </w:tr>
      <w:tr w:rsidR="00132717" w14:paraId="616939B3" w14:textId="77777777" w:rsidTr="00132717">
        <w:trPr>
          <w:trHeight w:val="271"/>
        </w:trPr>
        <w:tc>
          <w:tcPr>
            <w:tcW w:w="5000" w:type="pct"/>
            <w:gridSpan w:val="4"/>
            <w:tcBorders>
              <w:bottom w:val="single" w:sz="4" w:space="0" w:color="auto"/>
            </w:tcBorders>
          </w:tcPr>
          <w:p w14:paraId="54B93D15" w14:textId="0A11C934" w:rsidR="00132717" w:rsidRDefault="00132717" w:rsidP="00132717">
            <w:r>
              <w:rPr>
                <w:rFonts w:eastAsia="Cambria"/>
              </w:rPr>
              <w:t>Compulsory acquisitions</w:t>
            </w:r>
          </w:p>
        </w:tc>
      </w:tr>
      <w:tr w:rsidR="00132717" w14:paraId="5650D494" w14:textId="77777777" w:rsidTr="00132717">
        <w:trPr>
          <w:trHeight w:val="237"/>
        </w:trPr>
        <w:tc>
          <w:tcPr>
            <w:tcW w:w="491" w:type="pct"/>
            <w:tcBorders>
              <w:top w:val="single" w:sz="4" w:space="0" w:color="auto"/>
            </w:tcBorders>
          </w:tcPr>
          <w:p w14:paraId="3E8189EE" w14:textId="78693903" w:rsidR="00132717" w:rsidRDefault="00132717" w:rsidP="00021C78">
            <w:pPr>
              <w:tabs>
                <w:tab w:val="center" w:pos="4882"/>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Borders>
              <w:top w:val="single" w:sz="4" w:space="0" w:color="auto"/>
            </w:tcBorders>
          </w:tcPr>
          <w:p w14:paraId="07DCEBD5" w14:textId="4EC0336C" w:rsidR="00132717" w:rsidRDefault="00132717" w:rsidP="00021C78">
            <w:pPr>
              <w:tabs>
                <w:tab w:val="center" w:pos="4882"/>
              </w:tabs>
              <w:spacing w:after="0" w:line="259" w:lineRule="auto"/>
              <w:rPr>
                <w:rFonts w:ascii="Segoe UI Symbol" w:eastAsia="Calibri" w:hAnsi="Segoe UI Symbol" w:cs="Segoe UI Symbol"/>
              </w:rPr>
            </w:pPr>
          </w:p>
        </w:tc>
        <w:tc>
          <w:tcPr>
            <w:tcW w:w="3523" w:type="pct"/>
            <w:tcBorders>
              <w:top w:val="single" w:sz="4" w:space="0" w:color="auto"/>
            </w:tcBorders>
          </w:tcPr>
          <w:p w14:paraId="1CD77786" w14:textId="6DB00811" w:rsidR="00132717" w:rsidRDefault="00132717" w:rsidP="00021C78">
            <w:pPr>
              <w:tabs>
                <w:tab w:val="center" w:pos="4882"/>
              </w:tabs>
              <w:spacing w:after="0" w:line="259" w:lineRule="auto"/>
            </w:pPr>
            <w:r>
              <w:t>Notice of compulsory acquisition following takeover bid</w:t>
            </w:r>
          </w:p>
        </w:tc>
        <w:tc>
          <w:tcPr>
            <w:tcW w:w="586" w:type="pct"/>
            <w:tcBorders>
              <w:top w:val="single" w:sz="4" w:space="0" w:color="auto"/>
            </w:tcBorders>
          </w:tcPr>
          <w:p w14:paraId="11110DF3" w14:textId="77777777" w:rsidR="00132717" w:rsidRDefault="00132717" w:rsidP="00021C78">
            <w:pPr>
              <w:spacing w:after="0" w:line="259" w:lineRule="auto"/>
            </w:pPr>
            <w:r>
              <w:t>6021</w:t>
            </w:r>
          </w:p>
        </w:tc>
      </w:tr>
      <w:tr w:rsidR="00132717" w14:paraId="5AF61F7D" w14:textId="77777777" w:rsidTr="00132717">
        <w:trPr>
          <w:trHeight w:val="451"/>
        </w:trPr>
        <w:tc>
          <w:tcPr>
            <w:tcW w:w="491" w:type="pct"/>
          </w:tcPr>
          <w:p w14:paraId="1B8BC7C3" w14:textId="77BD2FEF" w:rsidR="00132717" w:rsidRDefault="00132717" w:rsidP="00132717">
            <w:pPr>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331E3F80" w14:textId="0A95452F" w:rsidR="00132717" w:rsidRDefault="00132717" w:rsidP="00021C78">
            <w:pPr>
              <w:spacing w:after="0" w:line="259" w:lineRule="auto"/>
              <w:ind w:left="2470" w:hanging="2350"/>
              <w:rPr>
                <w:rFonts w:ascii="Segoe UI Symbol" w:eastAsia="Calibri" w:hAnsi="Segoe UI Symbol" w:cs="Segoe UI Symbol"/>
              </w:rPr>
            </w:pPr>
          </w:p>
        </w:tc>
        <w:tc>
          <w:tcPr>
            <w:tcW w:w="3523" w:type="pct"/>
          </w:tcPr>
          <w:p w14:paraId="75F81F88" w14:textId="153269AB" w:rsidR="00132717" w:rsidRDefault="00132717" w:rsidP="00132717">
            <w:pPr>
              <w:spacing w:after="0" w:line="259" w:lineRule="auto"/>
            </w:pPr>
            <w:r>
              <w:t>Notice of right of buy out to remaining holder of securities following a takeover bid</w:t>
            </w:r>
          </w:p>
        </w:tc>
        <w:tc>
          <w:tcPr>
            <w:tcW w:w="586" w:type="pct"/>
          </w:tcPr>
          <w:p w14:paraId="4ADEA894" w14:textId="77777777" w:rsidR="00132717" w:rsidRDefault="00132717" w:rsidP="00021C78">
            <w:pPr>
              <w:spacing w:after="0" w:line="259" w:lineRule="auto"/>
            </w:pPr>
            <w:r>
              <w:t>6022</w:t>
            </w:r>
          </w:p>
        </w:tc>
      </w:tr>
      <w:tr w:rsidR="00132717" w14:paraId="35200C9D" w14:textId="77777777" w:rsidTr="00132717">
        <w:trPr>
          <w:trHeight w:val="515"/>
        </w:trPr>
        <w:tc>
          <w:tcPr>
            <w:tcW w:w="491" w:type="pct"/>
          </w:tcPr>
          <w:p w14:paraId="7D6D96F3" w14:textId="2FE4C9CE" w:rsidR="00132717" w:rsidRDefault="00132717" w:rsidP="00132717">
            <w:pPr>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2F269AAB" w14:textId="5C7B3358" w:rsidR="00132717" w:rsidRDefault="00132717" w:rsidP="00021C78">
            <w:pPr>
              <w:spacing w:after="0" w:line="259" w:lineRule="auto"/>
              <w:ind w:left="2470" w:hanging="2350"/>
              <w:rPr>
                <w:rFonts w:ascii="Segoe UI Symbol" w:eastAsia="Calibri" w:hAnsi="Segoe UI Symbol" w:cs="Segoe UI Symbol"/>
              </w:rPr>
            </w:pPr>
          </w:p>
        </w:tc>
        <w:tc>
          <w:tcPr>
            <w:tcW w:w="3523" w:type="pct"/>
          </w:tcPr>
          <w:p w14:paraId="2F22E391" w14:textId="4A0C7167" w:rsidR="00132717" w:rsidRDefault="00132717" w:rsidP="00132717">
            <w:pPr>
              <w:spacing w:after="0" w:line="259" w:lineRule="auto"/>
            </w:pPr>
            <w:r>
              <w:t>Notice of right of buy out to holders of convertible securities following a takeover bid</w:t>
            </w:r>
          </w:p>
        </w:tc>
        <w:tc>
          <w:tcPr>
            <w:tcW w:w="586" w:type="pct"/>
          </w:tcPr>
          <w:p w14:paraId="6880ED64" w14:textId="77777777" w:rsidR="00132717" w:rsidRDefault="00132717" w:rsidP="00021C78">
            <w:pPr>
              <w:spacing w:after="0" w:line="259" w:lineRule="auto"/>
            </w:pPr>
            <w:r>
              <w:t>6023</w:t>
            </w:r>
          </w:p>
        </w:tc>
      </w:tr>
      <w:tr w:rsidR="00132717" w14:paraId="073E9F22" w14:textId="77777777" w:rsidTr="00132717">
        <w:trPr>
          <w:trHeight w:val="247"/>
        </w:trPr>
        <w:tc>
          <w:tcPr>
            <w:tcW w:w="5000" w:type="pct"/>
            <w:gridSpan w:val="4"/>
            <w:tcBorders>
              <w:bottom w:val="single" w:sz="4" w:space="0" w:color="auto"/>
            </w:tcBorders>
          </w:tcPr>
          <w:p w14:paraId="31A7A3AB" w14:textId="0C5D2DBB" w:rsidR="00132717" w:rsidRDefault="00132717" w:rsidP="00132717">
            <w:r>
              <w:rPr>
                <w:rFonts w:eastAsia="Cambria"/>
              </w:rPr>
              <w:t>Additional statements</w:t>
            </w:r>
          </w:p>
        </w:tc>
      </w:tr>
      <w:tr w:rsidR="00132717" w14:paraId="46765025" w14:textId="77777777" w:rsidTr="00132717">
        <w:trPr>
          <w:trHeight w:val="237"/>
        </w:trPr>
        <w:tc>
          <w:tcPr>
            <w:tcW w:w="491" w:type="pct"/>
            <w:tcBorders>
              <w:top w:val="single" w:sz="4" w:space="0" w:color="auto"/>
            </w:tcBorders>
          </w:tcPr>
          <w:p w14:paraId="24F2ACD3" w14:textId="771E9F8D" w:rsidR="00132717" w:rsidRDefault="00132717" w:rsidP="00021C78">
            <w:pPr>
              <w:tabs>
                <w:tab w:val="center" w:pos="1378"/>
                <w:tab w:val="center" w:pos="4270"/>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Borders>
              <w:top w:val="single" w:sz="4" w:space="0" w:color="auto"/>
            </w:tcBorders>
          </w:tcPr>
          <w:p w14:paraId="3539CFB3" w14:textId="6CDBDB82" w:rsidR="00132717" w:rsidRDefault="00132717" w:rsidP="00021C78">
            <w:pPr>
              <w:tabs>
                <w:tab w:val="center" w:pos="1378"/>
                <w:tab w:val="center" w:pos="4270"/>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523" w:type="pct"/>
            <w:tcBorders>
              <w:top w:val="single" w:sz="4" w:space="0" w:color="auto"/>
            </w:tcBorders>
          </w:tcPr>
          <w:p w14:paraId="086B7DD3" w14:textId="5A6763AB" w:rsidR="00132717" w:rsidRDefault="00132717" w:rsidP="00021C78">
            <w:pPr>
              <w:tabs>
                <w:tab w:val="center" w:pos="1378"/>
                <w:tab w:val="center" w:pos="4270"/>
              </w:tabs>
              <w:spacing w:after="0" w:line="259" w:lineRule="auto"/>
            </w:pPr>
            <w:r>
              <w:t>Supplementary statement re takeover bid</w:t>
            </w:r>
          </w:p>
        </w:tc>
        <w:tc>
          <w:tcPr>
            <w:tcW w:w="586" w:type="pct"/>
            <w:tcBorders>
              <w:top w:val="single" w:sz="4" w:space="0" w:color="auto"/>
            </w:tcBorders>
          </w:tcPr>
          <w:p w14:paraId="1EC6AA0C" w14:textId="77777777" w:rsidR="00132717" w:rsidRDefault="00132717" w:rsidP="00021C78">
            <w:pPr>
              <w:spacing w:after="0" w:line="259" w:lineRule="auto"/>
            </w:pPr>
            <w:r>
              <w:t>675</w:t>
            </w:r>
          </w:p>
        </w:tc>
      </w:tr>
      <w:tr w:rsidR="00132717" w14:paraId="5B3D8B82" w14:textId="77777777" w:rsidTr="00132717">
        <w:trPr>
          <w:trHeight w:val="239"/>
        </w:trPr>
        <w:tc>
          <w:tcPr>
            <w:tcW w:w="491" w:type="pct"/>
          </w:tcPr>
          <w:p w14:paraId="10B0F913" w14:textId="4980EAA9" w:rsidR="00132717" w:rsidRDefault="00132717" w:rsidP="00021C78">
            <w:pPr>
              <w:tabs>
                <w:tab w:val="center" w:pos="3962"/>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44EE9DFA" w14:textId="0CDCE103" w:rsidR="00132717" w:rsidRDefault="00132717" w:rsidP="00021C78">
            <w:pPr>
              <w:tabs>
                <w:tab w:val="center" w:pos="3962"/>
              </w:tabs>
              <w:spacing w:after="0" w:line="259" w:lineRule="auto"/>
              <w:rPr>
                <w:rFonts w:ascii="Segoe UI Symbol" w:eastAsia="Calibri" w:hAnsi="Segoe UI Symbol" w:cs="Segoe UI Symbol"/>
              </w:rPr>
            </w:pPr>
          </w:p>
        </w:tc>
        <w:tc>
          <w:tcPr>
            <w:tcW w:w="3523" w:type="pct"/>
          </w:tcPr>
          <w:p w14:paraId="43ED87B6" w14:textId="4B677C80" w:rsidR="00132717" w:rsidRDefault="00132717" w:rsidP="00021C78">
            <w:pPr>
              <w:tabs>
                <w:tab w:val="center" w:pos="3962"/>
              </w:tabs>
              <w:spacing w:after="0" w:line="259" w:lineRule="auto"/>
            </w:pPr>
            <w:r>
              <w:t>Bidder’s supplementary statement</w:t>
            </w:r>
          </w:p>
        </w:tc>
        <w:tc>
          <w:tcPr>
            <w:tcW w:w="586" w:type="pct"/>
          </w:tcPr>
          <w:p w14:paraId="0A7C3D04" w14:textId="77777777" w:rsidR="00132717" w:rsidRDefault="00132717" w:rsidP="00021C78">
            <w:pPr>
              <w:spacing w:after="0" w:line="259" w:lineRule="auto"/>
            </w:pPr>
            <w:r>
              <w:t>675A</w:t>
            </w:r>
          </w:p>
        </w:tc>
      </w:tr>
      <w:tr w:rsidR="00132717" w14:paraId="3386B3A5" w14:textId="77777777" w:rsidTr="00132717">
        <w:trPr>
          <w:trHeight w:val="239"/>
        </w:trPr>
        <w:tc>
          <w:tcPr>
            <w:tcW w:w="491" w:type="pct"/>
          </w:tcPr>
          <w:p w14:paraId="47D8FD57" w14:textId="77777777" w:rsidR="00132717" w:rsidRDefault="00132717" w:rsidP="00021C78">
            <w:pPr>
              <w:tabs>
                <w:tab w:val="center" w:pos="1378"/>
                <w:tab w:val="center" w:pos="3955"/>
              </w:tabs>
              <w:spacing w:after="0" w:line="259" w:lineRule="auto"/>
              <w:rPr>
                <w:rFonts w:ascii="Calibri" w:eastAsia="Calibri" w:hAnsi="Calibri" w:cs="Calibri"/>
              </w:rPr>
            </w:pPr>
          </w:p>
        </w:tc>
        <w:tc>
          <w:tcPr>
            <w:tcW w:w="399" w:type="pct"/>
          </w:tcPr>
          <w:p w14:paraId="5FBAC3A3" w14:textId="39AD0EE3" w:rsidR="00132717" w:rsidRDefault="00132717" w:rsidP="00021C78">
            <w:pPr>
              <w:tabs>
                <w:tab w:val="center" w:pos="1378"/>
                <w:tab w:val="center" w:pos="3955"/>
              </w:tabs>
              <w:spacing w:after="0" w:line="259" w:lineRule="auto"/>
              <w:rPr>
                <w:rFonts w:ascii="Calibri" w:eastAsia="Calibri" w:hAnsi="Calibri" w:cs="Calibri"/>
              </w:rPr>
            </w:pPr>
            <w:r>
              <w:rPr>
                <w:rFonts w:ascii="Segoe UI Symbol" w:eastAsia="Calibri" w:hAnsi="Segoe UI Symbol" w:cs="Segoe UI Symbol"/>
              </w:rPr>
              <w:t>✓</w:t>
            </w:r>
          </w:p>
        </w:tc>
        <w:tc>
          <w:tcPr>
            <w:tcW w:w="3523" w:type="pct"/>
          </w:tcPr>
          <w:p w14:paraId="631DD7E3" w14:textId="4443F80C" w:rsidR="00132717" w:rsidRDefault="00132717" w:rsidP="00021C78">
            <w:pPr>
              <w:tabs>
                <w:tab w:val="center" w:pos="1378"/>
                <w:tab w:val="center" w:pos="3955"/>
              </w:tabs>
              <w:spacing w:after="0" w:line="259" w:lineRule="auto"/>
            </w:pPr>
            <w:r>
              <w:t>Target’s supplementary statement</w:t>
            </w:r>
          </w:p>
        </w:tc>
        <w:tc>
          <w:tcPr>
            <w:tcW w:w="586" w:type="pct"/>
          </w:tcPr>
          <w:p w14:paraId="0AEFFB41" w14:textId="77777777" w:rsidR="00132717" w:rsidRDefault="00132717" w:rsidP="00021C78">
            <w:pPr>
              <w:spacing w:after="0" w:line="259" w:lineRule="auto"/>
            </w:pPr>
            <w:r>
              <w:t>675B</w:t>
            </w:r>
          </w:p>
        </w:tc>
      </w:tr>
      <w:tr w:rsidR="00132717" w14:paraId="68A318F8" w14:textId="77777777" w:rsidTr="00132717">
        <w:trPr>
          <w:trHeight w:val="239"/>
        </w:trPr>
        <w:tc>
          <w:tcPr>
            <w:tcW w:w="491" w:type="pct"/>
          </w:tcPr>
          <w:p w14:paraId="2D3EE1FB" w14:textId="71B7268A" w:rsidR="00132717" w:rsidRDefault="00132717" w:rsidP="00021C78">
            <w:pPr>
              <w:tabs>
                <w:tab w:val="center" w:pos="3800"/>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0861D4E6" w14:textId="6A7BDFA0" w:rsidR="00132717" w:rsidRDefault="00132717" w:rsidP="00021C78">
            <w:pPr>
              <w:tabs>
                <w:tab w:val="center" w:pos="3800"/>
              </w:tabs>
              <w:spacing w:after="0" w:line="259" w:lineRule="auto"/>
              <w:rPr>
                <w:rFonts w:ascii="Segoe UI Symbol" w:eastAsia="Calibri" w:hAnsi="Segoe UI Symbol" w:cs="Segoe UI Symbol"/>
              </w:rPr>
            </w:pPr>
          </w:p>
        </w:tc>
        <w:tc>
          <w:tcPr>
            <w:tcW w:w="3523" w:type="pct"/>
          </w:tcPr>
          <w:p w14:paraId="51A6A246" w14:textId="7E8FBC9F" w:rsidR="00132717" w:rsidRDefault="00132717" w:rsidP="00021C78">
            <w:pPr>
              <w:tabs>
                <w:tab w:val="center" w:pos="3800"/>
              </w:tabs>
              <w:spacing w:after="0" w:line="259" w:lineRule="auto"/>
            </w:pPr>
            <w:r>
              <w:t>Replacement bidder statement</w:t>
            </w:r>
          </w:p>
        </w:tc>
        <w:tc>
          <w:tcPr>
            <w:tcW w:w="586" w:type="pct"/>
          </w:tcPr>
          <w:p w14:paraId="00AC2F66" w14:textId="77777777" w:rsidR="00132717" w:rsidRDefault="00132717" w:rsidP="00021C78">
            <w:pPr>
              <w:spacing w:after="0" w:line="259" w:lineRule="auto"/>
            </w:pPr>
            <w:r>
              <w:t>675C</w:t>
            </w:r>
          </w:p>
        </w:tc>
      </w:tr>
      <w:tr w:rsidR="00132717" w14:paraId="13DE0F05" w14:textId="77777777" w:rsidTr="00132717">
        <w:trPr>
          <w:trHeight w:val="239"/>
        </w:trPr>
        <w:tc>
          <w:tcPr>
            <w:tcW w:w="491" w:type="pct"/>
          </w:tcPr>
          <w:p w14:paraId="48977DBC" w14:textId="1A4E7179" w:rsidR="00132717" w:rsidRDefault="00132717" w:rsidP="00021C78">
            <w:pPr>
              <w:tabs>
                <w:tab w:val="center" w:pos="4299"/>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7858BB62" w14:textId="60702064" w:rsidR="00132717" w:rsidRDefault="00132717" w:rsidP="00021C78">
            <w:pPr>
              <w:tabs>
                <w:tab w:val="center" w:pos="4299"/>
              </w:tabs>
              <w:spacing w:after="0" w:line="259" w:lineRule="auto"/>
              <w:rPr>
                <w:rFonts w:ascii="Segoe UI Symbol" w:eastAsia="Calibri" w:hAnsi="Segoe UI Symbol" w:cs="Segoe UI Symbol"/>
              </w:rPr>
            </w:pPr>
          </w:p>
        </w:tc>
        <w:tc>
          <w:tcPr>
            <w:tcW w:w="3523" w:type="pct"/>
          </w:tcPr>
          <w:p w14:paraId="5401D5C9" w14:textId="6B441EEA" w:rsidR="00132717" w:rsidRDefault="00132717" w:rsidP="00021C78">
            <w:pPr>
              <w:tabs>
                <w:tab w:val="center" w:pos="4299"/>
              </w:tabs>
              <w:spacing w:after="0" w:line="259" w:lineRule="auto"/>
            </w:pPr>
            <w:r>
              <w:t>Replacement bidder statement marked up</w:t>
            </w:r>
          </w:p>
        </w:tc>
        <w:tc>
          <w:tcPr>
            <w:tcW w:w="586" w:type="pct"/>
          </w:tcPr>
          <w:p w14:paraId="65735057" w14:textId="77777777" w:rsidR="00132717" w:rsidRDefault="00132717" w:rsidP="00021C78">
            <w:pPr>
              <w:spacing w:after="0" w:line="259" w:lineRule="auto"/>
            </w:pPr>
            <w:r>
              <w:t>675D</w:t>
            </w:r>
          </w:p>
        </w:tc>
      </w:tr>
      <w:tr w:rsidR="00132717" w14:paraId="5C5D5771" w14:textId="77777777" w:rsidTr="00132717">
        <w:trPr>
          <w:trHeight w:val="239"/>
        </w:trPr>
        <w:tc>
          <w:tcPr>
            <w:tcW w:w="491" w:type="pct"/>
          </w:tcPr>
          <w:p w14:paraId="29DADA98" w14:textId="4E63F3D1" w:rsidR="00132717" w:rsidRDefault="00132717" w:rsidP="00021C78">
            <w:pPr>
              <w:tabs>
                <w:tab w:val="center" w:pos="1378"/>
                <w:tab w:val="center" w:pos="4742"/>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1275B30A" w14:textId="3F20E1CC" w:rsidR="00132717" w:rsidRDefault="00132717" w:rsidP="00021C78">
            <w:pPr>
              <w:tabs>
                <w:tab w:val="center" w:pos="1378"/>
                <w:tab w:val="center" w:pos="4742"/>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523" w:type="pct"/>
          </w:tcPr>
          <w:p w14:paraId="48F2FE7E" w14:textId="2F62DA4A" w:rsidR="00132717" w:rsidRDefault="00132717" w:rsidP="00021C78">
            <w:pPr>
              <w:tabs>
                <w:tab w:val="center" w:pos="1378"/>
                <w:tab w:val="center" w:pos="4742"/>
              </w:tabs>
              <w:spacing w:after="0" w:line="259" w:lineRule="auto"/>
            </w:pPr>
            <w:r>
              <w:t>Court order re proportional takeover in constitution</w:t>
            </w:r>
          </w:p>
        </w:tc>
        <w:tc>
          <w:tcPr>
            <w:tcW w:w="586" w:type="pct"/>
          </w:tcPr>
          <w:p w14:paraId="2D1A1326" w14:textId="77777777" w:rsidR="00132717" w:rsidRDefault="00132717" w:rsidP="00021C78">
            <w:pPr>
              <w:spacing w:after="0" w:line="259" w:lineRule="auto"/>
            </w:pPr>
            <w:r>
              <w:t>6271</w:t>
            </w:r>
          </w:p>
        </w:tc>
      </w:tr>
      <w:tr w:rsidR="00132717" w14:paraId="325AA738" w14:textId="77777777" w:rsidTr="00132717">
        <w:trPr>
          <w:trHeight w:val="239"/>
        </w:trPr>
        <w:tc>
          <w:tcPr>
            <w:tcW w:w="491" w:type="pct"/>
          </w:tcPr>
          <w:p w14:paraId="54E1CCD0" w14:textId="6B8D6FFD" w:rsidR="00132717" w:rsidRDefault="00132717" w:rsidP="00021C78">
            <w:pPr>
              <w:tabs>
                <w:tab w:val="center" w:pos="4018"/>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7A3CA2C6" w14:textId="4C00C712" w:rsidR="00132717" w:rsidRDefault="00132717" w:rsidP="00021C78">
            <w:pPr>
              <w:tabs>
                <w:tab w:val="center" w:pos="4018"/>
              </w:tabs>
              <w:spacing w:after="0" w:line="259" w:lineRule="auto"/>
              <w:rPr>
                <w:rFonts w:ascii="Segoe UI Symbol" w:eastAsia="Calibri" w:hAnsi="Segoe UI Symbol" w:cs="Segoe UI Symbol"/>
              </w:rPr>
            </w:pPr>
          </w:p>
        </w:tc>
        <w:tc>
          <w:tcPr>
            <w:tcW w:w="3523" w:type="pct"/>
          </w:tcPr>
          <w:p w14:paraId="03F08490" w14:textId="7E5D1648" w:rsidR="00132717" w:rsidRDefault="00132717" w:rsidP="00021C78">
            <w:pPr>
              <w:tabs>
                <w:tab w:val="center" w:pos="4018"/>
              </w:tabs>
              <w:spacing w:after="0" w:line="259" w:lineRule="auto"/>
            </w:pPr>
            <w:r>
              <w:t>Notice of variation in takeover offer</w:t>
            </w:r>
          </w:p>
        </w:tc>
        <w:tc>
          <w:tcPr>
            <w:tcW w:w="586" w:type="pct"/>
          </w:tcPr>
          <w:p w14:paraId="3D1A3B1D" w14:textId="77777777" w:rsidR="00132717" w:rsidRDefault="00132717" w:rsidP="00021C78">
            <w:pPr>
              <w:spacing w:after="0" w:line="259" w:lineRule="auto"/>
            </w:pPr>
            <w:r>
              <w:t>6321</w:t>
            </w:r>
          </w:p>
        </w:tc>
      </w:tr>
      <w:tr w:rsidR="00132717" w14:paraId="2365D24B" w14:textId="77777777" w:rsidTr="00132717">
        <w:trPr>
          <w:trHeight w:val="287"/>
        </w:trPr>
        <w:tc>
          <w:tcPr>
            <w:tcW w:w="491" w:type="pct"/>
          </w:tcPr>
          <w:p w14:paraId="10BFF274" w14:textId="2C0E3FA9" w:rsidR="00132717" w:rsidRDefault="00132717" w:rsidP="00021C78">
            <w:pPr>
              <w:tabs>
                <w:tab w:val="center" w:pos="5122"/>
              </w:tabs>
              <w:spacing w:after="0" w:line="259" w:lineRule="auto"/>
              <w:rPr>
                <w:rFonts w:ascii="Segoe UI Symbol" w:eastAsia="Calibri" w:hAnsi="Segoe UI Symbol" w:cs="Segoe UI Symbol"/>
              </w:rPr>
            </w:pPr>
            <w:r>
              <w:rPr>
                <w:rFonts w:ascii="Segoe UI Symbol" w:eastAsia="Calibri" w:hAnsi="Segoe UI Symbol" w:cs="Segoe UI Symbol"/>
              </w:rPr>
              <w:t>✓</w:t>
            </w:r>
          </w:p>
        </w:tc>
        <w:tc>
          <w:tcPr>
            <w:tcW w:w="399" w:type="pct"/>
          </w:tcPr>
          <w:p w14:paraId="68C2E9F1" w14:textId="757B2824" w:rsidR="00132717" w:rsidRDefault="00132717" w:rsidP="00021C78">
            <w:pPr>
              <w:tabs>
                <w:tab w:val="center" w:pos="5122"/>
              </w:tabs>
              <w:spacing w:after="0" w:line="259" w:lineRule="auto"/>
              <w:rPr>
                <w:rFonts w:ascii="Segoe UI Symbol" w:eastAsia="Calibri" w:hAnsi="Segoe UI Symbol" w:cs="Segoe UI Symbol"/>
              </w:rPr>
            </w:pPr>
          </w:p>
        </w:tc>
        <w:tc>
          <w:tcPr>
            <w:tcW w:w="3523" w:type="pct"/>
          </w:tcPr>
          <w:p w14:paraId="5ACDE775" w14:textId="542CBA59" w:rsidR="00132717" w:rsidRDefault="00132717" w:rsidP="00021C78">
            <w:pPr>
              <w:tabs>
                <w:tab w:val="center" w:pos="5122"/>
              </w:tabs>
              <w:spacing w:after="0" w:line="259" w:lineRule="auto"/>
            </w:pPr>
            <w:r>
              <w:t>Notice of disclosure re substantial shareholding in bid period</w:t>
            </w:r>
          </w:p>
        </w:tc>
        <w:tc>
          <w:tcPr>
            <w:tcW w:w="586" w:type="pct"/>
          </w:tcPr>
          <w:p w14:paraId="283564B9" w14:textId="77777777" w:rsidR="00132717" w:rsidRDefault="00132717" w:rsidP="00021C78">
            <w:pPr>
              <w:spacing w:after="0" w:line="259" w:lineRule="auto"/>
            </w:pPr>
            <w:r>
              <w:t>671</w:t>
            </w:r>
          </w:p>
        </w:tc>
      </w:tr>
    </w:tbl>
    <w:p w14:paraId="6D19236C" w14:textId="77777777" w:rsidR="00B04C67" w:rsidRDefault="00B04C67">
      <w:pPr>
        <w:spacing w:before="0" w:after="160" w:line="259" w:lineRule="auto"/>
        <w:rPr>
          <w:rFonts w:ascii="Calibri" w:hAnsi="Calibri" w:cs="Arial"/>
          <w:b/>
          <w:color w:val="5D779D" w:themeColor="accent3"/>
          <w:kern w:val="32"/>
          <w:sz w:val="44"/>
          <w:szCs w:val="36"/>
        </w:rPr>
      </w:pPr>
      <w:r>
        <w:br w:type="page"/>
      </w:r>
    </w:p>
    <w:p w14:paraId="77482C62" w14:textId="4A279F5A" w:rsidR="00446CED" w:rsidRDefault="00446CED" w:rsidP="00446CED">
      <w:pPr>
        <w:pStyle w:val="Heading1"/>
        <w:spacing w:after="152"/>
        <w:ind w:left="23"/>
      </w:pPr>
      <w:bookmarkStart w:id="36" w:name="_Toc211507348"/>
      <w:r>
        <w:t>References</w:t>
      </w:r>
      <w:bookmarkEnd w:id="36"/>
    </w:p>
    <w:p w14:paraId="26DBA1EA" w14:textId="5B758FAB" w:rsidR="00446CED" w:rsidRDefault="00446CED" w:rsidP="00253497">
      <w:pPr>
        <w:ind w:left="567" w:right="24" w:hanging="567"/>
      </w:pPr>
      <w:r>
        <w:t xml:space="preserve">ACCC (2024). </w:t>
      </w:r>
      <w:r w:rsidR="00554974">
        <w:t>ACCC</w:t>
      </w:r>
      <w:r>
        <w:t xml:space="preserve"> submission on </w:t>
      </w:r>
      <w:r w:rsidR="00554974">
        <w:t>T</w:t>
      </w:r>
      <w:r>
        <w:t xml:space="preserve">reasury </w:t>
      </w:r>
      <w:r w:rsidR="00554974">
        <w:t>C</w:t>
      </w:r>
      <w:r>
        <w:t xml:space="preserve">ompetition </w:t>
      </w:r>
      <w:r w:rsidR="00554974">
        <w:t>T</w:t>
      </w:r>
      <w:r>
        <w:t xml:space="preserve">askforce merger reform – consultation paper, </w:t>
      </w:r>
      <w:r w:rsidRPr="00554974">
        <w:rPr>
          <w:rFonts w:eastAsia="Cambria"/>
          <w:i/>
          <w:iCs/>
        </w:rPr>
        <w:t>Technical report</w:t>
      </w:r>
      <w:r w:rsidRPr="00554974">
        <w:rPr>
          <w:i/>
          <w:iCs/>
        </w:rPr>
        <w:t>,</w:t>
      </w:r>
      <w:r>
        <w:t xml:space="preserve"> ACCC.</w:t>
      </w:r>
    </w:p>
    <w:p w14:paraId="52DF60A7" w14:textId="77777777" w:rsidR="00446CED" w:rsidRDefault="00446CED" w:rsidP="00253497">
      <w:pPr>
        <w:spacing w:after="146"/>
        <w:ind w:left="567" w:right="24" w:hanging="567"/>
      </w:pPr>
      <w:r>
        <w:t>Benedetto, G., Haltiwanger, J., Lane, J. and McKinney, K. (2007). Using Worker Flows to Measure Firm Dynamics</w:t>
      </w:r>
      <w:r w:rsidRPr="00554974">
        <w:rPr>
          <w:i/>
          <w:iCs/>
        </w:rPr>
        <w:t xml:space="preserve">, </w:t>
      </w:r>
      <w:r w:rsidRPr="00554974">
        <w:rPr>
          <w:rFonts w:eastAsia="Cambria"/>
          <w:i/>
          <w:iCs/>
        </w:rPr>
        <w:t xml:space="preserve">Journal of Business &amp; Economic Statistics </w:t>
      </w:r>
      <w:r w:rsidRPr="00554974">
        <w:rPr>
          <w:rFonts w:eastAsia="Cambria"/>
          <w:b/>
          <w:bCs/>
        </w:rPr>
        <w:t>25</w:t>
      </w:r>
      <w:r>
        <w:t>: 299–313.</w:t>
      </w:r>
    </w:p>
    <w:p w14:paraId="5E8BCDEB" w14:textId="77777777" w:rsidR="00446CED" w:rsidRDefault="00446CED" w:rsidP="00253497">
      <w:pPr>
        <w:ind w:left="567" w:right="24" w:hanging="567"/>
      </w:pPr>
      <w:r>
        <w:t xml:space="preserve">Cunningham, C., Ederer, F. and Ma, S. (2021). Killer Acquisitions, </w:t>
      </w:r>
      <w:r w:rsidRPr="00554974">
        <w:rPr>
          <w:rFonts w:eastAsia="Cambria"/>
          <w:i/>
          <w:iCs/>
        </w:rPr>
        <w:t xml:space="preserve">Journal of Political Economy </w:t>
      </w:r>
      <w:r w:rsidRPr="00554974">
        <w:rPr>
          <w:rFonts w:eastAsia="Cambria"/>
          <w:b/>
          <w:bCs/>
        </w:rPr>
        <w:t>129</w:t>
      </w:r>
      <w:r>
        <w:t>(3): 649– 702.</w:t>
      </w:r>
    </w:p>
    <w:p w14:paraId="346795C0" w14:textId="77777777" w:rsidR="00446CED" w:rsidRDefault="00446CED" w:rsidP="00253497">
      <w:pPr>
        <w:spacing w:after="146"/>
        <w:ind w:left="567" w:right="24" w:hanging="567"/>
      </w:pPr>
      <w:r>
        <w:t xml:space="preserve">DeYoung, R., Evanoff, D. D. and Molyneux, P. (2009). Mergers and acquisitions of financial institutions: A review of the post-2000 literature, </w:t>
      </w:r>
      <w:r w:rsidRPr="00031827">
        <w:rPr>
          <w:rFonts w:eastAsia="Cambria"/>
          <w:i/>
          <w:iCs/>
        </w:rPr>
        <w:t xml:space="preserve">Journal of Financial Services Research </w:t>
      </w:r>
      <w:r w:rsidRPr="00031827">
        <w:rPr>
          <w:rFonts w:eastAsia="Cambria"/>
          <w:b/>
          <w:bCs/>
        </w:rPr>
        <w:t>36</w:t>
      </w:r>
      <w:r>
        <w:t>(2): 1783–1809.</w:t>
      </w:r>
    </w:p>
    <w:p w14:paraId="04E8B760" w14:textId="77777777" w:rsidR="00446CED" w:rsidRDefault="00446CED" w:rsidP="00253497">
      <w:pPr>
        <w:ind w:left="567" w:right="24" w:hanging="567"/>
      </w:pPr>
      <w:r>
        <w:t xml:space="preserve">Erel, I., Jang, Y. and Weisbach, M. S. (2015). Do acquisitions relieve target firms’ financial constraints?, </w:t>
      </w:r>
      <w:r w:rsidRPr="00031827">
        <w:rPr>
          <w:rFonts w:eastAsia="Cambria"/>
        </w:rPr>
        <w:t xml:space="preserve">The Journal of Finance </w:t>
      </w:r>
      <w:r w:rsidRPr="00031827">
        <w:rPr>
          <w:rFonts w:eastAsia="Cambria"/>
          <w:b/>
          <w:bCs/>
        </w:rPr>
        <w:t>70</w:t>
      </w:r>
      <w:r>
        <w:t>(1): 289–328.</w:t>
      </w:r>
    </w:p>
    <w:p w14:paraId="0D40CC2C" w14:textId="77777777" w:rsidR="00253497" w:rsidRDefault="00446CED" w:rsidP="00253497">
      <w:pPr>
        <w:ind w:left="567" w:right="24" w:hanging="567"/>
      </w:pPr>
      <w:r>
        <w:t>Eriksson, T. and Kuhn, J. M. (2006). Firm spin-offs in denmark 1981–2000—patterns of entry and exit,</w:t>
      </w:r>
      <w:r w:rsidR="0061714A">
        <w:t xml:space="preserve"> </w:t>
      </w:r>
      <w:r w:rsidRPr="00031827">
        <w:rPr>
          <w:rFonts w:eastAsia="Cambria"/>
          <w:i/>
          <w:iCs/>
        </w:rPr>
        <w:t xml:space="preserve">International </w:t>
      </w:r>
      <w:r w:rsidR="00031827">
        <w:rPr>
          <w:rFonts w:eastAsia="Cambria"/>
          <w:i/>
          <w:iCs/>
        </w:rPr>
        <w:t>J</w:t>
      </w:r>
      <w:r w:rsidRPr="00031827">
        <w:rPr>
          <w:rFonts w:eastAsia="Cambria"/>
          <w:i/>
          <w:iCs/>
        </w:rPr>
        <w:t xml:space="preserve">ournal of Industrial </w:t>
      </w:r>
      <w:r w:rsidR="00031827">
        <w:rPr>
          <w:rFonts w:eastAsia="Cambria"/>
          <w:i/>
          <w:iCs/>
        </w:rPr>
        <w:t>O</w:t>
      </w:r>
      <w:r w:rsidRPr="00031827">
        <w:rPr>
          <w:rFonts w:eastAsia="Cambria"/>
          <w:i/>
          <w:iCs/>
        </w:rPr>
        <w:t xml:space="preserve">rganization </w:t>
      </w:r>
      <w:r w:rsidRPr="00031827">
        <w:rPr>
          <w:rFonts w:eastAsia="Cambria"/>
          <w:b/>
          <w:bCs/>
        </w:rPr>
        <w:t>24</w:t>
      </w:r>
      <w:r>
        <w:t>(5): 1021–1040.</w:t>
      </w:r>
    </w:p>
    <w:p w14:paraId="2E975DE2" w14:textId="4382D561" w:rsidR="00446CED" w:rsidRDefault="00446CED" w:rsidP="00253497">
      <w:pPr>
        <w:ind w:left="567" w:right="24" w:hanging="567"/>
      </w:pPr>
      <w:r>
        <w:t xml:space="preserve">Fackler, D., Schnabel, C. and Schmucker, A. (2016). Spinoffs in Germany: characteristics, survival, and the role of their parents, </w:t>
      </w:r>
      <w:r w:rsidRPr="00031827">
        <w:rPr>
          <w:rFonts w:eastAsia="Cambria"/>
          <w:i/>
          <w:iCs/>
        </w:rPr>
        <w:t xml:space="preserve">Small Business Economics </w:t>
      </w:r>
      <w:r w:rsidRPr="00031827">
        <w:rPr>
          <w:rFonts w:eastAsia="Cambria"/>
          <w:b/>
          <w:bCs/>
        </w:rPr>
        <w:t>46</w:t>
      </w:r>
      <w:r>
        <w:t>(1): 93–114.</w:t>
      </w:r>
    </w:p>
    <w:p w14:paraId="2751D33D" w14:textId="2C5EE788" w:rsidR="00446CED" w:rsidRDefault="00446CED" w:rsidP="00253497">
      <w:pPr>
        <w:spacing w:after="179"/>
        <w:ind w:left="567" w:right="24" w:hanging="567"/>
      </w:pPr>
      <w:r>
        <w:t>Fernandez Donoso, J. (2014). Do complex inventions need less international patent protection?,</w:t>
      </w:r>
      <w:r w:rsidR="0061714A">
        <w:t xml:space="preserve"> </w:t>
      </w:r>
      <w:r w:rsidRPr="00031827">
        <w:rPr>
          <w:rFonts w:eastAsia="Cambria"/>
          <w:i/>
          <w:iCs/>
        </w:rPr>
        <w:t>Economics</w:t>
      </w:r>
      <w:r w:rsidR="0061714A" w:rsidRPr="00031827">
        <w:rPr>
          <w:i/>
          <w:iCs/>
        </w:rPr>
        <w:t xml:space="preserve"> </w:t>
      </w:r>
      <w:r w:rsidRPr="00031827">
        <w:rPr>
          <w:rFonts w:eastAsia="Cambria"/>
          <w:i/>
          <w:iCs/>
        </w:rPr>
        <w:t xml:space="preserve">Letters </w:t>
      </w:r>
      <w:r w:rsidRPr="00031827">
        <w:rPr>
          <w:rFonts w:eastAsia="Cambria"/>
          <w:b/>
          <w:bCs/>
        </w:rPr>
        <w:t>125</w:t>
      </w:r>
      <w:r>
        <w:t>(2): 278–281.</w:t>
      </w:r>
      <w:r w:rsidR="00031827">
        <w:br/>
      </w:r>
      <w:r>
        <w:rPr>
          <w:rFonts w:eastAsia="Cambria"/>
          <w:b/>
        </w:rPr>
        <w:t xml:space="preserve">URL: </w:t>
      </w:r>
      <w:r w:rsidRPr="00031827">
        <w:rPr>
          <w:rFonts w:eastAsia="Cambria"/>
          <w:i/>
          <w:iCs/>
        </w:rPr>
        <w:t>https://www.sciencedirect.com/science/article/pii/S016517651400370X</w:t>
      </w:r>
    </w:p>
    <w:p w14:paraId="09219425" w14:textId="77777777" w:rsidR="00446CED" w:rsidRDefault="00446CED" w:rsidP="00253497">
      <w:pPr>
        <w:spacing w:after="288"/>
        <w:ind w:left="567" w:right="24" w:hanging="567"/>
      </w:pPr>
      <w:r>
        <w:t>Geurts, K. and Van Biesebroeck, J. (2014). Job creation, firm creation, and de novo entry.</w:t>
      </w:r>
    </w:p>
    <w:p w14:paraId="683CFFC5" w14:textId="77777777" w:rsidR="00446CED" w:rsidRDefault="00446CED" w:rsidP="00253497">
      <w:pPr>
        <w:ind w:left="567" w:right="24" w:hanging="567"/>
      </w:pPr>
      <w:r>
        <w:t xml:space="preserve">Geurts, K. and Vets, P. (2013). Employee flows to study firm and employment dynamics, </w:t>
      </w:r>
      <w:r w:rsidRPr="00031827">
        <w:rPr>
          <w:rFonts w:eastAsia="Cambria"/>
          <w:i/>
          <w:iCs/>
        </w:rPr>
        <w:t xml:space="preserve">DynaM Working Paper </w:t>
      </w:r>
      <w:r>
        <w:t>pp. 1–34.</w:t>
      </w:r>
    </w:p>
    <w:p w14:paraId="65AAF6FA" w14:textId="5A43E92A" w:rsidR="00446CED" w:rsidRDefault="00446CED" w:rsidP="00253497">
      <w:pPr>
        <w:spacing w:after="169"/>
        <w:ind w:left="567" w:right="24" w:hanging="567"/>
      </w:pPr>
      <w:r>
        <w:t>Hethey-Maier, T. and Schmieder, J. F. (2013). Does the Use of Worker Flows Improve the Analysis of</w:t>
      </w:r>
      <w:r w:rsidR="00031827">
        <w:t xml:space="preserve"> </w:t>
      </w:r>
      <w:r>
        <w:t xml:space="preserve">Establishment Turnover? Evidence from German Administrative Data, </w:t>
      </w:r>
      <w:r w:rsidRPr="00031827">
        <w:rPr>
          <w:rFonts w:eastAsia="Cambria"/>
          <w:i/>
          <w:iCs/>
        </w:rPr>
        <w:t>Schmollers Jahrbuch : Journal of</w:t>
      </w:r>
      <w:r w:rsidR="0061714A" w:rsidRPr="00031827">
        <w:rPr>
          <w:rFonts w:eastAsia="Cambria"/>
          <w:i/>
          <w:iCs/>
        </w:rPr>
        <w:t xml:space="preserve"> </w:t>
      </w:r>
      <w:r w:rsidRPr="00031827">
        <w:rPr>
          <w:rFonts w:eastAsia="Cambria"/>
          <w:i/>
          <w:iCs/>
        </w:rPr>
        <w:t xml:space="preserve">Applied Social Science Studies / Zeitschrift fu¨r Wirtschafts- und Sozialwissenschaften </w:t>
      </w:r>
      <w:r w:rsidRPr="00031827">
        <w:rPr>
          <w:rFonts w:eastAsia="Cambria"/>
          <w:b/>
          <w:bCs/>
        </w:rPr>
        <w:t>133</w:t>
      </w:r>
      <w:r>
        <w:t>(4): 477–510.</w:t>
      </w:r>
    </w:p>
    <w:p w14:paraId="6AD1B9AC" w14:textId="77777777" w:rsidR="00446CED" w:rsidRDefault="00446CED" w:rsidP="00253497">
      <w:pPr>
        <w:spacing w:after="146"/>
        <w:ind w:left="567" w:right="24" w:hanging="567"/>
      </w:pPr>
      <w:r>
        <w:t xml:space="preserve">Hossain, M., Pham, M. D. and Islam, N. (2021). The performance and motivation of serial acquisitions: Evidence from Australia, </w:t>
      </w:r>
      <w:r w:rsidRPr="00031827">
        <w:rPr>
          <w:rFonts w:eastAsia="Cambria"/>
          <w:i/>
          <w:iCs/>
        </w:rPr>
        <w:t xml:space="preserve">International Review of Financial Analysis </w:t>
      </w:r>
      <w:r w:rsidRPr="00031827">
        <w:rPr>
          <w:rFonts w:eastAsia="Cambria"/>
          <w:b/>
          <w:bCs/>
        </w:rPr>
        <w:t>77</w:t>
      </w:r>
      <w:r>
        <w:t>: 1–8.</w:t>
      </w:r>
    </w:p>
    <w:p w14:paraId="0ACCE80F" w14:textId="77777777" w:rsidR="00446CED" w:rsidRPr="00031827" w:rsidRDefault="00446CED" w:rsidP="00253497">
      <w:pPr>
        <w:ind w:left="567" w:hanging="567"/>
        <w:rPr>
          <w:i/>
          <w:iCs/>
        </w:rPr>
      </w:pPr>
      <w:r>
        <w:t xml:space="preserve">Mahdiyeh, E. and Moshiri, S. (2019). Is innovation a factor in merger decisions? evidence, </w:t>
      </w:r>
      <w:r w:rsidRPr="00031827">
        <w:rPr>
          <w:rFonts w:eastAsia="Cambria"/>
          <w:i/>
          <w:iCs/>
        </w:rPr>
        <w:t>Empirical</w:t>
      </w:r>
    </w:p>
    <w:p w14:paraId="71EF4291" w14:textId="77777777" w:rsidR="00446CED" w:rsidRDefault="00446CED" w:rsidP="00253497">
      <w:pPr>
        <w:ind w:left="567" w:hanging="567"/>
      </w:pPr>
      <w:r w:rsidRPr="00031827">
        <w:rPr>
          <w:rFonts w:eastAsia="Cambria"/>
          <w:i/>
          <w:iCs/>
        </w:rPr>
        <w:t xml:space="preserve">Economics </w:t>
      </w:r>
      <w:r w:rsidRPr="00031827">
        <w:rPr>
          <w:rFonts w:eastAsia="Cambria"/>
          <w:bCs/>
        </w:rPr>
        <w:t>57</w:t>
      </w:r>
      <w:r>
        <w:t>(5): 1783–1809.</w:t>
      </w:r>
    </w:p>
    <w:p w14:paraId="02D99A95" w14:textId="77777777" w:rsidR="00446CED" w:rsidRDefault="00446CED" w:rsidP="00253497">
      <w:pPr>
        <w:spacing w:after="146"/>
        <w:ind w:left="567" w:right="24" w:hanging="567"/>
      </w:pPr>
      <w:r>
        <w:t xml:space="preserve">Martynova, M. and Renneboog, L. (2008). A century of corporate takeovers: What have we learned and where do we stand?, </w:t>
      </w:r>
      <w:r w:rsidRPr="00031827">
        <w:rPr>
          <w:rFonts w:eastAsia="Cambria"/>
          <w:i/>
          <w:iCs/>
        </w:rPr>
        <w:t xml:space="preserve">Journal of Banking Finance </w:t>
      </w:r>
      <w:r w:rsidRPr="00031827">
        <w:rPr>
          <w:rFonts w:eastAsia="Cambria"/>
          <w:b/>
          <w:bCs/>
        </w:rPr>
        <w:t>32</w:t>
      </w:r>
      <w:r>
        <w:t>(10): 2148–2177.</w:t>
      </w:r>
    </w:p>
    <w:p w14:paraId="710BFACD" w14:textId="77777777" w:rsidR="00446CED" w:rsidRDefault="00446CED" w:rsidP="00253497">
      <w:pPr>
        <w:ind w:left="567" w:right="24" w:hanging="567"/>
      </w:pPr>
      <w:r>
        <w:t xml:space="preserve">OECD (2023). Serial acquisitions and industry roll-ups, </w:t>
      </w:r>
      <w:r w:rsidRPr="00031827">
        <w:rPr>
          <w:rFonts w:eastAsia="Cambria"/>
          <w:i/>
          <w:iCs/>
        </w:rPr>
        <w:t>Technical report</w:t>
      </w:r>
      <w:r w:rsidRPr="00031827">
        <w:rPr>
          <w:i/>
          <w:iCs/>
        </w:rPr>
        <w:t xml:space="preserve">, </w:t>
      </w:r>
      <w:r>
        <w:t>OECD Competition Policy Roundtable Background Note.</w:t>
      </w:r>
    </w:p>
    <w:p w14:paraId="7BFFB53C" w14:textId="461E9969" w:rsidR="00366298" w:rsidRPr="009D6787" w:rsidRDefault="00446CED" w:rsidP="00253497">
      <w:pPr>
        <w:spacing w:after="27"/>
        <w:ind w:left="567" w:right="24" w:hanging="567"/>
      </w:pPr>
      <w:r>
        <w:t xml:space="preserve">Sharma, D. S. and Ho, J. (2002). The impact of acquisitions on operating performance: Some australian evidence, </w:t>
      </w:r>
      <w:r w:rsidRPr="00031827">
        <w:rPr>
          <w:rFonts w:eastAsia="Cambria"/>
          <w:i/>
          <w:iCs/>
        </w:rPr>
        <w:t xml:space="preserve">Journal of Business Finance &amp; Accounting </w:t>
      </w:r>
      <w:r w:rsidRPr="00031827">
        <w:rPr>
          <w:rFonts w:eastAsia="Cambria"/>
          <w:b/>
          <w:bCs/>
        </w:rPr>
        <w:t>29</w:t>
      </w:r>
      <w:r>
        <w:t>(1-2): 155–200.</w:t>
      </w:r>
      <w:r w:rsidR="00031827">
        <w:br/>
      </w:r>
      <w:r>
        <w:rPr>
          <w:rFonts w:eastAsia="Cambria"/>
          <w:b/>
        </w:rPr>
        <w:t xml:space="preserve">URL: </w:t>
      </w:r>
      <w:r w:rsidRPr="00031827">
        <w:rPr>
          <w:rFonts w:eastAsia="Cambria"/>
          <w:i/>
          <w:iCs/>
        </w:rPr>
        <w:t>https://EconPapers.repec.org/RePEc:bla:jbfnac:v:29:y:2002:i:1-2:p:155-200</w:t>
      </w:r>
    </w:p>
    <w:sectPr w:rsidR="00366298" w:rsidRPr="009D6787" w:rsidSect="00267CF2">
      <w:headerReference w:type="even" r:id="rId28"/>
      <w:headerReference w:type="default" r:id="rId29"/>
      <w:footerReference w:type="even" r:id="rId30"/>
      <w:footerReference w:type="default" r:id="rId31"/>
      <w:headerReference w:type="first" r:id="rId32"/>
      <w:footerReference w:type="first" r:id="rId33"/>
      <w:type w:val="oddPage"/>
      <w:pgSz w:w="11906" w:h="16838" w:code="9"/>
      <w:pgMar w:top="1440" w:right="1401" w:bottom="1409" w:left="1412" w:header="720" w:footer="8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AA747" w14:textId="77777777" w:rsidR="00E256DC" w:rsidRDefault="00E256DC">
      <w:pPr>
        <w:spacing w:before="0" w:after="0"/>
      </w:pPr>
      <w:r>
        <w:separator/>
      </w:r>
    </w:p>
    <w:p w14:paraId="5B3043D4" w14:textId="77777777" w:rsidR="00E256DC" w:rsidRDefault="00E256DC"/>
  </w:endnote>
  <w:endnote w:type="continuationSeparator" w:id="0">
    <w:p w14:paraId="555FF41F" w14:textId="77777777" w:rsidR="00E256DC" w:rsidRDefault="00E256DC">
      <w:pPr>
        <w:spacing w:before="0" w:after="0"/>
      </w:pPr>
      <w:r>
        <w:continuationSeparator/>
      </w:r>
    </w:p>
    <w:p w14:paraId="5D252426" w14:textId="77777777" w:rsidR="00E256DC" w:rsidRDefault="00E256DC"/>
  </w:endnote>
  <w:endnote w:type="continuationNotice" w:id="1">
    <w:p w14:paraId="1D2718C2" w14:textId="77777777" w:rsidR="00E256DC" w:rsidRDefault="00E256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A9FB" w14:textId="5FF4E400" w:rsidR="00B55B04" w:rsidRDefault="00B55B04" w:rsidP="00EE1447">
    <w:pPr>
      <w:pStyle w:val="FooterEven"/>
    </w:pPr>
    <w:r>
      <w:drawing>
        <wp:anchor distT="0" distB="0" distL="114300" distR="114300" simplePos="0" relativeHeight="251658240" behindDoc="1" locked="0" layoutInCell="1" allowOverlap="0" wp14:anchorId="21AA51CD" wp14:editId="2D8D9A6E">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705054987" name="Picture 1705054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54987" name="Picture 17050549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245BC5">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19F0" w14:textId="6715B911" w:rsidR="00EC6C70" w:rsidRDefault="00EC6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08CA" w14:textId="10309D8F" w:rsidR="00B55B04" w:rsidRDefault="00D65732" w:rsidP="00D65732">
    <w:pPr>
      <w:pStyle w:val="FooterOdd"/>
    </w:pPr>
    <w:r>
      <w:t>Competition Review</w:t>
    </w:r>
    <w:r>
      <w:tab/>
    </w:r>
    <w:fldSimple w:instr="STYLEREF  &quot;Heading 1&quot;  \* MERGEFORMAT">
      <w:r w:rsidR="00801191">
        <w:rPr>
          <w:noProof/>
        </w:rPr>
        <w:t>Contents</w:t>
      </w:r>
    </w:fldSimple>
    <w:r>
      <w:t xml:space="preserve"> | </w:t>
    </w: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C523" w14:textId="2E4B1E82" w:rsidR="005C5E72" w:rsidRDefault="005C5E72">
    <w:pPr>
      <w:spacing w:after="0" w:line="259" w:lineRule="auto"/>
      <w:ind w:right="11"/>
      <w:jc w:val="center"/>
    </w:pPr>
    <w:r>
      <w:fldChar w:fldCharType="begin"/>
    </w:r>
    <w:r>
      <w:instrText xml:space="preserve"> PAGE   \* MERGEFORMAT </w:instrText>
    </w:r>
    <w:r>
      <w:fldChar w:fldCharType="separate"/>
    </w:r>
    <w:r>
      <w:t>1</w:t>
    </w:r>
    <w:r>
      <w:fldChar w:fldCharType="end"/>
    </w:r>
  </w:p>
  <w:p w14:paraId="344BB609" w14:textId="77777777" w:rsidR="005C5E72" w:rsidRDefault="005C5E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E0B6" w14:textId="7DBB5FF5" w:rsidR="005C5E72" w:rsidRDefault="005C5E72">
    <w:pPr>
      <w:spacing w:after="0" w:line="259" w:lineRule="auto"/>
      <w:ind w:right="11"/>
      <w:jc w:val="center"/>
    </w:pPr>
    <w:r>
      <w:fldChar w:fldCharType="begin"/>
    </w:r>
    <w:r>
      <w:instrText xml:space="preserve"> PAGE   \* MERGEFORMAT </w:instrText>
    </w:r>
    <w:r>
      <w:fldChar w:fldCharType="separate"/>
    </w:r>
    <w:r>
      <w:t>1</w:t>
    </w:r>
    <w:r>
      <w:fldChar w:fldCharType="end"/>
    </w:r>
  </w:p>
  <w:p w14:paraId="1D432C99" w14:textId="77777777" w:rsidR="005C5E72" w:rsidRDefault="005C5E7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1206" w14:textId="043F53FA" w:rsidR="005C5E72" w:rsidRDefault="005C5E72">
    <w:pPr>
      <w:spacing w:after="0" w:line="259" w:lineRule="auto"/>
      <w:ind w:right="11"/>
      <w:jc w:val="center"/>
    </w:pPr>
    <w:r>
      <w:fldChar w:fldCharType="begin"/>
    </w:r>
    <w:r>
      <w:instrText xml:space="preserve"> PAGE   \* MERGEFORMAT </w:instrText>
    </w:r>
    <w:r>
      <w:fldChar w:fldCharType="separate"/>
    </w:r>
    <w:r>
      <w:t>1</w:t>
    </w:r>
    <w:r>
      <w:fldChar w:fldCharType="end"/>
    </w:r>
  </w:p>
  <w:p w14:paraId="58DA8F29" w14:textId="77777777" w:rsidR="005C5E72" w:rsidRDefault="005C5E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8AC85" w14:textId="77777777" w:rsidR="00E256DC" w:rsidRPr="00ED5A20" w:rsidRDefault="00E256DC" w:rsidP="000F6233">
      <w:pPr>
        <w:rPr>
          <w:color w:val="4D7861" w:themeColor="accent2"/>
        </w:rPr>
      </w:pPr>
      <w:r w:rsidRPr="00ED5A20">
        <w:rPr>
          <w:color w:val="4D7861" w:themeColor="accent2"/>
        </w:rPr>
        <w:separator/>
      </w:r>
    </w:p>
    <w:p w14:paraId="2A5F1015" w14:textId="77777777" w:rsidR="00E256DC" w:rsidRDefault="00E256DC"/>
  </w:footnote>
  <w:footnote w:type="continuationSeparator" w:id="0">
    <w:p w14:paraId="30A11E45" w14:textId="77777777" w:rsidR="00E256DC" w:rsidRPr="00B737EB" w:rsidRDefault="00E256DC">
      <w:pPr>
        <w:spacing w:before="0" w:after="0"/>
        <w:rPr>
          <w:color w:val="2C384A" w:themeColor="accent1"/>
        </w:rPr>
      </w:pPr>
      <w:r w:rsidRPr="00B737EB">
        <w:rPr>
          <w:color w:val="2C384A" w:themeColor="accent1"/>
        </w:rPr>
        <w:continuationSeparator/>
      </w:r>
    </w:p>
    <w:p w14:paraId="30131376" w14:textId="77777777" w:rsidR="00E256DC" w:rsidRDefault="00E256DC"/>
  </w:footnote>
  <w:footnote w:type="continuationNotice" w:id="1">
    <w:p w14:paraId="7B2BCA0E" w14:textId="77777777" w:rsidR="00E256DC" w:rsidRDefault="00E256DC">
      <w:pPr>
        <w:spacing w:before="0" w:after="0"/>
      </w:pPr>
    </w:p>
  </w:footnote>
  <w:footnote w:id="2">
    <w:p w14:paraId="26A5757A" w14:textId="482F2A69" w:rsidR="00E74F23" w:rsidRDefault="00E74F23" w:rsidP="004E3662">
      <w:pPr>
        <w:pStyle w:val="FootnoteText"/>
      </w:pPr>
      <w:r>
        <w:rPr>
          <w:rStyle w:val="FootnoteReference"/>
        </w:rPr>
        <w:footnoteRef/>
      </w:r>
      <w:r>
        <w:t xml:space="preserve"> </w:t>
      </w:r>
      <w:r w:rsidR="004E3662">
        <w:t xml:space="preserve">‘Pre-notify’ is used interchangeably with ‘notify’ in the merger context, with both referring to a requirement to alert the competition authority </w:t>
      </w:r>
      <w:r w:rsidR="004E3662" w:rsidRPr="003F7AE1">
        <w:rPr>
          <w:i/>
          <w:iCs/>
        </w:rPr>
        <w:t>before</w:t>
      </w:r>
      <w:r w:rsidR="004E3662">
        <w:t xml:space="preserve"> a merger is completed. Merger control systems in many overseas jurisdictions are also ‘suspensory’ </w:t>
      </w:r>
      <w:r w:rsidR="004E3662" w:rsidRPr="004E3662">
        <w:t>insofar as the merger cannot be completed until cleared by the competition authority.</w:t>
      </w:r>
    </w:p>
  </w:footnote>
  <w:footnote w:id="3">
    <w:p w14:paraId="3C9488F3" w14:textId="78AE8B83" w:rsidR="004E3662" w:rsidRDefault="004E3662">
      <w:pPr>
        <w:pStyle w:val="FootnoteText"/>
      </w:pPr>
      <w:r>
        <w:rPr>
          <w:rStyle w:val="FootnoteReference"/>
        </w:rPr>
        <w:footnoteRef/>
      </w:r>
      <w:r>
        <w:t xml:space="preserve"> </w:t>
      </w:r>
      <w:r w:rsidRPr="004E3662">
        <w:t>The new laws also include tailored notification rules for ‘serial acquisitions’, to deal with the strategy of larger businesses progressively accumulating market share via separate small transactions that would otherwise not be notifiable. The serial acquisition thresholds are not the focus of this paper’s analysis but could easily be incorporated into future work.</w:t>
      </w:r>
    </w:p>
  </w:footnote>
  <w:footnote w:id="4">
    <w:p w14:paraId="55D77CA0" w14:textId="476759BC" w:rsidR="004E3662" w:rsidRDefault="004E3662" w:rsidP="004E3662">
      <w:pPr>
        <w:pStyle w:val="FootnoteText"/>
      </w:pPr>
      <w:r>
        <w:rPr>
          <w:rStyle w:val="FootnoteReference"/>
        </w:rPr>
        <w:footnoteRef/>
      </w:r>
      <w:r>
        <w:t xml:space="preserve"> Tax consolidation in Australia is where groups of wholly-owned firms are able to interact with the tax system as one entity for reporting taxable income and utilising tax losses.</w:t>
      </w:r>
    </w:p>
  </w:footnote>
  <w:footnote w:id="5">
    <w:p w14:paraId="0CE313AE" w14:textId="18BF9AE5" w:rsidR="00B04C67" w:rsidRDefault="00B04C67">
      <w:pPr>
        <w:pStyle w:val="FootnoteText"/>
      </w:pPr>
      <w:r>
        <w:rPr>
          <w:rStyle w:val="FootnoteReference"/>
        </w:rPr>
        <w:footnoteRef/>
      </w:r>
      <w:r>
        <w:t xml:space="preserve"> </w:t>
      </w:r>
      <w:r w:rsidRPr="00B04C67">
        <w:t>See for example OECD (2023) for a discussion of serial acquisitions, their impacts on competition, and approaches to notification and regulation.</w:t>
      </w:r>
    </w:p>
  </w:footnote>
  <w:footnote w:id="6">
    <w:p w14:paraId="1CEDC955" w14:textId="11483421" w:rsidR="00B04C67" w:rsidRDefault="00B04C67">
      <w:pPr>
        <w:pStyle w:val="FootnoteText"/>
      </w:pPr>
      <w:r>
        <w:rPr>
          <w:rStyle w:val="FootnoteReference"/>
        </w:rPr>
        <w:footnoteRef/>
      </w:r>
      <w:r>
        <w:t xml:space="preserve"> </w:t>
      </w:r>
      <w:r w:rsidRPr="00B04C67">
        <w:t>This analysis has focused on a subset of data currently available in BLADE. However, further avenue of research will become possible as the ABS adds new data modules into BLADE in areas such as managerial skill and corporate board membership.</w:t>
      </w:r>
    </w:p>
  </w:footnote>
  <w:footnote w:id="7">
    <w:p w14:paraId="072938C9" w14:textId="5F1AFF34" w:rsidR="00B04C67" w:rsidRDefault="00B04C67">
      <w:pPr>
        <w:pStyle w:val="FootnoteText"/>
      </w:pPr>
      <w:r>
        <w:rPr>
          <w:rStyle w:val="FootnoteReference"/>
        </w:rPr>
        <w:footnoteRef/>
      </w:r>
      <w:r>
        <w:t xml:space="preserve"> </w:t>
      </w:r>
      <w:r w:rsidRPr="00B04C67">
        <w:t>Value added is calculated as income minus expenses plus depreciation, wages, interest, super, bad debts and 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84FE" w14:textId="1CBC6721" w:rsidR="00095D88" w:rsidRPr="00095D88" w:rsidRDefault="00095D88" w:rsidP="00095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061E" w14:textId="6CB04A3C"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448E" w14:textId="0702C5E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3DD3" w14:textId="3D145B7A" w:rsidR="005C5E72" w:rsidRDefault="005C5E72">
    <w:pPr>
      <w:pStyle w:val="Header"/>
    </w:pPr>
  </w:p>
  <w:p w14:paraId="7B269C23" w14:textId="77777777" w:rsidR="005C5E72" w:rsidRDefault="005C5E7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827B" w14:textId="7C7053F6" w:rsidR="005C5E72" w:rsidRDefault="005C5E72">
    <w:pPr>
      <w:pStyle w:val="Header"/>
    </w:pPr>
  </w:p>
  <w:p w14:paraId="1A2484AD" w14:textId="77777777" w:rsidR="005C5E72" w:rsidRDefault="005C5E7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87AD" w14:textId="057C4A42" w:rsidR="005C5E72" w:rsidRDefault="005C5E72">
    <w:pPr>
      <w:pStyle w:val="Header"/>
    </w:pPr>
  </w:p>
  <w:p w14:paraId="31F294FE" w14:textId="77777777" w:rsidR="005C5E72" w:rsidRDefault="005C5E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B19A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7.7pt;height:14.4pt;visibility:visibl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861889"/>
    <w:multiLevelType w:val="hybridMultilevel"/>
    <w:tmpl w:val="E78C99EE"/>
    <w:lvl w:ilvl="0" w:tplc="B860E6D4">
      <w:start w:val="1"/>
      <w:numFmt w:val="decimal"/>
      <w:lvlText w:val="%1."/>
      <w:lvlJc w:val="left"/>
      <w:pPr>
        <w:ind w:left="5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F5A2BD8">
      <w:start w:val="1"/>
      <w:numFmt w:val="lowerLetter"/>
      <w:lvlText w:val="%2"/>
      <w:lvlJc w:val="left"/>
      <w:pPr>
        <w:ind w:left="13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764FF5E">
      <w:start w:val="1"/>
      <w:numFmt w:val="lowerRoman"/>
      <w:lvlText w:val="%3"/>
      <w:lvlJc w:val="left"/>
      <w:pPr>
        <w:ind w:left="20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FBC57C2">
      <w:start w:val="1"/>
      <w:numFmt w:val="decimal"/>
      <w:lvlText w:val="%4"/>
      <w:lvlJc w:val="left"/>
      <w:pPr>
        <w:ind w:left="27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FE6D822">
      <w:start w:val="1"/>
      <w:numFmt w:val="lowerLetter"/>
      <w:lvlText w:val="%5"/>
      <w:lvlJc w:val="left"/>
      <w:pPr>
        <w:ind w:left="349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3CD88C2C">
      <w:start w:val="1"/>
      <w:numFmt w:val="lowerRoman"/>
      <w:lvlText w:val="%6"/>
      <w:lvlJc w:val="left"/>
      <w:pPr>
        <w:ind w:left="421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BD2B7B2">
      <w:start w:val="1"/>
      <w:numFmt w:val="decimal"/>
      <w:lvlText w:val="%7"/>
      <w:lvlJc w:val="left"/>
      <w:pPr>
        <w:ind w:left="49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1D8001A">
      <w:start w:val="1"/>
      <w:numFmt w:val="lowerLetter"/>
      <w:lvlText w:val="%8"/>
      <w:lvlJc w:val="left"/>
      <w:pPr>
        <w:ind w:left="56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2E0C45A">
      <w:start w:val="1"/>
      <w:numFmt w:val="lowerRoman"/>
      <w:lvlText w:val="%9"/>
      <w:lvlJc w:val="left"/>
      <w:pPr>
        <w:ind w:left="63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931254"/>
    <w:multiLevelType w:val="multilevel"/>
    <w:tmpl w:val="92B4900E"/>
    <w:lvl w:ilvl="0">
      <w:start w:val="1"/>
      <w:numFmt w:val="decimal"/>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start w:val="1"/>
      <w:numFmt w:val="decimal"/>
      <w:lvlText w:val="%1.%2"/>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C2AFE"/>
    <w:multiLevelType w:val="hybridMultilevel"/>
    <w:tmpl w:val="F6C6BE76"/>
    <w:lvl w:ilvl="0" w:tplc="62B060F6">
      <w:start w:val="1"/>
      <w:numFmt w:val="bullet"/>
      <w:lvlText w:val="•"/>
      <w:lvlJc w:val="left"/>
      <w:pPr>
        <w:ind w:left="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CE5A42">
      <w:start w:val="1"/>
      <w:numFmt w:val="bullet"/>
      <w:lvlText w:val="o"/>
      <w:lvlJc w:val="left"/>
      <w:pPr>
        <w:ind w:left="1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64C81C">
      <w:start w:val="1"/>
      <w:numFmt w:val="bullet"/>
      <w:lvlText w:val="▪"/>
      <w:lvlJc w:val="left"/>
      <w:pPr>
        <w:ind w:left="2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9EB870">
      <w:start w:val="1"/>
      <w:numFmt w:val="bullet"/>
      <w:lvlText w:val="•"/>
      <w:lvlJc w:val="left"/>
      <w:pPr>
        <w:ind w:left="2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486276">
      <w:start w:val="1"/>
      <w:numFmt w:val="bullet"/>
      <w:lvlText w:val="o"/>
      <w:lvlJc w:val="left"/>
      <w:pPr>
        <w:ind w:left="3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F6CCB2">
      <w:start w:val="1"/>
      <w:numFmt w:val="bullet"/>
      <w:lvlText w:val="▪"/>
      <w:lvlJc w:val="left"/>
      <w:pPr>
        <w:ind w:left="4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88EFD8">
      <w:start w:val="1"/>
      <w:numFmt w:val="bullet"/>
      <w:lvlText w:val="•"/>
      <w:lvlJc w:val="left"/>
      <w:pPr>
        <w:ind w:left="4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E053D0">
      <w:start w:val="1"/>
      <w:numFmt w:val="bullet"/>
      <w:lvlText w:val="o"/>
      <w:lvlJc w:val="left"/>
      <w:pPr>
        <w:ind w:left="5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50E034">
      <w:start w:val="1"/>
      <w:numFmt w:val="bullet"/>
      <w:lvlText w:val="▪"/>
      <w:lvlJc w:val="left"/>
      <w:pPr>
        <w:ind w:left="6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B73681"/>
    <w:multiLevelType w:val="hybridMultilevel"/>
    <w:tmpl w:val="67BC0F58"/>
    <w:lvl w:ilvl="0" w:tplc="FE2EF2AE">
      <w:start w:val="1"/>
      <w:numFmt w:val="decimal"/>
      <w:lvlText w:val="%1."/>
      <w:lvlJc w:val="left"/>
      <w:pPr>
        <w:ind w:left="52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7EC8762">
      <w:start w:val="1"/>
      <w:numFmt w:val="lowerLetter"/>
      <w:lvlText w:val="%2"/>
      <w:lvlJc w:val="left"/>
      <w:pPr>
        <w:ind w:left="13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8CACCBE">
      <w:start w:val="1"/>
      <w:numFmt w:val="lowerRoman"/>
      <w:lvlText w:val="%3"/>
      <w:lvlJc w:val="left"/>
      <w:pPr>
        <w:ind w:left="20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4C6A116">
      <w:start w:val="1"/>
      <w:numFmt w:val="decimal"/>
      <w:lvlText w:val="%4"/>
      <w:lvlJc w:val="left"/>
      <w:pPr>
        <w:ind w:left="27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667E71B0">
      <w:start w:val="1"/>
      <w:numFmt w:val="lowerLetter"/>
      <w:lvlText w:val="%5"/>
      <w:lvlJc w:val="left"/>
      <w:pPr>
        <w:ind w:left="349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832A68E">
      <w:start w:val="1"/>
      <w:numFmt w:val="lowerRoman"/>
      <w:lvlText w:val="%6"/>
      <w:lvlJc w:val="left"/>
      <w:pPr>
        <w:ind w:left="421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7184A94">
      <w:start w:val="1"/>
      <w:numFmt w:val="decimal"/>
      <w:lvlText w:val="%7"/>
      <w:lvlJc w:val="left"/>
      <w:pPr>
        <w:ind w:left="49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1780B0C">
      <w:start w:val="1"/>
      <w:numFmt w:val="lowerLetter"/>
      <w:lvlText w:val="%8"/>
      <w:lvlJc w:val="left"/>
      <w:pPr>
        <w:ind w:left="56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30A8247E">
      <w:start w:val="1"/>
      <w:numFmt w:val="lowerRoman"/>
      <w:lvlText w:val="%9"/>
      <w:lvlJc w:val="left"/>
      <w:pPr>
        <w:ind w:left="63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8" w15:restartNumberingAfterBreak="0">
    <w:nsid w:val="16CC4E5D"/>
    <w:multiLevelType w:val="multilevel"/>
    <w:tmpl w:val="D10E9CF6"/>
    <w:numStyleLink w:val="OneLevelList"/>
  </w:abstractNum>
  <w:abstractNum w:abstractNumId="9"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2461373"/>
    <w:multiLevelType w:val="hybridMultilevel"/>
    <w:tmpl w:val="9B6CE41C"/>
    <w:lvl w:ilvl="0" w:tplc="80A26F28">
      <w:start w:val="1"/>
      <w:numFmt w:val="decimal"/>
      <w:lvlText w:val="%1."/>
      <w:lvlJc w:val="left"/>
      <w:pPr>
        <w:ind w:left="51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48288B0">
      <w:start w:val="1"/>
      <w:numFmt w:val="lowerLetter"/>
      <w:lvlText w:val="%2"/>
      <w:lvlJc w:val="left"/>
      <w:pPr>
        <w:ind w:left="13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CB8B530">
      <w:start w:val="1"/>
      <w:numFmt w:val="lowerRoman"/>
      <w:lvlText w:val="%3"/>
      <w:lvlJc w:val="left"/>
      <w:pPr>
        <w:ind w:left="20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35CD968">
      <w:start w:val="1"/>
      <w:numFmt w:val="decimal"/>
      <w:lvlText w:val="%4"/>
      <w:lvlJc w:val="left"/>
      <w:pPr>
        <w:ind w:left="27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F07C60E4">
      <w:start w:val="1"/>
      <w:numFmt w:val="lowerLetter"/>
      <w:lvlText w:val="%5"/>
      <w:lvlJc w:val="left"/>
      <w:pPr>
        <w:ind w:left="349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69CE64A2">
      <w:start w:val="1"/>
      <w:numFmt w:val="lowerRoman"/>
      <w:lvlText w:val="%6"/>
      <w:lvlJc w:val="left"/>
      <w:pPr>
        <w:ind w:left="421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0743086">
      <w:start w:val="1"/>
      <w:numFmt w:val="decimal"/>
      <w:lvlText w:val="%7"/>
      <w:lvlJc w:val="left"/>
      <w:pPr>
        <w:ind w:left="49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F0C0314">
      <w:start w:val="1"/>
      <w:numFmt w:val="lowerLetter"/>
      <w:lvlText w:val="%8"/>
      <w:lvlJc w:val="left"/>
      <w:pPr>
        <w:ind w:left="56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04CAE80">
      <w:start w:val="1"/>
      <w:numFmt w:val="lowerRoman"/>
      <w:lvlText w:val="%9"/>
      <w:lvlJc w:val="left"/>
      <w:pPr>
        <w:ind w:left="63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9" w15:restartNumberingAfterBreak="0">
    <w:nsid w:val="510D2021"/>
    <w:multiLevelType w:val="multilevel"/>
    <w:tmpl w:val="72F8140E"/>
    <w:numStyleLink w:val="OutlineList"/>
  </w:abstractNum>
  <w:abstractNum w:abstractNumId="20"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3"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6"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4"/>
  </w:num>
  <w:num w:numId="2" w16cid:durableId="230386874">
    <w:abstractNumId w:val="0"/>
  </w:num>
  <w:num w:numId="3" w16cid:durableId="1716855291">
    <w:abstractNumId w:val="17"/>
  </w:num>
  <w:num w:numId="4" w16cid:durableId="797724066">
    <w:abstractNumId w:val="4"/>
  </w:num>
  <w:num w:numId="5" w16cid:durableId="709110180">
    <w:abstractNumId w:val="8"/>
  </w:num>
  <w:num w:numId="6" w16cid:durableId="306596971">
    <w:abstractNumId w:val="19"/>
  </w:num>
  <w:num w:numId="7" w16cid:durableId="1739129519">
    <w:abstractNumId w:val="1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9"/>
  </w:num>
  <w:num w:numId="9" w16cid:durableId="1591279926">
    <w:abstractNumId w:val="2"/>
  </w:num>
  <w:num w:numId="10" w16cid:durableId="832991063">
    <w:abstractNumId w:val="13"/>
  </w:num>
  <w:num w:numId="11" w16cid:durableId="215508863">
    <w:abstractNumId w:val="25"/>
  </w:num>
  <w:num w:numId="12" w16cid:durableId="2019234066">
    <w:abstractNumId w:val="19"/>
  </w:num>
  <w:num w:numId="13" w16cid:durableId="1757362042">
    <w:abstractNumId w:val="26"/>
  </w:num>
  <w:num w:numId="14" w16cid:durableId="353965158">
    <w:abstractNumId w:val="18"/>
  </w:num>
  <w:num w:numId="15" w16cid:durableId="77220001">
    <w:abstractNumId w:val="12"/>
  </w:num>
  <w:num w:numId="16" w16cid:durableId="626086807">
    <w:abstractNumId w:val="21"/>
  </w:num>
  <w:num w:numId="17" w16cid:durableId="143200778">
    <w:abstractNumId w:val="16"/>
  </w:num>
  <w:num w:numId="18" w16cid:durableId="10540393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5"/>
  </w:num>
  <w:num w:numId="21" w16cid:durableId="525217854">
    <w:abstractNumId w:val="20"/>
  </w:num>
  <w:num w:numId="22" w16cid:durableId="1017973052">
    <w:abstractNumId w:val="7"/>
  </w:num>
  <w:num w:numId="23" w16cid:durableId="17107575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22"/>
  </w:num>
  <w:num w:numId="25" w16cid:durableId="1198618205">
    <w:abstractNumId w:val="10"/>
  </w:num>
  <w:num w:numId="26" w16cid:durableId="1375422458">
    <w:abstractNumId w:val="11"/>
  </w:num>
  <w:num w:numId="27" w16cid:durableId="1053888564">
    <w:abstractNumId w:val="1"/>
  </w:num>
  <w:num w:numId="28" w16cid:durableId="670110216">
    <w:abstractNumId w:val="6"/>
  </w:num>
  <w:num w:numId="29" w16cid:durableId="81488023">
    <w:abstractNumId w:val="5"/>
  </w:num>
  <w:num w:numId="30" w16cid:durableId="1509834576">
    <w:abstractNumId w:val="3"/>
  </w:num>
  <w:num w:numId="31" w16cid:durableId="1013146293">
    <w:abstractNumId w:val="19"/>
  </w:num>
  <w:num w:numId="32" w16cid:durableId="12379409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80416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42579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79384564">
    <w:abstractNumId w:val="19"/>
  </w:num>
  <w:num w:numId="36" w16cid:durableId="14364366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55329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mirrorMargins/>
  <w:defaultTabStop w:val="720"/>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366298"/>
    <w:rsid w:val="00011725"/>
    <w:rsid w:val="00012758"/>
    <w:rsid w:val="00012C62"/>
    <w:rsid w:val="0001396A"/>
    <w:rsid w:val="000203EF"/>
    <w:rsid w:val="00021C78"/>
    <w:rsid w:val="00023B06"/>
    <w:rsid w:val="0002544D"/>
    <w:rsid w:val="00031827"/>
    <w:rsid w:val="00041C72"/>
    <w:rsid w:val="0004274D"/>
    <w:rsid w:val="00043348"/>
    <w:rsid w:val="0004483F"/>
    <w:rsid w:val="00046835"/>
    <w:rsid w:val="00046CB4"/>
    <w:rsid w:val="000509C4"/>
    <w:rsid w:val="0005138B"/>
    <w:rsid w:val="000522B7"/>
    <w:rsid w:val="00052C32"/>
    <w:rsid w:val="00053717"/>
    <w:rsid w:val="00054AB5"/>
    <w:rsid w:val="00056880"/>
    <w:rsid w:val="0006223D"/>
    <w:rsid w:val="00062C4D"/>
    <w:rsid w:val="000675D1"/>
    <w:rsid w:val="00070BC7"/>
    <w:rsid w:val="00072AA1"/>
    <w:rsid w:val="00073521"/>
    <w:rsid w:val="000775DE"/>
    <w:rsid w:val="00081DFB"/>
    <w:rsid w:val="00087FAF"/>
    <w:rsid w:val="00090099"/>
    <w:rsid w:val="00095D88"/>
    <w:rsid w:val="00096469"/>
    <w:rsid w:val="000B093F"/>
    <w:rsid w:val="000B302A"/>
    <w:rsid w:val="000C1685"/>
    <w:rsid w:val="000C571D"/>
    <w:rsid w:val="000C5F40"/>
    <w:rsid w:val="000D2F6C"/>
    <w:rsid w:val="000E0B74"/>
    <w:rsid w:val="000E7901"/>
    <w:rsid w:val="000F6233"/>
    <w:rsid w:val="00103F3C"/>
    <w:rsid w:val="001118CB"/>
    <w:rsid w:val="00131DC3"/>
    <w:rsid w:val="00132717"/>
    <w:rsid w:val="00135904"/>
    <w:rsid w:val="00135E4C"/>
    <w:rsid w:val="001373F5"/>
    <w:rsid w:val="0015536F"/>
    <w:rsid w:val="001558AF"/>
    <w:rsid w:val="001574C0"/>
    <w:rsid w:val="001606CF"/>
    <w:rsid w:val="0016128D"/>
    <w:rsid w:val="00164599"/>
    <w:rsid w:val="0017089D"/>
    <w:rsid w:val="001805A8"/>
    <w:rsid w:val="0019101A"/>
    <w:rsid w:val="00194FC8"/>
    <w:rsid w:val="00195C8E"/>
    <w:rsid w:val="001972D2"/>
    <w:rsid w:val="001B61A6"/>
    <w:rsid w:val="001C358D"/>
    <w:rsid w:val="001C40A0"/>
    <w:rsid w:val="001C4182"/>
    <w:rsid w:val="001C7D47"/>
    <w:rsid w:val="001D0D1C"/>
    <w:rsid w:val="001D4ABE"/>
    <w:rsid w:val="001F1B27"/>
    <w:rsid w:val="001F32A2"/>
    <w:rsid w:val="00221EC0"/>
    <w:rsid w:val="00226537"/>
    <w:rsid w:val="00231049"/>
    <w:rsid w:val="002314D2"/>
    <w:rsid w:val="0023305C"/>
    <w:rsid w:val="0023320B"/>
    <w:rsid w:val="00241881"/>
    <w:rsid w:val="0024294C"/>
    <w:rsid w:val="00242ED2"/>
    <w:rsid w:val="00245BC5"/>
    <w:rsid w:val="002461BA"/>
    <w:rsid w:val="00253497"/>
    <w:rsid w:val="002543D8"/>
    <w:rsid w:val="0025652F"/>
    <w:rsid w:val="00261802"/>
    <w:rsid w:val="00262021"/>
    <w:rsid w:val="002639D1"/>
    <w:rsid w:val="00263B6C"/>
    <w:rsid w:val="00267CF2"/>
    <w:rsid w:val="00272939"/>
    <w:rsid w:val="0027590B"/>
    <w:rsid w:val="00275B20"/>
    <w:rsid w:val="00282C13"/>
    <w:rsid w:val="0028440D"/>
    <w:rsid w:val="00285969"/>
    <w:rsid w:val="00295B30"/>
    <w:rsid w:val="002A48B2"/>
    <w:rsid w:val="002A74EF"/>
    <w:rsid w:val="002A7A31"/>
    <w:rsid w:val="002B27E5"/>
    <w:rsid w:val="002B3829"/>
    <w:rsid w:val="002C22EF"/>
    <w:rsid w:val="002C6A15"/>
    <w:rsid w:val="002D0727"/>
    <w:rsid w:val="002D18C0"/>
    <w:rsid w:val="002E1FB6"/>
    <w:rsid w:val="002E454C"/>
    <w:rsid w:val="002F617F"/>
    <w:rsid w:val="002F638E"/>
    <w:rsid w:val="00300109"/>
    <w:rsid w:val="00301755"/>
    <w:rsid w:val="0030665E"/>
    <w:rsid w:val="00306894"/>
    <w:rsid w:val="00312028"/>
    <w:rsid w:val="003122F4"/>
    <w:rsid w:val="003268D5"/>
    <w:rsid w:val="0033755F"/>
    <w:rsid w:val="003448F6"/>
    <w:rsid w:val="00345D52"/>
    <w:rsid w:val="0034624A"/>
    <w:rsid w:val="00350759"/>
    <w:rsid w:val="00354D27"/>
    <w:rsid w:val="003553B0"/>
    <w:rsid w:val="003563F7"/>
    <w:rsid w:val="0035738A"/>
    <w:rsid w:val="00365764"/>
    <w:rsid w:val="00366298"/>
    <w:rsid w:val="003709D8"/>
    <w:rsid w:val="00373EDE"/>
    <w:rsid w:val="00375655"/>
    <w:rsid w:val="00384975"/>
    <w:rsid w:val="003858A6"/>
    <w:rsid w:val="00386297"/>
    <w:rsid w:val="00392DCC"/>
    <w:rsid w:val="00397BB5"/>
    <w:rsid w:val="003A5B36"/>
    <w:rsid w:val="003B062E"/>
    <w:rsid w:val="003C24B4"/>
    <w:rsid w:val="003C47EC"/>
    <w:rsid w:val="003D5699"/>
    <w:rsid w:val="003D5781"/>
    <w:rsid w:val="003E20D6"/>
    <w:rsid w:val="003E4D87"/>
    <w:rsid w:val="003F00AC"/>
    <w:rsid w:val="003F6C8B"/>
    <w:rsid w:val="003F7AE1"/>
    <w:rsid w:val="00401082"/>
    <w:rsid w:val="004027D3"/>
    <w:rsid w:val="00410819"/>
    <w:rsid w:val="0041609A"/>
    <w:rsid w:val="00416762"/>
    <w:rsid w:val="00416E55"/>
    <w:rsid w:val="004216B4"/>
    <w:rsid w:val="00421955"/>
    <w:rsid w:val="00422B97"/>
    <w:rsid w:val="0042518A"/>
    <w:rsid w:val="004276A0"/>
    <w:rsid w:val="00437004"/>
    <w:rsid w:val="0044250B"/>
    <w:rsid w:val="00444A63"/>
    <w:rsid w:val="00444C51"/>
    <w:rsid w:val="00445265"/>
    <w:rsid w:val="00446CED"/>
    <w:rsid w:val="004559CE"/>
    <w:rsid w:val="00460E1A"/>
    <w:rsid w:val="00463DF8"/>
    <w:rsid w:val="00464DBE"/>
    <w:rsid w:val="00465BF7"/>
    <w:rsid w:val="00475085"/>
    <w:rsid w:val="00476CF6"/>
    <w:rsid w:val="00477AA8"/>
    <w:rsid w:val="00481E55"/>
    <w:rsid w:val="004876B0"/>
    <w:rsid w:val="00492FCB"/>
    <w:rsid w:val="00493F35"/>
    <w:rsid w:val="004A0F11"/>
    <w:rsid w:val="004A3EAA"/>
    <w:rsid w:val="004A7D97"/>
    <w:rsid w:val="004B5133"/>
    <w:rsid w:val="004C20EF"/>
    <w:rsid w:val="004C2902"/>
    <w:rsid w:val="004C41B6"/>
    <w:rsid w:val="004C581C"/>
    <w:rsid w:val="004C79BB"/>
    <w:rsid w:val="004D13B5"/>
    <w:rsid w:val="004D6E37"/>
    <w:rsid w:val="004E00EA"/>
    <w:rsid w:val="004E3662"/>
    <w:rsid w:val="004E6B14"/>
    <w:rsid w:val="004F03CD"/>
    <w:rsid w:val="004F4B92"/>
    <w:rsid w:val="00501B6C"/>
    <w:rsid w:val="00502A9D"/>
    <w:rsid w:val="00507007"/>
    <w:rsid w:val="00516785"/>
    <w:rsid w:val="00523B26"/>
    <w:rsid w:val="0052419D"/>
    <w:rsid w:val="005301F8"/>
    <w:rsid w:val="005312FC"/>
    <w:rsid w:val="00532C6D"/>
    <w:rsid w:val="0053569E"/>
    <w:rsid w:val="0053603D"/>
    <w:rsid w:val="0053742A"/>
    <w:rsid w:val="00537C85"/>
    <w:rsid w:val="00541D29"/>
    <w:rsid w:val="00543F23"/>
    <w:rsid w:val="00554974"/>
    <w:rsid w:val="00562F17"/>
    <w:rsid w:val="0056582C"/>
    <w:rsid w:val="005715B4"/>
    <w:rsid w:val="005776B2"/>
    <w:rsid w:val="005778A6"/>
    <w:rsid w:val="00586605"/>
    <w:rsid w:val="005868DE"/>
    <w:rsid w:val="005877AC"/>
    <w:rsid w:val="005966B7"/>
    <w:rsid w:val="00597F31"/>
    <w:rsid w:val="005A0A84"/>
    <w:rsid w:val="005B5E2A"/>
    <w:rsid w:val="005C02A4"/>
    <w:rsid w:val="005C20D2"/>
    <w:rsid w:val="005C262C"/>
    <w:rsid w:val="005C32FE"/>
    <w:rsid w:val="005C503A"/>
    <w:rsid w:val="005C5E72"/>
    <w:rsid w:val="005D024A"/>
    <w:rsid w:val="005D4FD4"/>
    <w:rsid w:val="005D6D64"/>
    <w:rsid w:val="005F7713"/>
    <w:rsid w:val="00601650"/>
    <w:rsid w:val="00603320"/>
    <w:rsid w:val="00604EEF"/>
    <w:rsid w:val="00605AFD"/>
    <w:rsid w:val="006123D4"/>
    <w:rsid w:val="0061373B"/>
    <w:rsid w:val="0061445B"/>
    <w:rsid w:val="00615ACB"/>
    <w:rsid w:val="0061714A"/>
    <w:rsid w:val="00624C4B"/>
    <w:rsid w:val="00642842"/>
    <w:rsid w:val="006469CC"/>
    <w:rsid w:val="00655508"/>
    <w:rsid w:val="0065607A"/>
    <w:rsid w:val="00667D2B"/>
    <w:rsid w:val="00672B5D"/>
    <w:rsid w:val="0067622C"/>
    <w:rsid w:val="00677E5A"/>
    <w:rsid w:val="00682249"/>
    <w:rsid w:val="0068252E"/>
    <w:rsid w:val="00682F8D"/>
    <w:rsid w:val="00685CF7"/>
    <w:rsid w:val="00686165"/>
    <w:rsid w:val="00691CB5"/>
    <w:rsid w:val="006923DF"/>
    <w:rsid w:val="006A37F5"/>
    <w:rsid w:val="006A6D33"/>
    <w:rsid w:val="006B38FF"/>
    <w:rsid w:val="006B7011"/>
    <w:rsid w:val="006C166C"/>
    <w:rsid w:val="006C1892"/>
    <w:rsid w:val="006C292D"/>
    <w:rsid w:val="006C5B73"/>
    <w:rsid w:val="006C645D"/>
    <w:rsid w:val="006E1A81"/>
    <w:rsid w:val="006E2D2A"/>
    <w:rsid w:val="006E3CC3"/>
    <w:rsid w:val="00703EB0"/>
    <w:rsid w:val="00706E8E"/>
    <w:rsid w:val="007201E2"/>
    <w:rsid w:val="00722B53"/>
    <w:rsid w:val="007344E4"/>
    <w:rsid w:val="00742366"/>
    <w:rsid w:val="00744484"/>
    <w:rsid w:val="00746E1C"/>
    <w:rsid w:val="007509DD"/>
    <w:rsid w:val="00753E68"/>
    <w:rsid w:val="007540BE"/>
    <w:rsid w:val="0075548F"/>
    <w:rsid w:val="00763474"/>
    <w:rsid w:val="00766184"/>
    <w:rsid w:val="007771C8"/>
    <w:rsid w:val="00777469"/>
    <w:rsid w:val="0078257B"/>
    <w:rsid w:val="007831F8"/>
    <w:rsid w:val="00783D75"/>
    <w:rsid w:val="00784C0A"/>
    <w:rsid w:val="00786148"/>
    <w:rsid w:val="007923A3"/>
    <w:rsid w:val="00794B40"/>
    <w:rsid w:val="00796E26"/>
    <w:rsid w:val="007A1079"/>
    <w:rsid w:val="007A1E98"/>
    <w:rsid w:val="007B23BF"/>
    <w:rsid w:val="007B2677"/>
    <w:rsid w:val="007B76AB"/>
    <w:rsid w:val="007C53DE"/>
    <w:rsid w:val="007D592B"/>
    <w:rsid w:val="007D5AA6"/>
    <w:rsid w:val="007D7A91"/>
    <w:rsid w:val="007E6456"/>
    <w:rsid w:val="007E6C02"/>
    <w:rsid w:val="0080098C"/>
    <w:rsid w:val="00801191"/>
    <w:rsid w:val="00811943"/>
    <w:rsid w:val="00813EF5"/>
    <w:rsid w:val="00815C81"/>
    <w:rsid w:val="008311B8"/>
    <w:rsid w:val="00834243"/>
    <w:rsid w:val="008374C4"/>
    <w:rsid w:val="00851BBF"/>
    <w:rsid w:val="00857969"/>
    <w:rsid w:val="00882CC4"/>
    <w:rsid w:val="008844AC"/>
    <w:rsid w:val="00897F46"/>
    <w:rsid w:val="008A43D6"/>
    <w:rsid w:val="008B0667"/>
    <w:rsid w:val="008B50F1"/>
    <w:rsid w:val="008C7F71"/>
    <w:rsid w:val="008D339F"/>
    <w:rsid w:val="008D5478"/>
    <w:rsid w:val="008E24D2"/>
    <w:rsid w:val="008E5C06"/>
    <w:rsid w:val="008E6292"/>
    <w:rsid w:val="008E6D73"/>
    <w:rsid w:val="008E7011"/>
    <w:rsid w:val="008E778B"/>
    <w:rsid w:val="008F2249"/>
    <w:rsid w:val="008F23EB"/>
    <w:rsid w:val="0090417B"/>
    <w:rsid w:val="00906E61"/>
    <w:rsid w:val="00917E28"/>
    <w:rsid w:val="00925AA5"/>
    <w:rsid w:val="00932D45"/>
    <w:rsid w:val="0093540D"/>
    <w:rsid w:val="00936A6D"/>
    <w:rsid w:val="0094019D"/>
    <w:rsid w:val="00942C11"/>
    <w:rsid w:val="0094351F"/>
    <w:rsid w:val="009466F2"/>
    <w:rsid w:val="00946E80"/>
    <w:rsid w:val="00950EFE"/>
    <w:rsid w:val="009537D1"/>
    <w:rsid w:val="009547F8"/>
    <w:rsid w:val="00957F48"/>
    <w:rsid w:val="00962ACF"/>
    <w:rsid w:val="00965A71"/>
    <w:rsid w:val="009724F1"/>
    <w:rsid w:val="009729D4"/>
    <w:rsid w:val="00972F09"/>
    <w:rsid w:val="00980759"/>
    <w:rsid w:val="00981109"/>
    <w:rsid w:val="009817B0"/>
    <w:rsid w:val="009821CE"/>
    <w:rsid w:val="009841FC"/>
    <w:rsid w:val="00985030"/>
    <w:rsid w:val="009A277C"/>
    <w:rsid w:val="009A658F"/>
    <w:rsid w:val="009B088F"/>
    <w:rsid w:val="009B1F2B"/>
    <w:rsid w:val="009B2249"/>
    <w:rsid w:val="009D2CFF"/>
    <w:rsid w:val="009D3776"/>
    <w:rsid w:val="009D6787"/>
    <w:rsid w:val="009E0CA5"/>
    <w:rsid w:val="009E171B"/>
    <w:rsid w:val="009E3574"/>
    <w:rsid w:val="00A015E8"/>
    <w:rsid w:val="00A07D47"/>
    <w:rsid w:val="00A10593"/>
    <w:rsid w:val="00A12F62"/>
    <w:rsid w:val="00A14FE9"/>
    <w:rsid w:val="00A155F0"/>
    <w:rsid w:val="00A3749B"/>
    <w:rsid w:val="00A37D87"/>
    <w:rsid w:val="00A46351"/>
    <w:rsid w:val="00A46E53"/>
    <w:rsid w:val="00A50D88"/>
    <w:rsid w:val="00A52E4E"/>
    <w:rsid w:val="00A54654"/>
    <w:rsid w:val="00A56923"/>
    <w:rsid w:val="00A5797A"/>
    <w:rsid w:val="00A62E42"/>
    <w:rsid w:val="00A64A71"/>
    <w:rsid w:val="00A7236C"/>
    <w:rsid w:val="00A72960"/>
    <w:rsid w:val="00A72D8F"/>
    <w:rsid w:val="00A74815"/>
    <w:rsid w:val="00A93401"/>
    <w:rsid w:val="00A96414"/>
    <w:rsid w:val="00A967D9"/>
    <w:rsid w:val="00A96F29"/>
    <w:rsid w:val="00A97160"/>
    <w:rsid w:val="00AA00E4"/>
    <w:rsid w:val="00AA7DF5"/>
    <w:rsid w:val="00AB0398"/>
    <w:rsid w:val="00AB09BD"/>
    <w:rsid w:val="00AC12EE"/>
    <w:rsid w:val="00AC1DBB"/>
    <w:rsid w:val="00AC2C3F"/>
    <w:rsid w:val="00AC3196"/>
    <w:rsid w:val="00AC4065"/>
    <w:rsid w:val="00AC75E2"/>
    <w:rsid w:val="00AD6966"/>
    <w:rsid w:val="00AE2F90"/>
    <w:rsid w:val="00AE343C"/>
    <w:rsid w:val="00B02C77"/>
    <w:rsid w:val="00B03DD6"/>
    <w:rsid w:val="00B04C67"/>
    <w:rsid w:val="00B1227F"/>
    <w:rsid w:val="00B214C6"/>
    <w:rsid w:val="00B24FDE"/>
    <w:rsid w:val="00B27497"/>
    <w:rsid w:val="00B27D20"/>
    <w:rsid w:val="00B3355A"/>
    <w:rsid w:val="00B33CEF"/>
    <w:rsid w:val="00B3583B"/>
    <w:rsid w:val="00B37A8F"/>
    <w:rsid w:val="00B47520"/>
    <w:rsid w:val="00B511DE"/>
    <w:rsid w:val="00B55B04"/>
    <w:rsid w:val="00B65347"/>
    <w:rsid w:val="00B65DE1"/>
    <w:rsid w:val="00B72AF0"/>
    <w:rsid w:val="00B737EB"/>
    <w:rsid w:val="00B74AF0"/>
    <w:rsid w:val="00B775EE"/>
    <w:rsid w:val="00B80FCF"/>
    <w:rsid w:val="00B856BC"/>
    <w:rsid w:val="00B87927"/>
    <w:rsid w:val="00B91E80"/>
    <w:rsid w:val="00B92ADE"/>
    <w:rsid w:val="00B95D27"/>
    <w:rsid w:val="00BA040E"/>
    <w:rsid w:val="00BA0F0B"/>
    <w:rsid w:val="00BA137E"/>
    <w:rsid w:val="00BA41DE"/>
    <w:rsid w:val="00BA5778"/>
    <w:rsid w:val="00BA5B24"/>
    <w:rsid w:val="00BA65AE"/>
    <w:rsid w:val="00BB00F3"/>
    <w:rsid w:val="00BB31E7"/>
    <w:rsid w:val="00BB633A"/>
    <w:rsid w:val="00BC1861"/>
    <w:rsid w:val="00BC6E69"/>
    <w:rsid w:val="00BD26AA"/>
    <w:rsid w:val="00BD2B12"/>
    <w:rsid w:val="00BD454F"/>
    <w:rsid w:val="00BD73FA"/>
    <w:rsid w:val="00BE4E2E"/>
    <w:rsid w:val="00BE55A8"/>
    <w:rsid w:val="00BE7EA5"/>
    <w:rsid w:val="00BF41C8"/>
    <w:rsid w:val="00C01DCC"/>
    <w:rsid w:val="00C202B3"/>
    <w:rsid w:val="00C21EE0"/>
    <w:rsid w:val="00C30297"/>
    <w:rsid w:val="00C30FCF"/>
    <w:rsid w:val="00C37CB8"/>
    <w:rsid w:val="00C42491"/>
    <w:rsid w:val="00C50B48"/>
    <w:rsid w:val="00C555AC"/>
    <w:rsid w:val="00C565B7"/>
    <w:rsid w:val="00C713ED"/>
    <w:rsid w:val="00C72318"/>
    <w:rsid w:val="00C724E6"/>
    <w:rsid w:val="00C747A5"/>
    <w:rsid w:val="00C85314"/>
    <w:rsid w:val="00C964E0"/>
    <w:rsid w:val="00CA0116"/>
    <w:rsid w:val="00CA4BC0"/>
    <w:rsid w:val="00CA5CA8"/>
    <w:rsid w:val="00CA6E20"/>
    <w:rsid w:val="00CB0157"/>
    <w:rsid w:val="00CB28E9"/>
    <w:rsid w:val="00CB5205"/>
    <w:rsid w:val="00CC38AC"/>
    <w:rsid w:val="00CC559D"/>
    <w:rsid w:val="00CD0C13"/>
    <w:rsid w:val="00CD0DE7"/>
    <w:rsid w:val="00CD654B"/>
    <w:rsid w:val="00CE223E"/>
    <w:rsid w:val="00CE3AA6"/>
    <w:rsid w:val="00CE75A4"/>
    <w:rsid w:val="00CF30CD"/>
    <w:rsid w:val="00CF3F0D"/>
    <w:rsid w:val="00CF735E"/>
    <w:rsid w:val="00CF7B7F"/>
    <w:rsid w:val="00D02E53"/>
    <w:rsid w:val="00D101F7"/>
    <w:rsid w:val="00D145F5"/>
    <w:rsid w:val="00D20763"/>
    <w:rsid w:val="00D31527"/>
    <w:rsid w:val="00D316A1"/>
    <w:rsid w:val="00D329F1"/>
    <w:rsid w:val="00D355F0"/>
    <w:rsid w:val="00D4047C"/>
    <w:rsid w:val="00D43AC8"/>
    <w:rsid w:val="00D50879"/>
    <w:rsid w:val="00D51610"/>
    <w:rsid w:val="00D542D3"/>
    <w:rsid w:val="00D56113"/>
    <w:rsid w:val="00D60CD9"/>
    <w:rsid w:val="00D643F4"/>
    <w:rsid w:val="00D64CEC"/>
    <w:rsid w:val="00D65732"/>
    <w:rsid w:val="00D774D8"/>
    <w:rsid w:val="00D82150"/>
    <w:rsid w:val="00D833D9"/>
    <w:rsid w:val="00D83BD9"/>
    <w:rsid w:val="00D904B1"/>
    <w:rsid w:val="00D92252"/>
    <w:rsid w:val="00D94DCF"/>
    <w:rsid w:val="00D94EAE"/>
    <w:rsid w:val="00DA586F"/>
    <w:rsid w:val="00DA6A44"/>
    <w:rsid w:val="00DB08DA"/>
    <w:rsid w:val="00DB591A"/>
    <w:rsid w:val="00DB7F09"/>
    <w:rsid w:val="00DC00E8"/>
    <w:rsid w:val="00DC1C56"/>
    <w:rsid w:val="00DC4756"/>
    <w:rsid w:val="00DC6379"/>
    <w:rsid w:val="00DC6AAD"/>
    <w:rsid w:val="00DD394B"/>
    <w:rsid w:val="00DE2763"/>
    <w:rsid w:val="00DE2C4E"/>
    <w:rsid w:val="00DE3A53"/>
    <w:rsid w:val="00DE3C77"/>
    <w:rsid w:val="00DE70F1"/>
    <w:rsid w:val="00DF1CBA"/>
    <w:rsid w:val="00DF3662"/>
    <w:rsid w:val="00DF6F61"/>
    <w:rsid w:val="00E00DBE"/>
    <w:rsid w:val="00E01846"/>
    <w:rsid w:val="00E101C6"/>
    <w:rsid w:val="00E22D51"/>
    <w:rsid w:val="00E256DC"/>
    <w:rsid w:val="00E27D6A"/>
    <w:rsid w:val="00E349A7"/>
    <w:rsid w:val="00E448DD"/>
    <w:rsid w:val="00E50E7C"/>
    <w:rsid w:val="00E51545"/>
    <w:rsid w:val="00E51D9E"/>
    <w:rsid w:val="00E537D1"/>
    <w:rsid w:val="00E567E6"/>
    <w:rsid w:val="00E56971"/>
    <w:rsid w:val="00E5790D"/>
    <w:rsid w:val="00E61484"/>
    <w:rsid w:val="00E6174F"/>
    <w:rsid w:val="00E7017C"/>
    <w:rsid w:val="00E711D7"/>
    <w:rsid w:val="00E74F23"/>
    <w:rsid w:val="00E815E1"/>
    <w:rsid w:val="00E902B0"/>
    <w:rsid w:val="00E902E8"/>
    <w:rsid w:val="00E9296B"/>
    <w:rsid w:val="00E92F90"/>
    <w:rsid w:val="00E97C19"/>
    <w:rsid w:val="00EA23AC"/>
    <w:rsid w:val="00EA398F"/>
    <w:rsid w:val="00EA7C3D"/>
    <w:rsid w:val="00EB0530"/>
    <w:rsid w:val="00EB24D7"/>
    <w:rsid w:val="00EB4B0B"/>
    <w:rsid w:val="00EB629A"/>
    <w:rsid w:val="00EB6878"/>
    <w:rsid w:val="00EB70FA"/>
    <w:rsid w:val="00EC1E0E"/>
    <w:rsid w:val="00EC236D"/>
    <w:rsid w:val="00EC6B16"/>
    <w:rsid w:val="00EC6C70"/>
    <w:rsid w:val="00ED5A20"/>
    <w:rsid w:val="00EE1447"/>
    <w:rsid w:val="00EE1BF1"/>
    <w:rsid w:val="00EE4864"/>
    <w:rsid w:val="00EE7744"/>
    <w:rsid w:val="00EF03E1"/>
    <w:rsid w:val="00EF0E37"/>
    <w:rsid w:val="00EF145E"/>
    <w:rsid w:val="00EF2BBB"/>
    <w:rsid w:val="00F0082D"/>
    <w:rsid w:val="00F015AB"/>
    <w:rsid w:val="00F032F4"/>
    <w:rsid w:val="00F045E0"/>
    <w:rsid w:val="00F07C90"/>
    <w:rsid w:val="00F106FC"/>
    <w:rsid w:val="00F14277"/>
    <w:rsid w:val="00F14DF6"/>
    <w:rsid w:val="00F20F8A"/>
    <w:rsid w:val="00F304A4"/>
    <w:rsid w:val="00F33DB8"/>
    <w:rsid w:val="00F51D7F"/>
    <w:rsid w:val="00F52346"/>
    <w:rsid w:val="00F5365A"/>
    <w:rsid w:val="00F57BED"/>
    <w:rsid w:val="00F60198"/>
    <w:rsid w:val="00F6037A"/>
    <w:rsid w:val="00F66213"/>
    <w:rsid w:val="00F669CD"/>
    <w:rsid w:val="00F737DB"/>
    <w:rsid w:val="00F73FA9"/>
    <w:rsid w:val="00F7613A"/>
    <w:rsid w:val="00F82746"/>
    <w:rsid w:val="00F836F9"/>
    <w:rsid w:val="00F845D7"/>
    <w:rsid w:val="00F85729"/>
    <w:rsid w:val="00F87A25"/>
    <w:rsid w:val="00F92279"/>
    <w:rsid w:val="00FA16C3"/>
    <w:rsid w:val="00FB4D21"/>
    <w:rsid w:val="00FB4FC6"/>
    <w:rsid w:val="00FB762B"/>
    <w:rsid w:val="00FC6ADA"/>
    <w:rsid w:val="00FF25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87E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uiPriority w:val="99"/>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24"/>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023B06"/>
    <w:pPr>
      <w:keepNext/>
      <w:spacing w:before="0" w:after="360"/>
    </w:pPr>
    <w:rPr>
      <w:color w:val="455875" w:themeColor="accent3" w:themeShade="BF"/>
      <w:sz w:val="32"/>
    </w:rPr>
  </w:style>
  <w:style w:type="paragraph" w:customStyle="1" w:styleId="Dash">
    <w:name w:val="Dash"/>
    <w:basedOn w:val="Normal"/>
    <w:link w:val="DashChar"/>
    <w:uiPriority w:val="99"/>
    <w:qFormat/>
    <w:rsid w:val="000E0B74"/>
    <w:pPr>
      <w:numPr>
        <w:ilvl w:val="1"/>
        <w:numId w:val="24"/>
      </w:numPr>
      <w:spacing w:before="0"/>
    </w:pPr>
  </w:style>
  <w:style w:type="paragraph" w:customStyle="1" w:styleId="DoubleDot">
    <w:name w:val="Double Dot"/>
    <w:basedOn w:val="Normal"/>
    <w:link w:val="DoubleDotChar"/>
    <w:uiPriority w:val="99"/>
    <w:qFormat/>
    <w:rsid w:val="000E0B74"/>
    <w:pPr>
      <w:numPr>
        <w:ilvl w:val="2"/>
        <w:numId w:val="24"/>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023B06"/>
    <w:pPr>
      <w:spacing w:before="0" w:after="30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23B06"/>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23B06"/>
    <w:rPr>
      <w:rFonts w:ascii="Calibri Light" w:eastAsia="Times New Roman" w:hAnsi="Calibri Light" w:cs="Times New Roman"/>
      <w:color w:val="455875" w:themeColor="accent3" w:themeShade="BF"/>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Strong">
    <w:name w:val="Strong"/>
    <w:basedOn w:val="DefaultParagraphFont"/>
    <w:qFormat/>
    <w:rsid w:val="00261802"/>
    <w:rPr>
      <w:b/>
      <w:bCs/>
    </w:rPr>
  </w:style>
  <w:style w:type="character" w:styleId="Emphasis">
    <w:name w:val="Emphasis"/>
    <w:basedOn w:val="DefaultParagraphFont"/>
    <w:uiPriority w:val="20"/>
    <w:rsid w:val="00261802"/>
    <w:rPr>
      <w:i/>
      <w:iCs/>
    </w:rPr>
  </w:style>
  <w:style w:type="paragraph" w:customStyle="1" w:styleId="footnotedescription">
    <w:name w:val="footnote description"/>
    <w:next w:val="Normal"/>
    <w:link w:val="footnotedescriptionChar"/>
    <w:hidden/>
    <w:rsid w:val="00446CED"/>
    <w:pPr>
      <w:spacing w:after="0" w:line="269" w:lineRule="auto"/>
      <w:ind w:left="28" w:firstLine="111"/>
    </w:pPr>
    <w:rPr>
      <w:rFonts w:ascii="Cambria" w:eastAsia="Cambria" w:hAnsi="Cambria" w:cs="Cambria"/>
      <w:color w:val="000000"/>
      <w:kern w:val="2"/>
      <w:sz w:val="16"/>
      <w:szCs w:val="24"/>
      <w:lang w:eastAsia="en-AU"/>
      <w14:ligatures w14:val="standardContextual"/>
    </w:rPr>
  </w:style>
  <w:style w:type="character" w:customStyle="1" w:styleId="footnotedescriptionChar">
    <w:name w:val="footnote description Char"/>
    <w:link w:val="footnotedescription"/>
    <w:rsid w:val="00446CED"/>
    <w:rPr>
      <w:rFonts w:ascii="Cambria" w:eastAsia="Cambria" w:hAnsi="Cambria" w:cs="Cambria"/>
      <w:color w:val="000000"/>
      <w:kern w:val="2"/>
      <w:sz w:val="16"/>
      <w:szCs w:val="24"/>
      <w:lang w:eastAsia="en-AU"/>
      <w14:ligatures w14:val="standardContextual"/>
    </w:rPr>
  </w:style>
  <w:style w:type="character" w:customStyle="1" w:styleId="footnotemark">
    <w:name w:val="footnote mark"/>
    <w:hidden/>
    <w:rsid w:val="00446CED"/>
    <w:rPr>
      <w:rFonts w:ascii="Cambria" w:eastAsia="Cambria" w:hAnsi="Cambria" w:cs="Cambria"/>
      <w:color w:val="000000"/>
      <w:sz w:val="16"/>
      <w:vertAlign w:val="superscript"/>
    </w:rPr>
  </w:style>
  <w:style w:type="table" w:customStyle="1" w:styleId="TableGrid0">
    <w:name w:val="TableGrid"/>
    <w:rsid w:val="00446CED"/>
    <w:pPr>
      <w:spacing w:after="0" w:line="240" w:lineRule="auto"/>
    </w:pPr>
    <w:rPr>
      <w:rFonts w:eastAsiaTheme="minorEastAsia"/>
      <w:kern w:val="2"/>
      <w:sz w:val="24"/>
      <w:szCs w:val="24"/>
      <w:lang w:eastAsia="en-AU"/>
      <w14:ligatures w14:val="standardContextual"/>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9E3574"/>
    <w:rPr>
      <w:rFonts w:ascii="Calibri Light" w:hAnsi="Calibri Light"/>
      <w:b/>
      <w:bCs/>
    </w:rPr>
  </w:style>
  <w:style w:type="character" w:customStyle="1" w:styleId="CommentSubjectChar">
    <w:name w:val="Comment Subject Char"/>
    <w:basedOn w:val="CommentTextChar"/>
    <w:link w:val="CommentSubject"/>
    <w:uiPriority w:val="99"/>
    <w:semiHidden/>
    <w:rsid w:val="009E3574"/>
    <w:rPr>
      <w:rFonts w:ascii="Calibri Light" w:eastAsia="Times New Roman" w:hAnsi="Calibri Light" w:cs="Times New Roman"/>
      <w:b/>
      <w:bCs/>
      <w:sz w:val="20"/>
      <w:szCs w:val="20"/>
      <w:lang w:eastAsia="en-AU"/>
    </w:rPr>
  </w:style>
  <w:style w:type="paragraph" w:styleId="Revision">
    <w:name w:val="Revision"/>
    <w:hidden/>
    <w:uiPriority w:val="99"/>
    <w:semiHidden/>
    <w:rsid w:val="00493F35"/>
    <w:pPr>
      <w:spacing w:after="0" w:line="240" w:lineRule="auto"/>
    </w:pPr>
    <w:rPr>
      <w:rFonts w:ascii="Calibri Light" w:eastAsia="Times New Roman" w:hAnsi="Calibri Light" w:cs="Times New Roman"/>
      <w:szCs w:val="20"/>
      <w:lang w:eastAsia="en-AU"/>
    </w:rPr>
  </w:style>
  <w:style w:type="character" w:styleId="UnresolvedMention">
    <w:name w:val="Unresolved Mention"/>
    <w:basedOn w:val="DefaultParagraphFont"/>
    <w:uiPriority w:val="99"/>
    <w:semiHidden/>
    <w:unhideWhenUsed/>
    <w:rsid w:val="0049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87216593">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6013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c.gov.au/government/commonwealth-coat-arms" TargetMode="Externa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1.xml"/><Relationship Id="rId25" Type="http://schemas.openxmlformats.org/officeDocument/2006/relationships/chart" Target="charts/chart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hart" Target="charts/chart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hyperlink" Target="https://creativecommons.org/licenses/by/4.0/legalcode" TargetMode="Externa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mailto:media@treasury.gov.au"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854700854700855E-2"/>
          <c:y val="4.925158730158731E-2"/>
          <c:w val="0.97879935897435899"/>
          <c:h val="0.94066904761904757"/>
        </c:manualLayout>
      </c:layout>
      <c:lineChart>
        <c:grouping val="standard"/>
        <c:varyColors val="0"/>
        <c:ser>
          <c:idx val="0"/>
          <c:order val="0"/>
          <c:tx>
            <c:strRef>
              <c:f>'Figure 1'!$B$1</c:f>
              <c:strCache>
                <c:ptCount val="1"/>
                <c:pt idx="0">
                  <c:v>Full sample</c:v>
                </c:pt>
              </c:strCache>
            </c:strRef>
          </c:tx>
          <c:spPr>
            <a:ln w="25400" cap="rnd">
              <a:solidFill>
                <a:schemeClr val="accent1"/>
              </a:solidFill>
              <a:round/>
            </a:ln>
            <a:effectLst/>
          </c:spPr>
          <c:marker>
            <c:symbol val="none"/>
          </c:marker>
          <c:cat>
            <c:numRef>
              <c:f>'Figure 1'!$A$2:$A$17</c:f>
              <c:numCache>
                <c:formatCode>m/d/yyyy</c:formatCode>
                <c:ptCount val="16"/>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pt idx="15">
                  <c:v>43281</c:v>
                </c:pt>
              </c:numCache>
            </c:numRef>
          </c:cat>
          <c:val>
            <c:numRef>
              <c:f>'Figure 1'!$B$2:$B$17</c:f>
              <c:numCache>
                <c:formatCode>General</c:formatCode>
                <c:ptCount val="16"/>
                <c:pt idx="0">
                  <c:v>2880</c:v>
                </c:pt>
                <c:pt idx="1">
                  <c:v>4410</c:v>
                </c:pt>
                <c:pt idx="2">
                  <c:v>3400</c:v>
                </c:pt>
                <c:pt idx="3">
                  <c:v>3660</c:v>
                </c:pt>
                <c:pt idx="4">
                  <c:v>3730</c:v>
                </c:pt>
                <c:pt idx="5">
                  <c:v>4140</c:v>
                </c:pt>
                <c:pt idx="6">
                  <c:v>2820</c:v>
                </c:pt>
                <c:pt idx="7">
                  <c:v>2950</c:v>
                </c:pt>
                <c:pt idx="8">
                  <c:v>3120</c:v>
                </c:pt>
                <c:pt idx="9">
                  <c:v>2780</c:v>
                </c:pt>
                <c:pt idx="10">
                  <c:v>3180</c:v>
                </c:pt>
                <c:pt idx="11">
                  <c:v>3300</c:v>
                </c:pt>
                <c:pt idx="12">
                  <c:v>3550</c:v>
                </c:pt>
                <c:pt idx="13">
                  <c:v>3380</c:v>
                </c:pt>
                <c:pt idx="14">
                  <c:v>3550</c:v>
                </c:pt>
                <c:pt idx="15">
                  <c:v>3670</c:v>
                </c:pt>
              </c:numCache>
            </c:numRef>
          </c:val>
          <c:smooth val="0"/>
          <c:extLst>
            <c:ext xmlns:c16="http://schemas.microsoft.com/office/drawing/2014/chart" uri="{C3380CC4-5D6E-409C-BE32-E72D297353CC}">
              <c16:uniqueId val="{00000000-E3ED-4F65-9FA2-B9681959E1DC}"/>
            </c:ext>
          </c:extLst>
        </c:ser>
        <c:ser>
          <c:idx val="1"/>
          <c:order val="1"/>
          <c:tx>
            <c:strRef>
              <c:f>'Figure 1'!$C$1</c:f>
              <c:strCache>
                <c:ptCount val="1"/>
                <c:pt idx="0">
                  <c:v>Pre-exist</c:v>
                </c:pt>
              </c:strCache>
            </c:strRef>
          </c:tx>
          <c:spPr>
            <a:ln w="25400" cap="rnd">
              <a:solidFill>
                <a:schemeClr val="accent2"/>
              </a:solidFill>
              <a:round/>
            </a:ln>
            <a:effectLst/>
          </c:spPr>
          <c:marker>
            <c:symbol val="none"/>
          </c:marker>
          <c:cat>
            <c:numRef>
              <c:f>'Figure 1'!$A$2:$A$17</c:f>
              <c:numCache>
                <c:formatCode>m/d/yyyy</c:formatCode>
                <c:ptCount val="16"/>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pt idx="15">
                  <c:v>43281</c:v>
                </c:pt>
              </c:numCache>
            </c:numRef>
          </c:cat>
          <c:val>
            <c:numRef>
              <c:f>'Figure 1'!$C$2:$C$17</c:f>
              <c:numCache>
                <c:formatCode>General</c:formatCode>
                <c:ptCount val="16"/>
                <c:pt idx="0">
                  <c:v>760</c:v>
                </c:pt>
                <c:pt idx="1">
                  <c:v>1010</c:v>
                </c:pt>
                <c:pt idx="2">
                  <c:v>790</c:v>
                </c:pt>
                <c:pt idx="3">
                  <c:v>930</c:v>
                </c:pt>
                <c:pt idx="4">
                  <c:v>870</c:v>
                </c:pt>
                <c:pt idx="5">
                  <c:v>1480</c:v>
                </c:pt>
                <c:pt idx="6">
                  <c:v>690</c:v>
                </c:pt>
                <c:pt idx="7">
                  <c:v>690</c:v>
                </c:pt>
                <c:pt idx="8">
                  <c:v>700</c:v>
                </c:pt>
                <c:pt idx="9">
                  <c:v>650</c:v>
                </c:pt>
                <c:pt idx="10">
                  <c:v>740</c:v>
                </c:pt>
                <c:pt idx="11">
                  <c:v>770</c:v>
                </c:pt>
                <c:pt idx="12">
                  <c:v>910</c:v>
                </c:pt>
                <c:pt idx="13">
                  <c:v>790</c:v>
                </c:pt>
                <c:pt idx="14">
                  <c:v>900</c:v>
                </c:pt>
                <c:pt idx="15">
                  <c:v>940</c:v>
                </c:pt>
              </c:numCache>
            </c:numRef>
          </c:val>
          <c:smooth val="0"/>
          <c:extLst>
            <c:ext xmlns:c16="http://schemas.microsoft.com/office/drawing/2014/chart" uri="{C3380CC4-5D6E-409C-BE32-E72D297353CC}">
              <c16:uniqueId val="{00000001-E3ED-4F65-9FA2-B9681959E1DC}"/>
            </c:ext>
          </c:extLst>
        </c:ser>
        <c:ser>
          <c:idx val="2"/>
          <c:order val="2"/>
          <c:tx>
            <c:strRef>
              <c:f>'Figure 1'!$D$1</c:f>
              <c:strCache>
                <c:ptCount val="1"/>
                <c:pt idx="0">
                  <c:v>Pre-exist or mltuplie flow</c:v>
                </c:pt>
              </c:strCache>
            </c:strRef>
          </c:tx>
          <c:spPr>
            <a:ln w="25400" cap="rnd">
              <a:solidFill>
                <a:schemeClr val="accent3"/>
              </a:solidFill>
              <a:round/>
            </a:ln>
            <a:effectLst/>
          </c:spPr>
          <c:marker>
            <c:symbol val="none"/>
          </c:marker>
          <c:cat>
            <c:numRef>
              <c:f>'Figure 1'!$A$2:$A$17</c:f>
              <c:numCache>
                <c:formatCode>m/d/yyyy</c:formatCode>
                <c:ptCount val="16"/>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pt idx="15">
                  <c:v>43281</c:v>
                </c:pt>
              </c:numCache>
            </c:numRef>
          </c:cat>
          <c:val>
            <c:numRef>
              <c:f>'Figure 1'!$D$2:$D$17</c:f>
              <c:numCache>
                <c:formatCode>General</c:formatCode>
                <c:ptCount val="16"/>
                <c:pt idx="0">
                  <c:v>1040</c:v>
                </c:pt>
                <c:pt idx="1">
                  <c:v>1560</c:v>
                </c:pt>
                <c:pt idx="2">
                  <c:v>1160</c:v>
                </c:pt>
                <c:pt idx="3">
                  <c:v>1270</c:v>
                </c:pt>
                <c:pt idx="4">
                  <c:v>1270</c:v>
                </c:pt>
                <c:pt idx="5">
                  <c:v>1910</c:v>
                </c:pt>
                <c:pt idx="6">
                  <c:v>890</c:v>
                </c:pt>
                <c:pt idx="7">
                  <c:v>960</c:v>
                </c:pt>
                <c:pt idx="8">
                  <c:v>1060</c:v>
                </c:pt>
                <c:pt idx="9">
                  <c:v>890</c:v>
                </c:pt>
                <c:pt idx="10">
                  <c:v>990</c:v>
                </c:pt>
                <c:pt idx="11">
                  <c:v>1100</c:v>
                </c:pt>
                <c:pt idx="12">
                  <c:v>1260</c:v>
                </c:pt>
                <c:pt idx="13">
                  <c:v>1120</c:v>
                </c:pt>
                <c:pt idx="14">
                  <c:v>1190</c:v>
                </c:pt>
                <c:pt idx="15">
                  <c:v>1290</c:v>
                </c:pt>
              </c:numCache>
            </c:numRef>
          </c:val>
          <c:smooth val="0"/>
          <c:extLst>
            <c:ext xmlns:c16="http://schemas.microsoft.com/office/drawing/2014/chart" uri="{C3380CC4-5D6E-409C-BE32-E72D297353CC}">
              <c16:uniqueId val="{00000002-E3ED-4F65-9FA2-B9681959E1DC}"/>
            </c:ext>
          </c:extLst>
        </c:ser>
        <c:dLbls>
          <c:showLegendKey val="0"/>
          <c:showVal val="0"/>
          <c:showCatName val="0"/>
          <c:showSerName val="0"/>
          <c:showPercent val="0"/>
          <c:showBubbleSize val="0"/>
        </c:dLbls>
        <c:smooth val="0"/>
        <c:axId val="1590679104"/>
        <c:axId val="1590679584"/>
      </c:lineChart>
      <c:dateAx>
        <c:axId val="1590679104"/>
        <c:scaling>
          <c:orientation val="minMax"/>
        </c:scaling>
        <c:delete val="0"/>
        <c:axPos val="b"/>
        <c:numFmt formatCode="yyyy" sourceLinked="0"/>
        <c:majorTickMark val="out"/>
        <c:minorTickMark val="in"/>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590679584"/>
        <c:crosses val="autoZero"/>
        <c:auto val="1"/>
        <c:lblOffset val="100"/>
        <c:baseTimeUnit val="months"/>
        <c:majorUnit val="36"/>
        <c:majorTimeUnit val="months"/>
      </c:dateAx>
      <c:valAx>
        <c:axId val="1590679584"/>
        <c:scaling>
          <c:orientation val="minMax"/>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Count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590679104"/>
        <c:crossesAt val="37622"/>
        <c:crossBetween val="midCat"/>
        <c:majorUnit val="1000"/>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854700854700855E-2"/>
          <c:y val="4.925158730158731E-2"/>
          <c:w val="0.97879935897435899"/>
          <c:h val="0.94066904761904757"/>
        </c:manualLayout>
      </c:layout>
      <c:lineChart>
        <c:grouping val="standard"/>
        <c:varyColors val="0"/>
        <c:ser>
          <c:idx val="0"/>
          <c:order val="0"/>
          <c:tx>
            <c:strRef>
              <c:f>'Figure 4'!$B$1</c:f>
              <c:strCache>
                <c:ptCount val="1"/>
                <c:pt idx="0">
                  <c:v>ASIC</c:v>
                </c:pt>
              </c:strCache>
            </c:strRef>
          </c:tx>
          <c:spPr>
            <a:ln w="25400" cap="rnd">
              <a:solidFill>
                <a:schemeClr val="accent1"/>
              </a:solidFill>
              <a:round/>
            </a:ln>
            <a:effectLst/>
          </c:spPr>
          <c:marker>
            <c:symbol val="none"/>
          </c:marker>
          <c:cat>
            <c:numRef>
              <c:f>'Figure 4'!$A$2:$A$22</c:f>
              <c:numCache>
                <c:formatCode>m/d/yyyy</c:formatCode>
                <c:ptCount val="21"/>
                <c:pt idx="0">
                  <c:v>37437</c:v>
                </c:pt>
                <c:pt idx="1">
                  <c:v>37802</c:v>
                </c:pt>
                <c:pt idx="2">
                  <c:v>38168</c:v>
                </c:pt>
                <c:pt idx="3">
                  <c:v>38533</c:v>
                </c:pt>
                <c:pt idx="4">
                  <c:v>38898</c:v>
                </c:pt>
                <c:pt idx="5">
                  <c:v>39263</c:v>
                </c:pt>
                <c:pt idx="6">
                  <c:v>39629</c:v>
                </c:pt>
                <c:pt idx="7">
                  <c:v>39994</c:v>
                </c:pt>
                <c:pt idx="8">
                  <c:v>40359</c:v>
                </c:pt>
                <c:pt idx="9">
                  <c:v>40724</c:v>
                </c:pt>
                <c:pt idx="10">
                  <c:v>41090</c:v>
                </c:pt>
                <c:pt idx="11">
                  <c:v>41455</c:v>
                </c:pt>
                <c:pt idx="12">
                  <c:v>41820</c:v>
                </c:pt>
                <c:pt idx="13">
                  <c:v>42185</c:v>
                </c:pt>
                <c:pt idx="14">
                  <c:v>42551</c:v>
                </c:pt>
                <c:pt idx="15">
                  <c:v>42916</c:v>
                </c:pt>
                <c:pt idx="16">
                  <c:v>43281</c:v>
                </c:pt>
                <c:pt idx="17">
                  <c:v>43646</c:v>
                </c:pt>
                <c:pt idx="18">
                  <c:v>44012</c:v>
                </c:pt>
                <c:pt idx="19">
                  <c:v>44377</c:v>
                </c:pt>
                <c:pt idx="20">
                  <c:v>44742</c:v>
                </c:pt>
              </c:numCache>
            </c:numRef>
          </c:cat>
          <c:val>
            <c:numRef>
              <c:f>'Figure 4'!$B$2:$B$22</c:f>
              <c:numCache>
                <c:formatCode>General</c:formatCode>
                <c:ptCount val="21"/>
                <c:pt idx="0">
                  <c:v>398</c:v>
                </c:pt>
                <c:pt idx="1">
                  <c:v>327</c:v>
                </c:pt>
                <c:pt idx="2">
                  <c:v>388</c:v>
                </c:pt>
                <c:pt idx="3">
                  <c:v>458</c:v>
                </c:pt>
                <c:pt idx="4">
                  <c:v>477</c:v>
                </c:pt>
                <c:pt idx="5">
                  <c:v>604</c:v>
                </c:pt>
                <c:pt idx="6">
                  <c:v>523</c:v>
                </c:pt>
                <c:pt idx="7">
                  <c:v>411</c:v>
                </c:pt>
                <c:pt idx="8">
                  <c:v>459</c:v>
                </c:pt>
                <c:pt idx="9">
                  <c:v>589</c:v>
                </c:pt>
                <c:pt idx="10">
                  <c:v>367</c:v>
                </c:pt>
                <c:pt idx="11">
                  <c:v>287</c:v>
                </c:pt>
                <c:pt idx="12">
                  <c:v>313</c:v>
                </c:pt>
                <c:pt idx="13">
                  <c:v>302</c:v>
                </c:pt>
                <c:pt idx="14">
                  <c:v>260</c:v>
                </c:pt>
                <c:pt idx="15">
                  <c:v>254</c:v>
                </c:pt>
                <c:pt idx="16">
                  <c:v>214</c:v>
                </c:pt>
                <c:pt idx="17">
                  <c:v>268</c:v>
                </c:pt>
                <c:pt idx="18">
                  <c:v>214</c:v>
                </c:pt>
                <c:pt idx="19">
                  <c:v>309</c:v>
                </c:pt>
                <c:pt idx="20">
                  <c:v>265</c:v>
                </c:pt>
              </c:numCache>
            </c:numRef>
          </c:val>
          <c:smooth val="0"/>
          <c:extLst>
            <c:ext xmlns:c16="http://schemas.microsoft.com/office/drawing/2014/chart" uri="{C3380CC4-5D6E-409C-BE32-E72D297353CC}">
              <c16:uniqueId val="{00000000-05E6-41A4-B061-376E9FCC9E97}"/>
            </c:ext>
          </c:extLst>
        </c:ser>
        <c:dLbls>
          <c:showLegendKey val="0"/>
          <c:showVal val="0"/>
          <c:showCatName val="0"/>
          <c:showSerName val="0"/>
          <c:showPercent val="0"/>
          <c:showBubbleSize val="0"/>
        </c:dLbls>
        <c:smooth val="0"/>
        <c:axId val="2055235248"/>
        <c:axId val="2055241008"/>
      </c:lineChart>
      <c:dateAx>
        <c:axId val="2055235248"/>
        <c:scaling>
          <c:orientation val="minMax"/>
        </c:scaling>
        <c:delete val="0"/>
        <c:axPos val="b"/>
        <c:numFmt formatCode="yyyy" sourceLinked="0"/>
        <c:majorTickMark val="out"/>
        <c:minorTickMark val="in"/>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2055241008"/>
        <c:crosses val="autoZero"/>
        <c:auto val="1"/>
        <c:lblOffset val="100"/>
        <c:baseTimeUnit val="years"/>
        <c:majorUnit val="2"/>
        <c:majorTimeUnit val="years"/>
      </c:dateAx>
      <c:valAx>
        <c:axId val="2055241008"/>
        <c:scaling>
          <c:orientation val="minMax"/>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Count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2055235248"/>
        <c:crosses val="autoZero"/>
        <c:crossBetween val="midCat"/>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1.0854700854700855E-2"/>
          <c:y val="4.6845138888888888E-2"/>
          <c:w val="0.97879935897435899"/>
          <c:h val="0.86645208333333334"/>
        </c:manualLayout>
      </c:layout>
      <c:barChart>
        <c:barDir val="col"/>
        <c:grouping val="stacked"/>
        <c:varyColors val="0"/>
        <c:ser>
          <c:idx val="0"/>
          <c:order val="0"/>
          <c:tx>
            <c:strRef>
              <c:f>'Figure 5'!$B$1</c:f>
              <c:strCache>
                <c:ptCount val="1"/>
                <c:pt idx="0">
                  <c:v>Partial takeovers</c:v>
                </c:pt>
              </c:strCache>
            </c:strRef>
          </c:tx>
          <c:spPr>
            <a:solidFill>
              <a:schemeClr val="accent1"/>
            </a:solidFill>
            <a:ln>
              <a:noFill/>
            </a:ln>
            <a:effectLst/>
          </c:spPr>
          <c:invertIfNegative val="0"/>
          <c:cat>
            <c:numRef>
              <c:f>'Figure 5'!$A$2:$A$22</c:f>
              <c:numCache>
                <c:formatCode>m/d/yyyy</c:formatCode>
                <c:ptCount val="21"/>
                <c:pt idx="0">
                  <c:v>37437</c:v>
                </c:pt>
                <c:pt idx="1">
                  <c:v>37802</c:v>
                </c:pt>
                <c:pt idx="2">
                  <c:v>38168</c:v>
                </c:pt>
                <c:pt idx="3">
                  <c:v>38533</c:v>
                </c:pt>
                <c:pt idx="4">
                  <c:v>38898</c:v>
                </c:pt>
                <c:pt idx="5">
                  <c:v>39263</c:v>
                </c:pt>
                <c:pt idx="6">
                  <c:v>39629</c:v>
                </c:pt>
                <c:pt idx="7">
                  <c:v>39994</c:v>
                </c:pt>
                <c:pt idx="8">
                  <c:v>40359</c:v>
                </c:pt>
                <c:pt idx="9">
                  <c:v>40724</c:v>
                </c:pt>
                <c:pt idx="10">
                  <c:v>41090</c:v>
                </c:pt>
                <c:pt idx="11">
                  <c:v>41455</c:v>
                </c:pt>
                <c:pt idx="12">
                  <c:v>41820</c:v>
                </c:pt>
                <c:pt idx="13">
                  <c:v>42185</c:v>
                </c:pt>
                <c:pt idx="14">
                  <c:v>42551</c:v>
                </c:pt>
                <c:pt idx="15">
                  <c:v>42916</c:v>
                </c:pt>
                <c:pt idx="16">
                  <c:v>43281</c:v>
                </c:pt>
                <c:pt idx="17">
                  <c:v>43646</c:v>
                </c:pt>
                <c:pt idx="18">
                  <c:v>44012</c:v>
                </c:pt>
                <c:pt idx="19">
                  <c:v>44377</c:v>
                </c:pt>
                <c:pt idx="20">
                  <c:v>44742</c:v>
                </c:pt>
              </c:numCache>
            </c:numRef>
          </c:cat>
          <c:val>
            <c:numRef>
              <c:f>'Figure 5'!$B$2:$B$22</c:f>
              <c:numCache>
                <c:formatCode>General</c:formatCode>
                <c:ptCount val="21"/>
                <c:pt idx="0">
                  <c:v>23</c:v>
                </c:pt>
                <c:pt idx="1">
                  <c:v>20</c:v>
                </c:pt>
                <c:pt idx="2">
                  <c:v>20</c:v>
                </c:pt>
                <c:pt idx="3">
                  <c:v>29</c:v>
                </c:pt>
                <c:pt idx="4">
                  <c:v>23</c:v>
                </c:pt>
                <c:pt idx="5">
                  <c:v>38</c:v>
                </c:pt>
                <c:pt idx="6">
                  <c:v>32</c:v>
                </c:pt>
                <c:pt idx="7">
                  <c:v>19</c:v>
                </c:pt>
                <c:pt idx="8">
                  <c:v>19</c:v>
                </c:pt>
                <c:pt idx="9">
                  <c:v>28</c:v>
                </c:pt>
                <c:pt idx="10">
                  <c:v>27</c:v>
                </c:pt>
                <c:pt idx="11">
                  <c:v>12</c:v>
                </c:pt>
                <c:pt idx="12">
                  <c:v>11</c:v>
                </c:pt>
                <c:pt idx="13">
                  <c:v>16</c:v>
                </c:pt>
                <c:pt idx="14">
                  <c:v>10</c:v>
                </c:pt>
                <c:pt idx="15">
                  <c:v>10</c:v>
                </c:pt>
                <c:pt idx="16">
                  <c:v>10</c:v>
                </c:pt>
                <c:pt idx="17">
                  <c:v>16</c:v>
                </c:pt>
                <c:pt idx="18">
                  <c:v>12</c:v>
                </c:pt>
                <c:pt idx="19">
                  <c:v>10</c:v>
                </c:pt>
                <c:pt idx="20">
                  <c:v>11</c:v>
                </c:pt>
              </c:numCache>
            </c:numRef>
          </c:val>
          <c:extLst>
            <c:ext xmlns:c16="http://schemas.microsoft.com/office/drawing/2014/chart" uri="{C3380CC4-5D6E-409C-BE32-E72D297353CC}">
              <c16:uniqueId val="{00000000-FE30-484E-9E31-B5DD827EC2C0}"/>
            </c:ext>
          </c:extLst>
        </c:ser>
        <c:ser>
          <c:idx val="1"/>
          <c:order val="1"/>
          <c:tx>
            <c:strRef>
              <c:f>'Figure 5'!$C$1</c:f>
              <c:strCache>
                <c:ptCount val="1"/>
                <c:pt idx="0">
                  <c:v>Full takeovers</c:v>
                </c:pt>
              </c:strCache>
            </c:strRef>
          </c:tx>
          <c:spPr>
            <a:solidFill>
              <a:schemeClr val="accent2"/>
            </a:solidFill>
            <a:ln>
              <a:noFill/>
            </a:ln>
            <a:effectLst/>
          </c:spPr>
          <c:invertIfNegative val="0"/>
          <c:cat>
            <c:numRef>
              <c:f>'Figure 5'!$A$2:$A$22</c:f>
              <c:numCache>
                <c:formatCode>m/d/yyyy</c:formatCode>
                <c:ptCount val="21"/>
                <c:pt idx="0">
                  <c:v>37437</c:v>
                </c:pt>
                <c:pt idx="1">
                  <c:v>37802</c:v>
                </c:pt>
                <c:pt idx="2">
                  <c:v>38168</c:v>
                </c:pt>
                <c:pt idx="3">
                  <c:v>38533</c:v>
                </c:pt>
                <c:pt idx="4">
                  <c:v>38898</c:v>
                </c:pt>
                <c:pt idx="5">
                  <c:v>39263</c:v>
                </c:pt>
                <c:pt idx="6">
                  <c:v>39629</c:v>
                </c:pt>
                <c:pt idx="7">
                  <c:v>39994</c:v>
                </c:pt>
                <c:pt idx="8">
                  <c:v>40359</c:v>
                </c:pt>
                <c:pt idx="9">
                  <c:v>40724</c:v>
                </c:pt>
                <c:pt idx="10">
                  <c:v>41090</c:v>
                </c:pt>
                <c:pt idx="11">
                  <c:v>41455</c:v>
                </c:pt>
                <c:pt idx="12">
                  <c:v>41820</c:v>
                </c:pt>
                <c:pt idx="13">
                  <c:v>42185</c:v>
                </c:pt>
                <c:pt idx="14">
                  <c:v>42551</c:v>
                </c:pt>
                <c:pt idx="15">
                  <c:v>42916</c:v>
                </c:pt>
                <c:pt idx="16">
                  <c:v>43281</c:v>
                </c:pt>
                <c:pt idx="17">
                  <c:v>43646</c:v>
                </c:pt>
                <c:pt idx="18">
                  <c:v>44012</c:v>
                </c:pt>
                <c:pt idx="19">
                  <c:v>44377</c:v>
                </c:pt>
                <c:pt idx="20">
                  <c:v>44742</c:v>
                </c:pt>
              </c:numCache>
            </c:numRef>
          </c:cat>
          <c:val>
            <c:numRef>
              <c:f>'Figure 5'!$C$2:$C$22</c:f>
              <c:numCache>
                <c:formatCode>General</c:formatCode>
                <c:ptCount val="21"/>
                <c:pt idx="0">
                  <c:v>32</c:v>
                </c:pt>
                <c:pt idx="1">
                  <c:v>23</c:v>
                </c:pt>
                <c:pt idx="2">
                  <c:v>26</c:v>
                </c:pt>
                <c:pt idx="3">
                  <c:v>29</c:v>
                </c:pt>
                <c:pt idx="4">
                  <c:v>31</c:v>
                </c:pt>
                <c:pt idx="5">
                  <c:v>31</c:v>
                </c:pt>
                <c:pt idx="6">
                  <c:v>32</c:v>
                </c:pt>
                <c:pt idx="7">
                  <c:v>31</c:v>
                </c:pt>
                <c:pt idx="8">
                  <c:v>37</c:v>
                </c:pt>
                <c:pt idx="9">
                  <c:v>39</c:v>
                </c:pt>
                <c:pt idx="10">
                  <c:v>30</c:v>
                </c:pt>
                <c:pt idx="11">
                  <c:v>30</c:v>
                </c:pt>
                <c:pt idx="12">
                  <c:v>34</c:v>
                </c:pt>
                <c:pt idx="13">
                  <c:v>23</c:v>
                </c:pt>
                <c:pt idx="14">
                  <c:v>19</c:v>
                </c:pt>
                <c:pt idx="15">
                  <c:v>22</c:v>
                </c:pt>
                <c:pt idx="16">
                  <c:v>20</c:v>
                </c:pt>
                <c:pt idx="17">
                  <c:v>14</c:v>
                </c:pt>
                <c:pt idx="18">
                  <c:v>15</c:v>
                </c:pt>
                <c:pt idx="19">
                  <c:v>20</c:v>
                </c:pt>
                <c:pt idx="20">
                  <c:v>17</c:v>
                </c:pt>
              </c:numCache>
            </c:numRef>
          </c:val>
          <c:extLst>
            <c:ext xmlns:c16="http://schemas.microsoft.com/office/drawing/2014/chart" uri="{C3380CC4-5D6E-409C-BE32-E72D297353CC}">
              <c16:uniqueId val="{00000001-FE30-484E-9E31-B5DD827EC2C0}"/>
            </c:ext>
          </c:extLst>
        </c:ser>
        <c:ser>
          <c:idx val="2"/>
          <c:order val="2"/>
          <c:tx>
            <c:strRef>
              <c:f>'Figure 5'!$D$1</c:f>
              <c:strCache>
                <c:ptCount val="1"/>
                <c:pt idx="0">
                  <c:v>Schemes of arrangement</c:v>
                </c:pt>
              </c:strCache>
            </c:strRef>
          </c:tx>
          <c:spPr>
            <a:solidFill>
              <a:schemeClr val="accent3"/>
            </a:solidFill>
            <a:ln>
              <a:noFill/>
            </a:ln>
            <a:effectLst/>
          </c:spPr>
          <c:invertIfNegative val="0"/>
          <c:cat>
            <c:numRef>
              <c:f>'Figure 5'!$A$2:$A$22</c:f>
              <c:numCache>
                <c:formatCode>m/d/yyyy</c:formatCode>
                <c:ptCount val="21"/>
                <c:pt idx="0">
                  <c:v>37437</c:v>
                </c:pt>
                <c:pt idx="1">
                  <c:v>37802</c:v>
                </c:pt>
                <c:pt idx="2">
                  <c:v>38168</c:v>
                </c:pt>
                <c:pt idx="3">
                  <c:v>38533</c:v>
                </c:pt>
                <c:pt idx="4">
                  <c:v>38898</c:v>
                </c:pt>
                <c:pt idx="5">
                  <c:v>39263</c:v>
                </c:pt>
                <c:pt idx="6">
                  <c:v>39629</c:v>
                </c:pt>
                <c:pt idx="7">
                  <c:v>39994</c:v>
                </c:pt>
                <c:pt idx="8">
                  <c:v>40359</c:v>
                </c:pt>
                <c:pt idx="9">
                  <c:v>40724</c:v>
                </c:pt>
                <c:pt idx="10">
                  <c:v>41090</c:v>
                </c:pt>
                <c:pt idx="11">
                  <c:v>41455</c:v>
                </c:pt>
                <c:pt idx="12">
                  <c:v>41820</c:v>
                </c:pt>
                <c:pt idx="13">
                  <c:v>42185</c:v>
                </c:pt>
                <c:pt idx="14">
                  <c:v>42551</c:v>
                </c:pt>
                <c:pt idx="15">
                  <c:v>42916</c:v>
                </c:pt>
                <c:pt idx="16">
                  <c:v>43281</c:v>
                </c:pt>
                <c:pt idx="17">
                  <c:v>43646</c:v>
                </c:pt>
                <c:pt idx="18">
                  <c:v>44012</c:v>
                </c:pt>
                <c:pt idx="19">
                  <c:v>44377</c:v>
                </c:pt>
                <c:pt idx="20">
                  <c:v>44742</c:v>
                </c:pt>
              </c:numCache>
            </c:numRef>
          </c:cat>
          <c:val>
            <c:numRef>
              <c:f>'Figure 5'!$D$2:$D$22</c:f>
              <c:numCache>
                <c:formatCode>General</c:formatCode>
                <c:ptCount val="21"/>
                <c:pt idx="0">
                  <c:v>19</c:v>
                </c:pt>
                <c:pt idx="1">
                  <c:v>24</c:v>
                </c:pt>
                <c:pt idx="2">
                  <c:v>16</c:v>
                </c:pt>
                <c:pt idx="3">
                  <c:v>24</c:v>
                </c:pt>
                <c:pt idx="4">
                  <c:v>23</c:v>
                </c:pt>
                <c:pt idx="5">
                  <c:v>41</c:v>
                </c:pt>
                <c:pt idx="6">
                  <c:v>35</c:v>
                </c:pt>
                <c:pt idx="7">
                  <c:v>19</c:v>
                </c:pt>
                <c:pt idx="8">
                  <c:v>24</c:v>
                </c:pt>
                <c:pt idx="9">
                  <c:v>35</c:v>
                </c:pt>
                <c:pt idx="10">
                  <c:v>32</c:v>
                </c:pt>
                <c:pt idx="11">
                  <c:v>15</c:v>
                </c:pt>
                <c:pt idx="12">
                  <c:v>18</c:v>
                </c:pt>
                <c:pt idx="13">
                  <c:v>18</c:v>
                </c:pt>
                <c:pt idx="14">
                  <c:v>20</c:v>
                </c:pt>
                <c:pt idx="15">
                  <c:v>22</c:v>
                </c:pt>
                <c:pt idx="16">
                  <c:v>24</c:v>
                </c:pt>
                <c:pt idx="17">
                  <c:v>27</c:v>
                </c:pt>
                <c:pt idx="18">
                  <c:v>23</c:v>
                </c:pt>
                <c:pt idx="19">
                  <c:v>32</c:v>
                </c:pt>
                <c:pt idx="20">
                  <c:v>30</c:v>
                </c:pt>
              </c:numCache>
            </c:numRef>
          </c:val>
          <c:extLst>
            <c:ext xmlns:c16="http://schemas.microsoft.com/office/drawing/2014/chart" uri="{C3380CC4-5D6E-409C-BE32-E72D297353CC}">
              <c16:uniqueId val="{00000002-FE30-484E-9E31-B5DD827EC2C0}"/>
            </c:ext>
          </c:extLst>
        </c:ser>
        <c:dLbls>
          <c:showLegendKey val="0"/>
          <c:showVal val="0"/>
          <c:showCatName val="0"/>
          <c:showSerName val="0"/>
          <c:showPercent val="0"/>
          <c:showBubbleSize val="0"/>
        </c:dLbls>
        <c:gapWidth val="50"/>
        <c:overlap val="100"/>
        <c:axId val="2055271728"/>
        <c:axId val="2055267888"/>
      </c:barChart>
      <c:dateAx>
        <c:axId val="2055271728"/>
        <c:scaling>
          <c:orientation val="minMax"/>
        </c:scaling>
        <c:delete val="0"/>
        <c:axPos val="b"/>
        <c:numFmt formatCode="yyyy" sourceLinked="0"/>
        <c:majorTickMark val="out"/>
        <c:minorTickMark val="in"/>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2055267888"/>
        <c:crosses val="autoZero"/>
        <c:auto val="1"/>
        <c:lblOffset val="100"/>
        <c:baseTimeUnit val="years"/>
        <c:majorUnit val="2"/>
        <c:majorTimeUnit val="years"/>
      </c:dateAx>
      <c:valAx>
        <c:axId val="2055267888"/>
        <c:scaling>
          <c:orientation val="minMax"/>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US"/>
                  <a:t>Count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2055271728"/>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0.81803</cdr:x>
      <cdr:y>0.91657</cdr:y>
    </cdr:from>
    <cdr:to>
      <cdr:x>1</cdr:x>
      <cdr:y>1</cdr:y>
    </cdr:to>
    <cdr:sp macro="" textlink="">
      <cdr:nvSpPr>
        <cdr:cNvPr id="2" name="txt_Style">
          <a:extLst xmlns:a="http://schemas.openxmlformats.org/drawingml/2006/main">
            <a:ext uri="{FF2B5EF4-FFF2-40B4-BE49-F238E27FC236}">
              <a16:creationId xmlns:a16="http://schemas.microsoft.com/office/drawing/2014/main" id="{E9DBF827-ABC3-16B9-E509-153D3BC5263C}"/>
            </a:ext>
          </a:extLst>
        </cdr:cNvPr>
        <cdr:cNvSpPr txBox="1">
          <a:spLocks xmlns:a="http://schemas.openxmlformats.org/drawingml/2006/main" noChangeAspect="1"/>
        </cdr:cNvSpPr>
      </cdr:nvSpPr>
      <cdr:spPr>
        <a:xfrm xmlns:a="http://schemas.openxmlformats.org/drawingml/2006/main">
          <a:off x="3965719" y="2309750"/>
          <a:ext cx="851643" cy="210250"/>
        </a:xfrm>
        <a:prstGeom xmlns:a="http://schemas.openxmlformats.org/drawingml/2006/main" prst="rect">
          <a:avLst/>
        </a:prstGeom>
      </cdr:spPr>
      <cdr:txBody>
        <a:bodyPr xmlns:a="http://schemas.openxmlformats.org/drawingml/2006/main" vertOverflow="clip" horzOverflow="clip" vert="horz" wrap="none" rtlCol="0">
          <a:spAutoFit/>
        </a:bodyPr>
        <a:lstStyle xmlns:a="http://schemas.openxmlformats.org/drawingml/2006/main"/>
        <a:p xmlns:a="http://schemas.openxmlformats.org/drawingml/2006/main">
          <a:r>
            <a:rPr lang="en-AU" sz="800" b="1" i="0" kern="1200">
              <a:noFill/>
              <a:latin typeface="Arial" panose="020B0604020202020204" pitchFamily="34" charset="0"/>
            </a:rPr>
            <a:t>B5 - Standard</a:t>
          </a:r>
        </a:p>
      </cdr:txBody>
    </cdr:sp>
  </cdr:relSizeAnchor>
  <cdr:relSizeAnchor xmlns:cdr="http://schemas.openxmlformats.org/drawingml/2006/chartDrawing">
    <cdr:from>
      <cdr:x>0.45519</cdr:x>
      <cdr:y>0.29616</cdr:y>
    </cdr:from>
    <cdr:to>
      <cdr:x>0.61527</cdr:x>
      <cdr:y>0.37959</cdr:y>
    </cdr:to>
    <cdr:sp macro="" textlink="">
      <cdr:nvSpPr>
        <cdr:cNvPr id="3" name="Series Label">
          <a:extLst xmlns:a="http://schemas.openxmlformats.org/drawingml/2006/main">
            <a:ext uri="{FF2B5EF4-FFF2-40B4-BE49-F238E27FC236}">
              <a16:creationId xmlns:a16="http://schemas.microsoft.com/office/drawing/2014/main" id="{E8AB8631-AC44-E69B-7A48-05FC372A94F5}"/>
            </a:ext>
          </a:extLst>
        </cdr:cNvPr>
        <cdr:cNvSpPr txBox="1">
          <a:spLocks xmlns:a="http://schemas.openxmlformats.org/drawingml/2006/main" noChangeAspect="1"/>
        </cdr:cNvSpPr>
      </cdr:nvSpPr>
      <cdr:spPr>
        <a:xfrm xmlns:a="http://schemas.openxmlformats.org/drawingml/2006/main">
          <a:off x="2130286" y="746319"/>
          <a:ext cx="749179" cy="21025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pPr algn="ctr"/>
          <a:r>
            <a:rPr lang="en-AU" sz="800" b="1" i="0" kern="1200">
              <a:solidFill>
                <a:schemeClr val="accent1"/>
              </a:solidFill>
              <a:latin typeface="Arial" panose="020B0604020202020204" pitchFamily="34" charset="0"/>
            </a:rPr>
            <a:t>Full sample</a:t>
          </a:r>
        </a:p>
      </cdr:txBody>
    </cdr:sp>
  </cdr:relSizeAnchor>
  <cdr:relSizeAnchor xmlns:cdr="http://schemas.openxmlformats.org/drawingml/2006/chartDrawing">
    <cdr:from>
      <cdr:x>0.20867</cdr:x>
      <cdr:y>0.78501</cdr:y>
    </cdr:from>
    <cdr:to>
      <cdr:x>0.34076</cdr:x>
      <cdr:y>0.86844</cdr:y>
    </cdr:to>
    <cdr:sp macro="" textlink="">
      <cdr:nvSpPr>
        <cdr:cNvPr id="4" name="Series Label">
          <a:extLst xmlns:a="http://schemas.openxmlformats.org/drawingml/2006/main">
            <a:ext uri="{FF2B5EF4-FFF2-40B4-BE49-F238E27FC236}">
              <a16:creationId xmlns:a16="http://schemas.microsoft.com/office/drawing/2014/main" id="{73FE2983-0268-5102-EC7D-C753E3C01BAD}"/>
            </a:ext>
          </a:extLst>
        </cdr:cNvPr>
        <cdr:cNvSpPr txBox="1">
          <a:spLocks xmlns:a="http://schemas.openxmlformats.org/drawingml/2006/main" noChangeAspect="1"/>
        </cdr:cNvSpPr>
      </cdr:nvSpPr>
      <cdr:spPr>
        <a:xfrm xmlns:a="http://schemas.openxmlformats.org/drawingml/2006/main">
          <a:off x="976584" y="1978219"/>
          <a:ext cx="618183" cy="21025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pPr algn="ctr"/>
          <a:r>
            <a:rPr lang="en-AU" sz="800" b="1" i="0" kern="1200">
              <a:solidFill>
                <a:schemeClr val="accent2"/>
              </a:solidFill>
              <a:latin typeface="Arial" panose="020B0604020202020204" pitchFamily="34" charset="0"/>
            </a:rPr>
            <a:t>Pre-exist</a:t>
          </a:r>
        </a:p>
      </cdr:txBody>
    </cdr:sp>
  </cdr:relSizeAnchor>
  <cdr:relSizeAnchor xmlns:cdr="http://schemas.openxmlformats.org/drawingml/2006/chartDrawing">
    <cdr:from>
      <cdr:x>0.50974</cdr:x>
      <cdr:y>0.61618</cdr:y>
    </cdr:from>
    <cdr:to>
      <cdr:x>0.76154</cdr:x>
      <cdr:y>0.69962</cdr:y>
    </cdr:to>
    <cdr:sp macro="" textlink="">
      <cdr:nvSpPr>
        <cdr:cNvPr id="5" name="Series Label">
          <a:extLst xmlns:a="http://schemas.openxmlformats.org/drawingml/2006/main">
            <a:ext uri="{FF2B5EF4-FFF2-40B4-BE49-F238E27FC236}">
              <a16:creationId xmlns:a16="http://schemas.microsoft.com/office/drawing/2014/main" id="{8708491E-3259-7CA7-1BFE-CE9CAA99DCE4}"/>
            </a:ext>
          </a:extLst>
        </cdr:cNvPr>
        <cdr:cNvSpPr txBox="1">
          <a:spLocks xmlns:a="http://schemas.openxmlformats.org/drawingml/2006/main" noChangeAspect="1"/>
        </cdr:cNvSpPr>
      </cdr:nvSpPr>
      <cdr:spPr>
        <a:xfrm xmlns:a="http://schemas.openxmlformats.org/drawingml/2006/main">
          <a:off x="2844243" y="1552576"/>
          <a:ext cx="1404936" cy="210250"/>
        </a:xfrm>
        <a:prstGeom xmlns:a="http://schemas.openxmlformats.org/drawingml/2006/main" prst="rect">
          <a:avLst/>
        </a:prstGeom>
      </cdr:spPr>
      <cdr:txBody>
        <a:bodyPr xmlns:a="http://schemas.openxmlformats.org/drawingml/2006/main" vertOverflow="clip" vert="horz" wrap="none" rtlCol="0">
          <a:spAutoFit/>
        </a:bodyPr>
        <a:lstStyle xmlns:a="http://schemas.openxmlformats.org/drawingml/2006/main"/>
        <a:p xmlns:a="http://schemas.openxmlformats.org/drawingml/2006/main">
          <a:pPr algn="ctr"/>
          <a:r>
            <a:rPr lang="en-AU" sz="800" b="1" i="0" kern="1200">
              <a:solidFill>
                <a:schemeClr val="accent3"/>
              </a:solidFill>
              <a:latin typeface="Arial" panose="020B0604020202020204" pitchFamily="34" charset="0"/>
            </a:rPr>
            <a:t>Pre-exist or multiple flow</a:t>
          </a:r>
        </a:p>
      </cdr:txBody>
    </cdr:sp>
  </cdr:relSizeAnchor>
</c:userShape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29B94-0726-4170-9995-768488363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9237</Words>
  <Characters>52655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Tracking mergers and acquisitions using Australian administrative data</vt:lpstr>
    </vt:vector>
  </TitlesOfParts>
  <Company/>
  <LinksUpToDate>false</LinksUpToDate>
  <CharactersWithSpaces>61769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mergers and acquisitions using Australian administrative data</dc:title>
  <dc:subject/>
  <dc:creator>Nu Nu Win, Jonathan Hambur, David Hansell, Neil Crighton</dc:creator>
  <cp:keywords/>
  <cp:lastModifiedBy/>
  <cp:revision>1</cp:revision>
  <dcterms:created xsi:type="dcterms:W3CDTF">2025-11-12T01:20:00Z</dcterms:created>
  <dcterms:modified xsi:type="dcterms:W3CDTF">2025-11-12T01:22:00Z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2025-11-12T01:21:47Z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6c795d23-c0d8-409a-a9a1-2de86f80e5ee</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y fmtid="{D5CDD505-2E9C-101B-9397-08002B2CF9AE}" pid="10" name="Language">
    <vt:lpwstr>English</vt:lpwstr>
  </property>
</Properties>
</file>