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1307288" w:displacedByCustomXml="next"/>
    <w:sdt>
      <w:sdtPr>
        <w:rPr>
          <w:rFonts w:asciiTheme="minorHAnsi" w:eastAsia="Times New Roman" w:hAnsiTheme="minorHAnsi" w:cs="Times New Roman"/>
          <w:b w:val="0"/>
          <w:color w:val="336699" w:themeColor="text2"/>
          <w:spacing w:val="0"/>
          <w:kern w:val="0"/>
          <w:sz w:val="32"/>
          <w:szCs w:val="32"/>
        </w:rPr>
        <w:id w:val="-874617159"/>
        <w:docPartObj>
          <w:docPartGallery w:val="Cover Pages"/>
          <w:docPartUnique/>
        </w:docPartObj>
      </w:sdtPr>
      <w:sdtEndPr>
        <w:rPr>
          <w:color w:val="000000" w:themeColor="text1"/>
          <w:sz w:val="22"/>
        </w:rPr>
      </w:sdtEndPr>
      <w:sdtContent>
        <w:p w14:paraId="378AF5CE" w14:textId="77777777" w:rsidR="00F93D81" w:rsidRPr="002674BD" w:rsidRDefault="00F93D81" w:rsidP="00F93D81">
          <w:pPr>
            <w:pStyle w:val="Title"/>
            <w:tabs>
              <w:tab w:val="left" w:pos="6379"/>
            </w:tabs>
            <w:spacing w:after="120" w:line="720" w:lineRule="exact"/>
            <w:ind w:right="1982"/>
            <w:rPr>
              <w:color w:val="336699" w:themeColor="text2"/>
              <w:sz w:val="32"/>
              <w:szCs w:val="32"/>
            </w:rPr>
          </w:pPr>
        </w:p>
        <w:p w14:paraId="5230250D" w14:textId="77777777" w:rsidR="00F93D81" w:rsidRPr="002674BD" w:rsidRDefault="00F93D81" w:rsidP="00F93D81">
          <w:pPr>
            <w:pStyle w:val="Title"/>
            <w:tabs>
              <w:tab w:val="left" w:pos="6379"/>
            </w:tabs>
            <w:spacing w:after="120" w:line="720" w:lineRule="exact"/>
            <w:ind w:right="1982"/>
            <w:rPr>
              <w:color w:val="336699" w:themeColor="text2"/>
              <w:sz w:val="32"/>
              <w:szCs w:val="32"/>
            </w:rPr>
          </w:pPr>
        </w:p>
        <w:p w14:paraId="5A8ECE89" w14:textId="3C3D2A4C" w:rsidR="00F93D81" w:rsidRPr="002674BD" w:rsidRDefault="00F93D81" w:rsidP="00F93D81">
          <w:pPr>
            <w:pStyle w:val="Title"/>
            <w:tabs>
              <w:tab w:val="left" w:pos="6379"/>
            </w:tabs>
            <w:spacing w:after="120" w:line="720" w:lineRule="exact"/>
            <w:ind w:right="1982"/>
          </w:pPr>
          <w:r w:rsidRPr="002674BD">
            <w:rPr>
              <w:color w:val="336699" w:themeColor="text2"/>
            </w:rPr>
            <w:t>National Planning Reform Blueprint</w:t>
          </w:r>
          <w:r w:rsidRPr="002674BD">
            <w:br/>
          </w:r>
          <w:r w:rsidRPr="002674BD">
            <w:rPr>
              <w:b w:val="0"/>
              <w:bCs/>
              <w:color w:val="auto"/>
              <w:sz w:val="48"/>
              <w:szCs w:val="28"/>
            </w:rPr>
            <w:t>Western Australia March 2025</w:t>
          </w:r>
          <w:r w:rsidRPr="002674BD">
            <w:rPr>
              <w:b w:val="0"/>
              <w:bCs/>
              <w:sz w:val="48"/>
              <w:szCs w:val="28"/>
            </w:rPr>
            <w:t xml:space="preserve"> progress report</w:t>
          </w:r>
        </w:p>
        <w:p w14:paraId="30702AC3" w14:textId="0526627D" w:rsidR="00F93D81" w:rsidRPr="002674BD" w:rsidRDefault="00F93D81" w:rsidP="00B8282C">
          <w:pPr>
            <w:pStyle w:val="ListParagraph"/>
            <w:ind w:left="-1418"/>
            <w:jc w:val="both"/>
            <w:rPr>
              <w:noProof/>
            </w:rPr>
          </w:pPr>
        </w:p>
        <w:p w14:paraId="02B65A0F" w14:textId="254A43B5" w:rsidR="00781253" w:rsidRPr="002674BD" w:rsidRDefault="00F93D81" w:rsidP="00B8282C">
          <w:pPr>
            <w:pStyle w:val="ListParagraph"/>
            <w:ind w:left="-1418"/>
            <w:jc w:val="both"/>
            <w:sectPr w:rsidR="00781253" w:rsidRPr="002674BD" w:rsidSect="00B8282C">
              <w:headerReference w:type="even" r:id="rId8"/>
              <w:headerReference w:type="default" r:id="rId9"/>
              <w:headerReference w:type="first" r:id="rId10"/>
              <w:pgSz w:w="11906" w:h="16838" w:code="9"/>
              <w:pgMar w:top="214" w:right="1418" w:bottom="1418" w:left="1418" w:header="709" w:footer="709" w:gutter="0"/>
              <w:pgNumType w:fmt="lowerRoman" w:start="0"/>
              <w:cols w:space="708"/>
              <w:vAlign w:val="center"/>
              <w:titlePg/>
              <w:docGrid w:linePitch="360"/>
            </w:sectPr>
          </w:pPr>
          <w:r w:rsidRPr="002674BD">
            <w:rPr>
              <w:noProof/>
            </w:rPr>
            <w:drawing>
              <wp:anchor distT="0" distB="0" distL="114300" distR="114300" simplePos="0" relativeHeight="251659264" behindDoc="1" locked="0" layoutInCell="1" allowOverlap="1" wp14:anchorId="37E57181" wp14:editId="25F8E0E9">
                <wp:simplePos x="0" y="0"/>
                <wp:positionH relativeFrom="page">
                  <wp:posOffset>-31750</wp:posOffset>
                </wp:positionH>
                <wp:positionV relativeFrom="page">
                  <wp:posOffset>4519930</wp:posOffset>
                </wp:positionV>
                <wp:extent cx="7570470" cy="6168390"/>
                <wp:effectExtent l="0" t="0" r="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7570470" cy="6168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74D26585" w14:textId="77777777" w:rsidR="005D65E8" w:rsidRPr="002674BD" w:rsidRDefault="005D65E8" w:rsidP="007E2D0E">
      <w:pPr>
        <w:spacing w:before="0" w:after="0" w:line="259" w:lineRule="auto"/>
        <w:jc w:val="both"/>
        <w:rPr>
          <w:noProof/>
          <w:sz w:val="18"/>
          <w:szCs w:val="16"/>
        </w:rPr>
      </w:pPr>
      <w:bookmarkStart w:id="1" w:name="_Toc168064953"/>
      <w:bookmarkStart w:id="2" w:name="_Toc168065264"/>
      <w:r w:rsidRPr="002674BD">
        <w:rPr>
          <w:sz w:val="18"/>
          <w:szCs w:val="16"/>
        </w:rPr>
        <w:lastRenderedPageBreak/>
        <w:t>This document has been produced by the Western Australian Department of Planning, Lands and Heritage. Any representation, statement, opinion, or advice expressed or implied in this publication is made in good faith and on the basis that the Western Australian Government, its employees and agents are not liable for any damage or loss whatsoever which may occur as a result of action taken or not taken, as the case may be, in respect of any representation, statement, opinion or advice referred to herein. Professional advice should be obtained before applying the information contained in this document to particular circumstances.</w:t>
      </w:r>
    </w:p>
    <w:p w14:paraId="468D867E" w14:textId="77777777" w:rsidR="005D65E8" w:rsidRPr="002674BD" w:rsidRDefault="005D65E8" w:rsidP="007E2D0E">
      <w:pPr>
        <w:tabs>
          <w:tab w:val="left" w:pos="1650"/>
        </w:tabs>
        <w:spacing w:after="0"/>
        <w:jc w:val="both"/>
        <w:rPr>
          <w:rFonts w:cstheme="minorBidi"/>
          <w:sz w:val="20"/>
        </w:rPr>
      </w:pPr>
      <w:r w:rsidRPr="002674BD">
        <w:rPr>
          <w:sz w:val="18"/>
          <w:szCs w:val="16"/>
        </w:rPr>
        <w:t>This publication is available for your use under a</w:t>
      </w:r>
      <w:r w:rsidRPr="002674BD">
        <w:rPr>
          <w:rFonts w:cstheme="minorHAnsi"/>
          <w:sz w:val="20"/>
        </w:rPr>
        <w:t xml:space="preserve"> </w:t>
      </w:r>
      <w:r w:rsidRPr="002674BD">
        <w:rPr>
          <w:sz w:val="18"/>
          <w:szCs w:val="16"/>
        </w:rPr>
        <w:t>Creative Commons Attribution 4.0 international</w:t>
      </w:r>
      <w:r w:rsidRPr="002674BD">
        <w:rPr>
          <w:rFonts w:cstheme="minorHAnsi"/>
          <w:sz w:val="20"/>
        </w:rPr>
        <w:t xml:space="preserve"> </w:t>
      </w:r>
      <w:r w:rsidRPr="002674BD">
        <w:rPr>
          <w:sz w:val="18"/>
          <w:szCs w:val="16"/>
        </w:rPr>
        <w:t>licence, except for the Government of Western Australia and/or the Department of Planning, Lands and Heritage Coat of Arms, photographs, images, signatures and where otherwise stated. The full licence terms are available from</w:t>
      </w:r>
      <w:r w:rsidRPr="002674BD">
        <w:rPr>
          <w:rFonts w:cstheme="minorHAnsi"/>
          <w:sz w:val="20"/>
        </w:rPr>
        <w:t xml:space="preserve"> </w:t>
      </w:r>
      <w:r w:rsidRPr="002674BD">
        <w:rPr>
          <w:sz w:val="18"/>
          <w:szCs w:val="16"/>
        </w:rPr>
        <w:t>http://creativecommons.org/licenses/b</w:t>
      </w:r>
      <w:r w:rsidRPr="002674BD">
        <w:rPr>
          <w:color w:val="auto"/>
          <w:sz w:val="18"/>
          <w:szCs w:val="16"/>
        </w:rPr>
        <w:t>y/4.0/</w:t>
      </w:r>
      <w:r w:rsidRPr="002674BD">
        <w:rPr>
          <w:rStyle w:val="Hyperlink"/>
          <w:color w:val="auto"/>
          <w:sz w:val="18"/>
          <w:szCs w:val="16"/>
        </w:rPr>
        <w:t>.</w:t>
      </w:r>
      <w:r w:rsidRPr="002674BD">
        <w:rPr>
          <w:color w:val="auto"/>
          <w:sz w:val="20"/>
        </w:rPr>
        <w:t xml:space="preserve"> </w:t>
      </w:r>
    </w:p>
    <w:p w14:paraId="3E6D6E42" w14:textId="77777777" w:rsidR="005D65E8" w:rsidRPr="002674BD" w:rsidRDefault="005D65E8" w:rsidP="007E2D0E">
      <w:pPr>
        <w:pStyle w:val="ChartGraphic"/>
        <w:jc w:val="both"/>
        <w:rPr>
          <w:sz w:val="16"/>
          <w:szCs w:val="16"/>
        </w:rPr>
      </w:pPr>
      <w:r w:rsidRPr="002674BD">
        <w:rPr>
          <w:noProof/>
          <w:sz w:val="16"/>
          <w:szCs w:val="16"/>
        </w:rPr>
        <w:drawing>
          <wp:inline distT="0" distB="0" distL="0" distR="0" wp14:anchorId="523E6B1C" wp14:editId="3F9FFB6C">
            <wp:extent cx="809625" cy="285750"/>
            <wp:effectExtent l="0" t="0" r="9525" b="0"/>
            <wp:docPr id="13" name="Picture 1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72BB5B1" w14:textId="77777777" w:rsidR="005D65E8" w:rsidRPr="002674BD" w:rsidRDefault="005D65E8" w:rsidP="007E2D0E">
      <w:pPr>
        <w:tabs>
          <w:tab w:val="left" w:pos="1650"/>
        </w:tabs>
        <w:spacing w:after="0"/>
        <w:jc w:val="both"/>
        <w:rPr>
          <w:sz w:val="18"/>
          <w:szCs w:val="16"/>
        </w:rPr>
      </w:pPr>
      <w:r w:rsidRPr="002674BD">
        <w:rPr>
          <w:sz w:val="18"/>
          <w:szCs w:val="16"/>
        </w:rPr>
        <w:t>Use of Government of Western Australia material under a</w:t>
      </w:r>
      <w:r w:rsidRPr="002674BD">
        <w:rPr>
          <w:rFonts w:cstheme="minorHAnsi"/>
          <w:sz w:val="20"/>
        </w:rPr>
        <w:t xml:space="preserve"> </w:t>
      </w:r>
      <w:r w:rsidRPr="002674BD">
        <w:rPr>
          <w:sz w:val="18"/>
          <w:szCs w:val="16"/>
        </w:rPr>
        <w:t>Creative Commons Attribution 4.0 international</w:t>
      </w:r>
      <w:r w:rsidRPr="002674BD">
        <w:rPr>
          <w:rStyle w:val="Hyperlink"/>
          <w:sz w:val="18"/>
          <w:szCs w:val="16"/>
        </w:rPr>
        <w:t xml:space="preserve"> </w:t>
      </w:r>
      <w:r w:rsidRPr="002674BD">
        <w:rPr>
          <w:sz w:val="18"/>
          <w:szCs w:val="16"/>
        </w:rPr>
        <w:t>requires you to attribute the work (but not in any way that suggests that the Government of Western Australia endorses you or your use of the work).</w:t>
      </w:r>
    </w:p>
    <w:p w14:paraId="32E6075E" w14:textId="77777777" w:rsidR="005D65E8" w:rsidRPr="002674BD" w:rsidRDefault="005D65E8" w:rsidP="007E2D0E">
      <w:pPr>
        <w:spacing w:after="0"/>
        <w:jc w:val="both"/>
        <w:rPr>
          <w:b/>
          <w:sz w:val="18"/>
          <w:szCs w:val="16"/>
        </w:rPr>
      </w:pPr>
      <w:r w:rsidRPr="002674BD">
        <w:rPr>
          <w:b/>
          <w:sz w:val="18"/>
          <w:szCs w:val="16"/>
        </w:rPr>
        <w:t>Government of Western Australia material used ‘as supplied’.</w:t>
      </w:r>
    </w:p>
    <w:p w14:paraId="3DB5603D" w14:textId="77777777" w:rsidR="005D65E8" w:rsidRPr="002674BD" w:rsidRDefault="005D65E8" w:rsidP="007E2D0E">
      <w:pPr>
        <w:spacing w:after="0"/>
        <w:jc w:val="both"/>
        <w:rPr>
          <w:sz w:val="18"/>
          <w:szCs w:val="16"/>
        </w:rPr>
      </w:pPr>
      <w:r w:rsidRPr="002674BD">
        <w:rPr>
          <w:sz w:val="18"/>
          <w:szCs w:val="16"/>
        </w:rPr>
        <w:t xml:space="preserve">Provided you have not modified or transformed Government of Western Australia material in any way including, for example, by changing the Government of Western Australia text; calculating percentage changes; graphing or charting data; or deriving new statistics from published Government of Western Australia statistics — then Government of Western Australia prefers the following attribution: </w:t>
      </w:r>
    </w:p>
    <w:p w14:paraId="7239DBC0" w14:textId="77777777" w:rsidR="005D65E8" w:rsidRPr="002674BD" w:rsidRDefault="005D65E8" w:rsidP="007E2D0E">
      <w:pPr>
        <w:spacing w:after="0"/>
        <w:ind w:firstLine="720"/>
        <w:jc w:val="both"/>
        <w:rPr>
          <w:sz w:val="18"/>
          <w:szCs w:val="16"/>
        </w:rPr>
      </w:pPr>
      <w:r w:rsidRPr="002674BD">
        <w:rPr>
          <w:i/>
          <w:sz w:val="18"/>
          <w:szCs w:val="16"/>
        </w:rPr>
        <w:t xml:space="preserve">Source: Government of Western Australia - Department of Planning, Lands and Heritage. </w:t>
      </w:r>
    </w:p>
    <w:p w14:paraId="30B03B8E" w14:textId="77777777" w:rsidR="005D65E8" w:rsidRPr="002674BD" w:rsidRDefault="005D65E8" w:rsidP="007E2D0E">
      <w:pPr>
        <w:spacing w:after="0"/>
        <w:jc w:val="both"/>
        <w:rPr>
          <w:sz w:val="18"/>
          <w:szCs w:val="16"/>
        </w:rPr>
      </w:pPr>
      <w:r w:rsidRPr="002674BD">
        <w:rPr>
          <w:b/>
          <w:sz w:val="18"/>
          <w:szCs w:val="16"/>
        </w:rPr>
        <w:t>Derivative</w:t>
      </w:r>
      <w:r w:rsidRPr="002674BD">
        <w:rPr>
          <w:sz w:val="18"/>
          <w:szCs w:val="16"/>
        </w:rPr>
        <w:t xml:space="preserve"> </w:t>
      </w:r>
      <w:r w:rsidRPr="002674BD">
        <w:rPr>
          <w:b/>
          <w:sz w:val="18"/>
          <w:szCs w:val="16"/>
        </w:rPr>
        <w:t>material</w:t>
      </w:r>
    </w:p>
    <w:p w14:paraId="73E97227" w14:textId="77777777" w:rsidR="005D65E8" w:rsidRPr="002674BD" w:rsidRDefault="005D65E8" w:rsidP="007E2D0E">
      <w:pPr>
        <w:spacing w:after="0"/>
        <w:jc w:val="both"/>
        <w:rPr>
          <w:sz w:val="18"/>
          <w:szCs w:val="16"/>
        </w:rPr>
      </w:pPr>
      <w:r w:rsidRPr="002674BD">
        <w:rPr>
          <w:sz w:val="18"/>
          <w:szCs w:val="16"/>
        </w:rPr>
        <w:t xml:space="preserve">If you have modified or transformed Government of Western Australia material, or derived new material from those of the Government of Western Australia in any way, then the Western Australian Government prefers the following attribution: </w:t>
      </w:r>
    </w:p>
    <w:p w14:paraId="5DCD2B84" w14:textId="77777777" w:rsidR="005D65E8" w:rsidRPr="002674BD" w:rsidRDefault="005D65E8" w:rsidP="007E2D0E">
      <w:pPr>
        <w:spacing w:after="0"/>
        <w:ind w:firstLine="720"/>
        <w:jc w:val="both"/>
        <w:rPr>
          <w:sz w:val="18"/>
          <w:szCs w:val="16"/>
        </w:rPr>
      </w:pPr>
      <w:r w:rsidRPr="002674BD">
        <w:rPr>
          <w:i/>
          <w:sz w:val="18"/>
          <w:szCs w:val="16"/>
        </w:rPr>
        <w:t>Based on Government of Western Australia data Department of Planning, Lands and Heritage.</w:t>
      </w:r>
      <w:r w:rsidRPr="002674BD">
        <w:rPr>
          <w:sz w:val="18"/>
          <w:szCs w:val="16"/>
        </w:rPr>
        <w:t xml:space="preserve"> </w:t>
      </w:r>
    </w:p>
    <w:p w14:paraId="230B4FC8" w14:textId="77777777" w:rsidR="005D65E8" w:rsidRPr="002674BD" w:rsidRDefault="005D65E8" w:rsidP="007E2D0E">
      <w:pPr>
        <w:spacing w:after="0"/>
        <w:jc w:val="both"/>
        <w:rPr>
          <w:b/>
          <w:sz w:val="18"/>
          <w:szCs w:val="16"/>
        </w:rPr>
      </w:pPr>
      <w:r w:rsidRPr="002674BD">
        <w:rPr>
          <w:b/>
          <w:sz w:val="18"/>
          <w:szCs w:val="16"/>
        </w:rPr>
        <w:t>Use of the Government of Western Australia Coat of Arms</w:t>
      </w:r>
    </w:p>
    <w:p w14:paraId="0400638F" w14:textId="77777777" w:rsidR="005D65E8" w:rsidRPr="002674BD" w:rsidRDefault="005D65E8" w:rsidP="007E2D0E">
      <w:pPr>
        <w:spacing w:after="0"/>
        <w:jc w:val="both"/>
        <w:rPr>
          <w:sz w:val="18"/>
          <w:szCs w:val="16"/>
        </w:rPr>
      </w:pPr>
      <w:r w:rsidRPr="002674BD">
        <w:rPr>
          <w:sz w:val="18"/>
          <w:szCs w:val="16"/>
        </w:rPr>
        <w:t xml:space="preserve">Official use of the Government of Western Australia Coat of Arms (State Coat of Arms) is restricted to authorised agencies to authenticate documents, to show ownerships of property and to signify government projects or publications. </w:t>
      </w:r>
      <w:r w:rsidRPr="002674BD">
        <w:rPr>
          <w:sz w:val="18"/>
          <w:szCs w:val="16"/>
        </w:rPr>
        <w:br/>
        <w:t xml:space="preserve">The State Coat of Arms is protected under the </w:t>
      </w:r>
      <w:r w:rsidRPr="002674BD">
        <w:rPr>
          <w:i/>
          <w:iCs/>
          <w:sz w:val="18"/>
          <w:szCs w:val="16"/>
        </w:rPr>
        <w:t>Armorial Bearings Protection Act 1979</w:t>
      </w:r>
      <w:r w:rsidRPr="002674BD">
        <w:rPr>
          <w:sz w:val="18"/>
          <w:szCs w:val="16"/>
        </w:rPr>
        <w:t xml:space="preserve"> (the Act). It is an offence under the Act, without previous written authority, to reproduce the State Coat of Arms for any commercial purpose, or in such a manner as to suggest use of the State Coat of Arms on the material or object has official significance.</w:t>
      </w:r>
      <w:r w:rsidRPr="002674BD">
        <w:rPr>
          <w:sz w:val="18"/>
          <w:szCs w:val="16"/>
        </w:rPr>
        <w:br/>
        <w:t>In accordance with the Act, non-government organisations cannot use the State Coat of Arms in any format unless authorised to do so.</w:t>
      </w:r>
      <w:r w:rsidRPr="002674BD">
        <w:rPr>
          <w:sz w:val="18"/>
          <w:szCs w:val="16"/>
        </w:rPr>
        <w:br/>
        <w:t>Non-government bodies may seek approval from the Western Australian Department of the Premier and Cabinet for the use of the State Coat of Arms for educational or cultural purposes.</w:t>
      </w:r>
    </w:p>
    <w:p w14:paraId="1DF80565" w14:textId="77777777" w:rsidR="005D65E8" w:rsidRPr="002674BD" w:rsidRDefault="005D65E8" w:rsidP="007E2D0E">
      <w:pPr>
        <w:spacing w:after="0"/>
        <w:jc w:val="both"/>
        <w:rPr>
          <w:b/>
          <w:sz w:val="18"/>
          <w:szCs w:val="16"/>
        </w:rPr>
      </w:pPr>
      <w:r w:rsidRPr="002674BD">
        <w:rPr>
          <w:b/>
          <w:sz w:val="18"/>
          <w:szCs w:val="16"/>
        </w:rPr>
        <w:t>Other uses</w:t>
      </w:r>
    </w:p>
    <w:p w14:paraId="4EF3C01E" w14:textId="77777777" w:rsidR="005D65E8" w:rsidRPr="002674BD" w:rsidRDefault="005D65E8" w:rsidP="007E2D0E">
      <w:pPr>
        <w:spacing w:after="0"/>
        <w:jc w:val="both"/>
        <w:rPr>
          <w:sz w:val="18"/>
          <w:szCs w:val="16"/>
        </w:rPr>
      </w:pPr>
      <w:r w:rsidRPr="002674BD">
        <w:rPr>
          <w:sz w:val="18"/>
          <w:szCs w:val="16"/>
        </w:rPr>
        <w:t>Enquiries regarding this licence and any other use of this document are welcome at:</w:t>
      </w:r>
    </w:p>
    <w:p w14:paraId="781E2339" w14:textId="77777777" w:rsidR="005D65E8" w:rsidRPr="002674BD" w:rsidRDefault="005D65E8" w:rsidP="009A56C4">
      <w:pPr>
        <w:spacing w:after="0"/>
        <w:rPr>
          <w:sz w:val="18"/>
          <w:szCs w:val="16"/>
        </w:rPr>
      </w:pPr>
      <w:r w:rsidRPr="002674BD">
        <w:rPr>
          <w:sz w:val="18"/>
          <w:szCs w:val="16"/>
        </w:rPr>
        <w:t>Department of Planning, Lands and Heritage</w:t>
      </w:r>
      <w:r w:rsidRPr="002674BD">
        <w:rPr>
          <w:sz w:val="18"/>
          <w:szCs w:val="16"/>
        </w:rPr>
        <w:br/>
        <w:t>140 William Street, PERTH WA 6000</w:t>
      </w:r>
      <w:r w:rsidRPr="002674BD">
        <w:rPr>
          <w:sz w:val="18"/>
          <w:szCs w:val="16"/>
        </w:rPr>
        <w:br/>
        <w:t>Locked Bag 2506, Perth WA 6001</w:t>
      </w:r>
    </w:p>
    <w:p w14:paraId="373A4A3A" w14:textId="77777777" w:rsidR="005D65E8" w:rsidRPr="002674BD" w:rsidRDefault="005D65E8" w:rsidP="007E2D0E">
      <w:pPr>
        <w:spacing w:after="0"/>
        <w:jc w:val="both"/>
        <w:rPr>
          <w:i/>
          <w:iCs/>
          <w:sz w:val="18"/>
          <w:szCs w:val="16"/>
        </w:rPr>
        <w:sectPr w:rsidR="005D65E8" w:rsidRPr="002674BD" w:rsidSect="008D43B4">
          <w:headerReference w:type="even" r:id="rId13"/>
          <w:headerReference w:type="first" r:id="rId14"/>
          <w:pgSz w:w="11906" w:h="16838" w:code="9"/>
          <w:pgMar w:top="1843" w:right="1418" w:bottom="1418" w:left="1418" w:header="709" w:footer="709" w:gutter="0"/>
          <w:pgNumType w:fmt="lowerRoman" w:start="0"/>
          <w:cols w:space="708"/>
          <w:titlePg/>
          <w:docGrid w:linePitch="360"/>
        </w:sectPr>
      </w:pPr>
      <w:r w:rsidRPr="002674BD">
        <w:rPr>
          <w:i/>
          <w:iCs/>
          <w:sz w:val="18"/>
          <w:szCs w:val="16"/>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sdt>
      <w:sdtPr>
        <w:id w:val="657355207"/>
        <w:docPartObj>
          <w:docPartGallery w:val="Table of Contents"/>
          <w:docPartUnique/>
        </w:docPartObj>
      </w:sdtPr>
      <w:sdtEndPr>
        <w:rPr>
          <w:b/>
          <w:bCs/>
          <w:noProof/>
        </w:rPr>
      </w:sdtEndPr>
      <w:sdtContent>
        <w:p w14:paraId="54934B6B" w14:textId="4A20A771" w:rsidR="00833019" w:rsidRPr="002674BD" w:rsidRDefault="00833019" w:rsidP="007E2D0E">
          <w:pPr>
            <w:jc w:val="both"/>
            <w:rPr>
              <w:rStyle w:val="Heading1Char"/>
            </w:rPr>
          </w:pPr>
          <w:r w:rsidRPr="002674BD">
            <w:rPr>
              <w:rStyle w:val="Heading1Char"/>
            </w:rPr>
            <w:t>Contents</w:t>
          </w:r>
        </w:p>
        <w:p w14:paraId="02B81AF6" w14:textId="442EF9A5" w:rsidR="001D53A7" w:rsidRPr="002674BD" w:rsidRDefault="00833019">
          <w:pPr>
            <w:pStyle w:val="TOC1"/>
            <w:rPr>
              <w:rFonts w:eastAsiaTheme="minorEastAsia" w:cstheme="minorBidi"/>
              <w:b w:val="0"/>
              <w:color w:val="auto"/>
              <w:kern w:val="2"/>
              <w:szCs w:val="24"/>
              <w14:ligatures w14:val="standardContextual"/>
            </w:rPr>
          </w:pPr>
          <w:r w:rsidRPr="002674BD">
            <w:fldChar w:fldCharType="begin"/>
          </w:r>
          <w:r w:rsidRPr="002674BD">
            <w:instrText xml:space="preserve"> TOC \o "1-3" \h \z \u </w:instrText>
          </w:r>
          <w:r w:rsidRPr="002674BD">
            <w:fldChar w:fldCharType="separate"/>
          </w:r>
          <w:hyperlink w:anchor="_Toc191366142" w:history="1">
            <w:r w:rsidR="001D53A7" w:rsidRPr="002674BD">
              <w:rPr>
                <w:rStyle w:val="Hyperlink"/>
                <w:lang w:eastAsia="en-US"/>
              </w:rPr>
              <w:t>Measure 2</w:t>
            </w:r>
            <w:r w:rsidR="001D53A7" w:rsidRPr="002674BD">
              <w:rPr>
                <w:webHidden/>
              </w:rPr>
              <w:tab/>
            </w:r>
            <w:r w:rsidR="001D53A7" w:rsidRPr="002674BD">
              <w:rPr>
                <w:webHidden/>
              </w:rPr>
              <w:fldChar w:fldCharType="begin"/>
            </w:r>
            <w:r w:rsidR="001D53A7" w:rsidRPr="002674BD">
              <w:rPr>
                <w:webHidden/>
              </w:rPr>
              <w:instrText xml:space="preserve"> PAGEREF _Toc191366142 \h </w:instrText>
            </w:r>
            <w:r w:rsidR="001D53A7" w:rsidRPr="002674BD">
              <w:rPr>
                <w:webHidden/>
              </w:rPr>
            </w:r>
            <w:r w:rsidR="001D53A7" w:rsidRPr="002674BD">
              <w:rPr>
                <w:webHidden/>
              </w:rPr>
              <w:fldChar w:fldCharType="separate"/>
            </w:r>
            <w:r w:rsidR="00372CAE" w:rsidRPr="002674BD">
              <w:rPr>
                <w:webHidden/>
              </w:rPr>
              <w:t>1</w:t>
            </w:r>
            <w:r w:rsidR="001D53A7" w:rsidRPr="002674BD">
              <w:rPr>
                <w:webHidden/>
              </w:rPr>
              <w:fldChar w:fldCharType="end"/>
            </w:r>
          </w:hyperlink>
        </w:p>
        <w:p w14:paraId="6BEF0C6E" w14:textId="0FB95EA0" w:rsidR="001D53A7" w:rsidRPr="002674BD" w:rsidRDefault="001D53A7">
          <w:pPr>
            <w:pStyle w:val="TOC2"/>
            <w:rPr>
              <w:rFonts w:eastAsiaTheme="minorEastAsia" w:cstheme="minorBidi"/>
              <w:color w:val="auto"/>
              <w:kern w:val="2"/>
              <w:sz w:val="24"/>
              <w:szCs w:val="24"/>
              <w14:ligatures w14:val="standardContextual"/>
            </w:rPr>
          </w:pPr>
          <w:hyperlink w:anchor="_Toc191366143" w:history="1">
            <w:r w:rsidRPr="002674BD">
              <w:rPr>
                <w:rStyle w:val="Hyperlink"/>
              </w:rPr>
              <w:t>How Western Australia's strategic planning will deliver on housing supply targets</w:t>
            </w:r>
            <w:r w:rsidRPr="002674BD">
              <w:rPr>
                <w:webHidden/>
              </w:rPr>
              <w:tab/>
            </w:r>
            <w:r w:rsidRPr="002674BD">
              <w:rPr>
                <w:webHidden/>
              </w:rPr>
              <w:fldChar w:fldCharType="begin"/>
            </w:r>
            <w:r w:rsidRPr="002674BD">
              <w:rPr>
                <w:webHidden/>
              </w:rPr>
              <w:instrText xml:space="preserve"> PAGEREF _Toc191366143 \h </w:instrText>
            </w:r>
            <w:r w:rsidRPr="002674BD">
              <w:rPr>
                <w:webHidden/>
              </w:rPr>
            </w:r>
            <w:r w:rsidRPr="002674BD">
              <w:rPr>
                <w:webHidden/>
              </w:rPr>
              <w:fldChar w:fldCharType="separate"/>
            </w:r>
            <w:r w:rsidR="00372CAE" w:rsidRPr="002674BD">
              <w:rPr>
                <w:webHidden/>
              </w:rPr>
              <w:t>1</w:t>
            </w:r>
            <w:r w:rsidRPr="002674BD">
              <w:rPr>
                <w:webHidden/>
              </w:rPr>
              <w:fldChar w:fldCharType="end"/>
            </w:r>
          </w:hyperlink>
        </w:p>
        <w:p w14:paraId="4CBCD997" w14:textId="20D63F74" w:rsidR="001D53A7" w:rsidRPr="002674BD" w:rsidRDefault="001D53A7">
          <w:pPr>
            <w:pStyle w:val="TOC1"/>
            <w:rPr>
              <w:rFonts w:eastAsiaTheme="minorEastAsia" w:cstheme="minorBidi"/>
              <w:b w:val="0"/>
              <w:color w:val="auto"/>
              <w:kern w:val="2"/>
              <w:szCs w:val="24"/>
              <w14:ligatures w14:val="standardContextual"/>
            </w:rPr>
          </w:pPr>
          <w:hyperlink w:anchor="_Toc191366144" w:history="1">
            <w:r w:rsidRPr="002674BD">
              <w:rPr>
                <w:rStyle w:val="Hyperlink"/>
                <w:lang w:eastAsia="en-US"/>
              </w:rPr>
              <w:t>Measure 3</w:t>
            </w:r>
            <w:r w:rsidRPr="002674BD">
              <w:rPr>
                <w:webHidden/>
              </w:rPr>
              <w:tab/>
            </w:r>
            <w:r w:rsidRPr="002674BD">
              <w:rPr>
                <w:webHidden/>
              </w:rPr>
              <w:fldChar w:fldCharType="begin"/>
            </w:r>
            <w:r w:rsidRPr="002674BD">
              <w:rPr>
                <w:webHidden/>
              </w:rPr>
              <w:instrText xml:space="preserve"> PAGEREF _Toc191366144 \h </w:instrText>
            </w:r>
            <w:r w:rsidRPr="002674BD">
              <w:rPr>
                <w:webHidden/>
              </w:rPr>
            </w:r>
            <w:r w:rsidRPr="002674BD">
              <w:rPr>
                <w:webHidden/>
              </w:rPr>
              <w:fldChar w:fldCharType="separate"/>
            </w:r>
            <w:r w:rsidR="00372CAE" w:rsidRPr="002674BD">
              <w:rPr>
                <w:webHidden/>
              </w:rPr>
              <w:t>5</w:t>
            </w:r>
            <w:r w:rsidRPr="002674BD">
              <w:rPr>
                <w:webHidden/>
              </w:rPr>
              <w:fldChar w:fldCharType="end"/>
            </w:r>
          </w:hyperlink>
        </w:p>
        <w:p w14:paraId="03F4498E" w14:textId="22CC8046" w:rsidR="001D53A7" w:rsidRPr="002674BD" w:rsidRDefault="001D53A7">
          <w:pPr>
            <w:pStyle w:val="TOC2"/>
            <w:rPr>
              <w:rFonts w:eastAsiaTheme="minorEastAsia" w:cstheme="minorBidi"/>
              <w:color w:val="auto"/>
              <w:kern w:val="2"/>
              <w:sz w:val="24"/>
              <w:szCs w:val="24"/>
              <w14:ligatures w14:val="standardContextual"/>
            </w:rPr>
          </w:pPr>
          <w:hyperlink w:anchor="_Toc191366145" w:history="1">
            <w:r w:rsidRPr="002674BD">
              <w:rPr>
                <w:rStyle w:val="Hyperlink"/>
              </w:rPr>
              <w:t>Summary of planning, zoning and land release reforms</w:t>
            </w:r>
            <w:r w:rsidRPr="002674BD">
              <w:rPr>
                <w:webHidden/>
              </w:rPr>
              <w:tab/>
            </w:r>
            <w:r w:rsidRPr="002674BD">
              <w:rPr>
                <w:webHidden/>
              </w:rPr>
              <w:fldChar w:fldCharType="begin"/>
            </w:r>
            <w:r w:rsidRPr="002674BD">
              <w:rPr>
                <w:webHidden/>
              </w:rPr>
              <w:instrText xml:space="preserve"> PAGEREF _Toc191366145 \h </w:instrText>
            </w:r>
            <w:r w:rsidRPr="002674BD">
              <w:rPr>
                <w:webHidden/>
              </w:rPr>
            </w:r>
            <w:r w:rsidRPr="002674BD">
              <w:rPr>
                <w:webHidden/>
              </w:rPr>
              <w:fldChar w:fldCharType="separate"/>
            </w:r>
            <w:r w:rsidR="00372CAE" w:rsidRPr="002674BD">
              <w:rPr>
                <w:webHidden/>
              </w:rPr>
              <w:t>5</w:t>
            </w:r>
            <w:r w:rsidRPr="002674BD">
              <w:rPr>
                <w:webHidden/>
              </w:rPr>
              <w:fldChar w:fldCharType="end"/>
            </w:r>
          </w:hyperlink>
        </w:p>
        <w:p w14:paraId="4DB67BF1" w14:textId="115D2A88" w:rsidR="001D53A7" w:rsidRPr="002674BD" w:rsidRDefault="001D53A7">
          <w:pPr>
            <w:pStyle w:val="TOC3"/>
            <w:rPr>
              <w:rFonts w:eastAsiaTheme="minorEastAsia" w:cstheme="minorBidi"/>
              <w:color w:val="auto"/>
              <w:kern w:val="2"/>
              <w:sz w:val="24"/>
              <w:szCs w:val="24"/>
              <w14:ligatures w14:val="standardContextual"/>
            </w:rPr>
          </w:pPr>
          <w:hyperlink w:anchor="_Toc191366146" w:history="1">
            <w:r w:rsidRPr="002674BD">
              <w:rPr>
                <w:rStyle w:val="Hyperlink"/>
              </w:rPr>
              <w:t>Reforms as part of the Planning and Development Amendment  Act 2023</w:t>
            </w:r>
            <w:r w:rsidRPr="002674BD">
              <w:rPr>
                <w:webHidden/>
              </w:rPr>
              <w:tab/>
            </w:r>
            <w:r w:rsidRPr="002674BD">
              <w:rPr>
                <w:webHidden/>
              </w:rPr>
              <w:fldChar w:fldCharType="begin"/>
            </w:r>
            <w:r w:rsidRPr="002674BD">
              <w:rPr>
                <w:webHidden/>
              </w:rPr>
              <w:instrText xml:space="preserve"> PAGEREF _Toc191366146 \h </w:instrText>
            </w:r>
            <w:r w:rsidRPr="002674BD">
              <w:rPr>
                <w:webHidden/>
              </w:rPr>
            </w:r>
            <w:r w:rsidRPr="002674BD">
              <w:rPr>
                <w:webHidden/>
              </w:rPr>
              <w:fldChar w:fldCharType="separate"/>
            </w:r>
            <w:r w:rsidR="00372CAE" w:rsidRPr="002674BD">
              <w:rPr>
                <w:webHidden/>
              </w:rPr>
              <w:t>5</w:t>
            </w:r>
            <w:r w:rsidRPr="002674BD">
              <w:rPr>
                <w:webHidden/>
              </w:rPr>
              <w:fldChar w:fldCharType="end"/>
            </w:r>
          </w:hyperlink>
        </w:p>
        <w:p w14:paraId="6CBD9E98" w14:textId="372DD24B" w:rsidR="001D53A7" w:rsidRPr="002674BD" w:rsidRDefault="001D53A7">
          <w:pPr>
            <w:pStyle w:val="TOC3"/>
            <w:rPr>
              <w:rFonts w:eastAsiaTheme="minorEastAsia" w:cstheme="minorBidi"/>
              <w:color w:val="auto"/>
              <w:kern w:val="2"/>
              <w:sz w:val="24"/>
              <w:szCs w:val="24"/>
              <w14:ligatures w14:val="standardContextual"/>
            </w:rPr>
          </w:pPr>
          <w:hyperlink w:anchor="_Toc191366147" w:history="1">
            <w:r w:rsidRPr="002674BD">
              <w:rPr>
                <w:rStyle w:val="Hyperlink"/>
              </w:rPr>
              <w:t>Other planning, zoning and land release reforms</w:t>
            </w:r>
            <w:r w:rsidRPr="002674BD">
              <w:rPr>
                <w:webHidden/>
              </w:rPr>
              <w:tab/>
            </w:r>
            <w:r w:rsidRPr="002674BD">
              <w:rPr>
                <w:webHidden/>
              </w:rPr>
              <w:fldChar w:fldCharType="begin"/>
            </w:r>
            <w:r w:rsidRPr="002674BD">
              <w:rPr>
                <w:webHidden/>
              </w:rPr>
              <w:instrText xml:space="preserve"> PAGEREF _Toc191366147 \h </w:instrText>
            </w:r>
            <w:r w:rsidRPr="002674BD">
              <w:rPr>
                <w:webHidden/>
              </w:rPr>
            </w:r>
            <w:r w:rsidRPr="002674BD">
              <w:rPr>
                <w:webHidden/>
              </w:rPr>
              <w:fldChar w:fldCharType="separate"/>
            </w:r>
            <w:r w:rsidR="00372CAE" w:rsidRPr="002674BD">
              <w:rPr>
                <w:webHidden/>
              </w:rPr>
              <w:t>6</w:t>
            </w:r>
            <w:r w:rsidRPr="002674BD">
              <w:rPr>
                <w:webHidden/>
              </w:rPr>
              <w:fldChar w:fldCharType="end"/>
            </w:r>
          </w:hyperlink>
        </w:p>
        <w:p w14:paraId="417A2973" w14:textId="5F4557FF" w:rsidR="001D53A7" w:rsidRPr="002674BD" w:rsidRDefault="001D53A7">
          <w:pPr>
            <w:pStyle w:val="TOC1"/>
            <w:rPr>
              <w:rFonts w:eastAsiaTheme="minorEastAsia" w:cstheme="minorBidi"/>
              <w:b w:val="0"/>
              <w:color w:val="auto"/>
              <w:kern w:val="2"/>
              <w:szCs w:val="24"/>
              <w14:ligatures w14:val="standardContextual"/>
            </w:rPr>
          </w:pPr>
          <w:hyperlink w:anchor="_Toc191366148" w:history="1">
            <w:r w:rsidRPr="002674BD">
              <w:rPr>
                <w:rStyle w:val="Hyperlink"/>
                <w:lang w:eastAsia="en-US"/>
              </w:rPr>
              <w:t>Measure 4</w:t>
            </w:r>
            <w:r w:rsidRPr="002674BD">
              <w:rPr>
                <w:webHidden/>
              </w:rPr>
              <w:tab/>
            </w:r>
            <w:r w:rsidRPr="002674BD">
              <w:rPr>
                <w:webHidden/>
              </w:rPr>
              <w:fldChar w:fldCharType="begin"/>
            </w:r>
            <w:r w:rsidRPr="002674BD">
              <w:rPr>
                <w:webHidden/>
              </w:rPr>
              <w:instrText xml:space="preserve"> PAGEREF _Toc191366148 \h </w:instrText>
            </w:r>
            <w:r w:rsidRPr="002674BD">
              <w:rPr>
                <w:webHidden/>
              </w:rPr>
            </w:r>
            <w:r w:rsidRPr="002674BD">
              <w:rPr>
                <w:webHidden/>
              </w:rPr>
              <w:fldChar w:fldCharType="separate"/>
            </w:r>
            <w:r w:rsidR="00372CAE" w:rsidRPr="002674BD">
              <w:rPr>
                <w:webHidden/>
              </w:rPr>
              <w:t>11</w:t>
            </w:r>
            <w:r w:rsidRPr="002674BD">
              <w:rPr>
                <w:webHidden/>
              </w:rPr>
              <w:fldChar w:fldCharType="end"/>
            </w:r>
          </w:hyperlink>
        </w:p>
        <w:p w14:paraId="069500EA" w14:textId="69B2688E" w:rsidR="001D53A7" w:rsidRPr="002674BD" w:rsidRDefault="001D53A7">
          <w:pPr>
            <w:pStyle w:val="TOC2"/>
            <w:rPr>
              <w:rFonts w:eastAsiaTheme="minorEastAsia" w:cstheme="minorBidi"/>
              <w:color w:val="auto"/>
              <w:kern w:val="2"/>
              <w:sz w:val="24"/>
              <w:szCs w:val="24"/>
              <w14:ligatures w14:val="standardContextual"/>
            </w:rPr>
          </w:pPr>
          <w:hyperlink w:anchor="_Toc191366149" w:history="1">
            <w:r w:rsidRPr="002674BD">
              <w:rPr>
                <w:rStyle w:val="Hyperlink"/>
              </w:rPr>
              <w:t>Key findings from a development ready land stocktake</w:t>
            </w:r>
            <w:r w:rsidRPr="002674BD">
              <w:rPr>
                <w:webHidden/>
              </w:rPr>
              <w:tab/>
            </w:r>
            <w:r w:rsidRPr="002674BD">
              <w:rPr>
                <w:webHidden/>
              </w:rPr>
              <w:fldChar w:fldCharType="begin"/>
            </w:r>
            <w:r w:rsidRPr="002674BD">
              <w:rPr>
                <w:webHidden/>
              </w:rPr>
              <w:instrText xml:space="preserve"> PAGEREF _Toc191366149 \h </w:instrText>
            </w:r>
            <w:r w:rsidRPr="002674BD">
              <w:rPr>
                <w:webHidden/>
              </w:rPr>
            </w:r>
            <w:r w:rsidRPr="002674BD">
              <w:rPr>
                <w:webHidden/>
              </w:rPr>
              <w:fldChar w:fldCharType="separate"/>
            </w:r>
            <w:r w:rsidR="00372CAE" w:rsidRPr="002674BD">
              <w:rPr>
                <w:webHidden/>
              </w:rPr>
              <w:t>11</w:t>
            </w:r>
            <w:r w:rsidRPr="002674BD">
              <w:rPr>
                <w:webHidden/>
              </w:rPr>
              <w:fldChar w:fldCharType="end"/>
            </w:r>
          </w:hyperlink>
        </w:p>
        <w:p w14:paraId="1D50C636" w14:textId="69EAEBCC" w:rsidR="001D53A7" w:rsidRPr="002674BD" w:rsidRDefault="001D53A7">
          <w:pPr>
            <w:pStyle w:val="TOC1"/>
            <w:rPr>
              <w:rFonts w:eastAsiaTheme="minorEastAsia" w:cstheme="minorBidi"/>
              <w:b w:val="0"/>
              <w:color w:val="auto"/>
              <w:kern w:val="2"/>
              <w:szCs w:val="24"/>
              <w14:ligatures w14:val="standardContextual"/>
            </w:rPr>
          </w:pPr>
          <w:hyperlink w:anchor="_Toc191366150" w:history="1">
            <w:r w:rsidRPr="002674BD">
              <w:rPr>
                <w:rStyle w:val="Hyperlink"/>
                <w:lang w:eastAsia="en-US"/>
              </w:rPr>
              <w:t>Measure 5</w:t>
            </w:r>
            <w:r w:rsidRPr="002674BD">
              <w:rPr>
                <w:webHidden/>
              </w:rPr>
              <w:tab/>
            </w:r>
            <w:r w:rsidRPr="002674BD">
              <w:rPr>
                <w:webHidden/>
              </w:rPr>
              <w:fldChar w:fldCharType="begin"/>
            </w:r>
            <w:r w:rsidRPr="002674BD">
              <w:rPr>
                <w:webHidden/>
              </w:rPr>
              <w:instrText xml:space="preserve"> PAGEREF _Toc191366150 \h </w:instrText>
            </w:r>
            <w:r w:rsidRPr="002674BD">
              <w:rPr>
                <w:webHidden/>
              </w:rPr>
            </w:r>
            <w:r w:rsidRPr="002674BD">
              <w:rPr>
                <w:webHidden/>
              </w:rPr>
              <w:fldChar w:fldCharType="separate"/>
            </w:r>
            <w:r w:rsidR="00372CAE" w:rsidRPr="002674BD">
              <w:rPr>
                <w:webHidden/>
              </w:rPr>
              <w:t>16</w:t>
            </w:r>
            <w:r w:rsidRPr="002674BD">
              <w:rPr>
                <w:webHidden/>
              </w:rPr>
              <w:fldChar w:fldCharType="end"/>
            </w:r>
          </w:hyperlink>
        </w:p>
        <w:p w14:paraId="3ED0B7BF" w14:textId="1202127F" w:rsidR="001D53A7" w:rsidRPr="002674BD" w:rsidRDefault="001D53A7">
          <w:pPr>
            <w:pStyle w:val="TOC2"/>
            <w:rPr>
              <w:rFonts w:eastAsiaTheme="minorEastAsia" w:cstheme="minorBidi"/>
              <w:color w:val="auto"/>
              <w:kern w:val="2"/>
              <w:sz w:val="24"/>
              <w:szCs w:val="24"/>
              <w14:ligatures w14:val="standardContextual"/>
            </w:rPr>
          </w:pPr>
          <w:hyperlink w:anchor="_Toc191366151" w:history="1">
            <w:r w:rsidRPr="002674BD">
              <w:rPr>
                <w:rStyle w:val="Hyperlink"/>
              </w:rPr>
              <w:t>Zoning, planning and other amendments to support dense, well-located housing</w:t>
            </w:r>
            <w:r w:rsidRPr="002674BD">
              <w:rPr>
                <w:webHidden/>
              </w:rPr>
              <w:tab/>
            </w:r>
            <w:r w:rsidRPr="002674BD">
              <w:rPr>
                <w:webHidden/>
              </w:rPr>
              <w:fldChar w:fldCharType="begin"/>
            </w:r>
            <w:r w:rsidRPr="002674BD">
              <w:rPr>
                <w:webHidden/>
              </w:rPr>
              <w:instrText xml:space="preserve"> PAGEREF _Toc191366151 \h </w:instrText>
            </w:r>
            <w:r w:rsidRPr="002674BD">
              <w:rPr>
                <w:webHidden/>
              </w:rPr>
            </w:r>
            <w:r w:rsidRPr="002674BD">
              <w:rPr>
                <w:webHidden/>
              </w:rPr>
              <w:fldChar w:fldCharType="separate"/>
            </w:r>
            <w:r w:rsidR="00372CAE" w:rsidRPr="002674BD">
              <w:rPr>
                <w:webHidden/>
              </w:rPr>
              <w:t>16</w:t>
            </w:r>
            <w:r w:rsidRPr="002674BD">
              <w:rPr>
                <w:webHidden/>
              </w:rPr>
              <w:fldChar w:fldCharType="end"/>
            </w:r>
          </w:hyperlink>
        </w:p>
        <w:p w14:paraId="6825E1B7" w14:textId="73758F1C" w:rsidR="001D53A7" w:rsidRPr="002674BD" w:rsidRDefault="001D53A7">
          <w:pPr>
            <w:pStyle w:val="TOC2"/>
            <w:rPr>
              <w:rFonts w:eastAsiaTheme="minorEastAsia" w:cstheme="minorBidi"/>
              <w:color w:val="auto"/>
              <w:kern w:val="2"/>
              <w:sz w:val="24"/>
              <w:szCs w:val="24"/>
              <w14:ligatures w14:val="standardContextual"/>
            </w:rPr>
          </w:pPr>
          <w:hyperlink w:anchor="_Toc191366152" w:history="1">
            <w:r w:rsidRPr="002674BD">
              <w:rPr>
                <w:rStyle w:val="Hyperlink"/>
              </w:rPr>
              <w:t>Reforms to non-planning barriers preventing a diversity of housing</w:t>
            </w:r>
            <w:r w:rsidRPr="002674BD">
              <w:rPr>
                <w:webHidden/>
              </w:rPr>
              <w:tab/>
            </w:r>
            <w:r w:rsidRPr="002674BD">
              <w:rPr>
                <w:webHidden/>
              </w:rPr>
              <w:fldChar w:fldCharType="begin"/>
            </w:r>
            <w:r w:rsidRPr="002674BD">
              <w:rPr>
                <w:webHidden/>
              </w:rPr>
              <w:instrText xml:space="preserve"> PAGEREF _Toc191366152 \h </w:instrText>
            </w:r>
            <w:r w:rsidRPr="002674BD">
              <w:rPr>
                <w:webHidden/>
              </w:rPr>
            </w:r>
            <w:r w:rsidRPr="002674BD">
              <w:rPr>
                <w:webHidden/>
              </w:rPr>
              <w:fldChar w:fldCharType="separate"/>
            </w:r>
            <w:r w:rsidR="00372CAE" w:rsidRPr="002674BD">
              <w:rPr>
                <w:webHidden/>
              </w:rPr>
              <w:t>22</w:t>
            </w:r>
            <w:r w:rsidRPr="002674BD">
              <w:rPr>
                <w:webHidden/>
              </w:rPr>
              <w:fldChar w:fldCharType="end"/>
            </w:r>
          </w:hyperlink>
        </w:p>
        <w:p w14:paraId="105126B0" w14:textId="3107DDF8" w:rsidR="001D53A7" w:rsidRPr="002674BD" w:rsidRDefault="001D53A7">
          <w:pPr>
            <w:pStyle w:val="TOC1"/>
            <w:rPr>
              <w:rFonts w:eastAsiaTheme="minorEastAsia" w:cstheme="minorBidi"/>
              <w:b w:val="0"/>
              <w:color w:val="auto"/>
              <w:kern w:val="2"/>
              <w:szCs w:val="24"/>
              <w14:ligatures w14:val="standardContextual"/>
            </w:rPr>
          </w:pPr>
          <w:hyperlink w:anchor="_Toc191366153" w:history="1">
            <w:r w:rsidRPr="002674BD">
              <w:rPr>
                <w:rStyle w:val="Hyperlink"/>
                <w:lang w:eastAsia="en-US"/>
              </w:rPr>
              <w:t>Measure 6</w:t>
            </w:r>
            <w:r w:rsidRPr="002674BD">
              <w:rPr>
                <w:webHidden/>
              </w:rPr>
              <w:tab/>
            </w:r>
            <w:r w:rsidRPr="002674BD">
              <w:rPr>
                <w:webHidden/>
              </w:rPr>
              <w:fldChar w:fldCharType="begin"/>
            </w:r>
            <w:r w:rsidRPr="002674BD">
              <w:rPr>
                <w:webHidden/>
              </w:rPr>
              <w:instrText xml:space="preserve"> PAGEREF _Toc191366153 \h </w:instrText>
            </w:r>
            <w:r w:rsidRPr="002674BD">
              <w:rPr>
                <w:webHidden/>
              </w:rPr>
            </w:r>
            <w:r w:rsidRPr="002674BD">
              <w:rPr>
                <w:webHidden/>
              </w:rPr>
              <w:fldChar w:fldCharType="separate"/>
            </w:r>
            <w:r w:rsidR="00372CAE" w:rsidRPr="002674BD">
              <w:rPr>
                <w:webHidden/>
              </w:rPr>
              <w:t>25</w:t>
            </w:r>
            <w:r w:rsidRPr="002674BD">
              <w:rPr>
                <w:webHidden/>
              </w:rPr>
              <w:fldChar w:fldCharType="end"/>
            </w:r>
          </w:hyperlink>
        </w:p>
        <w:p w14:paraId="1445F56C" w14:textId="12F21A56" w:rsidR="001D53A7" w:rsidRPr="002674BD" w:rsidRDefault="001D53A7">
          <w:pPr>
            <w:pStyle w:val="TOC2"/>
            <w:rPr>
              <w:rFonts w:eastAsiaTheme="minorEastAsia" w:cstheme="minorBidi"/>
              <w:color w:val="auto"/>
              <w:kern w:val="2"/>
              <w:sz w:val="24"/>
              <w:szCs w:val="24"/>
              <w14:ligatures w14:val="standardContextual"/>
            </w:rPr>
          </w:pPr>
          <w:hyperlink w:anchor="_Toc191366154" w:history="1">
            <w:r w:rsidRPr="002674BD">
              <w:rPr>
                <w:rStyle w:val="Hyperlink"/>
              </w:rPr>
              <w:t>Identifying barriers in development approvals</w:t>
            </w:r>
            <w:r w:rsidRPr="002674BD">
              <w:rPr>
                <w:webHidden/>
              </w:rPr>
              <w:tab/>
            </w:r>
            <w:r w:rsidRPr="002674BD">
              <w:rPr>
                <w:webHidden/>
              </w:rPr>
              <w:fldChar w:fldCharType="begin"/>
            </w:r>
            <w:r w:rsidRPr="002674BD">
              <w:rPr>
                <w:webHidden/>
              </w:rPr>
              <w:instrText xml:space="preserve"> PAGEREF _Toc191366154 \h </w:instrText>
            </w:r>
            <w:r w:rsidRPr="002674BD">
              <w:rPr>
                <w:webHidden/>
              </w:rPr>
            </w:r>
            <w:r w:rsidRPr="002674BD">
              <w:rPr>
                <w:webHidden/>
              </w:rPr>
              <w:fldChar w:fldCharType="separate"/>
            </w:r>
            <w:r w:rsidR="00372CAE" w:rsidRPr="002674BD">
              <w:rPr>
                <w:webHidden/>
              </w:rPr>
              <w:t>25</w:t>
            </w:r>
            <w:r w:rsidRPr="002674BD">
              <w:rPr>
                <w:webHidden/>
              </w:rPr>
              <w:fldChar w:fldCharType="end"/>
            </w:r>
          </w:hyperlink>
        </w:p>
        <w:p w14:paraId="5AE4EEA6" w14:textId="322E04A7" w:rsidR="001D53A7" w:rsidRPr="002674BD" w:rsidRDefault="001D53A7">
          <w:pPr>
            <w:pStyle w:val="TOC3"/>
            <w:rPr>
              <w:rFonts w:eastAsiaTheme="minorEastAsia" w:cstheme="minorBidi"/>
              <w:color w:val="auto"/>
              <w:kern w:val="2"/>
              <w:sz w:val="24"/>
              <w:szCs w:val="24"/>
              <w14:ligatures w14:val="standardContextual"/>
            </w:rPr>
          </w:pPr>
          <w:hyperlink w:anchor="_Toc191366155" w:history="1">
            <w:r w:rsidRPr="002674BD">
              <w:rPr>
                <w:rStyle w:val="Hyperlink"/>
              </w:rPr>
              <w:t>Key barriers to the timely issuing of development approvals and barriers to delivering housing where development approvals have been granted</w:t>
            </w:r>
            <w:r w:rsidRPr="002674BD">
              <w:rPr>
                <w:webHidden/>
              </w:rPr>
              <w:tab/>
            </w:r>
            <w:r w:rsidRPr="002674BD">
              <w:rPr>
                <w:webHidden/>
              </w:rPr>
              <w:fldChar w:fldCharType="begin"/>
            </w:r>
            <w:r w:rsidRPr="002674BD">
              <w:rPr>
                <w:webHidden/>
              </w:rPr>
              <w:instrText xml:space="preserve"> PAGEREF _Toc191366155 \h </w:instrText>
            </w:r>
            <w:r w:rsidRPr="002674BD">
              <w:rPr>
                <w:webHidden/>
              </w:rPr>
            </w:r>
            <w:r w:rsidRPr="002674BD">
              <w:rPr>
                <w:webHidden/>
              </w:rPr>
              <w:fldChar w:fldCharType="separate"/>
            </w:r>
            <w:r w:rsidR="00372CAE" w:rsidRPr="002674BD">
              <w:rPr>
                <w:webHidden/>
              </w:rPr>
              <w:t>25</w:t>
            </w:r>
            <w:r w:rsidRPr="002674BD">
              <w:rPr>
                <w:webHidden/>
              </w:rPr>
              <w:fldChar w:fldCharType="end"/>
            </w:r>
          </w:hyperlink>
        </w:p>
        <w:p w14:paraId="1BA43BE9" w14:textId="743F3153" w:rsidR="001D53A7" w:rsidRPr="002674BD" w:rsidRDefault="001D53A7">
          <w:pPr>
            <w:pStyle w:val="TOC2"/>
            <w:rPr>
              <w:rFonts w:eastAsiaTheme="minorEastAsia" w:cstheme="minorBidi"/>
              <w:color w:val="auto"/>
              <w:kern w:val="2"/>
              <w:sz w:val="24"/>
              <w:szCs w:val="24"/>
              <w14:ligatures w14:val="standardContextual"/>
            </w:rPr>
          </w:pPr>
          <w:hyperlink w:anchor="_Toc191366156" w:history="1">
            <w:r w:rsidRPr="002674BD">
              <w:rPr>
                <w:rStyle w:val="Hyperlink"/>
              </w:rPr>
              <w:t>Reforms to development approvals</w:t>
            </w:r>
            <w:r w:rsidRPr="002674BD">
              <w:rPr>
                <w:webHidden/>
              </w:rPr>
              <w:tab/>
            </w:r>
            <w:r w:rsidRPr="002674BD">
              <w:rPr>
                <w:webHidden/>
              </w:rPr>
              <w:fldChar w:fldCharType="begin"/>
            </w:r>
            <w:r w:rsidRPr="002674BD">
              <w:rPr>
                <w:webHidden/>
              </w:rPr>
              <w:instrText xml:space="preserve"> PAGEREF _Toc191366156 \h </w:instrText>
            </w:r>
            <w:r w:rsidRPr="002674BD">
              <w:rPr>
                <w:webHidden/>
              </w:rPr>
            </w:r>
            <w:r w:rsidRPr="002674BD">
              <w:rPr>
                <w:webHidden/>
              </w:rPr>
              <w:fldChar w:fldCharType="separate"/>
            </w:r>
            <w:r w:rsidR="00372CAE" w:rsidRPr="002674BD">
              <w:rPr>
                <w:webHidden/>
              </w:rPr>
              <w:t>25</w:t>
            </w:r>
            <w:r w:rsidRPr="002674BD">
              <w:rPr>
                <w:webHidden/>
              </w:rPr>
              <w:fldChar w:fldCharType="end"/>
            </w:r>
          </w:hyperlink>
        </w:p>
        <w:p w14:paraId="069B18D0" w14:textId="50ACEA0C" w:rsidR="001D53A7" w:rsidRPr="002674BD" w:rsidRDefault="001D53A7">
          <w:pPr>
            <w:pStyle w:val="TOC3"/>
            <w:rPr>
              <w:rFonts w:eastAsiaTheme="minorEastAsia" w:cstheme="minorBidi"/>
              <w:color w:val="auto"/>
              <w:kern w:val="2"/>
              <w:sz w:val="24"/>
              <w:szCs w:val="24"/>
              <w14:ligatures w14:val="standardContextual"/>
            </w:rPr>
          </w:pPr>
          <w:hyperlink w:anchor="_Toc191366157" w:history="1">
            <w:r w:rsidRPr="002674BD">
              <w:rPr>
                <w:rStyle w:val="Hyperlink"/>
              </w:rPr>
              <w:t>Social Housing | Affordable Housing | Community Housing</w:t>
            </w:r>
            <w:r w:rsidRPr="002674BD">
              <w:rPr>
                <w:webHidden/>
              </w:rPr>
              <w:tab/>
            </w:r>
            <w:r w:rsidRPr="002674BD">
              <w:rPr>
                <w:webHidden/>
              </w:rPr>
              <w:fldChar w:fldCharType="begin"/>
            </w:r>
            <w:r w:rsidRPr="002674BD">
              <w:rPr>
                <w:webHidden/>
              </w:rPr>
              <w:instrText xml:space="preserve"> PAGEREF _Toc191366157 \h </w:instrText>
            </w:r>
            <w:r w:rsidRPr="002674BD">
              <w:rPr>
                <w:webHidden/>
              </w:rPr>
            </w:r>
            <w:r w:rsidRPr="002674BD">
              <w:rPr>
                <w:webHidden/>
              </w:rPr>
              <w:fldChar w:fldCharType="separate"/>
            </w:r>
            <w:r w:rsidR="00372CAE" w:rsidRPr="002674BD">
              <w:rPr>
                <w:webHidden/>
              </w:rPr>
              <w:t>25</w:t>
            </w:r>
            <w:r w:rsidRPr="002674BD">
              <w:rPr>
                <w:webHidden/>
              </w:rPr>
              <w:fldChar w:fldCharType="end"/>
            </w:r>
          </w:hyperlink>
        </w:p>
        <w:p w14:paraId="07139BC3" w14:textId="1438D06A" w:rsidR="001D53A7" w:rsidRPr="002674BD" w:rsidRDefault="001D53A7">
          <w:pPr>
            <w:pStyle w:val="TOC3"/>
            <w:rPr>
              <w:rFonts w:eastAsiaTheme="minorEastAsia" w:cstheme="minorBidi"/>
              <w:color w:val="auto"/>
              <w:kern w:val="2"/>
              <w:sz w:val="24"/>
              <w:szCs w:val="24"/>
              <w14:ligatures w14:val="standardContextual"/>
            </w:rPr>
          </w:pPr>
          <w:hyperlink w:anchor="_Toc191366158" w:history="1">
            <w:r w:rsidRPr="002674BD">
              <w:rPr>
                <w:rStyle w:val="Hyperlink"/>
              </w:rPr>
              <w:t>Reforms to social and affordable housing approval pathways</w:t>
            </w:r>
            <w:r w:rsidRPr="002674BD">
              <w:rPr>
                <w:webHidden/>
              </w:rPr>
              <w:tab/>
            </w:r>
            <w:r w:rsidRPr="002674BD">
              <w:rPr>
                <w:webHidden/>
              </w:rPr>
              <w:fldChar w:fldCharType="begin"/>
            </w:r>
            <w:r w:rsidRPr="002674BD">
              <w:rPr>
                <w:webHidden/>
              </w:rPr>
              <w:instrText xml:space="preserve"> PAGEREF _Toc191366158 \h </w:instrText>
            </w:r>
            <w:r w:rsidRPr="002674BD">
              <w:rPr>
                <w:webHidden/>
              </w:rPr>
            </w:r>
            <w:r w:rsidRPr="002674BD">
              <w:rPr>
                <w:webHidden/>
              </w:rPr>
              <w:fldChar w:fldCharType="separate"/>
            </w:r>
            <w:r w:rsidR="00372CAE" w:rsidRPr="002674BD">
              <w:rPr>
                <w:webHidden/>
              </w:rPr>
              <w:t>26</w:t>
            </w:r>
            <w:r w:rsidRPr="002674BD">
              <w:rPr>
                <w:webHidden/>
              </w:rPr>
              <w:fldChar w:fldCharType="end"/>
            </w:r>
          </w:hyperlink>
        </w:p>
        <w:p w14:paraId="164B4429" w14:textId="1699D248" w:rsidR="001D53A7" w:rsidRPr="002674BD" w:rsidRDefault="001D53A7">
          <w:pPr>
            <w:pStyle w:val="TOC3"/>
            <w:rPr>
              <w:rFonts w:eastAsiaTheme="minorEastAsia" w:cstheme="minorBidi"/>
              <w:color w:val="auto"/>
              <w:kern w:val="2"/>
              <w:sz w:val="24"/>
              <w:szCs w:val="24"/>
              <w14:ligatures w14:val="standardContextual"/>
            </w:rPr>
          </w:pPr>
          <w:hyperlink w:anchor="_Toc191366159" w:history="1">
            <w:r w:rsidRPr="002674BD">
              <w:rPr>
                <w:rStyle w:val="Hyperlink"/>
              </w:rPr>
              <w:t>Reforms addressing barriers to the timely issuing of development approvals</w:t>
            </w:r>
            <w:r w:rsidRPr="002674BD">
              <w:rPr>
                <w:webHidden/>
              </w:rPr>
              <w:tab/>
            </w:r>
            <w:r w:rsidRPr="002674BD">
              <w:rPr>
                <w:webHidden/>
              </w:rPr>
              <w:fldChar w:fldCharType="begin"/>
            </w:r>
            <w:r w:rsidRPr="002674BD">
              <w:rPr>
                <w:webHidden/>
              </w:rPr>
              <w:instrText xml:space="preserve"> PAGEREF _Toc191366159 \h </w:instrText>
            </w:r>
            <w:r w:rsidRPr="002674BD">
              <w:rPr>
                <w:webHidden/>
              </w:rPr>
            </w:r>
            <w:r w:rsidRPr="002674BD">
              <w:rPr>
                <w:webHidden/>
              </w:rPr>
              <w:fldChar w:fldCharType="separate"/>
            </w:r>
            <w:r w:rsidR="00372CAE" w:rsidRPr="002674BD">
              <w:rPr>
                <w:webHidden/>
              </w:rPr>
              <w:t>26</w:t>
            </w:r>
            <w:r w:rsidRPr="002674BD">
              <w:rPr>
                <w:webHidden/>
              </w:rPr>
              <w:fldChar w:fldCharType="end"/>
            </w:r>
          </w:hyperlink>
        </w:p>
        <w:p w14:paraId="3856E316" w14:textId="261AD4C6" w:rsidR="001D53A7" w:rsidRPr="002674BD" w:rsidRDefault="001D53A7">
          <w:pPr>
            <w:pStyle w:val="TOC3"/>
            <w:rPr>
              <w:rFonts w:eastAsiaTheme="minorEastAsia" w:cstheme="minorBidi"/>
              <w:color w:val="auto"/>
              <w:kern w:val="2"/>
              <w:sz w:val="24"/>
              <w:szCs w:val="24"/>
              <w14:ligatures w14:val="standardContextual"/>
            </w:rPr>
          </w:pPr>
          <w:hyperlink w:anchor="_Toc191366240" w:history="1">
            <w:r w:rsidRPr="002674BD">
              <w:rPr>
                <w:rStyle w:val="Hyperlink"/>
              </w:rPr>
              <w:t>Planning reforms to address existing development approvals which have not been acted upon</w:t>
            </w:r>
            <w:r w:rsidRPr="002674BD">
              <w:rPr>
                <w:webHidden/>
              </w:rPr>
              <w:tab/>
            </w:r>
            <w:r w:rsidRPr="002674BD">
              <w:rPr>
                <w:webHidden/>
              </w:rPr>
              <w:fldChar w:fldCharType="begin"/>
            </w:r>
            <w:r w:rsidRPr="002674BD">
              <w:rPr>
                <w:webHidden/>
              </w:rPr>
              <w:instrText xml:space="preserve"> PAGEREF _Toc191366240 \h </w:instrText>
            </w:r>
            <w:r w:rsidRPr="002674BD">
              <w:rPr>
                <w:webHidden/>
              </w:rPr>
            </w:r>
            <w:r w:rsidRPr="002674BD">
              <w:rPr>
                <w:webHidden/>
              </w:rPr>
              <w:fldChar w:fldCharType="separate"/>
            </w:r>
            <w:r w:rsidR="00372CAE" w:rsidRPr="002674BD">
              <w:rPr>
                <w:webHidden/>
              </w:rPr>
              <w:t>27</w:t>
            </w:r>
            <w:r w:rsidRPr="002674BD">
              <w:rPr>
                <w:webHidden/>
              </w:rPr>
              <w:fldChar w:fldCharType="end"/>
            </w:r>
          </w:hyperlink>
        </w:p>
        <w:p w14:paraId="78529170" w14:textId="6985EC26" w:rsidR="001D53A7" w:rsidRPr="002674BD" w:rsidRDefault="001D53A7">
          <w:pPr>
            <w:pStyle w:val="TOC3"/>
            <w:rPr>
              <w:rFonts w:eastAsiaTheme="minorEastAsia" w:cstheme="minorBidi"/>
              <w:color w:val="auto"/>
              <w:kern w:val="2"/>
              <w:sz w:val="24"/>
              <w:szCs w:val="24"/>
              <w14:ligatures w14:val="standardContextual"/>
            </w:rPr>
          </w:pPr>
          <w:hyperlink w:anchor="_Toc191366241" w:history="1">
            <w:r w:rsidRPr="002674BD">
              <w:rPr>
                <w:rStyle w:val="Hyperlink"/>
              </w:rPr>
              <w:t>Western Australia’s position on planning and inclusionary zoning reforms to support permanent affordable, social and other specialist housing in developments</w:t>
            </w:r>
            <w:r w:rsidRPr="002674BD">
              <w:rPr>
                <w:webHidden/>
              </w:rPr>
              <w:tab/>
            </w:r>
            <w:r w:rsidRPr="002674BD">
              <w:rPr>
                <w:webHidden/>
              </w:rPr>
              <w:fldChar w:fldCharType="begin"/>
            </w:r>
            <w:r w:rsidRPr="002674BD">
              <w:rPr>
                <w:webHidden/>
              </w:rPr>
              <w:instrText xml:space="preserve"> PAGEREF _Toc191366241 \h </w:instrText>
            </w:r>
            <w:r w:rsidRPr="002674BD">
              <w:rPr>
                <w:webHidden/>
              </w:rPr>
            </w:r>
            <w:r w:rsidRPr="002674BD">
              <w:rPr>
                <w:webHidden/>
              </w:rPr>
              <w:fldChar w:fldCharType="separate"/>
            </w:r>
            <w:r w:rsidR="00372CAE" w:rsidRPr="002674BD">
              <w:rPr>
                <w:webHidden/>
              </w:rPr>
              <w:t>28</w:t>
            </w:r>
            <w:r w:rsidRPr="002674BD">
              <w:rPr>
                <w:webHidden/>
              </w:rPr>
              <w:fldChar w:fldCharType="end"/>
            </w:r>
          </w:hyperlink>
        </w:p>
        <w:p w14:paraId="12A27CB6" w14:textId="01646CC7" w:rsidR="001D53A7" w:rsidRPr="002674BD" w:rsidRDefault="001D53A7">
          <w:pPr>
            <w:pStyle w:val="TOC2"/>
            <w:rPr>
              <w:rFonts w:eastAsiaTheme="minorEastAsia" w:cstheme="minorBidi"/>
              <w:color w:val="auto"/>
              <w:kern w:val="2"/>
              <w:sz w:val="24"/>
              <w:szCs w:val="24"/>
              <w14:ligatures w14:val="standardContextual"/>
            </w:rPr>
          </w:pPr>
          <w:hyperlink w:anchor="_Toc191366242" w:history="1">
            <w:r w:rsidRPr="002674BD">
              <w:rPr>
                <w:rStyle w:val="Hyperlink"/>
              </w:rPr>
              <w:t>Initiatives to share planning data and improve visibility of factors affecting housing delivery</w:t>
            </w:r>
            <w:r w:rsidRPr="002674BD">
              <w:rPr>
                <w:webHidden/>
              </w:rPr>
              <w:tab/>
            </w:r>
            <w:r w:rsidRPr="002674BD">
              <w:rPr>
                <w:webHidden/>
              </w:rPr>
              <w:fldChar w:fldCharType="begin"/>
            </w:r>
            <w:r w:rsidRPr="002674BD">
              <w:rPr>
                <w:webHidden/>
              </w:rPr>
              <w:instrText xml:space="preserve"> PAGEREF _Toc191366242 \h </w:instrText>
            </w:r>
            <w:r w:rsidRPr="002674BD">
              <w:rPr>
                <w:webHidden/>
              </w:rPr>
            </w:r>
            <w:r w:rsidRPr="002674BD">
              <w:rPr>
                <w:webHidden/>
              </w:rPr>
              <w:fldChar w:fldCharType="separate"/>
            </w:r>
            <w:r w:rsidR="00372CAE" w:rsidRPr="002674BD">
              <w:rPr>
                <w:webHidden/>
              </w:rPr>
              <w:t>28</w:t>
            </w:r>
            <w:r w:rsidRPr="002674BD">
              <w:rPr>
                <w:webHidden/>
              </w:rPr>
              <w:fldChar w:fldCharType="end"/>
            </w:r>
          </w:hyperlink>
        </w:p>
        <w:p w14:paraId="7E9711E1" w14:textId="0B01A995" w:rsidR="001D53A7" w:rsidRPr="002674BD" w:rsidRDefault="001D53A7">
          <w:pPr>
            <w:pStyle w:val="TOC1"/>
            <w:rPr>
              <w:rFonts w:eastAsiaTheme="minorEastAsia" w:cstheme="minorBidi"/>
              <w:b w:val="0"/>
              <w:color w:val="auto"/>
              <w:kern w:val="2"/>
              <w:szCs w:val="24"/>
              <w14:ligatures w14:val="standardContextual"/>
            </w:rPr>
          </w:pPr>
          <w:hyperlink w:anchor="_Toc191366243" w:history="1">
            <w:r w:rsidRPr="002674BD">
              <w:rPr>
                <w:rStyle w:val="Hyperlink"/>
                <w:rFonts w:asciiTheme="majorHAnsi" w:hAnsiTheme="majorHAnsi" w:cs="Arial"/>
                <w:kern w:val="32"/>
                <w:lang w:eastAsia="en-US"/>
              </w:rPr>
              <w:t>Measure 10</w:t>
            </w:r>
            <w:r w:rsidRPr="002674BD">
              <w:rPr>
                <w:webHidden/>
              </w:rPr>
              <w:tab/>
            </w:r>
            <w:r w:rsidRPr="002674BD">
              <w:rPr>
                <w:webHidden/>
              </w:rPr>
              <w:fldChar w:fldCharType="begin"/>
            </w:r>
            <w:r w:rsidRPr="002674BD">
              <w:rPr>
                <w:webHidden/>
              </w:rPr>
              <w:instrText xml:space="preserve"> PAGEREF _Toc191366243 \h </w:instrText>
            </w:r>
            <w:r w:rsidRPr="002674BD">
              <w:rPr>
                <w:webHidden/>
              </w:rPr>
            </w:r>
            <w:r w:rsidRPr="002674BD">
              <w:rPr>
                <w:webHidden/>
              </w:rPr>
              <w:fldChar w:fldCharType="separate"/>
            </w:r>
            <w:r w:rsidR="00372CAE" w:rsidRPr="002674BD">
              <w:rPr>
                <w:webHidden/>
              </w:rPr>
              <w:t>29</w:t>
            </w:r>
            <w:r w:rsidRPr="002674BD">
              <w:rPr>
                <w:webHidden/>
              </w:rPr>
              <w:fldChar w:fldCharType="end"/>
            </w:r>
          </w:hyperlink>
        </w:p>
        <w:p w14:paraId="0495D4AF" w14:textId="6E8D9F68" w:rsidR="001D53A7" w:rsidRPr="002674BD" w:rsidRDefault="001D53A7">
          <w:pPr>
            <w:pStyle w:val="TOC2"/>
            <w:rPr>
              <w:rFonts w:eastAsiaTheme="minorEastAsia" w:cstheme="minorBidi"/>
              <w:color w:val="auto"/>
              <w:kern w:val="2"/>
              <w:sz w:val="24"/>
              <w:szCs w:val="24"/>
              <w14:ligatures w14:val="standardContextual"/>
            </w:rPr>
          </w:pPr>
          <w:hyperlink w:anchor="_Toc191366244" w:history="1">
            <w:r w:rsidRPr="002674BD">
              <w:rPr>
                <w:rStyle w:val="Hyperlink"/>
                <w:rFonts w:asciiTheme="majorHAnsi" w:hAnsiTheme="majorHAnsi" w:cs="Arial"/>
                <w:iCs/>
                <w:kern w:val="32"/>
              </w:rPr>
              <w:t>Well located government land suitable for housing</w:t>
            </w:r>
            <w:r w:rsidRPr="002674BD">
              <w:rPr>
                <w:webHidden/>
              </w:rPr>
              <w:tab/>
            </w:r>
            <w:r w:rsidRPr="002674BD">
              <w:rPr>
                <w:webHidden/>
              </w:rPr>
              <w:fldChar w:fldCharType="begin"/>
            </w:r>
            <w:r w:rsidRPr="002674BD">
              <w:rPr>
                <w:webHidden/>
              </w:rPr>
              <w:instrText xml:space="preserve"> PAGEREF _Toc191366244 \h </w:instrText>
            </w:r>
            <w:r w:rsidRPr="002674BD">
              <w:rPr>
                <w:webHidden/>
              </w:rPr>
            </w:r>
            <w:r w:rsidRPr="002674BD">
              <w:rPr>
                <w:webHidden/>
              </w:rPr>
              <w:fldChar w:fldCharType="separate"/>
            </w:r>
            <w:r w:rsidR="00372CAE" w:rsidRPr="002674BD">
              <w:rPr>
                <w:webHidden/>
              </w:rPr>
              <w:t>29</w:t>
            </w:r>
            <w:r w:rsidRPr="002674BD">
              <w:rPr>
                <w:webHidden/>
              </w:rPr>
              <w:fldChar w:fldCharType="end"/>
            </w:r>
          </w:hyperlink>
        </w:p>
        <w:p w14:paraId="030CFF71" w14:textId="5FD03275" w:rsidR="001D53A7" w:rsidRPr="002674BD" w:rsidRDefault="001D53A7">
          <w:pPr>
            <w:pStyle w:val="TOC2"/>
            <w:rPr>
              <w:rFonts w:eastAsiaTheme="minorEastAsia" w:cstheme="minorBidi"/>
              <w:color w:val="auto"/>
              <w:kern w:val="2"/>
              <w:sz w:val="24"/>
              <w:szCs w:val="24"/>
              <w14:ligatures w14:val="standardContextual"/>
            </w:rPr>
          </w:pPr>
          <w:hyperlink w:anchor="_Toc191366245" w:history="1">
            <w:r w:rsidRPr="002674BD">
              <w:rPr>
                <w:rStyle w:val="Hyperlink"/>
                <w:rFonts w:asciiTheme="majorHAnsi" w:hAnsiTheme="majorHAnsi" w:cs="Arial"/>
                <w:iCs/>
                <w:kern w:val="32"/>
              </w:rPr>
              <w:t>Best practice examples</w:t>
            </w:r>
            <w:r w:rsidRPr="002674BD">
              <w:rPr>
                <w:webHidden/>
              </w:rPr>
              <w:tab/>
            </w:r>
            <w:r w:rsidRPr="002674BD">
              <w:rPr>
                <w:webHidden/>
              </w:rPr>
              <w:fldChar w:fldCharType="begin"/>
            </w:r>
            <w:r w:rsidRPr="002674BD">
              <w:rPr>
                <w:webHidden/>
              </w:rPr>
              <w:instrText xml:space="preserve"> PAGEREF _Toc191366245 \h </w:instrText>
            </w:r>
            <w:r w:rsidRPr="002674BD">
              <w:rPr>
                <w:webHidden/>
              </w:rPr>
            </w:r>
            <w:r w:rsidRPr="002674BD">
              <w:rPr>
                <w:webHidden/>
              </w:rPr>
              <w:fldChar w:fldCharType="separate"/>
            </w:r>
            <w:r w:rsidR="00372CAE" w:rsidRPr="002674BD">
              <w:rPr>
                <w:webHidden/>
              </w:rPr>
              <w:t>29</w:t>
            </w:r>
            <w:r w:rsidRPr="002674BD">
              <w:rPr>
                <w:webHidden/>
              </w:rPr>
              <w:fldChar w:fldCharType="end"/>
            </w:r>
          </w:hyperlink>
        </w:p>
        <w:p w14:paraId="31C133B2" w14:textId="24B03891" w:rsidR="00833019" w:rsidRPr="002674BD" w:rsidRDefault="00833019" w:rsidP="007E2D0E">
          <w:pPr>
            <w:jc w:val="both"/>
          </w:pPr>
          <w:r w:rsidRPr="002674BD">
            <w:rPr>
              <w:b/>
              <w:bCs/>
              <w:noProof/>
            </w:rPr>
            <w:fldChar w:fldCharType="end"/>
          </w:r>
        </w:p>
      </w:sdtContent>
    </w:sdt>
    <w:p w14:paraId="4EDC18B0" w14:textId="5C693708" w:rsidR="001A032D" w:rsidRPr="002674BD" w:rsidRDefault="001A032D" w:rsidP="007E2D0E">
      <w:pPr>
        <w:spacing w:before="0" w:after="160" w:line="259" w:lineRule="auto"/>
        <w:jc w:val="both"/>
        <w:rPr>
          <w:b/>
        </w:rPr>
      </w:pPr>
    </w:p>
    <w:p w14:paraId="4F9F07A4" w14:textId="77777777" w:rsidR="00207D2C" w:rsidRPr="002674BD" w:rsidRDefault="00207D2C" w:rsidP="007E2D0E">
      <w:pPr>
        <w:pStyle w:val="Heading1"/>
        <w:jc w:val="both"/>
        <w:rPr>
          <w:rFonts w:asciiTheme="minorHAnsi" w:hAnsiTheme="minorHAnsi" w:cs="Times New Roman"/>
          <w:b w:val="0"/>
          <w:kern w:val="0"/>
          <w:sz w:val="22"/>
          <w:szCs w:val="20"/>
        </w:rPr>
        <w:sectPr w:rsidR="00207D2C" w:rsidRPr="002674BD" w:rsidSect="009C5401">
          <w:headerReference w:type="even" r:id="rId15"/>
          <w:headerReference w:type="default" r:id="rId16"/>
          <w:footerReference w:type="default" r:id="rId17"/>
          <w:headerReference w:type="first" r:id="rId18"/>
          <w:pgSz w:w="11906" w:h="16838" w:code="9"/>
          <w:pgMar w:top="1843" w:right="1418" w:bottom="1418" w:left="1418" w:header="709" w:footer="709" w:gutter="0"/>
          <w:pgNumType w:start="1"/>
          <w:cols w:space="708"/>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rsidRPr="002674BD" w14:paraId="77D021DB" w14:textId="77777777" w:rsidTr="003074FE">
        <w:tc>
          <w:tcPr>
            <w:tcW w:w="5000" w:type="pct"/>
            <w:shd w:val="clear" w:color="auto" w:fill="CEDBE6" w:themeFill="background2"/>
            <w:hideMark/>
          </w:tcPr>
          <w:p w14:paraId="009118B2" w14:textId="20E3B835" w:rsidR="004B063A" w:rsidRPr="002674BD" w:rsidRDefault="00630F8D" w:rsidP="007E2D0E">
            <w:pPr>
              <w:pStyle w:val="Heading1"/>
              <w:jc w:val="both"/>
              <w:rPr>
                <w:rFonts w:asciiTheme="minorHAnsi" w:hAnsiTheme="minorHAnsi" w:cs="Times New Roman"/>
                <w:b w:val="0"/>
                <w:kern w:val="0"/>
                <w:sz w:val="22"/>
                <w:szCs w:val="20"/>
              </w:rPr>
            </w:pPr>
            <w:r w:rsidRPr="002674BD">
              <w:rPr>
                <w:rFonts w:asciiTheme="minorHAnsi" w:hAnsiTheme="minorHAnsi" w:cs="Times New Roman"/>
                <w:b w:val="0"/>
                <w:kern w:val="0"/>
                <w:sz w:val="22"/>
                <w:szCs w:val="20"/>
              </w:rPr>
              <w:lastRenderedPageBreak/>
              <w:br w:type="page"/>
            </w:r>
            <w:bookmarkStart w:id="3" w:name="_Toc191366142"/>
            <w:r w:rsidR="004B063A" w:rsidRPr="002674BD">
              <w:rPr>
                <w:lang w:eastAsia="en-US"/>
              </w:rPr>
              <w:t>Measure 2</w:t>
            </w:r>
            <w:bookmarkEnd w:id="1"/>
            <w:bookmarkEnd w:id="2"/>
            <w:bookmarkEnd w:id="3"/>
          </w:p>
          <w:p w14:paraId="744AE214" w14:textId="6766FF7E" w:rsidR="004B063A" w:rsidRPr="002674BD" w:rsidRDefault="004B063A" w:rsidP="007E2D0E">
            <w:pPr>
              <w:pStyle w:val="Boxdoubledot"/>
              <w:numPr>
                <w:ilvl w:val="0"/>
                <w:numId w:val="0"/>
              </w:numPr>
              <w:jc w:val="both"/>
            </w:pPr>
            <w:r w:rsidRPr="002674BD">
              <w:rPr>
                <w:sz w:val="24"/>
                <w:szCs w:val="24"/>
              </w:rPr>
              <w:t>Planning Ministers will report to National Cabinet on state, regional and local strategic plans that reflect their jurisdiction’s share of housing supply targets agreed by National Cabinet and links with infrastructure pipelines.</w:t>
            </w:r>
          </w:p>
        </w:tc>
      </w:tr>
    </w:tbl>
    <w:p w14:paraId="58433136" w14:textId="137D0D5D" w:rsidR="006F2672" w:rsidRPr="002674BD" w:rsidRDefault="00FC381E" w:rsidP="007E2D0E">
      <w:pPr>
        <w:pStyle w:val="Heading2"/>
        <w:jc w:val="both"/>
      </w:pPr>
      <w:bookmarkStart w:id="4" w:name="_Toc191366143"/>
      <w:r w:rsidRPr="002674BD">
        <w:t>How Western Australia's strategic planning will deliver on housing supply targets</w:t>
      </w:r>
      <w:bookmarkEnd w:id="4"/>
    </w:p>
    <w:p w14:paraId="44509BD6" w14:textId="4B9D1058" w:rsidR="00FD1C6D" w:rsidRPr="002674BD" w:rsidRDefault="00FD1C6D" w:rsidP="007E2D0E">
      <w:pPr>
        <w:jc w:val="both"/>
      </w:pPr>
      <w:r w:rsidRPr="002674BD">
        <w:rPr>
          <w:rFonts w:eastAsia="Calibri"/>
          <w:lang w:eastAsia="en-US"/>
        </w:rPr>
        <w:t xml:space="preserve">The Western Australian planning framework has a hierarchy of strategic land use plans, including at the highest level the </w:t>
      </w:r>
      <w:hyperlink r:id="rId19" w:history="1">
        <w:r w:rsidRPr="002674BD">
          <w:rPr>
            <w:rStyle w:val="Hyperlink"/>
            <w:rFonts w:eastAsia="Calibri"/>
            <w:lang w:eastAsia="en-US"/>
          </w:rPr>
          <w:t>State Planning Strategy 2050</w:t>
        </w:r>
      </w:hyperlink>
      <w:r w:rsidRPr="002674BD">
        <w:rPr>
          <w:rFonts w:eastAsia="Calibri"/>
          <w:lang w:eastAsia="en-US"/>
        </w:rPr>
        <w:t>.</w:t>
      </w:r>
      <w:r w:rsidRPr="002674BD">
        <w:rPr>
          <w:rFonts w:eastAsia="Calibri"/>
          <w:szCs w:val="22"/>
          <w:vertAlign w:val="superscript"/>
          <w:lang w:eastAsia="en-US"/>
        </w:rPr>
        <w:t xml:space="preserve"> </w:t>
      </w:r>
      <w:r w:rsidRPr="002674BD">
        <w:rPr>
          <w:rFonts w:eastAsia="Calibri"/>
          <w:lang w:eastAsia="en-US"/>
        </w:rPr>
        <w:t xml:space="preserve">There are separate strategies for the Metropolitan area (includes the Perth and Peel regions) and each of the other eight regions to enable planning for potential population growth, associated development and infrastructure planning. </w:t>
      </w:r>
    </w:p>
    <w:p w14:paraId="63774A2A" w14:textId="77777777" w:rsidR="00FD1C6D" w:rsidRPr="002674BD" w:rsidRDefault="00FD1C6D" w:rsidP="007E2D0E">
      <w:pPr>
        <w:jc w:val="both"/>
        <w:rPr>
          <w:rFonts w:eastAsia="Calibri"/>
          <w:lang w:eastAsia="en-US"/>
        </w:rPr>
      </w:pPr>
      <w:r w:rsidRPr="002674BD">
        <w:rPr>
          <w:rFonts w:eastAsia="Calibri"/>
          <w:lang w:eastAsia="en-US"/>
        </w:rPr>
        <w:t>The strategies for future planning, range in timeframes to 2031-2050, and there are differences between Metropolitan and regional Western Australian plans due to the vastness of the state (being one-third of Australia’s land area):</w:t>
      </w:r>
    </w:p>
    <w:p w14:paraId="72651CE6" w14:textId="2DBCA20F" w:rsidR="00FD1C6D" w:rsidRPr="002674BD" w:rsidRDefault="00FD1C6D" w:rsidP="00EB35E8">
      <w:pPr>
        <w:pStyle w:val="Bullet"/>
        <w:spacing w:line="240" w:lineRule="auto"/>
        <w:ind w:left="522" w:hanging="522"/>
        <w:jc w:val="both"/>
        <w:rPr>
          <w:rFonts w:eastAsia="Calibri"/>
          <w:lang w:eastAsia="en-US"/>
        </w:rPr>
      </w:pPr>
      <w:r w:rsidRPr="002674BD">
        <w:rPr>
          <w:rFonts w:eastAsia="Calibri"/>
          <w:lang w:eastAsia="en-US"/>
        </w:rPr>
        <w:t>Metropolitan (Perth) and Peel Regions:</w:t>
      </w:r>
      <w:r w:rsidR="00EB35E8" w:rsidRPr="002674BD">
        <w:rPr>
          <w:rFonts w:eastAsia="Calibri"/>
          <w:lang w:eastAsia="en-US"/>
        </w:rPr>
        <w:t xml:space="preserve">  </w:t>
      </w:r>
      <w:r w:rsidRPr="002674BD">
        <w:rPr>
          <w:rFonts w:eastAsia="Calibri"/>
          <w:i/>
          <w:iCs/>
          <w:lang w:eastAsia="en-US"/>
        </w:rPr>
        <w:t>Perth and Peel@3.5million</w:t>
      </w:r>
      <w:r w:rsidRPr="002674BD">
        <w:rPr>
          <w:rFonts w:eastAsia="Calibri"/>
          <w:lang w:eastAsia="en-US"/>
        </w:rPr>
        <w:t xml:space="preserve"> (2018) is a suite of strategic land use and infrastructure plans (Sub­regional Planning Frameworks) which plans for an increase in population of 1.5 million people and an additional 1.2 million jobs by approximately 2050</w:t>
      </w:r>
      <w:r w:rsidRPr="002674BD">
        <w:rPr>
          <w:rStyle w:val="FootnoteReference"/>
          <w:rFonts w:eastAsia="Calibri"/>
          <w:sz w:val="22"/>
          <w:szCs w:val="22"/>
          <w:vertAlign w:val="superscript"/>
          <w:lang w:eastAsia="en-US"/>
        </w:rPr>
        <w:footnoteReference w:id="2"/>
      </w:r>
      <w:r w:rsidRPr="002674BD">
        <w:rPr>
          <w:rFonts w:eastAsia="Calibri"/>
          <w:lang w:eastAsia="en-US"/>
        </w:rPr>
        <w:t>.</w:t>
      </w:r>
      <w:r w:rsidRPr="002674BD">
        <w:t xml:space="preserve"> The suite of plans identifies land for future housing, employment, minimum urban infill and density targets, regional open space, infrastructure and seeks to protect environmental attributes of State and Commonwealth significance with urban and infrastructure staging plans to guide development.</w:t>
      </w:r>
    </w:p>
    <w:p w14:paraId="42FF8F48" w14:textId="77777777" w:rsidR="00EB35E8" w:rsidRPr="002674BD" w:rsidRDefault="00FD1C6D" w:rsidP="007E2D0E">
      <w:pPr>
        <w:pStyle w:val="Bullet"/>
        <w:spacing w:line="240" w:lineRule="auto"/>
        <w:jc w:val="both"/>
        <w:rPr>
          <w:rFonts w:eastAsia="Calibri"/>
          <w:lang w:eastAsia="en-US"/>
        </w:rPr>
      </w:pPr>
      <w:r w:rsidRPr="002674BD">
        <w:rPr>
          <w:rFonts w:eastAsia="Calibri"/>
          <w:lang w:eastAsia="en-US"/>
        </w:rPr>
        <w:t xml:space="preserve">Regional Western Australia: </w:t>
      </w:r>
      <w:r w:rsidR="00EB35E8" w:rsidRPr="002674BD">
        <w:rPr>
          <w:rFonts w:eastAsia="Calibri"/>
          <w:lang w:eastAsia="en-US"/>
        </w:rPr>
        <w:t xml:space="preserve"> </w:t>
      </w:r>
      <w:r w:rsidRPr="002674BD">
        <w:rPr>
          <w:rFonts w:eastAsia="Calibri"/>
          <w:lang w:eastAsia="en-US"/>
        </w:rPr>
        <w:t xml:space="preserve">The current Regional Planning and Infrastructure Frameworks are being reviewed, and Regional Planning Strategies are </w:t>
      </w:r>
      <w:r w:rsidR="007649A5" w:rsidRPr="002674BD">
        <w:rPr>
          <w:rFonts w:eastAsia="Calibri"/>
          <w:lang w:eastAsia="en-US"/>
        </w:rPr>
        <w:t>currently being drafted</w:t>
      </w:r>
      <w:r w:rsidRPr="002674BD">
        <w:rPr>
          <w:rFonts w:eastAsia="Calibri"/>
          <w:lang w:eastAsia="en-US"/>
        </w:rPr>
        <w:t xml:space="preserve"> for the eight planning regions – the Gascoyne, Goldfields-Esperance, Great Southern, Kimberley, Mid-West, Pilbara, South-West and Wheatbelt. </w:t>
      </w:r>
      <w:r w:rsidR="00891028" w:rsidRPr="002674BD">
        <w:rPr>
          <w:rFonts w:eastAsia="Calibri"/>
          <w:lang w:eastAsia="en-US"/>
        </w:rPr>
        <w:t>It is expected that drafts will be advertised during 2025.</w:t>
      </w:r>
      <w:r w:rsidR="00C96C45" w:rsidRPr="002674BD">
        <w:rPr>
          <w:rFonts w:eastAsia="Calibri"/>
          <w:lang w:eastAsia="en-US"/>
        </w:rPr>
        <w:t xml:space="preserve"> </w:t>
      </w:r>
      <w:r w:rsidRPr="002674BD">
        <w:rPr>
          <w:rFonts w:eastAsia="Calibri"/>
          <w:lang w:eastAsia="en-US"/>
        </w:rPr>
        <w:t>Due to their vast size and diversity, regional-scale strategic planning does not include the designation of discrete land uses over individual parcels of land. As such the new strategies will not have a role in identifying the land required for the delivery of housing supply targets. The strategies are intended to designate a settlement hierarchy for each region using a consistent methodology as a mechanism to manage urban growth and inform infrastructure funding. As such, the new strategies are intended to guide the infrastructure investment required to deliver the housing</w:t>
      </w:r>
      <w:r w:rsidR="00891028" w:rsidRPr="002674BD">
        <w:rPr>
          <w:rFonts w:eastAsia="Calibri"/>
          <w:lang w:eastAsia="en-US"/>
        </w:rPr>
        <w:t>.</w:t>
      </w:r>
    </w:p>
    <w:p w14:paraId="6015F2C2" w14:textId="592A3351" w:rsidR="00FD1C6D" w:rsidRPr="002674BD" w:rsidRDefault="00FD1C6D" w:rsidP="00EB35E8">
      <w:pPr>
        <w:pStyle w:val="Bullet"/>
        <w:numPr>
          <w:ilvl w:val="0"/>
          <w:numId w:val="0"/>
        </w:numPr>
        <w:spacing w:line="240" w:lineRule="auto"/>
        <w:jc w:val="both"/>
        <w:rPr>
          <w:rFonts w:eastAsia="Calibri"/>
          <w:lang w:eastAsia="en-US"/>
        </w:rPr>
      </w:pPr>
      <w:r w:rsidRPr="002674BD">
        <w:rPr>
          <w:rFonts w:eastAsia="Calibri"/>
          <w:lang w:eastAsia="en-US"/>
        </w:rPr>
        <w:t xml:space="preserve">Strategic Plans within Western Australia are used to guide zoning under Region Planning Schemes (where they are applicable, Perth, Peel and Greater Bunbury), as well as Local Planning Strategies and Local Planning Schemes across the state. </w:t>
      </w:r>
    </w:p>
    <w:p w14:paraId="34BCA315" w14:textId="77777777" w:rsidR="004E39B0" w:rsidRPr="002674BD" w:rsidRDefault="004E39B0" w:rsidP="007E2D0E">
      <w:pPr>
        <w:pStyle w:val="Heading4"/>
        <w:jc w:val="both"/>
        <w:rPr>
          <w:rFonts w:eastAsia="Calibri"/>
          <w:lang w:eastAsia="en-US"/>
        </w:rPr>
      </w:pPr>
      <w:r w:rsidRPr="002674BD">
        <w:rPr>
          <w:rFonts w:eastAsia="Calibri"/>
          <w:lang w:eastAsia="en-US"/>
        </w:rPr>
        <w:lastRenderedPageBreak/>
        <w:t>Consultation</w:t>
      </w:r>
    </w:p>
    <w:p w14:paraId="43C93498" w14:textId="77777777" w:rsidR="004E39B0" w:rsidRPr="002674BD" w:rsidRDefault="004E39B0" w:rsidP="007E2D0E">
      <w:pPr>
        <w:jc w:val="both"/>
        <w:rPr>
          <w:rFonts w:eastAsia="Calibri"/>
          <w:lang w:eastAsia="en-US"/>
        </w:rPr>
      </w:pPr>
      <w:hyperlink r:id="rId20" w:history="1">
        <w:r w:rsidRPr="002674BD">
          <w:rPr>
            <w:rStyle w:val="Hyperlink"/>
            <w:rFonts w:eastAsia="Calibri"/>
            <w:i/>
            <w:iCs/>
            <w:lang w:eastAsia="en-US"/>
          </w:rPr>
          <w:t>Perth and Peel@3.5million</w:t>
        </w:r>
      </w:hyperlink>
      <w:r w:rsidRPr="002674BD">
        <w:rPr>
          <w:rFonts w:eastAsia="Calibri"/>
          <w:i/>
          <w:iCs/>
          <w:lang w:eastAsia="en-US"/>
        </w:rPr>
        <w:t xml:space="preserve"> (final release in 2018) </w:t>
      </w:r>
      <w:r w:rsidRPr="002674BD">
        <w:rPr>
          <w:rFonts w:eastAsia="Calibri"/>
          <w:lang w:eastAsia="en-US"/>
        </w:rPr>
        <w:t xml:space="preserve">built upon Directions 2031 and Beyond (released in 2010) which had undergone broad consultation. Through the subsequent preparation of the suite of documents: </w:t>
      </w:r>
    </w:p>
    <w:p w14:paraId="18F38E80" w14:textId="77777777" w:rsidR="004E39B0" w:rsidRPr="002674BD" w:rsidRDefault="004E39B0" w:rsidP="007E2D0E">
      <w:pPr>
        <w:pStyle w:val="ListParagraph"/>
        <w:numPr>
          <w:ilvl w:val="0"/>
          <w:numId w:val="31"/>
        </w:numPr>
        <w:ind w:left="426" w:hanging="426"/>
        <w:jc w:val="both"/>
        <w:rPr>
          <w:rFonts w:eastAsia="Calibri"/>
          <w:lang w:eastAsia="en-US"/>
        </w:rPr>
      </w:pPr>
      <w:r w:rsidRPr="002674BD">
        <w:rPr>
          <w:rFonts w:eastAsia="Calibri"/>
          <w:lang w:eastAsia="en-US"/>
        </w:rPr>
        <w:t xml:space="preserve">Minimum infill dwelling targets were prepared in consultation with local government. </w:t>
      </w:r>
    </w:p>
    <w:p w14:paraId="52AE91D3" w14:textId="77777777" w:rsidR="004E39B0" w:rsidRPr="002674BD" w:rsidRDefault="004E39B0" w:rsidP="007E2D0E">
      <w:pPr>
        <w:pStyle w:val="ListParagraph"/>
        <w:numPr>
          <w:ilvl w:val="0"/>
          <w:numId w:val="31"/>
        </w:numPr>
        <w:ind w:left="426" w:hanging="426"/>
        <w:jc w:val="both"/>
        <w:rPr>
          <w:rFonts w:eastAsia="Calibri"/>
          <w:lang w:eastAsia="en-US"/>
        </w:rPr>
      </w:pPr>
      <w:r w:rsidRPr="002674BD">
        <w:rPr>
          <w:rFonts w:eastAsia="Calibri"/>
          <w:lang w:eastAsia="en-US"/>
        </w:rPr>
        <w:t xml:space="preserve">Key issues, including environmental attributes, servicing and infrastructure issues were considered in consultation with WA government departments and servicing agencies. </w:t>
      </w:r>
    </w:p>
    <w:p w14:paraId="0E1D36E1" w14:textId="77777777" w:rsidR="004E39B0" w:rsidRPr="002674BD" w:rsidRDefault="004E39B0" w:rsidP="007E2D0E">
      <w:pPr>
        <w:pStyle w:val="ListParagraph"/>
        <w:numPr>
          <w:ilvl w:val="0"/>
          <w:numId w:val="31"/>
        </w:numPr>
        <w:ind w:left="426" w:hanging="426"/>
        <w:jc w:val="both"/>
        <w:rPr>
          <w:rFonts w:eastAsia="Calibri"/>
          <w:lang w:eastAsia="en-US"/>
        </w:rPr>
      </w:pPr>
      <w:r w:rsidRPr="002674BD">
        <w:rPr>
          <w:rFonts w:eastAsia="Calibri"/>
          <w:lang w:eastAsia="en-US"/>
        </w:rPr>
        <w:t xml:space="preserve">The plans were publicly advertised. </w:t>
      </w:r>
    </w:p>
    <w:p w14:paraId="11CF0672" w14:textId="77777777" w:rsidR="004E39B0" w:rsidRPr="002674BD" w:rsidRDefault="004E39B0" w:rsidP="007E2D0E">
      <w:pPr>
        <w:jc w:val="both"/>
        <w:rPr>
          <w:rFonts w:eastAsia="Calibri"/>
          <w:lang w:eastAsia="en-US"/>
        </w:rPr>
      </w:pPr>
      <w:r w:rsidRPr="002674BD">
        <w:rPr>
          <w:rFonts w:eastAsia="Calibri"/>
          <w:lang w:eastAsia="en-US"/>
        </w:rPr>
        <w:t>This resulted in a balance of social, economic and environmental factors while ensuring sufficient land was identified to accommodate future anticipated population growth.</w:t>
      </w:r>
    </w:p>
    <w:p w14:paraId="4E36F970" w14:textId="4A6436EA" w:rsidR="004E39B0" w:rsidRPr="002674BD" w:rsidRDefault="004E39B0" w:rsidP="007E2D0E">
      <w:pPr>
        <w:jc w:val="both"/>
        <w:rPr>
          <w:rFonts w:eastAsia="Calibri"/>
          <w:lang w:eastAsia="en-US"/>
        </w:rPr>
      </w:pPr>
      <w:r w:rsidRPr="002674BD">
        <w:rPr>
          <w:rFonts w:eastAsia="Calibri"/>
          <w:lang w:eastAsia="en-US"/>
        </w:rPr>
        <w:t xml:space="preserve">The strategies currently being prepared for the eight regions have been workshopped with key stakeholders across the state, including local government, the relevant Development Commissions and meetings held on-country. </w:t>
      </w:r>
    </w:p>
    <w:p w14:paraId="7F8E09F6" w14:textId="5B5C4AB1" w:rsidR="000B4310" w:rsidRPr="002674BD" w:rsidRDefault="000B4310" w:rsidP="007E2D0E">
      <w:pPr>
        <w:pStyle w:val="Heading4"/>
        <w:jc w:val="both"/>
        <w:rPr>
          <w:rFonts w:eastAsia="Calibri"/>
          <w:lang w:eastAsia="en-US"/>
        </w:rPr>
      </w:pPr>
      <w:r w:rsidRPr="002674BD">
        <w:rPr>
          <w:rFonts w:eastAsia="Calibri"/>
          <w:lang w:eastAsia="en-US"/>
        </w:rPr>
        <w:t>Land Supply – Perth and Peel</w:t>
      </w:r>
    </w:p>
    <w:p w14:paraId="6196EEAC" w14:textId="77777777" w:rsidR="000B4310" w:rsidRPr="002674BD" w:rsidRDefault="000B4310" w:rsidP="007E2D0E">
      <w:pPr>
        <w:jc w:val="both"/>
        <w:rPr>
          <w:rFonts w:eastAsia="Calibri"/>
          <w:lang w:eastAsia="en-US"/>
        </w:rPr>
      </w:pPr>
      <w:bookmarkStart w:id="5" w:name="_Hlk171410388"/>
      <w:r w:rsidRPr="002674BD">
        <w:rPr>
          <w:rFonts w:eastAsia="Calibri"/>
          <w:i/>
          <w:iCs/>
          <w:lang w:eastAsia="en-US"/>
        </w:rPr>
        <w:t>Perth and Peel@3.5million</w:t>
      </w:r>
      <w:r w:rsidRPr="002674BD">
        <w:rPr>
          <w:rFonts w:eastAsia="Calibri"/>
          <w:lang w:eastAsia="en-US"/>
        </w:rPr>
        <w:t xml:space="preserve"> includes capacity for approximately 1 million new homes which can potentially accommodate an additional 2.2 million people (from 2018) through the identification of minimum urban infill targets, undeveloped urban and urban deferred land, and future urban land supply. </w:t>
      </w:r>
    </w:p>
    <w:p w14:paraId="187EFFF9" w14:textId="13CDA0A3" w:rsidR="007A3052" w:rsidRPr="002674BD" w:rsidRDefault="007A3052" w:rsidP="006F3F96">
      <w:pPr>
        <w:jc w:val="both"/>
      </w:pPr>
      <w:r w:rsidRPr="002674BD">
        <w:rPr>
          <w:rFonts w:eastAsia="Calibri"/>
          <w:lang w:eastAsia="en-US"/>
        </w:rPr>
        <w:t xml:space="preserve">While there is capacity for approximately 1 million dwellings the development scenario from Perth and Peel @3.5 million requires an additional </w:t>
      </w:r>
      <w:r w:rsidRPr="002674BD">
        <w:t>800,000 new homes to be delivered by 2050, with 380,000 of these to be urban infill (minimum 47 per cent).</w:t>
      </w:r>
      <w:r w:rsidRPr="002674BD">
        <w:rPr>
          <w:rFonts w:eastAsia="Calibri"/>
          <w:lang w:eastAsia="en-US"/>
        </w:rPr>
        <w:t xml:space="preserve"> Annual reporting in the Perth and Peel Metropolitan area through the Urban Growth Monitor </w:t>
      </w:r>
      <w:r w:rsidRPr="002674BD">
        <w:t xml:space="preserve">identified </w:t>
      </w:r>
      <w:r w:rsidR="006F3F96" w:rsidRPr="002674BD">
        <w:t>that if land consumption continues at a rate consistent with the 20-year average, it would theoretically take an estimated 26 years to deplete existing stocks of undeveloped land for urban development in the Perth metropolitan and Peel regions.</w:t>
      </w:r>
    </w:p>
    <w:p w14:paraId="5B2EA3DC" w14:textId="77777777" w:rsidR="007A3052" w:rsidRPr="002674BD" w:rsidRDefault="007A3052" w:rsidP="007E2D0E">
      <w:pPr>
        <w:jc w:val="both"/>
        <w:rPr>
          <w:rStyle w:val="Strong"/>
          <w:rFonts w:eastAsia="Calibri"/>
        </w:rPr>
      </w:pPr>
      <w:bookmarkStart w:id="6" w:name="_Toc155785284"/>
      <w:bookmarkStart w:id="7" w:name="_Toc155792948"/>
      <w:bookmarkStart w:id="8" w:name="_Toc155794054"/>
      <w:bookmarkStart w:id="9" w:name="_Toc155879969"/>
      <w:r w:rsidRPr="002674BD">
        <w:rPr>
          <w:rStyle w:val="Strong"/>
          <w:rFonts w:eastAsia="Calibri"/>
        </w:rPr>
        <w:t xml:space="preserve">Table 1: Potential land supply identified in </w:t>
      </w:r>
      <w:r w:rsidRPr="002674BD">
        <w:rPr>
          <w:rStyle w:val="Strong"/>
          <w:rFonts w:eastAsia="Calibri"/>
          <w:i/>
          <w:iCs/>
        </w:rPr>
        <w:t>Perth and Peel@3.5 Million (March 2018)</w:t>
      </w:r>
      <w:r w:rsidRPr="002674BD" w:rsidDel="00F91742">
        <w:rPr>
          <w:rStyle w:val="Strong"/>
          <w:rFonts w:eastAsia="Calibri"/>
        </w:rPr>
        <w:t xml:space="preserve"> </w:t>
      </w:r>
      <w:bookmarkEnd w:id="6"/>
      <w:bookmarkEnd w:id="7"/>
      <w:bookmarkEnd w:id="8"/>
      <w:bookmarkEnd w:id="9"/>
      <w:r w:rsidRPr="002674BD">
        <w:rPr>
          <w:rStyle w:val="Strong"/>
          <w:rFonts w:eastAsia="Calibri"/>
        </w:rPr>
        <w:t xml:space="preserve"> </w:t>
      </w:r>
    </w:p>
    <w:tbl>
      <w:tblPr>
        <w:tblW w:w="5000" w:type="pct"/>
        <w:tblLook w:val="01E0" w:firstRow="1" w:lastRow="1" w:firstColumn="1" w:lastColumn="1" w:noHBand="0" w:noVBand="0"/>
      </w:tblPr>
      <w:tblGrid>
        <w:gridCol w:w="2977"/>
        <w:gridCol w:w="2126"/>
        <w:gridCol w:w="1986"/>
        <w:gridCol w:w="1981"/>
      </w:tblGrid>
      <w:tr w:rsidR="007A3052" w:rsidRPr="002674BD" w14:paraId="17382CFA" w14:textId="77777777" w:rsidTr="00FB7B77">
        <w:trPr>
          <w:trHeight w:val="270"/>
          <w:tblHeader/>
        </w:trPr>
        <w:tc>
          <w:tcPr>
            <w:tcW w:w="1641" w:type="pct"/>
            <w:shd w:val="clear" w:color="auto" w:fill="E5E5E5"/>
          </w:tcPr>
          <w:p w14:paraId="275115CD" w14:textId="77777777" w:rsidR="007A3052" w:rsidRPr="002674BD" w:rsidRDefault="007A3052" w:rsidP="007E2D0E">
            <w:pPr>
              <w:pStyle w:val="TableTextLeft"/>
              <w:jc w:val="both"/>
            </w:pPr>
          </w:p>
        </w:tc>
        <w:tc>
          <w:tcPr>
            <w:tcW w:w="1172" w:type="pct"/>
            <w:shd w:val="clear" w:color="auto" w:fill="E5E5E5"/>
          </w:tcPr>
          <w:p w14:paraId="6CBE1C02" w14:textId="77777777" w:rsidR="007A3052" w:rsidRPr="002674BD" w:rsidRDefault="007A3052" w:rsidP="007E2D0E">
            <w:pPr>
              <w:pStyle w:val="TableTextLeft"/>
              <w:jc w:val="both"/>
            </w:pPr>
            <w:r w:rsidRPr="002674BD">
              <w:rPr>
                <w:rFonts w:eastAsia="Calibri"/>
                <w:b/>
                <w:bCs/>
                <w:sz w:val="20"/>
                <w:lang w:eastAsia="en-US"/>
              </w:rPr>
              <w:t>Gross Site Area (ha)</w:t>
            </w:r>
          </w:p>
        </w:tc>
        <w:tc>
          <w:tcPr>
            <w:tcW w:w="1095" w:type="pct"/>
            <w:shd w:val="clear" w:color="auto" w:fill="E5E5E5"/>
          </w:tcPr>
          <w:p w14:paraId="54455DF4" w14:textId="77777777" w:rsidR="007A3052" w:rsidRPr="002674BD" w:rsidRDefault="007A3052" w:rsidP="007E2D0E">
            <w:pPr>
              <w:pStyle w:val="TableTextLeft"/>
              <w:jc w:val="both"/>
            </w:pPr>
            <w:r w:rsidRPr="002674BD">
              <w:rPr>
                <w:rFonts w:eastAsia="Calibri"/>
                <w:b/>
                <w:bCs/>
                <w:sz w:val="20"/>
                <w:lang w:eastAsia="en-US"/>
              </w:rPr>
              <w:t>Dwellings Estimate</w:t>
            </w:r>
          </w:p>
        </w:tc>
        <w:tc>
          <w:tcPr>
            <w:tcW w:w="1092" w:type="pct"/>
            <w:shd w:val="clear" w:color="auto" w:fill="E5E5E5"/>
          </w:tcPr>
          <w:p w14:paraId="043242C5" w14:textId="77777777" w:rsidR="007A3052" w:rsidRPr="002674BD" w:rsidRDefault="007A3052" w:rsidP="007E2D0E">
            <w:pPr>
              <w:pStyle w:val="TableTextLeft"/>
              <w:jc w:val="both"/>
            </w:pPr>
            <w:r w:rsidRPr="002674BD">
              <w:rPr>
                <w:rFonts w:eastAsia="Calibri"/>
                <w:b/>
                <w:bCs/>
                <w:sz w:val="20"/>
                <w:lang w:eastAsia="en-US"/>
              </w:rPr>
              <w:t>Population Estimate</w:t>
            </w:r>
          </w:p>
        </w:tc>
      </w:tr>
      <w:tr w:rsidR="007A3052" w:rsidRPr="002674BD" w14:paraId="3600FEA3" w14:textId="77777777" w:rsidTr="00FB7B77">
        <w:trPr>
          <w:trHeight w:val="270"/>
        </w:trPr>
        <w:tc>
          <w:tcPr>
            <w:tcW w:w="1641" w:type="pct"/>
          </w:tcPr>
          <w:p w14:paraId="61222924" w14:textId="77777777" w:rsidR="007A3052" w:rsidRPr="002674BD" w:rsidRDefault="007A3052" w:rsidP="007E2D0E">
            <w:pPr>
              <w:pStyle w:val="TableTextLeft"/>
              <w:jc w:val="both"/>
            </w:pPr>
            <w:r w:rsidRPr="002674BD">
              <w:rPr>
                <w:rFonts w:eastAsia="Calibri"/>
                <w:b/>
                <w:bCs/>
                <w:sz w:val="20"/>
                <w:lang w:eastAsia="en-US"/>
              </w:rPr>
              <w:t>Infill</w:t>
            </w:r>
          </w:p>
        </w:tc>
        <w:tc>
          <w:tcPr>
            <w:tcW w:w="1172" w:type="pct"/>
          </w:tcPr>
          <w:p w14:paraId="76913E5D" w14:textId="77777777" w:rsidR="007A3052" w:rsidRPr="002674BD" w:rsidRDefault="007A3052" w:rsidP="007E2D0E">
            <w:pPr>
              <w:pStyle w:val="TableTextLeft"/>
              <w:jc w:val="both"/>
            </w:pPr>
            <w:r w:rsidRPr="002674BD">
              <w:rPr>
                <w:rFonts w:eastAsia="Calibri"/>
                <w:sz w:val="20"/>
                <w:lang w:eastAsia="en-US"/>
              </w:rPr>
              <w:t>N/A</w:t>
            </w:r>
          </w:p>
        </w:tc>
        <w:tc>
          <w:tcPr>
            <w:tcW w:w="1095" w:type="pct"/>
          </w:tcPr>
          <w:p w14:paraId="3D127264" w14:textId="77777777" w:rsidR="007A3052" w:rsidRPr="002674BD" w:rsidRDefault="007A3052" w:rsidP="007E2D0E">
            <w:pPr>
              <w:pStyle w:val="TableTextLeft"/>
              <w:jc w:val="both"/>
            </w:pPr>
            <w:r w:rsidRPr="002674BD">
              <w:rPr>
                <w:rFonts w:eastAsia="Calibri"/>
                <w:sz w:val="20"/>
                <w:lang w:eastAsia="en-US"/>
              </w:rPr>
              <w:t>414,120</w:t>
            </w:r>
          </w:p>
        </w:tc>
        <w:tc>
          <w:tcPr>
            <w:tcW w:w="1092" w:type="pct"/>
          </w:tcPr>
          <w:p w14:paraId="07BB42DE" w14:textId="77777777" w:rsidR="007A3052" w:rsidRPr="002674BD" w:rsidRDefault="007A3052" w:rsidP="007E2D0E">
            <w:pPr>
              <w:pStyle w:val="TableTextLeft"/>
              <w:jc w:val="both"/>
            </w:pPr>
            <w:r w:rsidRPr="002674BD">
              <w:rPr>
                <w:rFonts w:eastAsia="Calibri"/>
                <w:sz w:val="20"/>
                <w:lang w:eastAsia="en-US"/>
              </w:rPr>
              <w:t>829,610</w:t>
            </w:r>
          </w:p>
        </w:tc>
      </w:tr>
      <w:tr w:rsidR="007A3052" w:rsidRPr="002674BD" w14:paraId="7A814201" w14:textId="77777777" w:rsidTr="00FB7B77">
        <w:trPr>
          <w:trHeight w:val="270"/>
        </w:trPr>
        <w:tc>
          <w:tcPr>
            <w:tcW w:w="1641" w:type="pct"/>
          </w:tcPr>
          <w:p w14:paraId="5F3591B3" w14:textId="77777777" w:rsidR="007A3052" w:rsidRPr="002674BD" w:rsidRDefault="007A3052" w:rsidP="007E2D0E">
            <w:pPr>
              <w:pStyle w:val="TableTextLeft"/>
              <w:jc w:val="both"/>
            </w:pPr>
            <w:r w:rsidRPr="002674BD">
              <w:rPr>
                <w:rFonts w:eastAsia="Calibri"/>
                <w:b/>
                <w:bCs/>
                <w:sz w:val="20"/>
                <w:lang w:eastAsia="en-US"/>
              </w:rPr>
              <w:t>Undeveloped Zoned</w:t>
            </w:r>
          </w:p>
        </w:tc>
        <w:tc>
          <w:tcPr>
            <w:tcW w:w="1172" w:type="pct"/>
          </w:tcPr>
          <w:p w14:paraId="25235BBE" w14:textId="77777777" w:rsidR="007A3052" w:rsidRPr="002674BD" w:rsidRDefault="007A3052" w:rsidP="007E2D0E">
            <w:pPr>
              <w:pStyle w:val="TableTextLeft"/>
              <w:jc w:val="both"/>
            </w:pPr>
            <w:r w:rsidRPr="002674BD">
              <w:rPr>
                <w:rFonts w:eastAsia="Calibri"/>
                <w:sz w:val="20"/>
                <w:lang w:eastAsia="en-US"/>
              </w:rPr>
              <w:t>26,000</w:t>
            </w:r>
          </w:p>
        </w:tc>
        <w:tc>
          <w:tcPr>
            <w:tcW w:w="1095" w:type="pct"/>
          </w:tcPr>
          <w:p w14:paraId="58834816" w14:textId="77777777" w:rsidR="007A3052" w:rsidRPr="002674BD" w:rsidRDefault="007A3052" w:rsidP="007E2D0E">
            <w:pPr>
              <w:pStyle w:val="TableTextLeft"/>
              <w:jc w:val="both"/>
            </w:pPr>
            <w:r w:rsidRPr="002674BD">
              <w:rPr>
                <w:rFonts w:eastAsia="Calibri"/>
                <w:sz w:val="20"/>
                <w:lang w:eastAsia="en-US"/>
              </w:rPr>
              <w:t>398,460</w:t>
            </w:r>
          </w:p>
        </w:tc>
        <w:tc>
          <w:tcPr>
            <w:tcW w:w="1092" w:type="pct"/>
          </w:tcPr>
          <w:p w14:paraId="3F715972" w14:textId="77777777" w:rsidR="007A3052" w:rsidRPr="002674BD" w:rsidRDefault="007A3052" w:rsidP="007E2D0E">
            <w:pPr>
              <w:pStyle w:val="TableTextLeft"/>
              <w:jc w:val="both"/>
            </w:pPr>
            <w:r w:rsidRPr="002674BD">
              <w:rPr>
                <w:rFonts w:eastAsia="Calibri"/>
                <w:sz w:val="20"/>
                <w:lang w:eastAsia="en-US"/>
              </w:rPr>
              <w:t>839,400</w:t>
            </w:r>
          </w:p>
        </w:tc>
      </w:tr>
      <w:tr w:rsidR="007A3052" w:rsidRPr="002674BD" w14:paraId="1E5A09FD" w14:textId="77777777" w:rsidTr="00FB7B77">
        <w:trPr>
          <w:trHeight w:val="270"/>
        </w:trPr>
        <w:tc>
          <w:tcPr>
            <w:tcW w:w="1641" w:type="pct"/>
          </w:tcPr>
          <w:p w14:paraId="4BCE072A" w14:textId="77777777" w:rsidR="007A3052" w:rsidRPr="002674BD" w:rsidRDefault="007A3052" w:rsidP="007E2D0E">
            <w:pPr>
              <w:pStyle w:val="TableTextLeft"/>
              <w:jc w:val="both"/>
            </w:pPr>
            <w:r w:rsidRPr="002674BD">
              <w:rPr>
                <w:rFonts w:eastAsia="Calibri"/>
                <w:b/>
                <w:bCs/>
                <w:sz w:val="20"/>
                <w:lang w:eastAsia="en-US"/>
              </w:rPr>
              <w:t>Urban Expansion/Investigation</w:t>
            </w:r>
          </w:p>
        </w:tc>
        <w:tc>
          <w:tcPr>
            <w:tcW w:w="1172" w:type="pct"/>
          </w:tcPr>
          <w:p w14:paraId="39F5B831" w14:textId="77777777" w:rsidR="007A3052" w:rsidRPr="002674BD" w:rsidRDefault="007A3052" w:rsidP="007E2D0E">
            <w:pPr>
              <w:pStyle w:val="TableTextLeft"/>
              <w:jc w:val="both"/>
            </w:pPr>
            <w:r w:rsidRPr="002674BD">
              <w:rPr>
                <w:rFonts w:eastAsia="Calibri"/>
                <w:sz w:val="20"/>
                <w:lang w:eastAsia="en-US"/>
              </w:rPr>
              <w:t>9,450</w:t>
            </w:r>
          </w:p>
        </w:tc>
        <w:tc>
          <w:tcPr>
            <w:tcW w:w="1095" w:type="pct"/>
          </w:tcPr>
          <w:p w14:paraId="22A7F2CA" w14:textId="77777777" w:rsidR="007A3052" w:rsidRPr="002674BD" w:rsidRDefault="007A3052" w:rsidP="007E2D0E">
            <w:pPr>
              <w:pStyle w:val="TableTextLeft"/>
              <w:jc w:val="both"/>
            </w:pPr>
            <w:r w:rsidRPr="002674BD">
              <w:rPr>
                <w:rFonts w:eastAsia="Calibri"/>
                <w:sz w:val="20"/>
                <w:lang w:eastAsia="en-US"/>
              </w:rPr>
              <w:t>109,630</w:t>
            </w:r>
          </w:p>
        </w:tc>
        <w:tc>
          <w:tcPr>
            <w:tcW w:w="1092" w:type="pct"/>
          </w:tcPr>
          <w:p w14:paraId="2019F1B2" w14:textId="77777777" w:rsidR="007A3052" w:rsidRPr="002674BD" w:rsidRDefault="007A3052" w:rsidP="007E2D0E">
            <w:pPr>
              <w:pStyle w:val="TableTextLeft"/>
              <w:jc w:val="both"/>
            </w:pPr>
            <w:r w:rsidRPr="002674BD">
              <w:rPr>
                <w:rFonts w:eastAsia="Calibri"/>
                <w:sz w:val="20"/>
                <w:lang w:eastAsia="en-US"/>
              </w:rPr>
              <w:t>324,290</w:t>
            </w:r>
          </w:p>
        </w:tc>
      </w:tr>
      <w:tr w:rsidR="007A3052" w:rsidRPr="002674BD" w14:paraId="11926219" w14:textId="77777777" w:rsidTr="00FB7B77">
        <w:trPr>
          <w:trHeight w:val="270"/>
        </w:trPr>
        <w:tc>
          <w:tcPr>
            <w:tcW w:w="1641" w:type="pct"/>
            <w:tcBorders>
              <w:bottom w:val="single" w:sz="4" w:space="0" w:color="BFBFBF" w:themeColor="background1" w:themeShade="BF"/>
            </w:tcBorders>
          </w:tcPr>
          <w:p w14:paraId="7F3DFDF5" w14:textId="77777777" w:rsidR="007A3052" w:rsidRPr="002674BD" w:rsidRDefault="007A3052" w:rsidP="007E2D0E">
            <w:pPr>
              <w:pStyle w:val="TableTextLeft"/>
              <w:jc w:val="both"/>
            </w:pPr>
            <w:r w:rsidRPr="002674BD">
              <w:rPr>
                <w:rFonts w:eastAsia="Calibri"/>
                <w:b/>
                <w:bCs/>
                <w:sz w:val="20"/>
                <w:lang w:eastAsia="en-US"/>
              </w:rPr>
              <w:t>Planning Investigation Areas (Resolved)</w:t>
            </w:r>
          </w:p>
        </w:tc>
        <w:tc>
          <w:tcPr>
            <w:tcW w:w="1172" w:type="pct"/>
            <w:tcBorders>
              <w:bottom w:val="single" w:sz="4" w:space="0" w:color="BFBFBF" w:themeColor="background1" w:themeShade="BF"/>
            </w:tcBorders>
          </w:tcPr>
          <w:p w14:paraId="0844920C" w14:textId="77777777" w:rsidR="007A3052" w:rsidRPr="002674BD" w:rsidRDefault="007A3052" w:rsidP="007E2D0E">
            <w:pPr>
              <w:pStyle w:val="TableTextLeft"/>
              <w:jc w:val="both"/>
            </w:pPr>
            <w:r w:rsidRPr="002674BD">
              <w:rPr>
                <w:rFonts w:eastAsia="Calibri"/>
                <w:sz w:val="20"/>
                <w:lang w:eastAsia="en-US"/>
              </w:rPr>
              <w:t>6,738</w:t>
            </w:r>
          </w:p>
        </w:tc>
        <w:tc>
          <w:tcPr>
            <w:tcW w:w="1095" w:type="pct"/>
            <w:tcBorders>
              <w:bottom w:val="single" w:sz="4" w:space="0" w:color="BFBFBF" w:themeColor="background1" w:themeShade="BF"/>
            </w:tcBorders>
          </w:tcPr>
          <w:p w14:paraId="49A39B85" w14:textId="77777777" w:rsidR="007A3052" w:rsidRPr="002674BD" w:rsidRDefault="007A3052" w:rsidP="007E2D0E">
            <w:pPr>
              <w:pStyle w:val="TableTextLeft"/>
              <w:jc w:val="both"/>
            </w:pPr>
            <w:r w:rsidRPr="002674BD">
              <w:rPr>
                <w:rFonts w:eastAsia="Calibri"/>
                <w:sz w:val="20"/>
                <w:lang w:eastAsia="en-US"/>
              </w:rPr>
              <w:t>78,000</w:t>
            </w:r>
          </w:p>
        </w:tc>
        <w:tc>
          <w:tcPr>
            <w:tcW w:w="1092" w:type="pct"/>
            <w:tcBorders>
              <w:bottom w:val="single" w:sz="4" w:space="0" w:color="BFBFBF" w:themeColor="background1" w:themeShade="BF"/>
            </w:tcBorders>
          </w:tcPr>
          <w:p w14:paraId="249209E5" w14:textId="77777777" w:rsidR="007A3052" w:rsidRPr="002674BD" w:rsidRDefault="007A3052" w:rsidP="007E2D0E">
            <w:pPr>
              <w:pStyle w:val="TableTextLeft"/>
              <w:jc w:val="both"/>
            </w:pPr>
            <w:r w:rsidRPr="002674BD">
              <w:rPr>
                <w:rFonts w:eastAsia="Calibri"/>
                <w:sz w:val="20"/>
                <w:lang w:eastAsia="en-US"/>
              </w:rPr>
              <w:t>200,000</w:t>
            </w:r>
          </w:p>
        </w:tc>
      </w:tr>
      <w:tr w:rsidR="007A3052" w:rsidRPr="002674BD" w14:paraId="3F56EFD0" w14:textId="77777777" w:rsidTr="00FB7B77">
        <w:trPr>
          <w:trHeight w:val="270"/>
        </w:trPr>
        <w:tc>
          <w:tcPr>
            <w:tcW w:w="1641" w:type="pct"/>
            <w:tcBorders>
              <w:top w:val="single" w:sz="4" w:space="0" w:color="BFBFBF" w:themeColor="background1" w:themeShade="BF"/>
            </w:tcBorders>
          </w:tcPr>
          <w:p w14:paraId="37CA0CA2" w14:textId="77777777" w:rsidR="007A3052" w:rsidRPr="002674BD" w:rsidRDefault="007A3052" w:rsidP="007E2D0E">
            <w:pPr>
              <w:pStyle w:val="TableTextLeft"/>
              <w:jc w:val="both"/>
              <w:rPr>
                <w:rFonts w:eastAsia="Calibri"/>
                <w:b/>
                <w:bCs/>
                <w:sz w:val="20"/>
                <w:lang w:eastAsia="en-US"/>
              </w:rPr>
            </w:pPr>
            <w:r w:rsidRPr="002674BD">
              <w:rPr>
                <w:rFonts w:eastAsia="Calibri"/>
                <w:b/>
                <w:bCs/>
                <w:sz w:val="20"/>
                <w:lang w:eastAsia="en-US"/>
              </w:rPr>
              <w:t>Total</w:t>
            </w:r>
          </w:p>
        </w:tc>
        <w:tc>
          <w:tcPr>
            <w:tcW w:w="1172" w:type="pct"/>
            <w:tcBorders>
              <w:top w:val="single" w:sz="4" w:space="0" w:color="BFBFBF" w:themeColor="background1" w:themeShade="BF"/>
            </w:tcBorders>
          </w:tcPr>
          <w:p w14:paraId="5D537B7E" w14:textId="77777777" w:rsidR="007A3052" w:rsidRPr="002674BD" w:rsidRDefault="007A3052" w:rsidP="007E2D0E">
            <w:pPr>
              <w:pStyle w:val="TableTextLeft"/>
              <w:jc w:val="both"/>
              <w:rPr>
                <w:rFonts w:eastAsia="Calibri"/>
                <w:sz w:val="20"/>
                <w:lang w:eastAsia="en-US"/>
              </w:rPr>
            </w:pPr>
            <w:r w:rsidRPr="002674BD">
              <w:rPr>
                <w:rFonts w:eastAsia="Calibri"/>
                <w:b/>
                <w:bCs/>
                <w:sz w:val="20"/>
                <w:lang w:eastAsia="en-US"/>
              </w:rPr>
              <w:t>42,188</w:t>
            </w:r>
          </w:p>
        </w:tc>
        <w:tc>
          <w:tcPr>
            <w:tcW w:w="1095" w:type="pct"/>
            <w:tcBorders>
              <w:top w:val="single" w:sz="4" w:space="0" w:color="BFBFBF" w:themeColor="background1" w:themeShade="BF"/>
            </w:tcBorders>
          </w:tcPr>
          <w:p w14:paraId="66B5660A" w14:textId="77777777" w:rsidR="007A3052" w:rsidRPr="002674BD" w:rsidRDefault="007A3052" w:rsidP="007E2D0E">
            <w:pPr>
              <w:pStyle w:val="TableTextLeft"/>
              <w:jc w:val="both"/>
              <w:rPr>
                <w:rFonts w:eastAsia="Calibri"/>
                <w:sz w:val="20"/>
                <w:lang w:eastAsia="en-US"/>
              </w:rPr>
            </w:pPr>
            <w:r w:rsidRPr="002674BD">
              <w:rPr>
                <w:rFonts w:eastAsia="Calibri"/>
                <w:b/>
                <w:bCs/>
                <w:sz w:val="20"/>
                <w:lang w:eastAsia="en-US"/>
              </w:rPr>
              <w:t>1,000,210</w:t>
            </w:r>
          </w:p>
        </w:tc>
        <w:tc>
          <w:tcPr>
            <w:tcW w:w="1092" w:type="pct"/>
            <w:tcBorders>
              <w:top w:val="single" w:sz="4" w:space="0" w:color="BFBFBF" w:themeColor="background1" w:themeShade="BF"/>
            </w:tcBorders>
          </w:tcPr>
          <w:p w14:paraId="58188298" w14:textId="77777777" w:rsidR="007A3052" w:rsidRPr="002674BD" w:rsidRDefault="007A3052" w:rsidP="007E2D0E">
            <w:pPr>
              <w:pStyle w:val="TableTextLeft"/>
              <w:jc w:val="both"/>
              <w:rPr>
                <w:rFonts w:eastAsia="Calibri"/>
                <w:sz w:val="20"/>
                <w:lang w:eastAsia="en-US"/>
              </w:rPr>
            </w:pPr>
            <w:r w:rsidRPr="002674BD">
              <w:rPr>
                <w:rFonts w:eastAsia="Calibri"/>
                <w:b/>
                <w:bCs/>
                <w:sz w:val="20"/>
                <w:lang w:eastAsia="en-US"/>
              </w:rPr>
              <w:t>2,193,300</w:t>
            </w:r>
          </w:p>
        </w:tc>
      </w:tr>
    </w:tbl>
    <w:p w14:paraId="053ADC4D" w14:textId="53F1BB47" w:rsidR="007A3052" w:rsidRPr="002674BD" w:rsidRDefault="007A3052" w:rsidP="007E2D0E">
      <w:pPr>
        <w:spacing w:before="120"/>
        <w:jc w:val="both"/>
        <w:rPr>
          <w:rFonts w:eastAsia="Calibri"/>
          <w:sz w:val="16"/>
          <w:szCs w:val="16"/>
          <w:lang w:eastAsia="en-US"/>
        </w:rPr>
      </w:pPr>
      <w:r w:rsidRPr="002674BD">
        <w:rPr>
          <w:rFonts w:eastAsia="Calibri"/>
          <w:sz w:val="16"/>
          <w:szCs w:val="16"/>
          <w:lang w:eastAsia="en-US"/>
        </w:rPr>
        <w:t xml:space="preserve">Source: </w:t>
      </w:r>
      <w:r w:rsidRPr="002674BD">
        <w:rPr>
          <w:rFonts w:eastAsia="Calibri"/>
          <w:i/>
          <w:iCs/>
          <w:sz w:val="16"/>
          <w:szCs w:val="16"/>
          <w:lang w:eastAsia="en-US"/>
        </w:rPr>
        <w:t>Perth and Peel@3.5million</w:t>
      </w:r>
      <w:r w:rsidRPr="002674BD">
        <w:rPr>
          <w:rFonts w:eastAsia="Calibri"/>
          <w:sz w:val="16"/>
          <w:szCs w:val="16"/>
          <w:lang w:eastAsia="en-US"/>
        </w:rPr>
        <w:t xml:space="preserve">. Undeveloped zoned land is </w:t>
      </w:r>
      <w:r w:rsidR="002C6991" w:rsidRPr="002674BD">
        <w:rPr>
          <w:rFonts w:eastAsia="Calibri"/>
          <w:sz w:val="16"/>
          <w:szCs w:val="16"/>
          <w:lang w:eastAsia="en-US"/>
        </w:rPr>
        <w:t>as of 2018 and will have altered due to development, changes in zoning, etc. Note that all land identified is not suitable for development due to factors such as its environmental attributes;</w:t>
      </w:r>
      <w:r w:rsidRPr="002674BD">
        <w:rPr>
          <w:rFonts w:eastAsia="Calibri"/>
          <w:sz w:val="16"/>
          <w:szCs w:val="16"/>
          <w:lang w:eastAsia="en-US"/>
        </w:rPr>
        <w:t xml:space="preserve"> this was factored into growth scenarios.</w:t>
      </w:r>
    </w:p>
    <w:p w14:paraId="599C0633" w14:textId="1BBB4C5C" w:rsidR="000B4310" w:rsidRPr="002674BD" w:rsidRDefault="000B4310" w:rsidP="007E2D0E">
      <w:pPr>
        <w:jc w:val="both"/>
        <w:rPr>
          <w:rFonts w:eastAsia="Calibri"/>
          <w:lang w:eastAsia="en-US"/>
        </w:rPr>
      </w:pPr>
      <w:bookmarkStart w:id="10" w:name="_Hlk171410431"/>
      <w:bookmarkEnd w:id="5"/>
      <w:r w:rsidRPr="002674BD">
        <w:rPr>
          <w:rFonts w:eastAsia="Calibri"/>
          <w:lang w:eastAsia="en-US"/>
        </w:rPr>
        <w:t xml:space="preserve">During the period between the release of </w:t>
      </w:r>
      <w:r w:rsidRPr="002674BD">
        <w:rPr>
          <w:rFonts w:eastAsia="Calibri"/>
          <w:i/>
          <w:iCs/>
          <w:lang w:eastAsia="en-US"/>
        </w:rPr>
        <w:t>Perth and Peel@3.5million</w:t>
      </w:r>
      <w:r w:rsidRPr="002674BD">
        <w:rPr>
          <w:rFonts w:eastAsia="Calibri"/>
          <w:lang w:eastAsia="en-US"/>
        </w:rPr>
        <w:t xml:space="preserve"> in March 2018 and </w:t>
      </w:r>
      <w:r w:rsidR="005D65E8" w:rsidRPr="002674BD">
        <w:rPr>
          <w:rFonts w:eastAsia="Calibri"/>
          <w:lang w:eastAsia="en-US"/>
        </w:rPr>
        <w:t>December 2022</w:t>
      </w:r>
      <w:r w:rsidRPr="002674BD">
        <w:rPr>
          <w:rFonts w:eastAsia="Calibri"/>
          <w:lang w:eastAsia="en-US"/>
        </w:rPr>
        <w:t>, amendments have been undertaken to the (Perth) Metropolitan Region Scheme to facilitate land supply as outlined in Table 2 below.</w:t>
      </w:r>
    </w:p>
    <w:p w14:paraId="51A6AA6B" w14:textId="55E7BE59" w:rsidR="000B4310" w:rsidRPr="002674BD" w:rsidRDefault="00A473F0" w:rsidP="007E2D0E">
      <w:pPr>
        <w:jc w:val="both"/>
        <w:rPr>
          <w:rStyle w:val="Strong"/>
          <w:rFonts w:eastAsia="Calibri"/>
        </w:rPr>
      </w:pPr>
      <w:bookmarkStart w:id="11" w:name="_Toc155792950"/>
      <w:bookmarkStart w:id="12" w:name="_Toc155794056"/>
      <w:bookmarkStart w:id="13" w:name="_Toc155879971"/>
      <w:r w:rsidRPr="002674BD">
        <w:rPr>
          <w:rStyle w:val="Strong"/>
          <w:rFonts w:eastAsia="Calibri"/>
        </w:rPr>
        <w:lastRenderedPageBreak/>
        <w:t xml:space="preserve">Update </w:t>
      </w:r>
      <w:r w:rsidR="000B4310" w:rsidRPr="002674BD">
        <w:rPr>
          <w:rStyle w:val="Strong"/>
          <w:rFonts w:eastAsia="Calibri"/>
        </w:rPr>
        <w:t xml:space="preserve">Table </w:t>
      </w:r>
      <w:r w:rsidR="001F5A91" w:rsidRPr="002674BD">
        <w:rPr>
          <w:rStyle w:val="Strong"/>
          <w:rFonts w:eastAsia="Calibri"/>
        </w:rPr>
        <w:t>2</w:t>
      </w:r>
      <w:r w:rsidR="000B4310" w:rsidRPr="002674BD">
        <w:rPr>
          <w:rStyle w:val="Strong"/>
          <w:rFonts w:eastAsia="Calibri"/>
        </w:rPr>
        <w:t xml:space="preserve">: Lands rezoned in the Perth Metropolitan Region Scheme since March 2018 </w:t>
      </w:r>
      <w:r w:rsidR="000B4310" w:rsidRPr="002674BD">
        <w:rPr>
          <w:rStyle w:val="Strong"/>
          <w:rFonts w:eastAsia="Calibri"/>
        </w:rPr>
        <w:br/>
        <w:t>(to December 2022</w:t>
      </w:r>
      <w:bookmarkEnd w:id="11"/>
      <w:bookmarkEnd w:id="12"/>
      <w:bookmarkEnd w:id="13"/>
      <w:r w:rsidR="000B4310" w:rsidRPr="002674BD">
        <w:rPr>
          <w:rStyle w:val="Strong"/>
          <w:rFonts w:eastAsia="Calibri"/>
        </w:rPr>
        <w:t>)</w:t>
      </w:r>
    </w:p>
    <w:tbl>
      <w:tblPr>
        <w:tblW w:w="5000" w:type="pct"/>
        <w:tblLook w:val="01E0" w:firstRow="1" w:lastRow="1" w:firstColumn="1" w:lastColumn="1" w:noHBand="0" w:noVBand="0"/>
      </w:tblPr>
      <w:tblGrid>
        <w:gridCol w:w="2268"/>
        <w:gridCol w:w="2835"/>
        <w:gridCol w:w="2835"/>
        <w:gridCol w:w="1132"/>
      </w:tblGrid>
      <w:tr w:rsidR="000B4310" w:rsidRPr="002674BD" w14:paraId="0A323CC3" w14:textId="77777777" w:rsidTr="00FB7B77">
        <w:trPr>
          <w:trHeight w:val="270"/>
          <w:tblHeader/>
        </w:trPr>
        <w:tc>
          <w:tcPr>
            <w:tcW w:w="1250" w:type="pct"/>
            <w:shd w:val="clear" w:color="auto" w:fill="E5E5E5"/>
          </w:tcPr>
          <w:p w14:paraId="01E4A730" w14:textId="77777777" w:rsidR="000B4310" w:rsidRPr="002674BD" w:rsidRDefault="000B4310" w:rsidP="007E2D0E">
            <w:pPr>
              <w:pStyle w:val="TableTextLeft"/>
              <w:jc w:val="both"/>
            </w:pPr>
            <w:r w:rsidRPr="002674BD">
              <w:rPr>
                <w:rFonts w:eastAsia="Calibri"/>
                <w:b/>
                <w:bCs/>
                <w:sz w:val="20"/>
                <w:lang w:eastAsia="en-US"/>
              </w:rPr>
              <w:t>Sub-region</w:t>
            </w:r>
          </w:p>
        </w:tc>
        <w:tc>
          <w:tcPr>
            <w:tcW w:w="1563" w:type="pct"/>
            <w:shd w:val="clear" w:color="auto" w:fill="E5E5E5"/>
          </w:tcPr>
          <w:p w14:paraId="3BEE8786" w14:textId="77777777" w:rsidR="000B4310" w:rsidRPr="002674BD" w:rsidRDefault="000B4310" w:rsidP="007E2D0E">
            <w:pPr>
              <w:pStyle w:val="TableTextLeft"/>
              <w:jc w:val="both"/>
            </w:pPr>
            <w:r w:rsidRPr="002674BD">
              <w:rPr>
                <w:rFonts w:eastAsia="Calibri"/>
                <w:b/>
                <w:bCs/>
                <w:sz w:val="20"/>
                <w:lang w:eastAsia="en-US"/>
              </w:rPr>
              <w:t>Stock of ‘Urban Expansion’ rezoned to ‘Urban’ and ‘Urban Deferred’ in the Region Scheme (ha)</w:t>
            </w:r>
          </w:p>
        </w:tc>
        <w:tc>
          <w:tcPr>
            <w:tcW w:w="1563" w:type="pct"/>
            <w:shd w:val="clear" w:color="auto" w:fill="E5E5E5"/>
          </w:tcPr>
          <w:p w14:paraId="48D1E42B" w14:textId="77777777" w:rsidR="000B4310" w:rsidRPr="002674BD" w:rsidRDefault="000B4310" w:rsidP="007E2D0E">
            <w:pPr>
              <w:pStyle w:val="TableTextLeft"/>
              <w:jc w:val="both"/>
            </w:pPr>
            <w:r w:rsidRPr="002674BD">
              <w:rPr>
                <w:rFonts w:eastAsia="Calibri"/>
                <w:b/>
                <w:bCs/>
                <w:sz w:val="20"/>
                <w:lang w:eastAsia="en-US"/>
              </w:rPr>
              <w:t>Stock to ‘Urban Investigation’ rezoned to ‘Urban’ and ‘Urban Deferred’ in the Region Scheme (ha)</w:t>
            </w:r>
          </w:p>
        </w:tc>
        <w:tc>
          <w:tcPr>
            <w:tcW w:w="624" w:type="pct"/>
            <w:shd w:val="clear" w:color="auto" w:fill="E5E5E5"/>
          </w:tcPr>
          <w:p w14:paraId="372B10DA" w14:textId="77777777" w:rsidR="000B4310" w:rsidRPr="002674BD" w:rsidRDefault="000B4310" w:rsidP="007E2D0E">
            <w:pPr>
              <w:pStyle w:val="TableTextLeft"/>
              <w:jc w:val="both"/>
            </w:pPr>
            <w:r w:rsidRPr="002674BD">
              <w:rPr>
                <w:rFonts w:eastAsia="Calibri"/>
                <w:b/>
                <w:bCs/>
                <w:sz w:val="20"/>
                <w:lang w:eastAsia="en-US"/>
              </w:rPr>
              <w:t>Total</w:t>
            </w:r>
          </w:p>
        </w:tc>
      </w:tr>
      <w:tr w:rsidR="000B4310" w:rsidRPr="002674BD" w14:paraId="38189CA7" w14:textId="77777777" w:rsidTr="00FB7B77">
        <w:trPr>
          <w:trHeight w:val="270"/>
        </w:trPr>
        <w:tc>
          <w:tcPr>
            <w:tcW w:w="1250" w:type="pct"/>
          </w:tcPr>
          <w:p w14:paraId="4451B5D8" w14:textId="77777777" w:rsidR="000B4310" w:rsidRPr="002674BD" w:rsidRDefault="000B4310" w:rsidP="007E2D0E">
            <w:pPr>
              <w:pStyle w:val="TableTextLeft"/>
              <w:jc w:val="both"/>
            </w:pPr>
            <w:r w:rsidRPr="002674BD">
              <w:rPr>
                <w:rFonts w:eastAsia="Calibri"/>
                <w:sz w:val="20"/>
                <w:lang w:eastAsia="en-US"/>
              </w:rPr>
              <w:t>Metro North West</w:t>
            </w:r>
          </w:p>
        </w:tc>
        <w:tc>
          <w:tcPr>
            <w:tcW w:w="1563" w:type="pct"/>
          </w:tcPr>
          <w:p w14:paraId="0DB9F15E" w14:textId="77777777" w:rsidR="000B4310" w:rsidRPr="002674BD" w:rsidRDefault="000B4310" w:rsidP="007E2D0E">
            <w:pPr>
              <w:pStyle w:val="TableTextLeft"/>
              <w:jc w:val="both"/>
            </w:pPr>
            <w:r w:rsidRPr="002674BD">
              <w:rPr>
                <w:rFonts w:eastAsia="Calibri"/>
                <w:sz w:val="20"/>
                <w:lang w:eastAsia="en-US"/>
              </w:rPr>
              <w:t>2,200</w:t>
            </w:r>
          </w:p>
        </w:tc>
        <w:tc>
          <w:tcPr>
            <w:tcW w:w="1563" w:type="pct"/>
          </w:tcPr>
          <w:p w14:paraId="316D6B15" w14:textId="77777777" w:rsidR="000B4310" w:rsidRPr="002674BD" w:rsidRDefault="000B4310" w:rsidP="007E2D0E">
            <w:pPr>
              <w:pStyle w:val="TableTextLeft"/>
              <w:jc w:val="both"/>
            </w:pPr>
            <w:r w:rsidRPr="002674BD">
              <w:rPr>
                <w:rFonts w:eastAsia="Calibri"/>
                <w:sz w:val="20"/>
                <w:lang w:eastAsia="en-US"/>
              </w:rPr>
              <w:t>0</w:t>
            </w:r>
          </w:p>
        </w:tc>
        <w:tc>
          <w:tcPr>
            <w:tcW w:w="624" w:type="pct"/>
          </w:tcPr>
          <w:p w14:paraId="4DB1C67E" w14:textId="77777777" w:rsidR="000B4310" w:rsidRPr="002674BD" w:rsidRDefault="000B4310" w:rsidP="007E2D0E">
            <w:pPr>
              <w:pStyle w:val="TableTextLeft"/>
              <w:jc w:val="both"/>
            </w:pPr>
            <w:r w:rsidRPr="002674BD">
              <w:rPr>
                <w:rFonts w:eastAsia="Calibri"/>
                <w:b/>
                <w:bCs/>
                <w:sz w:val="20"/>
                <w:lang w:eastAsia="en-US"/>
              </w:rPr>
              <w:t>2,200 ha</w:t>
            </w:r>
          </w:p>
        </w:tc>
      </w:tr>
      <w:tr w:rsidR="000B4310" w:rsidRPr="002674BD" w14:paraId="215B108A" w14:textId="77777777" w:rsidTr="00FB7B77">
        <w:trPr>
          <w:trHeight w:val="270"/>
        </w:trPr>
        <w:tc>
          <w:tcPr>
            <w:tcW w:w="1250" w:type="pct"/>
          </w:tcPr>
          <w:p w14:paraId="233E7415" w14:textId="77777777" w:rsidR="000B4310" w:rsidRPr="002674BD" w:rsidRDefault="000B4310" w:rsidP="007E2D0E">
            <w:pPr>
              <w:pStyle w:val="TableTextLeft"/>
              <w:jc w:val="both"/>
            </w:pPr>
            <w:r w:rsidRPr="002674BD">
              <w:rPr>
                <w:rFonts w:eastAsia="Calibri"/>
                <w:sz w:val="20"/>
                <w:lang w:eastAsia="en-US"/>
              </w:rPr>
              <w:t>Metro North East</w:t>
            </w:r>
          </w:p>
        </w:tc>
        <w:tc>
          <w:tcPr>
            <w:tcW w:w="1563" w:type="pct"/>
          </w:tcPr>
          <w:p w14:paraId="2DF8130F" w14:textId="77777777" w:rsidR="000B4310" w:rsidRPr="002674BD" w:rsidRDefault="000B4310" w:rsidP="007E2D0E">
            <w:pPr>
              <w:pStyle w:val="TableTextLeft"/>
              <w:jc w:val="both"/>
            </w:pPr>
            <w:r w:rsidRPr="002674BD">
              <w:rPr>
                <w:rFonts w:eastAsia="Calibri"/>
                <w:sz w:val="20"/>
                <w:lang w:eastAsia="en-US"/>
              </w:rPr>
              <w:t>700</w:t>
            </w:r>
          </w:p>
        </w:tc>
        <w:tc>
          <w:tcPr>
            <w:tcW w:w="1563" w:type="pct"/>
          </w:tcPr>
          <w:p w14:paraId="21000097" w14:textId="77777777" w:rsidR="000B4310" w:rsidRPr="002674BD" w:rsidRDefault="000B4310" w:rsidP="007E2D0E">
            <w:pPr>
              <w:pStyle w:val="TableTextLeft"/>
              <w:jc w:val="both"/>
            </w:pPr>
            <w:r w:rsidRPr="002674BD">
              <w:rPr>
                <w:rFonts w:eastAsia="Calibri"/>
                <w:sz w:val="20"/>
                <w:lang w:eastAsia="en-US"/>
              </w:rPr>
              <w:t>30</w:t>
            </w:r>
          </w:p>
        </w:tc>
        <w:tc>
          <w:tcPr>
            <w:tcW w:w="624" w:type="pct"/>
          </w:tcPr>
          <w:p w14:paraId="1823680A" w14:textId="77777777" w:rsidR="000B4310" w:rsidRPr="002674BD" w:rsidRDefault="000B4310" w:rsidP="007E2D0E">
            <w:pPr>
              <w:pStyle w:val="TableTextLeft"/>
              <w:jc w:val="both"/>
            </w:pPr>
            <w:r w:rsidRPr="002674BD">
              <w:rPr>
                <w:rFonts w:eastAsia="Calibri"/>
                <w:b/>
                <w:bCs/>
                <w:sz w:val="20"/>
                <w:lang w:eastAsia="en-US"/>
              </w:rPr>
              <w:t>730 ha</w:t>
            </w:r>
          </w:p>
        </w:tc>
      </w:tr>
      <w:tr w:rsidR="000B4310" w:rsidRPr="002674BD" w14:paraId="3A45BD2B" w14:textId="77777777" w:rsidTr="00FB7B77">
        <w:trPr>
          <w:trHeight w:val="270"/>
        </w:trPr>
        <w:tc>
          <w:tcPr>
            <w:tcW w:w="1250" w:type="pct"/>
            <w:tcBorders>
              <w:bottom w:val="single" w:sz="4" w:space="0" w:color="BFBFBF" w:themeColor="background1" w:themeShade="BF"/>
            </w:tcBorders>
          </w:tcPr>
          <w:p w14:paraId="3D964DDB" w14:textId="77777777" w:rsidR="000B4310" w:rsidRPr="002674BD" w:rsidRDefault="000B4310" w:rsidP="007E2D0E">
            <w:pPr>
              <w:pStyle w:val="TableTextLeft"/>
              <w:jc w:val="both"/>
            </w:pPr>
            <w:r w:rsidRPr="002674BD">
              <w:rPr>
                <w:rFonts w:eastAsia="Calibri"/>
                <w:sz w:val="20"/>
                <w:lang w:eastAsia="en-US"/>
              </w:rPr>
              <w:t>Metro South and Peel (including Metro South West, South East and Peel)</w:t>
            </w:r>
          </w:p>
        </w:tc>
        <w:tc>
          <w:tcPr>
            <w:tcW w:w="1563" w:type="pct"/>
            <w:tcBorders>
              <w:bottom w:val="single" w:sz="4" w:space="0" w:color="BFBFBF" w:themeColor="background1" w:themeShade="BF"/>
            </w:tcBorders>
          </w:tcPr>
          <w:p w14:paraId="4A35AE96" w14:textId="77777777" w:rsidR="000B4310" w:rsidRPr="002674BD" w:rsidRDefault="000B4310" w:rsidP="007E2D0E">
            <w:pPr>
              <w:pStyle w:val="TableTextLeft"/>
              <w:jc w:val="both"/>
            </w:pPr>
            <w:r w:rsidRPr="002674BD">
              <w:rPr>
                <w:rFonts w:eastAsia="Calibri"/>
                <w:sz w:val="20"/>
                <w:lang w:eastAsia="en-US"/>
              </w:rPr>
              <w:t>290</w:t>
            </w:r>
          </w:p>
        </w:tc>
        <w:tc>
          <w:tcPr>
            <w:tcW w:w="1563" w:type="pct"/>
            <w:tcBorders>
              <w:bottom w:val="single" w:sz="4" w:space="0" w:color="BFBFBF" w:themeColor="background1" w:themeShade="BF"/>
            </w:tcBorders>
          </w:tcPr>
          <w:p w14:paraId="08779D24" w14:textId="77777777" w:rsidR="000B4310" w:rsidRPr="002674BD" w:rsidRDefault="000B4310" w:rsidP="007E2D0E">
            <w:pPr>
              <w:pStyle w:val="TableTextLeft"/>
              <w:jc w:val="both"/>
            </w:pPr>
            <w:r w:rsidRPr="002674BD">
              <w:rPr>
                <w:rFonts w:eastAsia="Calibri"/>
                <w:sz w:val="20"/>
                <w:lang w:eastAsia="en-US"/>
              </w:rPr>
              <w:t>190</w:t>
            </w:r>
          </w:p>
        </w:tc>
        <w:tc>
          <w:tcPr>
            <w:tcW w:w="624" w:type="pct"/>
            <w:tcBorders>
              <w:bottom w:val="single" w:sz="4" w:space="0" w:color="BFBFBF" w:themeColor="background1" w:themeShade="BF"/>
            </w:tcBorders>
          </w:tcPr>
          <w:p w14:paraId="6FD43016" w14:textId="77777777" w:rsidR="000B4310" w:rsidRPr="002674BD" w:rsidRDefault="000B4310" w:rsidP="007E2D0E">
            <w:pPr>
              <w:pStyle w:val="TableTextLeft"/>
              <w:jc w:val="both"/>
            </w:pPr>
            <w:r w:rsidRPr="002674BD">
              <w:rPr>
                <w:rFonts w:eastAsia="Calibri"/>
                <w:b/>
                <w:bCs/>
                <w:sz w:val="20"/>
                <w:lang w:eastAsia="en-US"/>
              </w:rPr>
              <w:t>480 ha</w:t>
            </w:r>
          </w:p>
        </w:tc>
      </w:tr>
      <w:tr w:rsidR="000B4310" w:rsidRPr="002674BD" w14:paraId="4F4D4D14" w14:textId="77777777" w:rsidTr="00FB7B77">
        <w:trPr>
          <w:trHeight w:val="270"/>
        </w:trPr>
        <w:tc>
          <w:tcPr>
            <w:tcW w:w="1250" w:type="pct"/>
            <w:tcBorders>
              <w:top w:val="single" w:sz="4" w:space="0" w:color="BFBFBF" w:themeColor="background1" w:themeShade="BF"/>
            </w:tcBorders>
          </w:tcPr>
          <w:p w14:paraId="2076FA28" w14:textId="77777777" w:rsidR="000B4310" w:rsidRPr="002674BD" w:rsidRDefault="000B4310" w:rsidP="007E2D0E">
            <w:pPr>
              <w:pStyle w:val="TableTextLeft"/>
              <w:jc w:val="both"/>
            </w:pPr>
            <w:r w:rsidRPr="002674BD">
              <w:rPr>
                <w:rFonts w:eastAsia="Calibri"/>
                <w:b/>
                <w:bCs/>
                <w:sz w:val="20"/>
                <w:lang w:eastAsia="en-US"/>
              </w:rPr>
              <w:t>Total</w:t>
            </w:r>
          </w:p>
        </w:tc>
        <w:tc>
          <w:tcPr>
            <w:tcW w:w="1563" w:type="pct"/>
            <w:tcBorders>
              <w:top w:val="single" w:sz="4" w:space="0" w:color="BFBFBF" w:themeColor="background1" w:themeShade="BF"/>
            </w:tcBorders>
          </w:tcPr>
          <w:p w14:paraId="0F679AB7" w14:textId="77777777" w:rsidR="000B4310" w:rsidRPr="002674BD" w:rsidRDefault="000B4310" w:rsidP="007E2D0E">
            <w:pPr>
              <w:pStyle w:val="TableTextLeft"/>
              <w:jc w:val="both"/>
            </w:pPr>
            <w:r w:rsidRPr="002674BD">
              <w:rPr>
                <w:rFonts w:eastAsia="Calibri"/>
                <w:b/>
                <w:bCs/>
                <w:sz w:val="20"/>
                <w:lang w:eastAsia="en-US"/>
              </w:rPr>
              <w:t>3,190 ha</w:t>
            </w:r>
          </w:p>
        </w:tc>
        <w:tc>
          <w:tcPr>
            <w:tcW w:w="1563" w:type="pct"/>
            <w:tcBorders>
              <w:top w:val="single" w:sz="4" w:space="0" w:color="BFBFBF" w:themeColor="background1" w:themeShade="BF"/>
            </w:tcBorders>
          </w:tcPr>
          <w:p w14:paraId="14A70B37" w14:textId="77777777" w:rsidR="000B4310" w:rsidRPr="002674BD" w:rsidRDefault="000B4310" w:rsidP="007E2D0E">
            <w:pPr>
              <w:pStyle w:val="TableTextLeft"/>
              <w:jc w:val="both"/>
            </w:pPr>
            <w:r w:rsidRPr="002674BD">
              <w:rPr>
                <w:rFonts w:eastAsia="Calibri"/>
                <w:b/>
                <w:bCs/>
                <w:sz w:val="20"/>
                <w:lang w:eastAsia="en-US"/>
              </w:rPr>
              <w:t>220 ha</w:t>
            </w:r>
          </w:p>
        </w:tc>
        <w:tc>
          <w:tcPr>
            <w:tcW w:w="624" w:type="pct"/>
            <w:tcBorders>
              <w:top w:val="single" w:sz="4" w:space="0" w:color="BFBFBF" w:themeColor="background1" w:themeShade="BF"/>
            </w:tcBorders>
          </w:tcPr>
          <w:p w14:paraId="67660150" w14:textId="77777777" w:rsidR="000B4310" w:rsidRPr="002674BD" w:rsidRDefault="000B4310" w:rsidP="007E2D0E">
            <w:pPr>
              <w:pStyle w:val="TableTextLeft"/>
              <w:jc w:val="both"/>
            </w:pPr>
            <w:r w:rsidRPr="002674BD">
              <w:rPr>
                <w:rFonts w:eastAsia="Calibri"/>
                <w:b/>
                <w:bCs/>
                <w:sz w:val="20"/>
                <w:lang w:eastAsia="en-US"/>
              </w:rPr>
              <w:t>3,410 ha</w:t>
            </w:r>
          </w:p>
        </w:tc>
      </w:tr>
    </w:tbl>
    <w:p w14:paraId="6392CB22" w14:textId="77777777" w:rsidR="000B4310" w:rsidRPr="002674BD" w:rsidRDefault="000B4310" w:rsidP="007E2D0E">
      <w:pPr>
        <w:spacing w:before="120"/>
        <w:jc w:val="both"/>
        <w:rPr>
          <w:rFonts w:eastAsia="Calibri"/>
          <w:sz w:val="16"/>
          <w:szCs w:val="16"/>
          <w:lang w:eastAsia="en-US"/>
        </w:rPr>
      </w:pPr>
      <w:r w:rsidRPr="002674BD">
        <w:rPr>
          <w:rFonts w:eastAsia="Calibri"/>
          <w:sz w:val="16"/>
          <w:szCs w:val="16"/>
          <w:lang w:eastAsia="en-US"/>
        </w:rPr>
        <w:t xml:space="preserve">Source: Data Analytics, 2024. </w:t>
      </w:r>
    </w:p>
    <w:bookmarkEnd w:id="10"/>
    <w:p w14:paraId="5E4B9D3E" w14:textId="77777777" w:rsidR="007F42B4" w:rsidRPr="002674BD" w:rsidRDefault="000B4310" w:rsidP="007E2D0E">
      <w:pPr>
        <w:jc w:val="both"/>
      </w:pPr>
      <w:r w:rsidRPr="002674BD">
        <w:t>Urban infill, the redevelopment of urban land in the Metropolitan region, is based on ten principles of urban consolidation (outlined in the Sub­regional Planning Frameworks), including an emphasis on well-located medium-high density housing in proximity to public transport, employment and amenity. This is reflected in the WA Government’s METRONET project, the largest integrated transport and land use program ever delivered in Perth. Investment in rail will act as a catalyst for land use change in over 8,000 ha of land, within walkable catchments around METRONET stations. METRONET rail infrastructure and stations have been designed to efficiently use Government land and create new development opportunities on Government landholdings within walking distance of stations. These precincts present an opportunity to deliver new housing within well-situated locations.</w:t>
      </w:r>
    </w:p>
    <w:p w14:paraId="717793B9" w14:textId="77777777" w:rsidR="00822961" w:rsidRPr="002674BD" w:rsidRDefault="00822961" w:rsidP="007E2D0E">
      <w:pPr>
        <w:jc w:val="both"/>
      </w:pPr>
      <w:r w:rsidRPr="002674BD">
        <w:t>In addition, minimum urban infill dwelling targets to 2050 have been set for most local governments (within the Perth and Peel Regions), with the location of those dwellings refined for local context through the preparation of local planning strategies and local planning schemes to identify suitable locations for medium and higher density. The targets require 47 per cent of dwellings to be delivered through urban infill by 2050 (a 50 per cent increase on infill development across Perth and Peel in 2010). A significant portion of the minimum urban infill targets is anticipated to be constructed in the Metropolitan Central sub-region (Perth Region), being 214,000 infill dwellings across 19 local governments.</w:t>
      </w:r>
    </w:p>
    <w:p w14:paraId="136B262F" w14:textId="77777777" w:rsidR="00822961" w:rsidRPr="002674BD" w:rsidRDefault="00822961" w:rsidP="007E2D0E">
      <w:pPr>
        <w:jc w:val="both"/>
        <w:rPr>
          <w:rFonts w:eastAsia="Calibri"/>
          <w:lang w:eastAsia="en-US"/>
        </w:rPr>
      </w:pPr>
      <w:r w:rsidRPr="002674BD">
        <w:t>Future urban land supply within the Metropolitan Region was based on a growth scenario, factored in environmental attributes and infrastructure requirements, occupancy rates and minimum residential density to support the identified estimated capacity. Ultimately, these will be subject to further detailed planning through district-level structure planning (for undeveloped Urban and Urban Deferred Zoned land), and will likely require further Region Scheme amendments, which will also require associated environmental approvals. For some locations, additional approvals may also be required from the Commonwealth.</w:t>
      </w:r>
    </w:p>
    <w:p w14:paraId="12635DE6" w14:textId="77777777" w:rsidR="00822961" w:rsidRPr="002674BD" w:rsidRDefault="00822961" w:rsidP="007E2D0E">
      <w:pPr>
        <w:jc w:val="both"/>
        <w:rPr>
          <w:rFonts w:eastAsia="Calibri"/>
          <w:lang w:eastAsia="en-US"/>
        </w:rPr>
      </w:pPr>
      <w:r w:rsidRPr="002674BD">
        <w:rPr>
          <w:rFonts w:eastAsia="Calibri"/>
          <w:lang w:eastAsia="en-US"/>
        </w:rPr>
        <w:t>Decisions on the future urban land supply in the Metropolitan Region identified an additional 6,700 ha of land for urban development, with a potential capacity for 78,000 dwellings accommodating a population of approximately 200,000. These have been included in the capacity for over 1 million homes outlined above.</w:t>
      </w:r>
    </w:p>
    <w:p w14:paraId="21BCEEDA" w14:textId="77777777" w:rsidR="002F5DD4" w:rsidRPr="002674BD" w:rsidRDefault="002F5DD4" w:rsidP="007E2D0E">
      <w:pPr>
        <w:pStyle w:val="Heading4"/>
        <w:jc w:val="both"/>
        <w:rPr>
          <w:rFonts w:eastAsia="Calibri"/>
          <w:lang w:eastAsia="en-US"/>
        </w:rPr>
      </w:pPr>
      <w:r w:rsidRPr="002674BD">
        <w:rPr>
          <w:rFonts w:eastAsia="Calibri"/>
          <w:lang w:eastAsia="en-US"/>
        </w:rPr>
        <w:lastRenderedPageBreak/>
        <w:t>Land Supply – Regional Western Australia</w:t>
      </w:r>
    </w:p>
    <w:p w14:paraId="2B671170" w14:textId="7E0D766E" w:rsidR="00953F1D" w:rsidRPr="002674BD" w:rsidRDefault="008450B2" w:rsidP="007E2D0E">
      <w:pPr>
        <w:jc w:val="both"/>
      </w:pPr>
      <w:r w:rsidRPr="002674BD">
        <w:t>Regional land supply data is based on regional assessments, which are prepared upon request rather than annually as the Urban Growth Monitor for the Metropolitan Region.</w:t>
      </w:r>
      <w:r w:rsidR="00084959" w:rsidRPr="002674BD">
        <w:t xml:space="preserve"> Land supply and estimated dwelling yield varies from 2015 to 202</w:t>
      </w:r>
      <w:r w:rsidR="00C96C45" w:rsidRPr="002674BD">
        <w:t>5</w:t>
      </w:r>
      <w:r w:rsidR="00084959" w:rsidRPr="002674BD">
        <w:t>, reflecting the timing of such requests for that information. Therefore, this data needs to be considered carefully as some is now dated and it can be assumed that annual dwelling construction since the last report would have utilised the estimated undeveloped zoned land supply.</w:t>
      </w:r>
    </w:p>
    <w:p w14:paraId="135E70BB" w14:textId="79AC0349" w:rsidR="00FC519B" w:rsidRPr="002674BD" w:rsidRDefault="00E40B97" w:rsidP="007E2D0E">
      <w:pPr>
        <w:jc w:val="both"/>
        <w:rPr>
          <w:rFonts w:eastAsia="Calibri"/>
          <w:b/>
          <w:bCs/>
        </w:rPr>
      </w:pPr>
      <w:r w:rsidRPr="002674BD">
        <w:rPr>
          <w:color w:val="2683C6" w:themeColor="accent6"/>
        </w:rPr>
        <w:t>Update:</w:t>
      </w:r>
      <w:r w:rsidRPr="002674BD">
        <w:rPr>
          <w:i/>
          <w:iCs/>
          <w:color w:val="2683C6" w:themeColor="accent6"/>
        </w:rPr>
        <w:t xml:space="preserve"> </w:t>
      </w:r>
      <w:r w:rsidR="00FC519B" w:rsidRPr="002674BD">
        <w:rPr>
          <w:rFonts w:eastAsia="Calibri"/>
          <w:b/>
          <w:bCs/>
        </w:rPr>
        <w:t xml:space="preserve">Table </w:t>
      </w:r>
      <w:r w:rsidR="009B6851" w:rsidRPr="002674BD">
        <w:rPr>
          <w:rFonts w:eastAsia="Calibri"/>
          <w:b/>
          <w:bCs/>
        </w:rPr>
        <w:t>3</w:t>
      </w:r>
      <w:r w:rsidR="00FC519B" w:rsidRPr="002674BD">
        <w:rPr>
          <w:rFonts w:eastAsia="Calibri"/>
          <w:b/>
          <w:bCs/>
        </w:rPr>
        <w:t xml:space="preserve">: Regional Western Australia Land Supply  </w:t>
      </w:r>
    </w:p>
    <w:tbl>
      <w:tblPr>
        <w:tblW w:w="5000" w:type="pct"/>
        <w:tblLook w:val="01E0" w:firstRow="1" w:lastRow="1" w:firstColumn="1" w:lastColumn="1" w:noHBand="0" w:noVBand="0"/>
      </w:tblPr>
      <w:tblGrid>
        <w:gridCol w:w="2552"/>
        <w:gridCol w:w="2411"/>
        <w:gridCol w:w="1839"/>
        <w:gridCol w:w="2268"/>
      </w:tblGrid>
      <w:tr w:rsidR="00FC519B" w:rsidRPr="002674BD" w14:paraId="3B882967" w14:textId="77777777" w:rsidTr="00487F17">
        <w:trPr>
          <w:trHeight w:val="856"/>
          <w:tblHeader/>
        </w:trPr>
        <w:tc>
          <w:tcPr>
            <w:tcW w:w="1407" w:type="pct"/>
            <w:shd w:val="clear" w:color="auto" w:fill="E5E5E5"/>
          </w:tcPr>
          <w:p w14:paraId="29176A9C" w14:textId="77777777" w:rsidR="00FC519B" w:rsidRPr="002674BD" w:rsidRDefault="00FC519B" w:rsidP="007E2D0E">
            <w:pPr>
              <w:pStyle w:val="TableColumnHeadingLeft"/>
              <w:jc w:val="both"/>
            </w:pPr>
            <w:r w:rsidRPr="002674BD">
              <w:rPr>
                <w:rFonts w:eastAsia="Calibri"/>
                <w:lang w:eastAsia="en-US"/>
              </w:rPr>
              <w:t>Regional – Local Government Area</w:t>
            </w:r>
            <w:r w:rsidRPr="002674BD">
              <w:rPr>
                <w:rFonts w:eastAsia="Calibri"/>
                <w:lang w:eastAsia="en-US"/>
              </w:rPr>
              <w:br/>
            </w:r>
            <w:r w:rsidRPr="002674BD">
              <w:rPr>
                <w:rFonts w:eastAsia="Calibri"/>
                <w:b w:val="0"/>
                <w:bCs/>
                <w:lang w:eastAsia="en-US"/>
              </w:rPr>
              <w:t>(Year Data available)*</w:t>
            </w:r>
          </w:p>
        </w:tc>
        <w:tc>
          <w:tcPr>
            <w:tcW w:w="1329" w:type="pct"/>
            <w:shd w:val="clear" w:color="auto" w:fill="E5E5E5"/>
          </w:tcPr>
          <w:p w14:paraId="0261B0C0" w14:textId="77777777" w:rsidR="00FC519B" w:rsidRPr="002674BD" w:rsidRDefault="00FC519B" w:rsidP="007E2D0E">
            <w:pPr>
              <w:pStyle w:val="TableColumnHeadingLeft"/>
              <w:jc w:val="both"/>
            </w:pPr>
            <w:r w:rsidRPr="002674BD">
              <w:rPr>
                <w:rFonts w:eastAsia="Calibri"/>
                <w:lang w:eastAsia="en-US"/>
              </w:rPr>
              <w:t xml:space="preserve">Estimated Undeveloped Residential Land </w:t>
            </w:r>
            <w:r w:rsidRPr="002674BD">
              <w:rPr>
                <w:rFonts w:eastAsia="Calibri"/>
                <w:lang w:eastAsia="en-US"/>
              </w:rPr>
              <w:br/>
            </w:r>
            <w:r w:rsidRPr="002674BD">
              <w:rPr>
                <w:rFonts w:eastAsia="Calibri"/>
                <w:b w:val="0"/>
                <w:bCs/>
                <w:lang w:eastAsia="en-US"/>
              </w:rPr>
              <w:t>(Zoned) (ha)**</w:t>
            </w:r>
          </w:p>
        </w:tc>
        <w:tc>
          <w:tcPr>
            <w:tcW w:w="1014" w:type="pct"/>
            <w:shd w:val="clear" w:color="auto" w:fill="E5E5E5"/>
          </w:tcPr>
          <w:p w14:paraId="78C67390" w14:textId="77777777" w:rsidR="00FC519B" w:rsidRPr="002674BD" w:rsidRDefault="00FC519B" w:rsidP="007E2D0E">
            <w:pPr>
              <w:pStyle w:val="TableColumnHeadingLeft"/>
              <w:jc w:val="both"/>
            </w:pPr>
            <w:r w:rsidRPr="002674BD">
              <w:rPr>
                <w:rFonts w:eastAsia="Calibri"/>
                <w:lang w:eastAsia="en-US"/>
              </w:rPr>
              <w:t>Estimated Dwelling Yield</w:t>
            </w:r>
          </w:p>
        </w:tc>
        <w:tc>
          <w:tcPr>
            <w:tcW w:w="1250" w:type="pct"/>
            <w:shd w:val="clear" w:color="auto" w:fill="E5E5E5"/>
          </w:tcPr>
          <w:p w14:paraId="704C55E5" w14:textId="77777777" w:rsidR="00FC519B" w:rsidRPr="002674BD" w:rsidRDefault="00FC519B" w:rsidP="007E2D0E">
            <w:pPr>
              <w:pStyle w:val="TableColumnHeadingLeft"/>
              <w:jc w:val="both"/>
            </w:pPr>
            <w:r w:rsidRPr="002674BD">
              <w:rPr>
                <w:rFonts w:eastAsia="Calibri"/>
                <w:lang w:eastAsia="en-US"/>
              </w:rPr>
              <w:t xml:space="preserve">Estimated Population </w:t>
            </w:r>
            <w:r w:rsidRPr="002674BD">
              <w:rPr>
                <w:rFonts w:eastAsia="Calibri"/>
                <w:b w:val="0"/>
                <w:bCs/>
                <w:lang w:eastAsia="en-US"/>
              </w:rPr>
              <w:t>(people/dwelling)***</w:t>
            </w:r>
          </w:p>
        </w:tc>
      </w:tr>
      <w:tr w:rsidR="00FC519B" w:rsidRPr="002674BD" w14:paraId="58592DE3" w14:textId="77777777" w:rsidTr="00487F17">
        <w:trPr>
          <w:trHeight w:val="270"/>
        </w:trPr>
        <w:tc>
          <w:tcPr>
            <w:tcW w:w="1407" w:type="pct"/>
          </w:tcPr>
          <w:p w14:paraId="71A92DF4" w14:textId="77777777" w:rsidR="00FC519B" w:rsidRPr="002674BD" w:rsidRDefault="00FC519B" w:rsidP="007E2D0E">
            <w:pPr>
              <w:pStyle w:val="TableTextLeft"/>
              <w:jc w:val="both"/>
            </w:pPr>
            <w:r w:rsidRPr="002674BD">
              <w:rPr>
                <w:rFonts w:eastAsia="Calibri"/>
                <w:b/>
                <w:bCs/>
                <w:sz w:val="20"/>
                <w:lang w:eastAsia="en-US"/>
              </w:rPr>
              <w:t>Albany (2015)</w:t>
            </w:r>
          </w:p>
        </w:tc>
        <w:tc>
          <w:tcPr>
            <w:tcW w:w="1329" w:type="pct"/>
          </w:tcPr>
          <w:p w14:paraId="0254EC2B" w14:textId="77777777" w:rsidR="00FC519B" w:rsidRPr="002674BD" w:rsidRDefault="00FC519B" w:rsidP="007E2D0E">
            <w:pPr>
              <w:pStyle w:val="TableTextLeft"/>
              <w:jc w:val="both"/>
            </w:pPr>
            <w:r w:rsidRPr="002674BD">
              <w:rPr>
                <w:rFonts w:eastAsia="Calibri"/>
                <w:sz w:val="20"/>
                <w:lang w:eastAsia="en-US"/>
              </w:rPr>
              <w:t>1,120</w:t>
            </w:r>
          </w:p>
        </w:tc>
        <w:tc>
          <w:tcPr>
            <w:tcW w:w="1014" w:type="pct"/>
          </w:tcPr>
          <w:p w14:paraId="0EF4F149" w14:textId="77777777" w:rsidR="00FC519B" w:rsidRPr="002674BD" w:rsidRDefault="00FC519B" w:rsidP="007E2D0E">
            <w:pPr>
              <w:pStyle w:val="TableTextLeft"/>
              <w:jc w:val="both"/>
            </w:pPr>
            <w:r w:rsidRPr="002674BD">
              <w:rPr>
                <w:rFonts w:eastAsia="Calibri"/>
                <w:sz w:val="20"/>
                <w:lang w:eastAsia="en-US"/>
              </w:rPr>
              <w:t xml:space="preserve">10,700 </w:t>
            </w:r>
          </w:p>
        </w:tc>
        <w:tc>
          <w:tcPr>
            <w:tcW w:w="1250" w:type="pct"/>
          </w:tcPr>
          <w:p w14:paraId="65D931D2" w14:textId="77777777" w:rsidR="00FC519B" w:rsidRPr="002674BD" w:rsidRDefault="00FC519B" w:rsidP="007E2D0E">
            <w:pPr>
              <w:pStyle w:val="TableTextLeft"/>
              <w:jc w:val="both"/>
            </w:pPr>
            <w:r w:rsidRPr="002674BD">
              <w:rPr>
                <w:rFonts w:eastAsia="Calibri"/>
                <w:sz w:val="20"/>
                <w:lang w:eastAsia="en-US"/>
              </w:rPr>
              <w:t>25,680 (2.4)</w:t>
            </w:r>
          </w:p>
        </w:tc>
      </w:tr>
      <w:tr w:rsidR="00C96C45" w:rsidRPr="002674BD" w14:paraId="5518F39C" w14:textId="77777777" w:rsidTr="00487F17">
        <w:trPr>
          <w:trHeight w:val="270"/>
        </w:trPr>
        <w:tc>
          <w:tcPr>
            <w:tcW w:w="1407" w:type="pct"/>
            <w:vAlign w:val="center"/>
          </w:tcPr>
          <w:p w14:paraId="093859E6" w14:textId="2F7C038E" w:rsidR="00C96C45" w:rsidRPr="002674BD" w:rsidRDefault="00C96C45" w:rsidP="00C96C45">
            <w:pPr>
              <w:pStyle w:val="TableTextLeft"/>
              <w:jc w:val="both"/>
              <w:rPr>
                <w:rFonts w:eastAsia="Calibri"/>
                <w:b/>
                <w:bCs/>
                <w:sz w:val="20"/>
                <w:lang w:eastAsia="en-US"/>
              </w:rPr>
            </w:pPr>
            <w:r w:rsidRPr="002674BD">
              <w:rPr>
                <w:rFonts w:eastAsia="Calibri"/>
                <w:b/>
                <w:bCs/>
                <w:sz w:val="20"/>
                <w:lang w:eastAsia="en-US"/>
              </w:rPr>
              <w:t>Augusta Margaret River (2016)</w:t>
            </w:r>
          </w:p>
        </w:tc>
        <w:tc>
          <w:tcPr>
            <w:tcW w:w="1329" w:type="pct"/>
            <w:vAlign w:val="center"/>
          </w:tcPr>
          <w:p w14:paraId="51DD7132" w14:textId="43A1308F" w:rsidR="00C96C45" w:rsidRPr="002674BD" w:rsidRDefault="00C96C45" w:rsidP="00C96C45">
            <w:pPr>
              <w:pStyle w:val="TableTextLeft"/>
              <w:jc w:val="both"/>
              <w:rPr>
                <w:rFonts w:eastAsia="Calibri"/>
                <w:sz w:val="20"/>
                <w:lang w:eastAsia="en-US"/>
              </w:rPr>
            </w:pPr>
            <w:r w:rsidRPr="002674BD">
              <w:rPr>
                <w:rFonts w:eastAsia="Calibri"/>
                <w:sz w:val="20"/>
                <w:lang w:eastAsia="en-US"/>
              </w:rPr>
              <w:t>1,240</w:t>
            </w:r>
          </w:p>
        </w:tc>
        <w:tc>
          <w:tcPr>
            <w:tcW w:w="1014" w:type="pct"/>
            <w:vAlign w:val="center"/>
          </w:tcPr>
          <w:p w14:paraId="374C5E2F" w14:textId="19D0ACDA" w:rsidR="00C96C45" w:rsidRPr="002674BD" w:rsidRDefault="00C96C45" w:rsidP="00C96C45">
            <w:pPr>
              <w:pStyle w:val="TableTextLeft"/>
              <w:jc w:val="both"/>
              <w:rPr>
                <w:rFonts w:eastAsia="Calibri"/>
                <w:sz w:val="20"/>
                <w:lang w:eastAsia="en-US"/>
              </w:rPr>
            </w:pPr>
            <w:r w:rsidRPr="002674BD">
              <w:rPr>
                <w:rFonts w:eastAsia="Calibri"/>
                <w:sz w:val="20"/>
                <w:lang w:eastAsia="en-US"/>
              </w:rPr>
              <w:t>6,640</w:t>
            </w:r>
          </w:p>
        </w:tc>
        <w:tc>
          <w:tcPr>
            <w:tcW w:w="1250" w:type="pct"/>
          </w:tcPr>
          <w:p w14:paraId="07C614CF" w14:textId="14DEE4C7" w:rsidR="00C96C45" w:rsidRPr="002674BD" w:rsidRDefault="00C96C45" w:rsidP="00C96C45">
            <w:pPr>
              <w:pStyle w:val="TableTextLeft"/>
              <w:jc w:val="both"/>
              <w:rPr>
                <w:rFonts w:eastAsia="Calibri"/>
                <w:sz w:val="20"/>
                <w:lang w:eastAsia="en-US"/>
              </w:rPr>
            </w:pPr>
            <w:r w:rsidRPr="002674BD">
              <w:rPr>
                <w:rFonts w:eastAsia="Calibri"/>
                <w:sz w:val="20"/>
                <w:lang w:eastAsia="en-US"/>
              </w:rPr>
              <w:t>16,600 (2.5)</w:t>
            </w:r>
          </w:p>
        </w:tc>
      </w:tr>
      <w:tr w:rsidR="00FC519B" w:rsidRPr="002674BD" w14:paraId="3766530E" w14:textId="77777777" w:rsidTr="00487F17">
        <w:trPr>
          <w:trHeight w:val="270"/>
        </w:trPr>
        <w:tc>
          <w:tcPr>
            <w:tcW w:w="1407" w:type="pct"/>
          </w:tcPr>
          <w:p w14:paraId="70424D2E" w14:textId="77777777" w:rsidR="00FC519B" w:rsidRPr="002674BD" w:rsidRDefault="00FC519B" w:rsidP="007E2D0E">
            <w:pPr>
              <w:pStyle w:val="TableTextLeft"/>
              <w:jc w:val="both"/>
            </w:pPr>
            <w:r w:rsidRPr="002674BD">
              <w:rPr>
                <w:rFonts w:eastAsia="Calibri"/>
                <w:b/>
                <w:bCs/>
                <w:sz w:val="20"/>
                <w:lang w:eastAsia="en-US"/>
              </w:rPr>
              <w:t>Broome (2020)</w:t>
            </w:r>
          </w:p>
        </w:tc>
        <w:tc>
          <w:tcPr>
            <w:tcW w:w="1329" w:type="pct"/>
          </w:tcPr>
          <w:p w14:paraId="3A97D73F" w14:textId="77777777" w:rsidR="00FC519B" w:rsidRPr="002674BD" w:rsidRDefault="00FC519B" w:rsidP="007E2D0E">
            <w:pPr>
              <w:pStyle w:val="TableTextLeft"/>
              <w:jc w:val="both"/>
            </w:pPr>
            <w:r w:rsidRPr="002674BD">
              <w:rPr>
                <w:rFonts w:eastAsia="Calibri"/>
                <w:sz w:val="20"/>
                <w:lang w:eastAsia="en-US"/>
              </w:rPr>
              <w:t>660</w:t>
            </w:r>
          </w:p>
        </w:tc>
        <w:tc>
          <w:tcPr>
            <w:tcW w:w="1014" w:type="pct"/>
          </w:tcPr>
          <w:p w14:paraId="6E295756" w14:textId="77777777" w:rsidR="00FC519B" w:rsidRPr="002674BD" w:rsidRDefault="00FC519B" w:rsidP="007E2D0E">
            <w:pPr>
              <w:pStyle w:val="TableTextLeft"/>
              <w:jc w:val="both"/>
            </w:pPr>
            <w:r w:rsidRPr="002674BD">
              <w:rPr>
                <w:rFonts w:eastAsia="Calibri"/>
                <w:sz w:val="20"/>
                <w:lang w:eastAsia="en-US"/>
              </w:rPr>
              <w:t>1,700</w:t>
            </w:r>
          </w:p>
        </w:tc>
        <w:tc>
          <w:tcPr>
            <w:tcW w:w="1250" w:type="pct"/>
          </w:tcPr>
          <w:p w14:paraId="43087B13" w14:textId="77777777" w:rsidR="00FC519B" w:rsidRPr="002674BD" w:rsidRDefault="00FC519B" w:rsidP="007E2D0E">
            <w:pPr>
              <w:pStyle w:val="TableTextLeft"/>
              <w:jc w:val="both"/>
            </w:pPr>
            <w:r w:rsidRPr="002674BD">
              <w:rPr>
                <w:rFonts w:eastAsia="Calibri"/>
                <w:sz w:val="20"/>
                <w:lang w:eastAsia="en-US"/>
              </w:rPr>
              <w:t>4,590 (2.7)</w:t>
            </w:r>
          </w:p>
        </w:tc>
      </w:tr>
      <w:tr w:rsidR="00FC519B" w:rsidRPr="002674BD" w14:paraId="040B2A23" w14:textId="77777777" w:rsidTr="00487F17">
        <w:trPr>
          <w:trHeight w:val="270"/>
        </w:trPr>
        <w:tc>
          <w:tcPr>
            <w:tcW w:w="1407" w:type="pct"/>
          </w:tcPr>
          <w:p w14:paraId="6B8D210A" w14:textId="77777777" w:rsidR="00FC519B" w:rsidRPr="002674BD" w:rsidRDefault="00FC519B" w:rsidP="007E2D0E">
            <w:pPr>
              <w:pStyle w:val="TableTextLeft"/>
              <w:jc w:val="both"/>
            </w:pPr>
            <w:r w:rsidRPr="002674BD">
              <w:rPr>
                <w:rFonts w:eastAsia="Calibri"/>
                <w:b/>
                <w:bCs/>
                <w:sz w:val="20"/>
                <w:lang w:eastAsia="en-US"/>
              </w:rPr>
              <w:t>Bunbury (2023)</w:t>
            </w:r>
          </w:p>
        </w:tc>
        <w:tc>
          <w:tcPr>
            <w:tcW w:w="1329" w:type="pct"/>
          </w:tcPr>
          <w:p w14:paraId="20397E7C" w14:textId="6F2F5714" w:rsidR="00FC519B" w:rsidRPr="002674BD" w:rsidRDefault="00C96C45" w:rsidP="007E2D0E">
            <w:pPr>
              <w:pStyle w:val="TableTextLeft"/>
              <w:jc w:val="both"/>
            </w:pPr>
            <w:r w:rsidRPr="002674BD">
              <w:rPr>
                <w:rFonts w:ascii="Aptos Narrow" w:hAnsi="Aptos Narrow"/>
                <w:sz w:val="20"/>
              </w:rPr>
              <w:t>420****</w:t>
            </w:r>
          </w:p>
        </w:tc>
        <w:tc>
          <w:tcPr>
            <w:tcW w:w="1014" w:type="pct"/>
          </w:tcPr>
          <w:p w14:paraId="58B62CA5" w14:textId="77777777" w:rsidR="00FC519B" w:rsidRPr="002674BD" w:rsidRDefault="00FC519B" w:rsidP="007E2D0E">
            <w:pPr>
              <w:pStyle w:val="TableTextLeft"/>
              <w:jc w:val="both"/>
            </w:pPr>
            <w:r w:rsidRPr="002674BD">
              <w:rPr>
                <w:rFonts w:eastAsia="Calibri"/>
                <w:sz w:val="20"/>
                <w:lang w:eastAsia="en-US"/>
              </w:rPr>
              <w:t>2,810</w:t>
            </w:r>
          </w:p>
        </w:tc>
        <w:tc>
          <w:tcPr>
            <w:tcW w:w="1250" w:type="pct"/>
          </w:tcPr>
          <w:p w14:paraId="5FDB885C" w14:textId="273B10FB" w:rsidR="00FC519B" w:rsidRPr="002674BD" w:rsidRDefault="00FC519B" w:rsidP="007E2D0E">
            <w:pPr>
              <w:pStyle w:val="TableTextLeft"/>
              <w:jc w:val="both"/>
            </w:pPr>
            <w:r w:rsidRPr="002674BD">
              <w:rPr>
                <w:rFonts w:eastAsia="Calibri"/>
                <w:sz w:val="20"/>
                <w:lang w:eastAsia="en-US"/>
              </w:rPr>
              <w:t>6,744 (2.</w:t>
            </w:r>
            <w:r w:rsidR="00C96C45" w:rsidRPr="002674BD">
              <w:rPr>
                <w:rFonts w:eastAsia="Calibri"/>
                <w:sz w:val="20"/>
                <w:lang w:eastAsia="en-US"/>
              </w:rPr>
              <w:t>2</w:t>
            </w:r>
            <w:r w:rsidRPr="002674BD">
              <w:rPr>
                <w:rFonts w:eastAsia="Calibri"/>
                <w:sz w:val="20"/>
                <w:lang w:eastAsia="en-US"/>
              </w:rPr>
              <w:t>)</w:t>
            </w:r>
          </w:p>
        </w:tc>
      </w:tr>
      <w:tr w:rsidR="00FC519B" w:rsidRPr="002674BD" w14:paraId="66F8437C" w14:textId="77777777" w:rsidTr="00487F17">
        <w:trPr>
          <w:trHeight w:val="270"/>
        </w:trPr>
        <w:tc>
          <w:tcPr>
            <w:tcW w:w="1407" w:type="pct"/>
          </w:tcPr>
          <w:p w14:paraId="3B5C25BB" w14:textId="77777777" w:rsidR="00FC519B" w:rsidRPr="002674BD" w:rsidRDefault="00FC519B" w:rsidP="007E2D0E">
            <w:pPr>
              <w:pStyle w:val="TableTextLeft"/>
              <w:jc w:val="both"/>
            </w:pPr>
            <w:r w:rsidRPr="002674BD">
              <w:rPr>
                <w:rFonts w:eastAsia="Calibri"/>
                <w:b/>
                <w:bCs/>
                <w:sz w:val="20"/>
                <w:lang w:eastAsia="en-US"/>
              </w:rPr>
              <w:t>Busselton (2016)</w:t>
            </w:r>
          </w:p>
        </w:tc>
        <w:tc>
          <w:tcPr>
            <w:tcW w:w="1329" w:type="pct"/>
          </w:tcPr>
          <w:p w14:paraId="5920466E" w14:textId="77777777" w:rsidR="00FC519B" w:rsidRPr="002674BD" w:rsidRDefault="00FC519B" w:rsidP="007E2D0E">
            <w:pPr>
              <w:pStyle w:val="TableTextLeft"/>
              <w:jc w:val="both"/>
            </w:pPr>
            <w:r w:rsidRPr="002674BD">
              <w:rPr>
                <w:rFonts w:eastAsia="Calibri"/>
                <w:sz w:val="20"/>
                <w:lang w:eastAsia="en-US"/>
              </w:rPr>
              <w:t>1,400</w:t>
            </w:r>
          </w:p>
        </w:tc>
        <w:tc>
          <w:tcPr>
            <w:tcW w:w="1014" w:type="pct"/>
          </w:tcPr>
          <w:p w14:paraId="463ADF73" w14:textId="77777777" w:rsidR="00FC519B" w:rsidRPr="002674BD" w:rsidRDefault="00FC519B" w:rsidP="007E2D0E">
            <w:pPr>
              <w:pStyle w:val="TableTextLeft"/>
              <w:jc w:val="both"/>
            </w:pPr>
            <w:r w:rsidRPr="002674BD">
              <w:rPr>
                <w:rFonts w:eastAsia="Calibri"/>
                <w:sz w:val="20"/>
                <w:lang w:eastAsia="en-US"/>
              </w:rPr>
              <w:t>13,790</w:t>
            </w:r>
          </w:p>
        </w:tc>
        <w:tc>
          <w:tcPr>
            <w:tcW w:w="1250" w:type="pct"/>
          </w:tcPr>
          <w:p w14:paraId="5B9B116C" w14:textId="77777777" w:rsidR="00FC519B" w:rsidRPr="002674BD" w:rsidRDefault="00FC519B" w:rsidP="007E2D0E">
            <w:pPr>
              <w:pStyle w:val="TableTextLeft"/>
              <w:jc w:val="both"/>
            </w:pPr>
            <w:r w:rsidRPr="002674BD">
              <w:rPr>
                <w:rFonts w:eastAsia="Calibri"/>
                <w:sz w:val="20"/>
                <w:lang w:eastAsia="en-US"/>
              </w:rPr>
              <w:t>34,475 (2.5)</w:t>
            </w:r>
          </w:p>
        </w:tc>
      </w:tr>
      <w:tr w:rsidR="00C96C45" w:rsidRPr="002674BD" w14:paraId="55C38DF5" w14:textId="77777777" w:rsidTr="00487F17">
        <w:trPr>
          <w:trHeight w:val="270"/>
        </w:trPr>
        <w:tc>
          <w:tcPr>
            <w:tcW w:w="1407" w:type="pct"/>
            <w:vAlign w:val="center"/>
          </w:tcPr>
          <w:p w14:paraId="08765FB4" w14:textId="4467B589" w:rsidR="00C96C45" w:rsidRPr="002674BD" w:rsidRDefault="00C96C45" w:rsidP="00C96C45">
            <w:pPr>
              <w:pStyle w:val="TableTextLeft"/>
              <w:jc w:val="both"/>
              <w:rPr>
                <w:rFonts w:eastAsia="Calibri"/>
                <w:b/>
                <w:bCs/>
                <w:sz w:val="20"/>
                <w:lang w:eastAsia="en-US"/>
              </w:rPr>
            </w:pPr>
            <w:r w:rsidRPr="002674BD">
              <w:rPr>
                <w:rFonts w:ascii="Aptos Narrow" w:hAnsi="Aptos Narrow"/>
                <w:b/>
                <w:bCs/>
                <w:sz w:val="20"/>
              </w:rPr>
              <w:t>Capel (2023)</w:t>
            </w:r>
          </w:p>
        </w:tc>
        <w:tc>
          <w:tcPr>
            <w:tcW w:w="1329" w:type="pct"/>
            <w:vAlign w:val="center"/>
          </w:tcPr>
          <w:p w14:paraId="40422B12" w14:textId="7B8ED001" w:rsidR="00C96C45" w:rsidRPr="002674BD" w:rsidRDefault="00C96C45" w:rsidP="00C96C45">
            <w:pPr>
              <w:pStyle w:val="TableTextLeft"/>
              <w:jc w:val="both"/>
              <w:rPr>
                <w:rFonts w:eastAsia="Calibri"/>
                <w:sz w:val="20"/>
                <w:lang w:eastAsia="en-US"/>
              </w:rPr>
            </w:pPr>
            <w:r w:rsidRPr="002674BD">
              <w:rPr>
                <w:rFonts w:ascii="Aptos Narrow" w:hAnsi="Aptos Narrow"/>
                <w:sz w:val="20"/>
              </w:rPr>
              <w:t>920****</w:t>
            </w:r>
          </w:p>
        </w:tc>
        <w:tc>
          <w:tcPr>
            <w:tcW w:w="1014" w:type="pct"/>
            <w:vAlign w:val="center"/>
          </w:tcPr>
          <w:p w14:paraId="457B3199" w14:textId="3CAA017B" w:rsidR="00C96C45" w:rsidRPr="002674BD" w:rsidRDefault="00C96C45" w:rsidP="00C96C45">
            <w:pPr>
              <w:pStyle w:val="TableTextLeft"/>
              <w:jc w:val="both"/>
              <w:rPr>
                <w:rFonts w:eastAsia="Calibri"/>
                <w:sz w:val="20"/>
                <w:lang w:eastAsia="en-US"/>
              </w:rPr>
            </w:pPr>
            <w:r w:rsidRPr="002674BD">
              <w:rPr>
                <w:rFonts w:ascii="Aptos Narrow" w:hAnsi="Aptos Narrow"/>
                <w:sz w:val="20"/>
              </w:rPr>
              <w:t>8,450</w:t>
            </w:r>
          </w:p>
        </w:tc>
        <w:tc>
          <w:tcPr>
            <w:tcW w:w="1250" w:type="pct"/>
          </w:tcPr>
          <w:p w14:paraId="222A8F2E" w14:textId="3332441E" w:rsidR="00C96C45" w:rsidRPr="002674BD" w:rsidRDefault="00C96C45" w:rsidP="00C96C45">
            <w:pPr>
              <w:pStyle w:val="TableTextLeft"/>
              <w:jc w:val="both"/>
              <w:rPr>
                <w:rFonts w:eastAsia="Calibri"/>
                <w:sz w:val="20"/>
                <w:lang w:eastAsia="en-US"/>
              </w:rPr>
            </w:pPr>
            <w:r w:rsidRPr="002674BD">
              <w:rPr>
                <w:rFonts w:eastAsia="Calibri"/>
                <w:sz w:val="20"/>
                <w:lang w:eastAsia="en-US"/>
              </w:rPr>
              <w:t>23,660 (2.8)</w:t>
            </w:r>
          </w:p>
        </w:tc>
      </w:tr>
      <w:tr w:rsidR="00C96C45" w:rsidRPr="002674BD" w14:paraId="3E921CD3" w14:textId="77777777" w:rsidTr="00487F17">
        <w:trPr>
          <w:trHeight w:val="270"/>
        </w:trPr>
        <w:tc>
          <w:tcPr>
            <w:tcW w:w="1407" w:type="pct"/>
            <w:vAlign w:val="center"/>
          </w:tcPr>
          <w:p w14:paraId="01FDE7E7" w14:textId="6107A42C" w:rsidR="00C96C45" w:rsidRPr="002674BD" w:rsidRDefault="00C96C45" w:rsidP="00C96C45">
            <w:pPr>
              <w:pStyle w:val="TableTextLeft"/>
              <w:jc w:val="both"/>
              <w:rPr>
                <w:rFonts w:eastAsia="Calibri"/>
                <w:b/>
                <w:bCs/>
                <w:sz w:val="20"/>
                <w:lang w:eastAsia="en-US"/>
              </w:rPr>
            </w:pPr>
            <w:r w:rsidRPr="002674BD">
              <w:rPr>
                <w:rFonts w:ascii="Aptos Narrow" w:hAnsi="Aptos Narrow"/>
                <w:b/>
                <w:bCs/>
                <w:sz w:val="20"/>
              </w:rPr>
              <w:t>Dardanup  (2023)</w:t>
            </w:r>
          </w:p>
        </w:tc>
        <w:tc>
          <w:tcPr>
            <w:tcW w:w="1329" w:type="pct"/>
            <w:vAlign w:val="center"/>
          </w:tcPr>
          <w:p w14:paraId="04B6361B" w14:textId="7D3219AD" w:rsidR="00C96C45" w:rsidRPr="002674BD" w:rsidRDefault="00C96C45" w:rsidP="00C96C45">
            <w:pPr>
              <w:pStyle w:val="TableTextLeft"/>
              <w:jc w:val="both"/>
              <w:rPr>
                <w:rFonts w:eastAsia="Calibri"/>
                <w:sz w:val="20"/>
                <w:lang w:eastAsia="en-US"/>
              </w:rPr>
            </w:pPr>
            <w:r w:rsidRPr="002674BD">
              <w:rPr>
                <w:rFonts w:ascii="Aptos Narrow" w:hAnsi="Aptos Narrow"/>
                <w:sz w:val="20"/>
              </w:rPr>
              <w:t>1,310</w:t>
            </w:r>
          </w:p>
        </w:tc>
        <w:tc>
          <w:tcPr>
            <w:tcW w:w="1014" w:type="pct"/>
            <w:vAlign w:val="center"/>
          </w:tcPr>
          <w:p w14:paraId="5D464B3A" w14:textId="060FFF0F" w:rsidR="00C96C45" w:rsidRPr="002674BD" w:rsidRDefault="00C96C45" w:rsidP="00C96C45">
            <w:pPr>
              <w:pStyle w:val="TableTextLeft"/>
              <w:jc w:val="both"/>
              <w:rPr>
                <w:rFonts w:eastAsia="Calibri"/>
                <w:sz w:val="20"/>
                <w:lang w:eastAsia="en-US"/>
              </w:rPr>
            </w:pPr>
            <w:r w:rsidRPr="002674BD">
              <w:rPr>
                <w:rFonts w:ascii="Aptos Narrow" w:hAnsi="Aptos Narrow"/>
                <w:sz w:val="20"/>
              </w:rPr>
              <w:t>21,270</w:t>
            </w:r>
          </w:p>
        </w:tc>
        <w:tc>
          <w:tcPr>
            <w:tcW w:w="1250" w:type="pct"/>
          </w:tcPr>
          <w:p w14:paraId="6CC0E15A" w14:textId="110E9FF2" w:rsidR="00C96C45" w:rsidRPr="002674BD" w:rsidRDefault="00C96C45" w:rsidP="00C96C45">
            <w:pPr>
              <w:pStyle w:val="TableTextLeft"/>
              <w:jc w:val="both"/>
              <w:rPr>
                <w:rFonts w:eastAsia="Calibri"/>
                <w:sz w:val="20"/>
                <w:lang w:eastAsia="en-US"/>
              </w:rPr>
            </w:pPr>
            <w:r w:rsidRPr="002674BD">
              <w:rPr>
                <w:rFonts w:eastAsia="Calibri"/>
                <w:sz w:val="20"/>
                <w:lang w:eastAsia="en-US"/>
              </w:rPr>
              <w:t>55,302 (2.6)</w:t>
            </w:r>
          </w:p>
        </w:tc>
      </w:tr>
      <w:tr w:rsidR="00C96C45" w:rsidRPr="002674BD" w14:paraId="5235A4FB" w14:textId="77777777" w:rsidTr="00487F17">
        <w:trPr>
          <w:trHeight w:val="270"/>
        </w:trPr>
        <w:tc>
          <w:tcPr>
            <w:tcW w:w="1407" w:type="pct"/>
            <w:vAlign w:val="center"/>
          </w:tcPr>
          <w:p w14:paraId="54E1474E" w14:textId="2EB883A5" w:rsidR="00C96C45" w:rsidRPr="002674BD" w:rsidRDefault="00C96C45" w:rsidP="00C96C45">
            <w:pPr>
              <w:pStyle w:val="TableTextLeft"/>
              <w:jc w:val="both"/>
              <w:rPr>
                <w:rFonts w:eastAsia="Calibri"/>
                <w:b/>
                <w:bCs/>
                <w:sz w:val="20"/>
                <w:lang w:eastAsia="en-US"/>
              </w:rPr>
            </w:pPr>
            <w:r w:rsidRPr="002674BD">
              <w:rPr>
                <w:rFonts w:ascii="Aptos Narrow" w:hAnsi="Aptos Narrow"/>
                <w:b/>
                <w:bCs/>
                <w:sz w:val="20"/>
              </w:rPr>
              <w:t>Denmark (2017)</w:t>
            </w:r>
          </w:p>
        </w:tc>
        <w:tc>
          <w:tcPr>
            <w:tcW w:w="1329" w:type="pct"/>
            <w:vAlign w:val="center"/>
          </w:tcPr>
          <w:p w14:paraId="617957F2" w14:textId="779F1652" w:rsidR="00C96C45" w:rsidRPr="002674BD" w:rsidRDefault="00C96C45" w:rsidP="00C96C45">
            <w:pPr>
              <w:pStyle w:val="TableTextLeft"/>
              <w:jc w:val="both"/>
              <w:rPr>
                <w:rFonts w:eastAsia="Calibri"/>
                <w:sz w:val="20"/>
                <w:lang w:eastAsia="en-US"/>
              </w:rPr>
            </w:pPr>
            <w:r w:rsidRPr="002674BD">
              <w:rPr>
                <w:rFonts w:ascii="Aptos Narrow" w:hAnsi="Aptos Narrow"/>
                <w:sz w:val="20"/>
              </w:rPr>
              <w:t>440</w:t>
            </w:r>
          </w:p>
        </w:tc>
        <w:tc>
          <w:tcPr>
            <w:tcW w:w="1014" w:type="pct"/>
            <w:vAlign w:val="center"/>
          </w:tcPr>
          <w:p w14:paraId="072FCC3D" w14:textId="2D284FA3" w:rsidR="00C96C45" w:rsidRPr="002674BD" w:rsidRDefault="00C96C45" w:rsidP="00C96C45">
            <w:pPr>
              <w:pStyle w:val="TableTextLeft"/>
              <w:jc w:val="both"/>
              <w:rPr>
                <w:rFonts w:eastAsia="Calibri"/>
                <w:sz w:val="20"/>
                <w:lang w:eastAsia="en-US"/>
              </w:rPr>
            </w:pPr>
            <w:r w:rsidRPr="002674BD">
              <w:rPr>
                <w:rFonts w:ascii="Aptos Narrow" w:hAnsi="Aptos Narrow"/>
                <w:sz w:val="20"/>
              </w:rPr>
              <w:t>1,890</w:t>
            </w:r>
          </w:p>
        </w:tc>
        <w:tc>
          <w:tcPr>
            <w:tcW w:w="1250" w:type="pct"/>
          </w:tcPr>
          <w:p w14:paraId="4FBAF429" w14:textId="19A29B08" w:rsidR="00C96C45" w:rsidRPr="002674BD" w:rsidRDefault="00C96C45" w:rsidP="00C96C45">
            <w:pPr>
              <w:pStyle w:val="TableTextLeft"/>
              <w:jc w:val="both"/>
              <w:rPr>
                <w:rFonts w:eastAsia="Calibri"/>
                <w:sz w:val="20"/>
                <w:lang w:eastAsia="en-US"/>
              </w:rPr>
            </w:pPr>
            <w:r w:rsidRPr="002674BD">
              <w:rPr>
                <w:rFonts w:eastAsia="Calibri"/>
                <w:sz w:val="20"/>
                <w:lang w:eastAsia="en-US"/>
              </w:rPr>
              <w:t>4,347 (2.3)</w:t>
            </w:r>
          </w:p>
        </w:tc>
      </w:tr>
      <w:tr w:rsidR="00FC519B" w:rsidRPr="002674BD" w14:paraId="2C46C0D9" w14:textId="77777777" w:rsidTr="00487F17">
        <w:trPr>
          <w:trHeight w:val="270"/>
        </w:trPr>
        <w:tc>
          <w:tcPr>
            <w:tcW w:w="1407" w:type="pct"/>
          </w:tcPr>
          <w:p w14:paraId="5D41D16C" w14:textId="77777777" w:rsidR="00FC519B" w:rsidRPr="002674BD" w:rsidRDefault="00FC519B" w:rsidP="009A56C4">
            <w:pPr>
              <w:pStyle w:val="TableTextLeft"/>
            </w:pPr>
            <w:r w:rsidRPr="002674BD">
              <w:rPr>
                <w:rFonts w:eastAsia="Calibri"/>
                <w:b/>
                <w:bCs/>
                <w:sz w:val="20"/>
                <w:lang w:eastAsia="en-US"/>
              </w:rPr>
              <w:t>Esperance (2023 in progress draft)</w:t>
            </w:r>
          </w:p>
        </w:tc>
        <w:tc>
          <w:tcPr>
            <w:tcW w:w="1329" w:type="pct"/>
          </w:tcPr>
          <w:p w14:paraId="410C1339" w14:textId="77777777" w:rsidR="00FC519B" w:rsidRPr="002674BD" w:rsidRDefault="00FC519B" w:rsidP="007E2D0E">
            <w:pPr>
              <w:pStyle w:val="TableTextLeft"/>
              <w:jc w:val="both"/>
            </w:pPr>
            <w:r w:rsidRPr="002674BD">
              <w:rPr>
                <w:rFonts w:eastAsia="Calibri"/>
                <w:sz w:val="20"/>
                <w:lang w:eastAsia="en-US"/>
              </w:rPr>
              <w:t>260</w:t>
            </w:r>
          </w:p>
        </w:tc>
        <w:tc>
          <w:tcPr>
            <w:tcW w:w="1014" w:type="pct"/>
          </w:tcPr>
          <w:p w14:paraId="074A3645" w14:textId="77777777" w:rsidR="00FC519B" w:rsidRPr="002674BD" w:rsidRDefault="00FC519B" w:rsidP="007E2D0E">
            <w:pPr>
              <w:pStyle w:val="TableTextLeft"/>
              <w:jc w:val="both"/>
            </w:pPr>
            <w:r w:rsidRPr="002674BD">
              <w:rPr>
                <w:rFonts w:eastAsia="Calibri"/>
                <w:sz w:val="20"/>
                <w:lang w:eastAsia="en-US"/>
              </w:rPr>
              <w:t>2,290</w:t>
            </w:r>
          </w:p>
        </w:tc>
        <w:tc>
          <w:tcPr>
            <w:tcW w:w="1250" w:type="pct"/>
          </w:tcPr>
          <w:p w14:paraId="4510B043" w14:textId="77777777" w:rsidR="00FC519B" w:rsidRPr="002674BD" w:rsidRDefault="00FC519B" w:rsidP="007E2D0E">
            <w:pPr>
              <w:pStyle w:val="TableTextLeft"/>
              <w:jc w:val="both"/>
            </w:pPr>
            <w:r w:rsidRPr="002674BD">
              <w:rPr>
                <w:rFonts w:eastAsia="Calibri"/>
                <w:sz w:val="20"/>
                <w:lang w:eastAsia="en-US"/>
              </w:rPr>
              <w:t>5,496 (2.4)</w:t>
            </w:r>
          </w:p>
        </w:tc>
      </w:tr>
      <w:tr w:rsidR="00C96C45" w:rsidRPr="002674BD" w14:paraId="1A059A66" w14:textId="77777777" w:rsidTr="00487F17">
        <w:trPr>
          <w:trHeight w:val="270"/>
        </w:trPr>
        <w:tc>
          <w:tcPr>
            <w:tcW w:w="1407" w:type="pct"/>
          </w:tcPr>
          <w:p w14:paraId="0D7B9E9B" w14:textId="7498BEBD" w:rsidR="00C96C45" w:rsidRPr="002674BD" w:rsidRDefault="00C96C45" w:rsidP="00C96C45">
            <w:pPr>
              <w:pStyle w:val="TableTextLeft"/>
              <w:rPr>
                <w:rFonts w:eastAsia="Calibri"/>
                <w:b/>
                <w:bCs/>
                <w:sz w:val="20"/>
                <w:lang w:eastAsia="en-US"/>
              </w:rPr>
            </w:pPr>
            <w:r w:rsidRPr="002674BD">
              <w:rPr>
                <w:rFonts w:eastAsia="Calibri"/>
                <w:b/>
                <w:bCs/>
                <w:sz w:val="20"/>
                <w:lang w:eastAsia="en-US"/>
              </w:rPr>
              <w:t xml:space="preserve">Greater Bunbury region </w:t>
            </w:r>
            <w:r w:rsidRPr="002674BD">
              <w:rPr>
                <w:rFonts w:eastAsia="Calibri"/>
                <w:sz w:val="20"/>
                <w:lang w:eastAsia="en-US"/>
              </w:rPr>
              <w:t>(Bunbury, Capel, Dardanup, Harvey combined)</w:t>
            </w:r>
          </w:p>
        </w:tc>
        <w:tc>
          <w:tcPr>
            <w:tcW w:w="1329" w:type="pct"/>
          </w:tcPr>
          <w:p w14:paraId="5A805B20" w14:textId="22DA4456" w:rsidR="00C96C45" w:rsidRPr="002674BD" w:rsidRDefault="00C96C45" w:rsidP="00C96C45">
            <w:pPr>
              <w:pStyle w:val="TableTextLeft"/>
              <w:jc w:val="both"/>
              <w:rPr>
                <w:rFonts w:ascii="Aptos Narrow" w:hAnsi="Aptos Narrow"/>
                <w:sz w:val="20"/>
              </w:rPr>
            </w:pPr>
            <w:r w:rsidRPr="002674BD">
              <w:rPr>
                <w:rFonts w:ascii="Aptos Narrow" w:hAnsi="Aptos Narrow"/>
                <w:sz w:val="20"/>
              </w:rPr>
              <w:t>4,080*****</w:t>
            </w:r>
          </w:p>
        </w:tc>
        <w:tc>
          <w:tcPr>
            <w:tcW w:w="1014" w:type="pct"/>
          </w:tcPr>
          <w:p w14:paraId="0934CB05" w14:textId="2A7C4B78" w:rsidR="00C96C45" w:rsidRPr="002674BD" w:rsidRDefault="00C96C45" w:rsidP="00C96C45">
            <w:pPr>
              <w:pStyle w:val="TableTextLeft"/>
              <w:jc w:val="both"/>
              <w:rPr>
                <w:rFonts w:ascii="Aptos Narrow" w:hAnsi="Aptos Narrow"/>
                <w:sz w:val="20"/>
              </w:rPr>
            </w:pPr>
            <w:r w:rsidRPr="002674BD">
              <w:rPr>
                <w:rFonts w:ascii="Aptos Narrow" w:hAnsi="Aptos Narrow"/>
                <w:sz w:val="20"/>
              </w:rPr>
              <w:t>35,680</w:t>
            </w:r>
          </w:p>
        </w:tc>
        <w:tc>
          <w:tcPr>
            <w:tcW w:w="1250" w:type="pct"/>
          </w:tcPr>
          <w:p w14:paraId="495D43FA" w14:textId="27412441" w:rsidR="00C96C45" w:rsidRPr="002674BD" w:rsidRDefault="00C96C45" w:rsidP="00C96C45">
            <w:pPr>
              <w:pStyle w:val="TableTextLeft"/>
              <w:jc w:val="both"/>
              <w:rPr>
                <w:rFonts w:eastAsia="Calibri"/>
                <w:sz w:val="20"/>
                <w:lang w:eastAsia="en-US"/>
              </w:rPr>
            </w:pPr>
            <w:r w:rsidRPr="002674BD">
              <w:rPr>
                <w:rFonts w:eastAsia="Calibri"/>
                <w:sz w:val="20"/>
                <w:lang w:eastAsia="en-US"/>
              </w:rPr>
              <w:t>92,768 (2.6)</w:t>
            </w:r>
          </w:p>
        </w:tc>
      </w:tr>
      <w:tr w:rsidR="00FC519B" w:rsidRPr="002674BD" w14:paraId="4CFA7D78" w14:textId="77777777" w:rsidTr="00487F17">
        <w:trPr>
          <w:trHeight w:val="270"/>
        </w:trPr>
        <w:tc>
          <w:tcPr>
            <w:tcW w:w="1407" w:type="pct"/>
          </w:tcPr>
          <w:p w14:paraId="31611BC0" w14:textId="77777777" w:rsidR="00FC519B" w:rsidRPr="002674BD" w:rsidRDefault="00FC519B" w:rsidP="009A56C4">
            <w:pPr>
              <w:pStyle w:val="TableTextLeft"/>
            </w:pPr>
            <w:r w:rsidRPr="002674BD">
              <w:rPr>
                <w:rFonts w:eastAsia="Calibri"/>
                <w:b/>
                <w:bCs/>
                <w:sz w:val="20"/>
                <w:lang w:eastAsia="en-US"/>
              </w:rPr>
              <w:t>Greater Geraldton (2016)</w:t>
            </w:r>
          </w:p>
        </w:tc>
        <w:tc>
          <w:tcPr>
            <w:tcW w:w="1329" w:type="pct"/>
          </w:tcPr>
          <w:p w14:paraId="75726332" w14:textId="77777777" w:rsidR="00FC519B" w:rsidRPr="002674BD" w:rsidRDefault="00FC519B" w:rsidP="007E2D0E">
            <w:pPr>
              <w:pStyle w:val="TableTextLeft"/>
              <w:jc w:val="both"/>
            </w:pPr>
            <w:r w:rsidRPr="002674BD">
              <w:rPr>
                <w:rFonts w:eastAsia="Calibri"/>
                <w:sz w:val="20"/>
                <w:lang w:eastAsia="en-US"/>
              </w:rPr>
              <w:t>4,460</w:t>
            </w:r>
          </w:p>
        </w:tc>
        <w:tc>
          <w:tcPr>
            <w:tcW w:w="1014" w:type="pct"/>
          </w:tcPr>
          <w:p w14:paraId="40547C2F" w14:textId="77777777" w:rsidR="00FC519B" w:rsidRPr="002674BD" w:rsidRDefault="00FC519B" w:rsidP="007E2D0E">
            <w:pPr>
              <w:pStyle w:val="TableTextLeft"/>
              <w:jc w:val="both"/>
            </w:pPr>
            <w:r w:rsidRPr="002674BD">
              <w:rPr>
                <w:rFonts w:eastAsia="Calibri"/>
                <w:sz w:val="20"/>
                <w:lang w:eastAsia="en-US"/>
              </w:rPr>
              <w:t>24,460</w:t>
            </w:r>
          </w:p>
        </w:tc>
        <w:tc>
          <w:tcPr>
            <w:tcW w:w="1250" w:type="pct"/>
          </w:tcPr>
          <w:p w14:paraId="042CFD35" w14:textId="77777777" w:rsidR="00FC519B" w:rsidRPr="002674BD" w:rsidRDefault="00FC519B" w:rsidP="007E2D0E">
            <w:pPr>
              <w:pStyle w:val="TableTextLeft"/>
              <w:jc w:val="both"/>
            </w:pPr>
            <w:r w:rsidRPr="002674BD">
              <w:rPr>
                <w:rFonts w:eastAsia="Calibri"/>
                <w:sz w:val="20"/>
                <w:lang w:eastAsia="en-US"/>
              </w:rPr>
              <w:t>58,704 (2.4)</w:t>
            </w:r>
          </w:p>
        </w:tc>
      </w:tr>
      <w:tr w:rsidR="00FC519B" w:rsidRPr="002674BD" w14:paraId="12D1C86E" w14:textId="77777777" w:rsidTr="00487F17">
        <w:trPr>
          <w:trHeight w:val="270"/>
        </w:trPr>
        <w:tc>
          <w:tcPr>
            <w:tcW w:w="1407" w:type="pct"/>
          </w:tcPr>
          <w:p w14:paraId="40AC4CAB" w14:textId="2ABD307E" w:rsidR="00FC519B" w:rsidRPr="002674BD" w:rsidRDefault="00FC519B" w:rsidP="007E2D0E">
            <w:pPr>
              <w:pStyle w:val="TableTextLeft"/>
              <w:jc w:val="both"/>
            </w:pPr>
            <w:r w:rsidRPr="002674BD">
              <w:rPr>
                <w:rFonts w:eastAsia="Calibri"/>
                <w:b/>
                <w:bCs/>
                <w:sz w:val="20"/>
                <w:lang w:eastAsia="en-US"/>
              </w:rPr>
              <w:t>Kalgoorlie-Boulder 202</w:t>
            </w:r>
            <w:r w:rsidR="00E40B97" w:rsidRPr="002674BD">
              <w:rPr>
                <w:rFonts w:eastAsia="Calibri"/>
                <w:b/>
                <w:bCs/>
                <w:sz w:val="20"/>
                <w:lang w:eastAsia="en-US"/>
              </w:rPr>
              <w:t>4</w:t>
            </w:r>
            <w:r w:rsidRPr="002674BD">
              <w:rPr>
                <w:rFonts w:eastAsia="Calibri"/>
                <w:b/>
                <w:bCs/>
                <w:sz w:val="20"/>
                <w:lang w:eastAsia="en-US"/>
              </w:rPr>
              <w:t xml:space="preserve"> </w:t>
            </w:r>
          </w:p>
        </w:tc>
        <w:tc>
          <w:tcPr>
            <w:tcW w:w="1329" w:type="pct"/>
          </w:tcPr>
          <w:p w14:paraId="2D06216D" w14:textId="271C637F" w:rsidR="00FC519B" w:rsidRPr="002674BD" w:rsidRDefault="00766950" w:rsidP="007E2D0E">
            <w:pPr>
              <w:pStyle w:val="TableTextLeft"/>
              <w:jc w:val="both"/>
            </w:pPr>
            <w:r w:rsidRPr="002674BD">
              <w:rPr>
                <w:rFonts w:eastAsia="Calibri"/>
                <w:sz w:val="20"/>
                <w:lang w:eastAsia="en-US"/>
              </w:rPr>
              <w:t>650</w:t>
            </w:r>
          </w:p>
        </w:tc>
        <w:tc>
          <w:tcPr>
            <w:tcW w:w="1014" w:type="pct"/>
          </w:tcPr>
          <w:p w14:paraId="5F3D1C40" w14:textId="141AAB11" w:rsidR="00FC519B" w:rsidRPr="002674BD" w:rsidRDefault="00766950" w:rsidP="007E2D0E">
            <w:pPr>
              <w:pStyle w:val="TableTextLeft"/>
              <w:jc w:val="both"/>
            </w:pPr>
            <w:r w:rsidRPr="002674BD">
              <w:rPr>
                <w:rFonts w:eastAsia="Calibri"/>
                <w:sz w:val="20"/>
                <w:lang w:eastAsia="en-US"/>
              </w:rPr>
              <w:t>5,980</w:t>
            </w:r>
          </w:p>
        </w:tc>
        <w:tc>
          <w:tcPr>
            <w:tcW w:w="1250" w:type="pct"/>
          </w:tcPr>
          <w:p w14:paraId="4671B24B" w14:textId="042E18B4" w:rsidR="00FC519B" w:rsidRPr="002674BD" w:rsidRDefault="00E40B97" w:rsidP="007E2D0E">
            <w:pPr>
              <w:pStyle w:val="TableTextLeft"/>
              <w:jc w:val="both"/>
            </w:pPr>
            <w:r w:rsidRPr="002674BD">
              <w:rPr>
                <w:rFonts w:eastAsia="Calibri"/>
                <w:sz w:val="20"/>
                <w:lang w:eastAsia="en-US"/>
              </w:rPr>
              <w:t>17,066</w:t>
            </w:r>
            <w:r w:rsidR="00FC519B" w:rsidRPr="002674BD">
              <w:rPr>
                <w:rFonts w:eastAsia="Calibri"/>
                <w:sz w:val="20"/>
                <w:lang w:eastAsia="en-US"/>
              </w:rPr>
              <w:t xml:space="preserve"> (2.6)</w:t>
            </w:r>
          </w:p>
        </w:tc>
      </w:tr>
      <w:tr w:rsidR="00FC519B" w:rsidRPr="002674BD" w14:paraId="5D717B34" w14:textId="77777777" w:rsidTr="00487F17">
        <w:trPr>
          <w:trHeight w:val="270"/>
        </w:trPr>
        <w:tc>
          <w:tcPr>
            <w:tcW w:w="1407" w:type="pct"/>
          </w:tcPr>
          <w:p w14:paraId="1502EDFE" w14:textId="77777777" w:rsidR="00FC519B" w:rsidRPr="002674BD" w:rsidRDefault="00FC519B" w:rsidP="007E2D0E">
            <w:pPr>
              <w:pStyle w:val="TableTextLeft"/>
              <w:jc w:val="both"/>
            </w:pPr>
            <w:r w:rsidRPr="002674BD">
              <w:rPr>
                <w:rFonts w:eastAsia="Calibri"/>
                <w:b/>
                <w:bCs/>
                <w:sz w:val="20"/>
                <w:lang w:eastAsia="en-US"/>
              </w:rPr>
              <w:t>Karratha (2020)</w:t>
            </w:r>
          </w:p>
        </w:tc>
        <w:tc>
          <w:tcPr>
            <w:tcW w:w="1329" w:type="pct"/>
          </w:tcPr>
          <w:p w14:paraId="2C70EE6F" w14:textId="77777777" w:rsidR="00FC519B" w:rsidRPr="002674BD" w:rsidRDefault="00FC519B" w:rsidP="007E2D0E">
            <w:pPr>
              <w:pStyle w:val="TableTextLeft"/>
              <w:jc w:val="both"/>
            </w:pPr>
            <w:r w:rsidRPr="002674BD">
              <w:rPr>
                <w:rFonts w:eastAsia="Calibri"/>
                <w:sz w:val="20"/>
                <w:lang w:eastAsia="en-US"/>
              </w:rPr>
              <w:t>320</w:t>
            </w:r>
          </w:p>
        </w:tc>
        <w:tc>
          <w:tcPr>
            <w:tcW w:w="1014" w:type="pct"/>
          </w:tcPr>
          <w:p w14:paraId="0377E4E8" w14:textId="77777777" w:rsidR="00FC519B" w:rsidRPr="002674BD" w:rsidRDefault="00FC519B" w:rsidP="007E2D0E">
            <w:pPr>
              <w:pStyle w:val="TableTextLeft"/>
              <w:jc w:val="both"/>
            </w:pPr>
            <w:r w:rsidRPr="002674BD">
              <w:rPr>
                <w:rFonts w:eastAsia="Calibri"/>
                <w:sz w:val="20"/>
                <w:lang w:eastAsia="en-US"/>
              </w:rPr>
              <w:t>4,500</w:t>
            </w:r>
          </w:p>
        </w:tc>
        <w:tc>
          <w:tcPr>
            <w:tcW w:w="1250" w:type="pct"/>
          </w:tcPr>
          <w:p w14:paraId="29953DD2" w14:textId="77777777" w:rsidR="00FC519B" w:rsidRPr="002674BD" w:rsidRDefault="00FC519B" w:rsidP="007E2D0E">
            <w:pPr>
              <w:pStyle w:val="TableTextLeft"/>
              <w:jc w:val="both"/>
            </w:pPr>
            <w:r w:rsidRPr="002674BD">
              <w:rPr>
                <w:rFonts w:eastAsia="Calibri"/>
                <w:sz w:val="20"/>
                <w:lang w:eastAsia="en-US"/>
              </w:rPr>
              <w:t>12,600 (2.8)</w:t>
            </w:r>
          </w:p>
        </w:tc>
      </w:tr>
      <w:tr w:rsidR="00FC519B" w:rsidRPr="002674BD" w14:paraId="0FAE5156" w14:textId="77777777" w:rsidTr="00487F17">
        <w:trPr>
          <w:trHeight w:val="270"/>
        </w:trPr>
        <w:tc>
          <w:tcPr>
            <w:tcW w:w="1407" w:type="pct"/>
            <w:tcBorders>
              <w:bottom w:val="single" w:sz="4" w:space="0" w:color="BFBFBF" w:themeColor="background1" w:themeShade="BF"/>
            </w:tcBorders>
          </w:tcPr>
          <w:p w14:paraId="65905287" w14:textId="77777777" w:rsidR="00FC519B" w:rsidRPr="002674BD" w:rsidRDefault="00FC519B" w:rsidP="007E2D0E">
            <w:pPr>
              <w:pStyle w:val="TableTextLeft"/>
              <w:jc w:val="both"/>
            </w:pPr>
            <w:r w:rsidRPr="002674BD">
              <w:rPr>
                <w:rFonts w:eastAsia="Calibri"/>
                <w:b/>
                <w:bCs/>
                <w:sz w:val="20"/>
                <w:lang w:eastAsia="en-US"/>
              </w:rPr>
              <w:t>Port Hedland (2022)</w:t>
            </w:r>
          </w:p>
        </w:tc>
        <w:tc>
          <w:tcPr>
            <w:tcW w:w="1329" w:type="pct"/>
            <w:tcBorders>
              <w:bottom w:val="single" w:sz="4" w:space="0" w:color="BFBFBF" w:themeColor="background1" w:themeShade="BF"/>
            </w:tcBorders>
          </w:tcPr>
          <w:p w14:paraId="6CBB00AC" w14:textId="77777777" w:rsidR="00FC519B" w:rsidRPr="002674BD" w:rsidRDefault="00FC519B" w:rsidP="007E2D0E">
            <w:pPr>
              <w:pStyle w:val="TableTextLeft"/>
              <w:jc w:val="both"/>
            </w:pPr>
            <w:r w:rsidRPr="002674BD">
              <w:rPr>
                <w:rFonts w:eastAsia="Calibri"/>
                <w:sz w:val="20"/>
                <w:lang w:eastAsia="en-US"/>
              </w:rPr>
              <w:t>800</w:t>
            </w:r>
          </w:p>
        </w:tc>
        <w:tc>
          <w:tcPr>
            <w:tcW w:w="1014" w:type="pct"/>
            <w:tcBorders>
              <w:bottom w:val="single" w:sz="4" w:space="0" w:color="BFBFBF" w:themeColor="background1" w:themeShade="BF"/>
            </w:tcBorders>
          </w:tcPr>
          <w:p w14:paraId="5D15BB72" w14:textId="77777777" w:rsidR="00FC519B" w:rsidRPr="002674BD" w:rsidRDefault="00FC519B" w:rsidP="007E2D0E">
            <w:pPr>
              <w:pStyle w:val="TableTextLeft"/>
              <w:jc w:val="both"/>
            </w:pPr>
            <w:r w:rsidRPr="002674BD">
              <w:rPr>
                <w:rFonts w:eastAsia="Calibri"/>
                <w:sz w:val="20"/>
                <w:lang w:eastAsia="en-US"/>
              </w:rPr>
              <w:t>6,030</w:t>
            </w:r>
          </w:p>
        </w:tc>
        <w:tc>
          <w:tcPr>
            <w:tcW w:w="1250" w:type="pct"/>
            <w:tcBorders>
              <w:bottom w:val="single" w:sz="4" w:space="0" w:color="BFBFBF" w:themeColor="background1" w:themeShade="BF"/>
            </w:tcBorders>
          </w:tcPr>
          <w:p w14:paraId="25C4F316" w14:textId="77777777" w:rsidR="00FC519B" w:rsidRPr="002674BD" w:rsidRDefault="00FC519B" w:rsidP="007E2D0E">
            <w:pPr>
              <w:pStyle w:val="TableTextLeft"/>
              <w:jc w:val="both"/>
            </w:pPr>
            <w:r w:rsidRPr="002674BD">
              <w:rPr>
                <w:rFonts w:eastAsia="Calibri"/>
                <w:sz w:val="20"/>
                <w:lang w:eastAsia="en-US"/>
              </w:rPr>
              <w:t>16,281 (2.7)</w:t>
            </w:r>
          </w:p>
        </w:tc>
      </w:tr>
      <w:tr w:rsidR="00FC519B" w:rsidRPr="002674BD" w14:paraId="3CEF3788" w14:textId="77777777" w:rsidTr="00487F17">
        <w:trPr>
          <w:trHeight w:val="270"/>
        </w:trPr>
        <w:tc>
          <w:tcPr>
            <w:tcW w:w="1407" w:type="pct"/>
            <w:tcBorders>
              <w:top w:val="single" w:sz="4" w:space="0" w:color="BFBFBF" w:themeColor="background1" w:themeShade="BF"/>
            </w:tcBorders>
          </w:tcPr>
          <w:p w14:paraId="2D730884" w14:textId="77777777" w:rsidR="00FC519B" w:rsidRPr="002674BD" w:rsidRDefault="00FC519B" w:rsidP="007E2D0E">
            <w:pPr>
              <w:pStyle w:val="TableTextLeft"/>
              <w:jc w:val="both"/>
            </w:pPr>
            <w:r w:rsidRPr="002674BD">
              <w:rPr>
                <w:rFonts w:eastAsia="Calibri"/>
                <w:b/>
                <w:bCs/>
                <w:sz w:val="20"/>
                <w:lang w:eastAsia="en-US"/>
              </w:rPr>
              <w:t>Total</w:t>
            </w:r>
          </w:p>
        </w:tc>
        <w:tc>
          <w:tcPr>
            <w:tcW w:w="1329" w:type="pct"/>
            <w:tcBorders>
              <w:top w:val="single" w:sz="4" w:space="0" w:color="BFBFBF" w:themeColor="background1" w:themeShade="BF"/>
            </w:tcBorders>
          </w:tcPr>
          <w:p w14:paraId="311A733D" w14:textId="065D8289" w:rsidR="00FC519B" w:rsidRPr="002674BD" w:rsidRDefault="00C96C45" w:rsidP="007E2D0E">
            <w:pPr>
              <w:pStyle w:val="TableTextLeft"/>
              <w:jc w:val="both"/>
            </w:pPr>
            <w:r w:rsidRPr="002674BD">
              <w:rPr>
                <w:rFonts w:eastAsia="Calibri"/>
                <w:b/>
                <w:bCs/>
                <w:sz w:val="20"/>
                <w:lang w:eastAsia="en-US"/>
              </w:rPr>
              <w:t>15,430</w:t>
            </w:r>
            <w:r w:rsidR="00FC519B" w:rsidRPr="002674BD">
              <w:rPr>
                <w:rFonts w:eastAsia="Calibri"/>
                <w:b/>
                <w:bCs/>
                <w:sz w:val="20"/>
                <w:lang w:eastAsia="en-US"/>
              </w:rPr>
              <w:t xml:space="preserve"> ha</w:t>
            </w:r>
          </w:p>
        </w:tc>
        <w:tc>
          <w:tcPr>
            <w:tcW w:w="1014" w:type="pct"/>
            <w:tcBorders>
              <w:top w:val="single" w:sz="4" w:space="0" w:color="BFBFBF" w:themeColor="background1" w:themeShade="BF"/>
            </w:tcBorders>
          </w:tcPr>
          <w:p w14:paraId="5EC3C958" w14:textId="0B1C3709" w:rsidR="00FC519B" w:rsidRPr="002674BD" w:rsidRDefault="00C96C45" w:rsidP="007E2D0E">
            <w:pPr>
              <w:pStyle w:val="TableTextLeft"/>
              <w:jc w:val="both"/>
            </w:pPr>
            <w:r w:rsidRPr="002674BD">
              <w:rPr>
                <w:rFonts w:eastAsia="Calibri"/>
                <w:b/>
                <w:bCs/>
                <w:sz w:val="20"/>
                <w:lang w:eastAsia="en-US"/>
              </w:rPr>
              <w:t>113,660</w:t>
            </w:r>
            <w:r w:rsidR="00FC519B" w:rsidRPr="002674BD">
              <w:rPr>
                <w:rFonts w:eastAsia="Calibri"/>
                <w:b/>
                <w:bCs/>
                <w:sz w:val="20"/>
                <w:lang w:eastAsia="en-US"/>
              </w:rPr>
              <w:t xml:space="preserve"> dwellings</w:t>
            </w:r>
          </w:p>
        </w:tc>
        <w:tc>
          <w:tcPr>
            <w:tcW w:w="1250" w:type="pct"/>
            <w:tcBorders>
              <w:top w:val="single" w:sz="4" w:space="0" w:color="BFBFBF" w:themeColor="background1" w:themeShade="BF"/>
            </w:tcBorders>
          </w:tcPr>
          <w:p w14:paraId="18101B2C" w14:textId="12537CDB" w:rsidR="00FC519B" w:rsidRPr="002674BD" w:rsidRDefault="00C96C45" w:rsidP="007E2D0E">
            <w:pPr>
              <w:pStyle w:val="TableTextLeft"/>
              <w:jc w:val="both"/>
            </w:pPr>
            <w:r w:rsidRPr="002674BD">
              <w:rPr>
                <w:rFonts w:eastAsia="Calibri"/>
                <w:b/>
                <w:bCs/>
                <w:sz w:val="20"/>
                <w:lang w:eastAsia="en-US"/>
              </w:rPr>
              <w:t>288,607</w:t>
            </w:r>
            <w:r w:rsidR="00FC519B" w:rsidRPr="002674BD">
              <w:rPr>
                <w:rFonts w:eastAsia="Calibri"/>
                <w:b/>
                <w:bCs/>
                <w:sz w:val="20"/>
                <w:lang w:eastAsia="en-US"/>
              </w:rPr>
              <w:t xml:space="preserve"> people</w:t>
            </w:r>
          </w:p>
        </w:tc>
      </w:tr>
    </w:tbl>
    <w:p w14:paraId="28FEF147" w14:textId="0F0AB3EB" w:rsidR="00C96C45" w:rsidRPr="002674BD" w:rsidRDefault="00FC519B" w:rsidP="00C96C45">
      <w:pPr>
        <w:spacing w:before="120" w:after="0"/>
      </w:pPr>
      <w:r w:rsidRPr="002674BD">
        <w:rPr>
          <w:rFonts w:eastAsia="Calibri"/>
          <w:sz w:val="16"/>
          <w:szCs w:val="16"/>
          <w:lang w:eastAsia="en-US"/>
        </w:rPr>
        <w:t>Source: Data Analytics, 202</w:t>
      </w:r>
      <w:r w:rsidR="00E21F0B" w:rsidRPr="002674BD">
        <w:rPr>
          <w:rFonts w:eastAsia="Calibri"/>
          <w:sz w:val="16"/>
          <w:szCs w:val="16"/>
          <w:lang w:eastAsia="en-US"/>
        </w:rPr>
        <w:t>5</w:t>
      </w:r>
      <w:r w:rsidRPr="002674BD">
        <w:rPr>
          <w:rFonts w:eastAsia="Calibri"/>
          <w:sz w:val="16"/>
          <w:szCs w:val="16"/>
          <w:lang w:eastAsia="en-US"/>
        </w:rPr>
        <w:t xml:space="preserve">. </w:t>
      </w:r>
      <w:r w:rsidRPr="002674BD">
        <w:rPr>
          <w:rFonts w:eastAsia="Calibri"/>
          <w:sz w:val="16"/>
          <w:szCs w:val="16"/>
          <w:lang w:eastAsia="en-US"/>
        </w:rPr>
        <w:br/>
        <w:t>*Regional data collection is produced on an as needed basis, and therefore, has different data dates ranging from 2015-202</w:t>
      </w:r>
      <w:r w:rsidR="00E40B97" w:rsidRPr="002674BD">
        <w:rPr>
          <w:rFonts w:eastAsia="Calibri"/>
          <w:sz w:val="16"/>
          <w:szCs w:val="16"/>
          <w:lang w:eastAsia="en-US"/>
        </w:rPr>
        <w:t>4</w:t>
      </w:r>
      <w:r w:rsidRPr="002674BD">
        <w:rPr>
          <w:rFonts w:eastAsia="Calibri"/>
          <w:sz w:val="16"/>
          <w:szCs w:val="16"/>
          <w:lang w:eastAsia="en-US"/>
        </w:rPr>
        <w:t>. The data may be subject to change.</w:t>
      </w:r>
      <w:r w:rsidRPr="002674BD">
        <w:rPr>
          <w:rFonts w:eastAsia="Calibri"/>
          <w:sz w:val="16"/>
          <w:szCs w:val="16"/>
          <w:lang w:eastAsia="en-US"/>
        </w:rPr>
        <w:br/>
        <w:t>**Given regional data collection is produced on an as needed basis, available land in 2015, may be less in 202</w:t>
      </w:r>
      <w:r w:rsidR="00E40B97" w:rsidRPr="002674BD">
        <w:rPr>
          <w:rFonts w:eastAsia="Calibri"/>
          <w:sz w:val="16"/>
          <w:szCs w:val="16"/>
          <w:lang w:eastAsia="en-US"/>
        </w:rPr>
        <w:t>4</w:t>
      </w:r>
      <w:r w:rsidRPr="002674BD">
        <w:rPr>
          <w:rFonts w:eastAsia="Calibri"/>
          <w:sz w:val="16"/>
          <w:szCs w:val="16"/>
          <w:lang w:eastAsia="en-US"/>
        </w:rPr>
        <w:t xml:space="preserve">, and on that basis, average land consumption needs to be considered, as this will impact estimated dwelling yields and population capacity, also zoned includes land identified for residential purposes in the local planning strategies but may not yet have been zoned in the scheme. </w:t>
      </w:r>
      <w:r w:rsidRPr="002674BD">
        <w:rPr>
          <w:rFonts w:eastAsia="Calibri"/>
          <w:sz w:val="16"/>
          <w:szCs w:val="16"/>
          <w:lang w:eastAsia="en-US"/>
        </w:rPr>
        <w:br/>
        <w:t>***Average person per dwelling utilises Australian Bureau of Statistics 2021 Census QuickStats.</w:t>
      </w:r>
      <w:r w:rsidR="00C96C45" w:rsidRPr="002674BD">
        <w:t xml:space="preserve"> </w:t>
      </w:r>
    </w:p>
    <w:p w14:paraId="3E6D4256" w14:textId="77777777" w:rsidR="00C96C45" w:rsidRPr="002674BD" w:rsidRDefault="00C96C45" w:rsidP="00C96C45">
      <w:pPr>
        <w:spacing w:before="0" w:after="0"/>
        <w:rPr>
          <w:rFonts w:eastAsia="Calibri"/>
          <w:sz w:val="16"/>
          <w:szCs w:val="16"/>
          <w:lang w:eastAsia="en-US"/>
        </w:rPr>
      </w:pPr>
      <w:r w:rsidRPr="002674BD">
        <w:rPr>
          <w:rFonts w:eastAsia="Calibri"/>
          <w:sz w:val="16"/>
          <w:szCs w:val="16"/>
          <w:lang w:eastAsia="en-US"/>
        </w:rPr>
        <w:t>**** Sourced from the Urban Growth Monitor 16 (unpublished). Refers to the stock of the undeveloped urban and urban deferred in the region schemes (non-urbanised area) as at the end of 2023.</w:t>
      </w:r>
    </w:p>
    <w:p w14:paraId="08BCE644" w14:textId="725261A5" w:rsidR="00C96C45" w:rsidRPr="002674BD" w:rsidRDefault="00C96C45" w:rsidP="00C96C45">
      <w:pPr>
        <w:spacing w:before="0" w:after="0"/>
        <w:rPr>
          <w:rFonts w:eastAsia="Calibri"/>
          <w:sz w:val="16"/>
          <w:szCs w:val="16"/>
          <w:lang w:eastAsia="en-US"/>
        </w:rPr>
      </w:pPr>
      <w:r w:rsidRPr="002674BD">
        <w:rPr>
          <w:rFonts w:eastAsia="Calibri"/>
          <w:sz w:val="16"/>
          <w:szCs w:val="16"/>
          <w:lang w:eastAsia="en-US"/>
        </w:rPr>
        <w:t>Notes: Land supply figures for Capel, Dardanup and Harvey from the Urban Growth Monitor 16, estimated dwelling yields from the Bunbury Geographe Regional Land Supply Assessment. Augusta Margaret River and Denmark land supply and estimated dwelling yields from the respective regional land supply assessments.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rsidRPr="002674BD" w14:paraId="371DC45A" w14:textId="77777777" w:rsidTr="003074FE">
        <w:tc>
          <w:tcPr>
            <w:tcW w:w="5000" w:type="pct"/>
            <w:shd w:val="clear" w:color="auto" w:fill="CEDBE6" w:themeFill="background2"/>
            <w:hideMark/>
          </w:tcPr>
          <w:p w14:paraId="235375B7" w14:textId="67975123" w:rsidR="00B534B5" w:rsidRPr="002674BD" w:rsidRDefault="00B534B5" w:rsidP="007E2D0E">
            <w:pPr>
              <w:pStyle w:val="Heading1"/>
              <w:jc w:val="both"/>
              <w:rPr>
                <w:lang w:eastAsia="en-US"/>
              </w:rPr>
            </w:pPr>
            <w:bookmarkStart w:id="14" w:name="_Toc168064957"/>
            <w:bookmarkStart w:id="15" w:name="_Toc168065268"/>
            <w:bookmarkStart w:id="16" w:name="_Toc191366144"/>
            <w:r w:rsidRPr="002674BD">
              <w:rPr>
                <w:lang w:eastAsia="en-US"/>
              </w:rPr>
              <w:lastRenderedPageBreak/>
              <w:t>Measure 3</w:t>
            </w:r>
            <w:bookmarkEnd w:id="14"/>
            <w:bookmarkEnd w:id="15"/>
            <w:bookmarkEnd w:id="16"/>
          </w:p>
          <w:p w14:paraId="7A840E19" w14:textId="4CA73968" w:rsidR="00B534B5" w:rsidRPr="002674BD" w:rsidRDefault="00B534B5" w:rsidP="007E2D0E">
            <w:pPr>
              <w:pStyle w:val="Boxdoubledot"/>
              <w:numPr>
                <w:ilvl w:val="0"/>
                <w:numId w:val="0"/>
              </w:numPr>
              <w:jc w:val="both"/>
            </w:pPr>
            <w:r w:rsidRPr="002674BD">
              <w:rPr>
                <w:rFonts w:eastAsia="Times New Roman"/>
                <w:color w:val="000000" w:themeColor="text1"/>
                <w:sz w:val="24"/>
                <w:szCs w:val="24"/>
                <w:lang w:eastAsia="en-AU"/>
              </w:rPr>
              <w:t>Planning Ministers will undertake planning, zoning, land release and other reforms, such as increasing density, to meet their jurisdiction</w:t>
            </w:r>
            <w:r w:rsidR="007223B8" w:rsidRPr="002674BD">
              <w:rPr>
                <w:rFonts w:eastAsia="Times New Roman"/>
                <w:color w:val="000000" w:themeColor="text1"/>
                <w:sz w:val="24"/>
                <w:szCs w:val="24"/>
                <w:lang w:eastAsia="en-AU"/>
              </w:rPr>
              <w:t>’s</w:t>
            </w:r>
            <w:r w:rsidRPr="002674BD">
              <w:rPr>
                <w:rFonts w:eastAsia="Times New Roman"/>
                <w:color w:val="000000" w:themeColor="text1"/>
                <w:sz w:val="24"/>
                <w:szCs w:val="24"/>
                <w:lang w:eastAsia="en-AU"/>
              </w:rPr>
              <w:t xml:space="preserve"> share of housing supply targets agreed by National Cabinet.</w:t>
            </w:r>
          </w:p>
        </w:tc>
      </w:tr>
    </w:tbl>
    <w:p w14:paraId="7EF746F6" w14:textId="740E920E" w:rsidR="0091342B" w:rsidRPr="002674BD" w:rsidRDefault="0091342B" w:rsidP="007E2D0E">
      <w:pPr>
        <w:pStyle w:val="Heading2"/>
        <w:jc w:val="both"/>
      </w:pPr>
      <w:bookmarkStart w:id="17" w:name="_Toc160799701"/>
      <w:bookmarkStart w:id="18" w:name="_Toc164690907"/>
      <w:bookmarkStart w:id="19" w:name="_Toc191366145"/>
      <w:bookmarkStart w:id="20" w:name="_Toc168064959"/>
      <w:bookmarkStart w:id="21" w:name="_Toc168065270"/>
      <w:r w:rsidRPr="002674BD">
        <w:t>Summary of planning, zoning and land release reforms</w:t>
      </w:r>
      <w:bookmarkEnd w:id="17"/>
      <w:bookmarkEnd w:id="18"/>
      <w:bookmarkEnd w:id="19"/>
    </w:p>
    <w:p w14:paraId="6F6A52E9" w14:textId="77777777" w:rsidR="0091342B" w:rsidRPr="002674BD" w:rsidRDefault="0091342B" w:rsidP="00DE33B6">
      <w:pPr>
        <w:pStyle w:val="Heading3"/>
        <w:jc w:val="both"/>
      </w:pPr>
      <w:bookmarkStart w:id="22" w:name="_Toc164690908"/>
      <w:bookmarkStart w:id="23" w:name="_Toc191366146"/>
      <w:r w:rsidRPr="002674BD">
        <w:t xml:space="preserve">Reforms as part of the Planning and Development Amendment </w:t>
      </w:r>
      <w:r w:rsidRPr="002674BD">
        <w:br/>
        <w:t>Act 2023</w:t>
      </w:r>
      <w:bookmarkEnd w:id="22"/>
      <w:bookmarkEnd w:id="23"/>
      <w:r w:rsidRPr="002674BD">
        <w:t xml:space="preserve"> </w:t>
      </w:r>
    </w:p>
    <w:p w14:paraId="156C5B32" w14:textId="77777777" w:rsidR="00C94176" w:rsidRPr="002674BD" w:rsidRDefault="00C94176" w:rsidP="007E2D0E">
      <w:pPr>
        <w:jc w:val="both"/>
      </w:pPr>
      <w:r w:rsidRPr="002674BD">
        <w:t xml:space="preserve">These reforms include amendments to the </w:t>
      </w:r>
      <w:r w:rsidRPr="002674BD">
        <w:rPr>
          <w:i/>
          <w:iCs/>
        </w:rPr>
        <w:t>Planning and Development Act 2005</w:t>
      </w:r>
      <w:r w:rsidRPr="002674BD">
        <w:t xml:space="preserve"> (Amendment Act 2023) and were made in response to the Action Plan for Planning Reform (2019).</w:t>
      </w:r>
    </w:p>
    <w:p w14:paraId="426F9290" w14:textId="77777777" w:rsidR="00C90644" w:rsidRPr="002674BD" w:rsidRDefault="00C90644" w:rsidP="007E2D0E">
      <w:pPr>
        <w:spacing w:before="0" w:after="0"/>
        <w:jc w:val="both"/>
        <w:rPr>
          <w:rFonts w:ascii="Calibri Light" w:hAnsi="Calibri Light" w:cs="Arial"/>
          <w:b/>
          <w:kern w:val="32"/>
          <w:sz w:val="28"/>
          <w:szCs w:val="26"/>
        </w:rPr>
      </w:pPr>
      <w:bookmarkStart w:id="24" w:name="_Hlk161406090"/>
      <w:bookmarkEnd w:id="20"/>
      <w:bookmarkEnd w:id="21"/>
      <w:r w:rsidRPr="002674BD">
        <w:rPr>
          <w:rFonts w:ascii="Calibri Light" w:hAnsi="Calibri Light" w:cs="Arial"/>
          <w:b/>
          <w:kern w:val="32"/>
          <w:sz w:val="28"/>
          <w:szCs w:val="26"/>
        </w:rPr>
        <w:t>Western Australian Planning Commission Reforms</w:t>
      </w:r>
    </w:p>
    <w:p w14:paraId="4D5682F1" w14:textId="5AE4914F" w:rsidR="00C90644" w:rsidRPr="002674BD" w:rsidRDefault="00C90644" w:rsidP="007E2D0E">
      <w:pPr>
        <w:spacing w:before="0"/>
        <w:jc w:val="both"/>
        <w:rPr>
          <w:i/>
          <w:iCs/>
        </w:rPr>
      </w:pPr>
      <w:r w:rsidRPr="002674BD">
        <w:rPr>
          <w:i/>
          <w:iCs/>
        </w:rPr>
        <w:t>Enacted. Commenced 1 July 2024.</w:t>
      </w:r>
    </w:p>
    <w:p w14:paraId="0AEA3AAF" w14:textId="43D88E84" w:rsidR="00C90644" w:rsidRPr="002674BD" w:rsidRDefault="00C90644" w:rsidP="007E2D0E">
      <w:pPr>
        <w:jc w:val="both"/>
      </w:pPr>
      <w:r w:rsidRPr="002674BD">
        <w:t>Reform of the Western Australian Planning Commission will improve efficiency in decision making, streamline membership and clarify the Commission’s role as an expert advisor and independent decision-making body with the necessary technical expertise.</w:t>
      </w:r>
      <w:r w:rsidR="00B156FA" w:rsidRPr="002674BD">
        <w:t xml:space="preserve"> </w:t>
      </w:r>
      <w:r w:rsidR="0067695A" w:rsidRPr="002674BD">
        <w:t>On June 7, 2024, the streamlined membership of the nine board members was announced</w:t>
      </w:r>
      <w:r w:rsidR="0055081F" w:rsidRPr="002674BD">
        <w:t xml:space="preserve"> and meetings began in July 2024. </w:t>
      </w:r>
    </w:p>
    <w:p w14:paraId="61F95350" w14:textId="669672BA" w:rsidR="007649A5" w:rsidRPr="002674BD" w:rsidRDefault="00934E36"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 xml:space="preserve">Revised </w:t>
      </w:r>
      <w:r w:rsidR="007649A5" w:rsidRPr="002674BD">
        <w:rPr>
          <w:rFonts w:ascii="Calibri Light" w:hAnsi="Calibri Light" w:cs="Arial"/>
          <w:b/>
          <w:kern w:val="32"/>
          <w:sz w:val="28"/>
          <w:szCs w:val="26"/>
        </w:rPr>
        <w:t>Residential Design Codes</w:t>
      </w:r>
    </w:p>
    <w:p w14:paraId="63F683C1" w14:textId="64C7F105" w:rsidR="00F65823" w:rsidRPr="002674BD" w:rsidRDefault="00F65823" w:rsidP="001B4CE4">
      <w:pPr>
        <w:spacing w:after="0"/>
        <w:ind w:left="284"/>
        <w:jc w:val="both"/>
        <w:rPr>
          <w:rFonts w:ascii="Calibri Light" w:hAnsi="Calibri Light" w:cs="Arial"/>
          <w:b/>
          <w:kern w:val="32"/>
          <w:sz w:val="28"/>
          <w:szCs w:val="26"/>
        </w:rPr>
      </w:pPr>
      <w:r w:rsidRPr="002674BD">
        <w:rPr>
          <w:rFonts w:ascii="Calibri Light" w:hAnsi="Calibri Light" w:cs="Arial"/>
          <w:b/>
          <w:kern w:val="32"/>
          <w:sz w:val="28"/>
          <w:szCs w:val="26"/>
        </w:rPr>
        <w:t>Single House</w:t>
      </w:r>
      <w:r w:rsidR="007649A5" w:rsidRPr="002674BD">
        <w:rPr>
          <w:rFonts w:ascii="Calibri Light" w:hAnsi="Calibri Light" w:cs="Arial"/>
          <w:b/>
          <w:kern w:val="32"/>
          <w:sz w:val="28"/>
          <w:szCs w:val="26"/>
        </w:rPr>
        <w:t xml:space="preserve"> </w:t>
      </w:r>
      <w:r w:rsidR="00511E88" w:rsidRPr="002674BD">
        <w:rPr>
          <w:rFonts w:ascii="Calibri Light" w:hAnsi="Calibri Light" w:cs="Arial"/>
          <w:b/>
          <w:kern w:val="32"/>
          <w:sz w:val="28"/>
          <w:szCs w:val="26"/>
        </w:rPr>
        <w:t>streamline approvals</w:t>
      </w:r>
    </w:p>
    <w:p w14:paraId="03297F46" w14:textId="3F4E49E9" w:rsidR="00F65823" w:rsidRPr="002674BD" w:rsidRDefault="00F65823" w:rsidP="00934E36">
      <w:pPr>
        <w:spacing w:before="0"/>
        <w:ind w:left="284"/>
        <w:jc w:val="both"/>
        <w:rPr>
          <w:rFonts w:ascii="Calibri Light" w:hAnsi="Calibri Light" w:cs="Arial"/>
          <w:b/>
          <w:kern w:val="32"/>
          <w:sz w:val="28"/>
          <w:szCs w:val="26"/>
        </w:rPr>
      </w:pPr>
      <w:bookmarkStart w:id="25" w:name="_Hlk159426456"/>
      <w:r w:rsidRPr="002674BD">
        <w:rPr>
          <w:i/>
          <w:iCs/>
        </w:rPr>
        <w:t xml:space="preserve">Enacted. Commenced </w:t>
      </w:r>
      <w:r w:rsidR="00311AF4" w:rsidRPr="002674BD">
        <w:rPr>
          <w:i/>
          <w:iCs/>
        </w:rPr>
        <w:t xml:space="preserve">1 July 2024 </w:t>
      </w:r>
    </w:p>
    <w:bookmarkEnd w:id="25"/>
    <w:p w14:paraId="6A045314" w14:textId="77777777" w:rsidR="00F65823" w:rsidRPr="002674BD" w:rsidRDefault="00F65823" w:rsidP="00934E36">
      <w:pPr>
        <w:ind w:left="284"/>
        <w:jc w:val="both"/>
      </w:pPr>
      <w:r w:rsidRPr="002674BD">
        <w:t>Decisions to be made by the CEO or local government Authorised Officer and not to be determined by the Council.</w:t>
      </w:r>
    </w:p>
    <w:p w14:paraId="6DDDFBB7" w14:textId="71D957A2" w:rsidR="007649A5" w:rsidRPr="002674BD" w:rsidRDefault="007649A5" w:rsidP="00934E36">
      <w:pPr>
        <w:spacing w:before="0" w:after="0"/>
        <w:ind w:left="284"/>
        <w:jc w:val="both"/>
        <w:rPr>
          <w:rFonts w:ascii="Calibri Light" w:hAnsi="Calibri Light" w:cs="Arial"/>
          <w:b/>
          <w:kern w:val="32"/>
          <w:sz w:val="28"/>
          <w:szCs w:val="26"/>
        </w:rPr>
      </w:pPr>
      <w:r w:rsidRPr="002674BD">
        <w:rPr>
          <w:rFonts w:ascii="Calibri Light" w:hAnsi="Calibri Light" w:cs="Arial"/>
          <w:b/>
          <w:kern w:val="32"/>
          <w:sz w:val="28"/>
          <w:szCs w:val="26"/>
        </w:rPr>
        <w:t>Ancillary accommodation approval exemptions</w:t>
      </w:r>
    </w:p>
    <w:p w14:paraId="6C904995" w14:textId="0D1F2687" w:rsidR="007649A5" w:rsidRPr="002674BD" w:rsidRDefault="007649A5" w:rsidP="00934E36">
      <w:pPr>
        <w:spacing w:before="0" w:after="0"/>
        <w:ind w:left="284"/>
        <w:jc w:val="both"/>
        <w:rPr>
          <w:i/>
          <w:iCs/>
        </w:rPr>
      </w:pPr>
      <w:r w:rsidRPr="002674BD">
        <w:rPr>
          <w:i/>
          <w:iCs/>
        </w:rPr>
        <w:t>Enacted. Commenced 10 April 2024</w:t>
      </w:r>
    </w:p>
    <w:p w14:paraId="43A83656" w14:textId="4D589310" w:rsidR="007649A5" w:rsidRPr="002674BD" w:rsidRDefault="00230337" w:rsidP="00934E36">
      <w:pPr>
        <w:ind w:left="284"/>
        <w:jc w:val="both"/>
      </w:pPr>
      <w:r w:rsidRPr="002674BD">
        <w:t xml:space="preserve">Compliant </w:t>
      </w:r>
      <w:r w:rsidR="00534410" w:rsidRPr="002674BD">
        <w:t xml:space="preserve">ancillary </w:t>
      </w:r>
      <w:r w:rsidR="001D311A" w:rsidRPr="002674BD">
        <w:t>dwelling</w:t>
      </w:r>
      <w:r w:rsidRPr="002674BD">
        <w:t xml:space="preserve"> on residential lots (including grouped dwelling and strata lots) of any size will no longer require approval.</w:t>
      </w:r>
    </w:p>
    <w:p w14:paraId="4B6F705F" w14:textId="511106D7" w:rsidR="00E83A61" w:rsidRPr="002674BD" w:rsidRDefault="00E83A61"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Permanent Significant Development Pathway</w:t>
      </w:r>
      <w:r w:rsidR="00A11CC7" w:rsidRPr="002674BD">
        <w:rPr>
          <w:rFonts w:ascii="Calibri Light" w:hAnsi="Calibri Light" w:cs="Arial"/>
          <w:b/>
          <w:kern w:val="32"/>
          <w:sz w:val="28"/>
          <w:szCs w:val="26"/>
        </w:rPr>
        <w:t xml:space="preserve"> and Regulations </w:t>
      </w:r>
    </w:p>
    <w:p w14:paraId="0D36DC29" w14:textId="327F7822" w:rsidR="00E83A61" w:rsidRPr="002674BD" w:rsidRDefault="00575237" w:rsidP="007E2D0E">
      <w:pPr>
        <w:spacing w:before="0"/>
        <w:jc w:val="both"/>
        <w:rPr>
          <w:rFonts w:ascii="Calibri Light" w:hAnsi="Calibri Light" w:cs="Arial"/>
          <w:b/>
          <w:kern w:val="32"/>
          <w:sz w:val="28"/>
          <w:szCs w:val="26"/>
        </w:rPr>
      </w:pPr>
      <w:r w:rsidRPr="002674BD">
        <w:rPr>
          <w:i/>
          <w:iCs/>
          <w:color w:val="2683C6" w:themeColor="accent6"/>
        </w:rPr>
        <w:t>Update:</w:t>
      </w:r>
      <w:r w:rsidRPr="002674BD">
        <w:rPr>
          <w:i/>
          <w:iCs/>
        </w:rPr>
        <w:t xml:space="preserve"> </w:t>
      </w:r>
      <w:r w:rsidR="00E83A61" w:rsidRPr="002674BD">
        <w:rPr>
          <w:i/>
          <w:iCs/>
        </w:rPr>
        <w:t xml:space="preserve">Enacted. Commenced 1 March 2024. </w:t>
      </w:r>
    </w:p>
    <w:p w14:paraId="0CA8B6BD" w14:textId="77777777" w:rsidR="00E83A61" w:rsidRPr="002674BD" w:rsidRDefault="00E83A61" w:rsidP="007E2D0E">
      <w:pPr>
        <w:jc w:val="both"/>
      </w:pPr>
      <w:r w:rsidRPr="002674BD">
        <w:t xml:space="preserve">As part of the Planning Reform Agenda, the Western Australian Government has introduced a system whereby in certain instances proponents will have the option to choose different pathway options for the assessment and determination of development applications, which will give developers the choice </w:t>
      </w:r>
      <w:r w:rsidRPr="002674BD">
        <w:lastRenderedPageBreak/>
        <w:t>of whether to have their applications determined by the Western Australian Planning Commission, a Development Assessment Panel, or by a local government.</w:t>
      </w:r>
    </w:p>
    <w:p w14:paraId="717F7753" w14:textId="77777777" w:rsidR="00217A6A" w:rsidRPr="002674BD" w:rsidRDefault="00217A6A" w:rsidP="007E2D0E">
      <w:pPr>
        <w:jc w:val="both"/>
      </w:pPr>
      <w:r w:rsidRPr="002674BD">
        <w:t xml:space="preserve">For complex proposals of more than $20 million in Perth and Peel and more than $5 million in regional Western Australia, the Western Australian Planning Commission acts as the decision maker if the applicant lodges a development proposal through the Significant Development Pathway. </w:t>
      </w:r>
    </w:p>
    <w:p w14:paraId="722163BB" w14:textId="3BC64D8A" w:rsidR="00891028" w:rsidRPr="002674BD" w:rsidRDefault="00217A6A" w:rsidP="00C96C45">
      <w:pPr>
        <w:jc w:val="both"/>
        <w:rPr>
          <w:sz w:val="23"/>
          <w:szCs w:val="23"/>
        </w:rPr>
      </w:pPr>
      <w:r w:rsidRPr="002674BD">
        <w:t>The introduction of an alternative permanent decision-making pathway creates a streamlined, efficient and coordinated pathway for complex proposals that meet a monetary threshold.</w:t>
      </w:r>
      <w:r w:rsidR="00C96C45" w:rsidRPr="002674BD">
        <w:t xml:space="preserve"> </w:t>
      </w:r>
      <w:r w:rsidR="00891028" w:rsidRPr="002674BD">
        <w:rPr>
          <w:sz w:val="23"/>
          <w:szCs w:val="23"/>
        </w:rPr>
        <w:t xml:space="preserve">Since the new Part 11B Significant Development Pathway became operational, 39 proposals have either progressed or are currently progressing through the pre-lodgement process. Of these, 10 have been lodged and 7 are in application conformance. Since September 2024, four Form 17B applications (under the temporary) Part 17 pathway were determined by the WAPC. </w:t>
      </w:r>
      <w:bookmarkEnd w:id="24"/>
    </w:p>
    <w:p w14:paraId="08F2A67F" w14:textId="7D8BAAB9" w:rsidR="00896926" w:rsidRPr="002674BD" w:rsidRDefault="00A11CC7" w:rsidP="007E2D0E">
      <w:pPr>
        <w:spacing w:before="0" w:after="0"/>
        <w:jc w:val="both"/>
      </w:pPr>
      <w:r w:rsidRPr="002674BD">
        <w:t xml:space="preserve">Furthermore, </w:t>
      </w:r>
      <w:r w:rsidR="00896926" w:rsidRPr="002674BD">
        <w:t xml:space="preserve">Amendments to the Planning and Development (Significant Development) Regulations 2024 were published on 22 January 2025 and will become operational on 30 May 2025. The amendments will enable the development of multiple dwellings (of any value), which incorporate at least five percent community housing in designated areas to be classified as ‘prescribed significant development’ and lodged for determination under Part 11B of the </w:t>
      </w:r>
      <w:r w:rsidR="00896926" w:rsidRPr="002674BD">
        <w:rPr>
          <w:i/>
          <w:iCs/>
        </w:rPr>
        <w:t>Planning and Development Act 2005</w:t>
      </w:r>
      <w:r w:rsidR="00896926" w:rsidRPr="002674BD">
        <w:t xml:space="preserve">. </w:t>
      </w:r>
    </w:p>
    <w:p w14:paraId="32A26B4D" w14:textId="77777777" w:rsidR="00404E45" w:rsidRPr="002674BD" w:rsidRDefault="00404E45" w:rsidP="007E2D0E">
      <w:pPr>
        <w:spacing w:before="0" w:after="0"/>
        <w:jc w:val="both"/>
      </w:pPr>
    </w:p>
    <w:p w14:paraId="4C46A9D8" w14:textId="041E479D" w:rsidR="00A92A1F" w:rsidRPr="002674BD" w:rsidRDefault="00A92A1F"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 xml:space="preserve">Development Assessment Panel Reforms </w:t>
      </w:r>
    </w:p>
    <w:p w14:paraId="4DEEAB05" w14:textId="4AC27567" w:rsidR="00A92A1F" w:rsidRPr="002674BD" w:rsidRDefault="00575237" w:rsidP="007E2D0E">
      <w:pPr>
        <w:spacing w:before="0"/>
        <w:jc w:val="both"/>
        <w:rPr>
          <w:i/>
          <w:iCs/>
        </w:rPr>
      </w:pPr>
      <w:r w:rsidRPr="002674BD">
        <w:rPr>
          <w:i/>
          <w:iCs/>
          <w:color w:val="2683C6" w:themeColor="accent6"/>
        </w:rPr>
        <w:t>Update:</w:t>
      </w:r>
      <w:r w:rsidRPr="002674BD">
        <w:rPr>
          <w:i/>
          <w:iCs/>
        </w:rPr>
        <w:t xml:space="preserve"> </w:t>
      </w:r>
      <w:r w:rsidR="00A92A1F" w:rsidRPr="002674BD">
        <w:rPr>
          <w:i/>
          <w:iCs/>
        </w:rPr>
        <w:t xml:space="preserve">Enacted. Commenced 1 March 2024.  </w:t>
      </w:r>
    </w:p>
    <w:p w14:paraId="5823B9B4" w14:textId="553B05A9" w:rsidR="00A92A1F" w:rsidRPr="002674BD" w:rsidRDefault="00A92A1F" w:rsidP="007E2D0E">
      <w:pPr>
        <w:jc w:val="both"/>
      </w:pPr>
      <w:r w:rsidRPr="002674BD">
        <w:t xml:space="preserve">The Development Assessment Panel (DAPS) reforms create an opt-in pathway for any development over $2 million (including group and multiple </w:t>
      </w:r>
      <w:r w:rsidR="009A56C4" w:rsidRPr="002674BD">
        <w:t>dwellings but</w:t>
      </w:r>
      <w:r w:rsidRPr="002674BD">
        <w:t xml:space="preserve"> excluding single houses and ancillary structures). The WA Government is providing all community housing projects with the ability to opt into the DAPS pathway regardless of the scale and value of the project.</w:t>
      </w:r>
    </w:p>
    <w:p w14:paraId="1685BA63" w14:textId="7EB4035F" w:rsidR="0034737E" w:rsidRPr="002674BD" w:rsidRDefault="0034737E" w:rsidP="007E2D0E">
      <w:pPr>
        <w:jc w:val="both"/>
      </w:pPr>
      <w:r w:rsidRPr="002674BD">
        <w:t xml:space="preserve">Since the pathway's enactment in March 2024, a total of </w:t>
      </w:r>
      <w:r w:rsidR="0079237E" w:rsidRPr="002674BD">
        <w:t xml:space="preserve">175 </w:t>
      </w:r>
      <w:r w:rsidRPr="002674BD">
        <w:t xml:space="preserve">(Form 1 for new applications) and </w:t>
      </w:r>
      <w:r w:rsidR="0079237E" w:rsidRPr="002674BD">
        <w:t>45</w:t>
      </w:r>
      <w:r w:rsidRPr="002674BD">
        <w:t xml:space="preserve"> (Form 2 for amendments/cancellations) DAP applications have been received.</w:t>
      </w:r>
      <w:r w:rsidR="007535DB" w:rsidRPr="002674BD">
        <w:t xml:space="preserve"> Further, since the DAP’s reform </w:t>
      </w:r>
      <w:r w:rsidR="0079237E" w:rsidRPr="002674BD">
        <w:t xml:space="preserve">177 </w:t>
      </w:r>
      <w:r w:rsidR="007535DB" w:rsidRPr="002674BD">
        <w:t xml:space="preserve">(Form 1) and </w:t>
      </w:r>
      <w:r w:rsidR="00896926" w:rsidRPr="002674BD">
        <w:t xml:space="preserve">30 </w:t>
      </w:r>
      <w:r w:rsidR="007535DB" w:rsidRPr="002674BD">
        <w:t xml:space="preserve">(Form 2) applications have been determined.   </w:t>
      </w:r>
    </w:p>
    <w:p w14:paraId="559FF3CB" w14:textId="70335FDD" w:rsidR="009E794C" w:rsidRPr="002674BD" w:rsidRDefault="009E794C" w:rsidP="00DE33B6">
      <w:pPr>
        <w:pStyle w:val="Heading3"/>
        <w:jc w:val="both"/>
      </w:pPr>
      <w:bookmarkStart w:id="26" w:name="_Toc164690909"/>
      <w:bookmarkStart w:id="27" w:name="_Toc191366147"/>
      <w:bookmarkStart w:id="28" w:name="_Toc168064960"/>
      <w:bookmarkStart w:id="29" w:name="_Toc168065271"/>
      <w:r w:rsidRPr="002674BD">
        <w:t>Other planning, zoning and land release reforms</w:t>
      </w:r>
      <w:bookmarkEnd w:id="26"/>
      <w:bookmarkEnd w:id="27"/>
    </w:p>
    <w:bookmarkEnd w:id="28"/>
    <w:bookmarkEnd w:id="29"/>
    <w:p w14:paraId="1F009187" w14:textId="77777777" w:rsidR="00E50338" w:rsidRPr="002674BD" w:rsidRDefault="00E50338"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The Planning Reform Agenda</w:t>
      </w:r>
    </w:p>
    <w:p w14:paraId="73DBB78A" w14:textId="77777777" w:rsidR="00E50338" w:rsidRPr="002674BD" w:rsidRDefault="00E50338" w:rsidP="007E2D0E">
      <w:pPr>
        <w:spacing w:before="0"/>
        <w:jc w:val="both"/>
        <w:rPr>
          <w:i/>
          <w:iCs/>
        </w:rPr>
      </w:pPr>
      <w:r w:rsidRPr="002674BD">
        <w:rPr>
          <w:i/>
          <w:iCs/>
        </w:rPr>
        <w:t>Ongoing</w:t>
      </w:r>
    </w:p>
    <w:p w14:paraId="4F1D1E9F" w14:textId="77777777" w:rsidR="00E50338" w:rsidRPr="002674BD" w:rsidRDefault="00E50338" w:rsidP="007E2D0E">
      <w:pPr>
        <w:jc w:val="both"/>
      </w:pPr>
      <w:r w:rsidRPr="002674BD">
        <w:t>As part of the implementation of the planning reform agenda, the following is in progress or has been completed to provide improved and contemporary guidance for the preparation of planning documents that plan for and facilitate the delivery of housing:</w:t>
      </w:r>
    </w:p>
    <w:p w14:paraId="2B2C8C69" w14:textId="77777777" w:rsidR="00E50338" w:rsidRPr="002674BD" w:rsidRDefault="00E50338" w:rsidP="007E2D0E">
      <w:pPr>
        <w:pStyle w:val="Bullet"/>
        <w:spacing w:line="240" w:lineRule="auto"/>
        <w:jc w:val="both"/>
      </w:pPr>
      <w:r w:rsidRPr="002674BD">
        <w:t>local planning strategies (complete);</w:t>
      </w:r>
    </w:p>
    <w:p w14:paraId="67135908" w14:textId="77777777" w:rsidR="00E50338" w:rsidRPr="002674BD" w:rsidRDefault="00E50338" w:rsidP="007E2D0E">
      <w:pPr>
        <w:pStyle w:val="Bullet"/>
        <w:spacing w:line="240" w:lineRule="auto"/>
        <w:jc w:val="both"/>
      </w:pPr>
      <w:r w:rsidRPr="002674BD">
        <w:t>structure plans (complete);</w:t>
      </w:r>
    </w:p>
    <w:p w14:paraId="6C4B6D48" w14:textId="77777777" w:rsidR="00E50338" w:rsidRPr="002674BD" w:rsidRDefault="00E50338" w:rsidP="007E2D0E">
      <w:pPr>
        <w:pStyle w:val="Bullet"/>
        <w:spacing w:line="240" w:lineRule="auto"/>
        <w:jc w:val="both"/>
      </w:pPr>
      <w:r w:rsidRPr="002674BD">
        <w:t>local planning schemes (underway);</w:t>
      </w:r>
    </w:p>
    <w:p w14:paraId="24AC5A25" w14:textId="77777777" w:rsidR="00E50338" w:rsidRPr="002674BD" w:rsidRDefault="00E50338" w:rsidP="007E2D0E">
      <w:pPr>
        <w:pStyle w:val="Bullet"/>
        <w:spacing w:line="240" w:lineRule="auto"/>
        <w:jc w:val="both"/>
      </w:pPr>
      <w:r w:rsidRPr="002674BD">
        <w:t>local development plans (underway); and</w:t>
      </w:r>
    </w:p>
    <w:p w14:paraId="030B0201" w14:textId="77777777" w:rsidR="00E50338" w:rsidRPr="002674BD" w:rsidRDefault="00E50338" w:rsidP="007E2D0E">
      <w:pPr>
        <w:pStyle w:val="Bullet"/>
        <w:spacing w:line="240" w:lineRule="auto"/>
        <w:jc w:val="both"/>
      </w:pPr>
      <w:r w:rsidRPr="002674BD">
        <w:t>local planning policies (underway).</w:t>
      </w:r>
    </w:p>
    <w:p w14:paraId="58589B8E" w14:textId="77777777" w:rsidR="00E50338" w:rsidRPr="002674BD" w:rsidRDefault="00E50338" w:rsidP="007E2D0E">
      <w:pPr>
        <w:jc w:val="both"/>
      </w:pPr>
      <w:r w:rsidRPr="002674BD">
        <w:lastRenderedPageBreak/>
        <w:t>The planning agenda will support contemporary and consistent local planning strategies and structure plans. Progress of the planning reform agenda will provide consistency regarding local planning schemes, local development plans and local planning policies.</w:t>
      </w:r>
    </w:p>
    <w:p w14:paraId="3927A3D3" w14:textId="657F3E01" w:rsidR="006F4172" w:rsidRPr="002674BD" w:rsidRDefault="006F4172"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Finalisation of Planning Investigation Area</w:t>
      </w:r>
    </w:p>
    <w:p w14:paraId="40C49976" w14:textId="025B5034" w:rsidR="006F4172" w:rsidRPr="002674BD" w:rsidRDefault="006F4172" w:rsidP="007E2D0E">
      <w:pPr>
        <w:spacing w:before="0"/>
        <w:jc w:val="both"/>
        <w:rPr>
          <w:i/>
          <w:iCs/>
        </w:rPr>
      </w:pPr>
      <w:r w:rsidRPr="002674BD">
        <w:rPr>
          <w:i/>
          <w:iCs/>
        </w:rPr>
        <w:t>Announced</w:t>
      </w:r>
      <w:r w:rsidR="00697F81" w:rsidRPr="002674BD">
        <w:rPr>
          <w:i/>
          <w:iCs/>
        </w:rPr>
        <w:t xml:space="preserve"> </w:t>
      </w:r>
    </w:p>
    <w:p w14:paraId="51402C77" w14:textId="056B5C76" w:rsidR="006F4172" w:rsidRPr="002674BD" w:rsidRDefault="006F4172" w:rsidP="007E2D0E">
      <w:pPr>
        <w:jc w:val="both"/>
      </w:pPr>
      <w:r w:rsidRPr="002674BD">
        <w:t xml:space="preserve">The Planning Minister announced the finalisation of Planning Investigation Area assessments under Perth and Peel@3.5million. Approximately 6,700 </w:t>
      </w:r>
      <w:r w:rsidR="009E4132" w:rsidRPr="002674BD">
        <w:t>hectares (</w:t>
      </w:r>
      <w:r w:rsidRPr="002674BD">
        <w:t>ha</w:t>
      </w:r>
      <w:r w:rsidR="009E4132" w:rsidRPr="002674BD">
        <w:t>)</w:t>
      </w:r>
      <w:r w:rsidRPr="002674BD">
        <w:t xml:space="preserve"> (78,000 dwelling capacity) of land was identified for future urban land uses. The sites require rezoning and infrastructure planning to be undertaken prior to development. </w:t>
      </w:r>
    </w:p>
    <w:p w14:paraId="35958BC6" w14:textId="77777777" w:rsidR="0074308D" w:rsidRPr="002674BD" w:rsidRDefault="0074308D"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Establishing a State Referral Coordination Unit</w:t>
      </w:r>
    </w:p>
    <w:p w14:paraId="451FF94E" w14:textId="77777777" w:rsidR="0074308D" w:rsidRPr="002674BD" w:rsidRDefault="0074308D" w:rsidP="007E2D0E">
      <w:pPr>
        <w:spacing w:before="0"/>
        <w:jc w:val="both"/>
        <w:rPr>
          <w:i/>
          <w:iCs/>
        </w:rPr>
      </w:pPr>
      <w:r w:rsidRPr="002674BD">
        <w:rPr>
          <w:i/>
          <w:iCs/>
        </w:rPr>
        <w:t>Progressed, commenced 1 March 2024</w:t>
      </w:r>
    </w:p>
    <w:p w14:paraId="76ABFF06" w14:textId="3EBB4A9D" w:rsidR="0074308D" w:rsidRPr="002674BD" w:rsidRDefault="0074308D" w:rsidP="007E2D0E">
      <w:pPr>
        <w:jc w:val="both"/>
      </w:pPr>
      <w:r w:rsidRPr="002674BD">
        <w:t>The WA Government has established a State Referral Coordination Unit to initially service the Permanent Significant Development Pathway applications</w:t>
      </w:r>
      <w:r w:rsidR="00F017B7" w:rsidRPr="002674BD">
        <w:t xml:space="preserve">, providing WA government agencies with a </w:t>
      </w:r>
      <w:r w:rsidRPr="002674BD">
        <w:t>Single Sector Response to the Western Australian Planning Commission.</w:t>
      </w:r>
    </w:p>
    <w:p w14:paraId="3F637347" w14:textId="77777777" w:rsidR="0074308D" w:rsidRPr="002674BD" w:rsidRDefault="0074308D" w:rsidP="007E2D0E">
      <w:pPr>
        <w:jc w:val="both"/>
      </w:pPr>
      <w:r w:rsidRPr="002674BD">
        <w:t>This enables State Referrals to be coordinated to assist in the timely determination of Permanent Significant Development Pathway applications.</w:t>
      </w:r>
    </w:p>
    <w:p w14:paraId="15364F17" w14:textId="77777777" w:rsidR="004E2415" w:rsidRPr="002674BD" w:rsidRDefault="004E2415"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Schemes and Strategies</w:t>
      </w:r>
    </w:p>
    <w:p w14:paraId="5F84F2D4" w14:textId="77777777" w:rsidR="004E2415" w:rsidRPr="002674BD" w:rsidRDefault="004E2415" w:rsidP="007E2D0E">
      <w:pPr>
        <w:spacing w:before="0"/>
        <w:jc w:val="both"/>
        <w:rPr>
          <w:i/>
          <w:iCs/>
        </w:rPr>
      </w:pPr>
      <w:r w:rsidRPr="002674BD">
        <w:rPr>
          <w:i/>
          <w:iCs/>
        </w:rPr>
        <w:t>Ongoing</w:t>
      </w:r>
    </w:p>
    <w:p w14:paraId="0A64A82E" w14:textId="77777777" w:rsidR="004E2415" w:rsidRPr="002674BD" w:rsidRDefault="004E2415" w:rsidP="007E2D0E">
      <w:pPr>
        <w:jc w:val="both"/>
      </w:pPr>
      <w:r w:rsidRPr="002674BD">
        <w:t>Provides zoning for urban land supply for housing, amenity with regional open space, infrastructure, and public infrastructure (i.e. high schools, hospital) with region schemes administered by the Western Australian Planning Commission and local schemes administered by local government (requiring Ministerial approval).</w:t>
      </w:r>
    </w:p>
    <w:p w14:paraId="5294952C" w14:textId="77777777" w:rsidR="004E2415" w:rsidRPr="002674BD" w:rsidRDefault="004E2415" w:rsidP="007E2D0E">
      <w:pPr>
        <w:jc w:val="both"/>
      </w:pPr>
      <w:r w:rsidRPr="002674BD">
        <w:t xml:space="preserve">Local government is required by the </w:t>
      </w:r>
      <w:r w:rsidRPr="002674BD">
        <w:rPr>
          <w:i/>
          <w:iCs/>
        </w:rPr>
        <w:t>Planning and Development Act 2005</w:t>
      </w:r>
      <w:r w:rsidRPr="002674BD">
        <w:t xml:space="preserve"> to prepare and keep current local planning strategies and schemes. This is the principal planning tool in areas without a region scheme. Local planning strategies require the approval of the Western Australian Planning Commission, and schemes (and amendments) require final approval from the Minister for Planning. These planning mechanisms must be aligned with the WA Government’s Strategic Plans, including </w:t>
      </w:r>
      <w:r w:rsidRPr="002674BD">
        <w:rPr>
          <w:i/>
          <w:iCs/>
        </w:rPr>
        <w:t>Perth and Peel@3.5million</w:t>
      </w:r>
      <w:r w:rsidRPr="002674BD">
        <w:t>, particularly the minimum urban infill dwelling targets (to 2050) and minimum urban density where specified. It is a requirement that these are kept contemporary through regular review.</w:t>
      </w:r>
    </w:p>
    <w:p w14:paraId="292B961F" w14:textId="77777777" w:rsidR="004E2415" w:rsidRPr="002674BD" w:rsidRDefault="004E2415" w:rsidP="007E2D0E">
      <w:pPr>
        <w:jc w:val="both"/>
      </w:pPr>
      <w:r w:rsidRPr="002674BD">
        <w:t xml:space="preserve">Sufficient suitable land has been identified and zoned to facilitate dwelling construction aligned with State strategic plans, including </w:t>
      </w:r>
      <w:r w:rsidRPr="002674BD">
        <w:rPr>
          <w:i/>
          <w:iCs/>
        </w:rPr>
        <w:t>Perth and Peel@3.5million</w:t>
      </w:r>
      <w:r w:rsidRPr="002674BD">
        <w:t xml:space="preserve"> and the Regional Strategies currently being prepared.</w:t>
      </w:r>
    </w:p>
    <w:p w14:paraId="72D934FF" w14:textId="77777777" w:rsidR="008E2C6E" w:rsidRPr="002674BD" w:rsidRDefault="008E2C6E"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Creating Regional Planning Strategies</w:t>
      </w:r>
    </w:p>
    <w:p w14:paraId="11D2FFB8" w14:textId="55D43938" w:rsidR="008E2C6E" w:rsidRPr="002674BD" w:rsidRDefault="008E2C6E" w:rsidP="007E2D0E">
      <w:pPr>
        <w:spacing w:before="0"/>
        <w:jc w:val="both"/>
        <w:rPr>
          <w:i/>
          <w:iCs/>
        </w:rPr>
      </w:pPr>
      <w:r w:rsidRPr="002674BD">
        <w:rPr>
          <w:i/>
          <w:iCs/>
        </w:rPr>
        <w:t xml:space="preserve">Anticipated delivery </w:t>
      </w:r>
      <w:r w:rsidR="00F44636" w:rsidRPr="002674BD">
        <w:rPr>
          <w:i/>
          <w:iCs/>
        </w:rPr>
        <w:t>20</w:t>
      </w:r>
      <w:r w:rsidRPr="002674BD">
        <w:rPr>
          <w:i/>
          <w:iCs/>
        </w:rPr>
        <w:t>25</w:t>
      </w:r>
    </w:p>
    <w:p w14:paraId="13E3851F" w14:textId="03330CE1" w:rsidR="00F44636" w:rsidRPr="002674BD" w:rsidRDefault="008E2C6E" w:rsidP="007E2D0E">
      <w:pPr>
        <w:jc w:val="both"/>
      </w:pPr>
      <w:r w:rsidRPr="002674BD">
        <w:t xml:space="preserve">The WA Government is </w:t>
      </w:r>
      <w:r w:rsidR="00F44636" w:rsidRPr="002674BD">
        <w:t xml:space="preserve">preparing new regional planning strategies for each of the following regions: Gascoyne, Goldfields-Esperance, Great Southern, Kimberley, Mid West, Pilbara, South West and Wheatbelt. The purpose of the strategies is to outline a vision for each region, identify </w:t>
      </w:r>
      <w:r w:rsidR="00F44636" w:rsidRPr="002674BD">
        <w:lastRenderedPageBreak/>
        <w:t xml:space="preserve">issues/opportunities, and set strategic land use planning direction. </w:t>
      </w:r>
      <w:r w:rsidR="007649A5" w:rsidRPr="002674BD">
        <w:t>The</w:t>
      </w:r>
      <w:r w:rsidR="00F44636" w:rsidRPr="002674BD">
        <w:t xml:space="preserve"> draft regional planning strategies </w:t>
      </w:r>
      <w:r w:rsidR="007649A5" w:rsidRPr="002674BD">
        <w:t>are currently being drafted</w:t>
      </w:r>
      <w:r w:rsidR="00F44636" w:rsidRPr="002674BD">
        <w:t xml:space="preserve">. </w:t>
      </w:r>
    </w:p>
    <w:p w14:paraId="793F7E21" w14:textId="2A5B99E3" w:rsidR="008E2C6E" w:rsidRPr="002674BD" w:rsidRDefault="00F44636" w:rsidP="007E2D0E">
      <w:pPr>
        <w:jc w:val="both"/>
      </w:pPr>
      <w:r w:rsidRPr="002674BD">
        <w:t xml:space="preserve">The new </w:t>
      </w:r>
      <w:r w:rsidR="00DF35FA" w:rsidRPr="002674BD">
        <w:t xml:space="preserve">strategies </w:t>
      </w:r>
      <w:r w:rsidRPr="002674BD">
        <w:t>will</w:t>
      </w:r>
      <w:r w:rsidR="008E2C6E" w:rsidRPr="002674BD">
        <w:t xml:space="preserve"> designate a settlement hierarchy based on a consistent methodology to support and manage urban growth and infrastructure pipeline.</w:t>
      </w:r>
      <w:r w:rsidR="00DF35FA" w:rsidRPr="002674BD">
        <w:t xml:space="preserve"> </w:t>
      </w:r>
    </w:p>
    <w:p w14:paraId="62DF6FBC" w14:textId="77777777" w:rsidR="00674949" w:rsidRPr="002674BD" w:rsidRDefault="00674949"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 xml:space="preserve">District Structure Planning </w:t>
      </w:r>
    </w:p>
    <w:p w14:paraId="30CE63A1" w14:textId="0A26E771" w:rsidR="00674949" w:rsidRPr="002674BD" w:rsidRDefault="00DF35FA" w:rsidP="007E2D0E">
      <w:pPr>
        <w:spacing w:before="0"/>
        <w:jc w:val="both"/>
        <w:rPr>
          <w:i/>
          <w:iCs/>
        </w:rPr>
      </w:pPr>
      <w:r w:rsidRPr="002674BD">
        <w:rPr>
          <w:i/>
          <w:iCs/>
          <w:color w:val="2683C6" w:themeColor="accent6"/>
        </w:rPr>
        <w:t>Update:</w:t>
      </w:r>
      <w:r w:rsidRPr="002674BD">
        <w:rPr>
          <w:i/>
          <w:iCs/>
          <w:color w:val="0070C0"/>
        </w:rPr>
        <w:t xml:space="preserve"> </w:t>
      </w:r>
      <w:r w:rsidR="00674949" w:rsidRPr="002674BD">
        <w:rPr>
          <w:i/>
          <w:iCs/>
        </w:rPr>
        <w:t xml:space="preserve">Ongoing. Progressed 2024. </w:t>
      </w:r>
    </w:p>
    <w:p w14:paraId="78D0D347" w14:textId="63A65E0C" w:rsidR="00674949" w:rsidRPr="002674BD" w:rsidRDefault="00674949" w:rsidP="007E2D0E">
      <w:pPr>
        <w:jc w:val="both"/>
      </w:pPr>
      <w:r w:rsidRPr="002674BD">
        <w:t xml:space="preserve">The WA Government has committed to </w:t>
      </w:r>
      <w:r w:rsidR="00ED62DC" w:rsidRPr="002674BD">
        <w:t xml:space="preserve">leading District Structure Planning, and work has commenced to establish a process. This will </w:t>
      </w:r>
      <w:r w:rsidRPr="002674BD">
        <w:t xml:space="preserve">unlock land and facilitate development consistent with State Strategic Plans, such as </w:t>
      </w:r>
      <w:r w:rsidRPr="002674BD">
        <w:rPr>
          <w:i/>
          <w:iCs/>
        </w:rPr>
        <w:t>Perth and Peel @ 3.5 million</w:t>
      </w:r>
      <w:r w:rsidR="008A0749" w:rsidRPr="002674BD">
        <w:rPr>
          <w:i/>
          <w:iCs/>
        </w:rPr>
        <w:t xml:space="preserve"> </w:t>
      </w:r>
      <w:r w:rsidR="008A0749" w:rsidRPr="002674BD">
        <w:t xml:space="preserve">and </w:t>
      </w:r>
      <w:r w:rsidR="007B0BFD" w:rsidRPr="002674BD">
        <w:t>regional</w:t>
      </w:r>
      <w:r w:rsidR="008A0749" w:rsidRPr="002674BD">
        <w:t xml:space="preserve"> strategies </w:t>
      </w:r>
      <w:r w:rsidR="007B0BFD" w:rsidRPr="002674BD">
        <w:t xml:space="preserve">including </w:t>
      </w:r>
      <w:r w:rsidR="008A0749" w:rsidRPr="002674BD">
        <w:t>Bunbury-</w:t>
      </w:r>
      <w:r w:rsidR="007B0BFD" w:rsidRPr="002674BD">
        <w:t xml:space="preserve">Geographe, </w:t>
      </w:r>
      <w:r w:rsidR="008A0749" w:rsidRPr="002674BD">
        <w:t xml:space="preserve"> Leeuwin-Naturaliste</w:t>
      </w:r>
      <w:r w:rsidR="007B0BFD" w:rsidRPr="002674BD">
        <w:t>, Guilderton to Kalbarri, Gascoyne Coast, Great Lower Southern, Ningaloo Coast and Shark Bay</w:t>
      </w:r>
      <w:r w:rsidR="008A0749" w:rsidRPr="002674BD">
        <w:t>.</w:t>
      </w:r>
      <w:r w:rsidR="008A0749" w:rsidRPr="002674BD">
        <w:rPr>
          <w:i/>
          <w:iCs/>
        </w:rPr>
        <w:t xml:space="preserve"> </w:t>
      </w:r>
    </w:p>
    <w:p w14:paraId="7E46490B" w14:textId="2188DFFE" w:rsidR="00674949" w:rsidRPr="002674BD" w:rsidRDefault="00674949" w:rsidP="007E2D0E">
      <w:pPr>
        <w:jc w:val="both"/>
      </w:pPr>
      <w:r w:rsidRPr="002674BD">
        <w:t>To date, the following plans have been prepared by the State:</w:t>
      </w:r>
    </w:p>
    <w:p w14:paraId="696D2DBE" w14:textId="60EC1D51" w:rsidR="00674949" w:rsidRPr="002674BD" w:rsidRDefault="00674949" w:rsidP="009A56C4">
      <w:pPr>
        <w:ind w:left="720"/>
      </w:pPr>
      <w:r w:rsidRPr="002674BD">
        <w:t>Perth Metropolitan Region – East Wanneroo (finalised 2022).</w:t>
      </w:r>
      <w:r w:rsidRPr="002674BD">
        <w:br/>
        <w:t>Regional WA: Wanju and Waterloo District Structure Plans</w:t>
      </w:r>
      <w:r w:rsidR="007B0BFD" w:rsidRPr="002674BD">
        <w:t xml:space="preserve"> and</w:t>
      </w:r>
      <w:r w:rsidR="00572BB7" w:rsidRPr="002674BD">
        <w:t xml:space="preserve"> </w:t>
      </w:r>
      <w:r w:rsidRPr="002674BD">
        <w:t>Glen Iris District Structure Plan</w:t>
      </w:r>
      <w:r w:rsidR="007B0BFD" w:rsidRPr="002674BD">
        <w:t>.</w:t>
      </w:r>
    </w:p>
    <w:p w14:paraId="6E07EA81" w14:textId="3C3D1BC4" w:rsidR="00DF35FA" w:rsidRPr="002674BD" w:rsidRDefault="00674949" w:rsidP="007E2D0E">
      <w:pPr>
        <w:jc w:val="both"/>
      </w:pPr>
      <w:r w:rsidRPr="002674BD">
        <w:t xml:space="preserve">Other District Structure Plans are currently being prepared by others including local government and developer led.  Examples of this include </w:t>
      </w:r>
      <w:r w:rsidR="007B0BFD" w:rsidRPr="002674BD">
        <w:t xml:space="preserve">Albany North Structure Plan, Emu Point Structure Plan, </w:t>
      </w:r>
      <w:r w:rsidRPr="002674BD">
        <w:t>Karnup</w:t>
      </w:r>
      <w:r w:rsidR="00DF35FA" w:rsidRPr="002674BD">
        <w:t xml:space="preserve"> and </w:t>
      </w:r>
      <w:r w:rsidRPr="002674BD">
        <w:t>East Kwinana.</w:t>
      </w:r>
    </w:p>
    <w:p w14:paraId="6307A95F" w14:textId="77777777" w:rsidR="001C6861" w:rsidRPr="002674BD" w:rsidRDefault="001C6861" w:rsidP="001C6861">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Redevelopment Schemes</w:t>
      </w:r>
    </w:p>
    <w:p w14:paraId="55BC9CB6" w14:textId="16E98DC3" w:rsidR="001C6861" w:rsidRPr="002674BD" w:rsidRDefault="001C6861" w:rsidP="001C6861">
      <w:pPr>
        <w:jc w:val="both"/>
      </w:pPr>
      <w:r w:rsidRPr="002674BD">
        <w:t xml:space="preserve">The Draft Bentley Redevelopment Scheme and Draft Master Plan is a significant urban renewal project delivered by DevelopmentWA and was released for public comment in 2024. A report on the consultation outcomes will be presented to </w:t>
      </w:r>
      <w:r w:rsidR="00896926" w:rsidRPr="002674BD">
        <w:t>their</w:t>
      </w:r>
      <w:r w:rsidRPr="002674BD">
        <w:t xml:space="preserve"> </w:t>
      </w:r>
      <w:r w:rsidR="00403B90" w:rsidRPr="002674BD">
        <w:t xml:space="preserve">Redevelopment </w:t>
      </w:r>
      <w:r w:rsidRPr="002674BD">
        <w:t xml:space="preserve">Committee for consideration in Autumn 2025. </w:t>
      </w:r>
    </w:p>
    <w:p w14:paraId="3285EA22" w14:textId="4D53CF7E" w:rsidR="001C6861" w:rsidRPr="002674BD" w:rsidRDefault="001C6861" w:rsidP="007B0BFD">
      <w:pPr>
        <w:jc w:val="both"/>
        <w:rPr>
          <w:rFonts w:ascii="Inherit" w:hAnsi="Inherit"/>
          <w:color w:val="242424"/>
          <w:sz w:val="18"/>
          <w:szCs w:val="18"/>
        </w:rPr>
      </w:pPr>
      <w:r w:rsidRPr="002674BD">
        <w:t>The project is anticipated to deliver between 800</w:t>
      </w:r>
      <w:r w:rsidR="00EB35E8" w:rsidRPr="002674BD">
        <w:t xml:space="preserve"> to </w:t>
      </w:r>
      <w:r w:rsidRPr="002674BD">
        <w:t>1000 new dwellings. The draft Master Plan proposes that one in seven homes across the precinct will be dedicated to social and affordable housing. The focus will be on medium density residential housing, with some medium-high density is also proposed including low-rise apartments (up to 4 storeys) and medium-rise apartments (up to 6 storeys).</w:t>
      </w:r>
    </w:p>
    <w:p w14:paraId="6ACB8406" w14:textId="1B232FD5" w:rsidR="00243EC4" w:rsidRPr="002674BD" w:rsidRDefault="00243EC4"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Development Contribution Program</w:t>
      </w:r>
    </w:p>
    <w:p w14:paraId="1C94CC39" w14:textId="77777777" w:rsidR="00243EC4" w:rsidRPr="002674BD" w:rsidRDefault="00243EC4" w:rsidP="007E2D0E">
      <w:pPr>
        <w:spacing w:before="0"/>
        <w:jc w:val="both"/>
        <w:rPr>
          <w:i/>
          <w:iCs/>
        </w:rPr>
      </w:pPr>
      <w:r w:rsidRPr="002674BD">
        <w:rPr>
          <w:i/>
          <w:iCs/>
        </w:rPr>
        <w:t>Activated in January 2023.</w:t>
      </w:r>
    </w:p>
    <w:p w14:paraId="136B6BDE" w14:textId="77777777" w:rsidR="00243EC4" w:rsidRPr="002674BD" w:rsidRDefault="00243EC4" w:rsidP="007E2D0E">
      <w:pPr>
        <w:jc w:val="both"/>
      </w:pPr>
      <w:r w:rsidRPr="002674BD">
        <w:t>The program focuses on improving the coordination, consistency and transparency of development contribution plans (DCPs) to facilitate infrastructure delivery. DCPs are a mechanism for the cost-sharing arrangement to fund local infrastructure such as roads, paths, cycleways, water supply, sewerage, drainage, parks, open spaces and community facilities and are delivered under a local planning scheme. Preparation is guided by State Planning Policy 3.6 Infrastructure Contributions and associated guidelines.</w:t>
      </w:r>
    </w:p>
    <w:p w14:paraId="1B15F03A" w14:textId="77777777" w:rsidR="00243EC4" w:rsidRPr="002674BD" w:rsidRDefault="00243EC4" w:rsidP="007E2D0E">
      <w:pPr>
        <w:jc w:val="both"/>
      </w:pPr>
      <w:r w:rsidRPr="002674BD">
        <w:t xml:space="preserve">The program ensures adequate rigour and statutory weight for its implementation. The program has a positive impact on ensuring adequate need and nexus for infrastructure items, appropriate costings, and transparency and accountability for the ongoing administration of DCPs by local authorities. This </w:t>
      </w:r>
      <w:r w:rsidRPr="002674BD">
        <w:lastRenderedPageBreak/>
        <w:t>process provides a mechanism to build a pipeline of critical local infrastructure to support the delivery of housing supply to the market.</w:t>
      </w:r>
    </w:p>
    <w:p w14:paraId="33ADACF9" w14:textId="21FF4BC5" w:rsidR="00243EC4" w:rsidRPr="002674BD" w:rsidRDefault="00243EC4"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Streamlining of Western Australian State Policy Framework</w:t>
      </w:r>
    </w:p>
    <w:p w14:paraId="28D1A65F" w14:textId="77777777" w:rsidR="00243EC4" w:rsidRPr="002674BD" w:rsidRDefault="00243EC4" w:rsidP="007E2D0E">
      <w:pPr>
        <w:spacing w:before="0"/>
        <w:jc w:val="both"/>
        <w:rPr>
          <w:i/>
          <w:iCs/>
        </w:rPr>
      </w:pPr>
      <w:r w:rsidRPr="002674BD">
        <w:rPr>
          <w:i/>
          <w:iCs/>
        </w:rPr>
        <w:t>Ongoing</w:t>
      </w:r>
    </w:p>
    <w:p w14:paraId="0DE86328" w14:textId="77777777" w:rsidR="00243EC4" w:rsidRPr="002674BD" w:rsidRDefault="00243EC4" w:rsidP="007E2D0E">
      <w:pPr>
        <w:jc w:val="both"/>
      </w:pPr>
      <w:r w:rsidRPr="002674BD">
        <w:t>The Department of Planning, Lands and Heritage on behalf of the Western Australian Planning Commission is progressing a series of projects that will refine and streamline the State planning policy framework to make it easier to navigate and streamline decision making. The existing policy framework is being reviewed to determine further opportunities to streamline and modernise existing policy suites. All policy reviews are being considered for their potential impact on the economy and dwelling construction.</w:t>
      </w:r>
    </w:p>
    <w:p w14:paraId="11435AAA" w14:textId="0C9B0860" w:rsidR="00D92780" w:rsidRPr="002674BD" w:rsidRDefault="00567456" w:rsidP="00D92780">
      <w:pPr>
        <w:spacing w:before="0" w:after="0"/>
        <w:jc w:val="both"/>
        <w:rPr>
          <w:rFonts w:ascii="Calibri Light" w:hAnsi="Calibri Light" w:cs="Arial"/>
          <w:b/>
          <w:kern w:val="32"/>
          <w:sz w:val="28"/>
          <w:szCs w:val="26"/>
        </w:rPr>
      </w:pPr>
      <w:bookmarkStart w:id="30" w:name="_Hlk173741525"/>
      <w:r w:rsidRPr="002674BD">
        <w:rPr>
          <w:rFonts w:ascii="Calibri Light" w:hAnsi="Calibri Light" w:cs="Arial"/>
          <w:b/>
          <w:kern w:val="32"/>
          <w:sz w:val="28"/>
          <w:szCs w:val="26"/>
        </w:rPr>
        <w:t xml:space="preserve">State Planning Policy and </w:t>
      </w:r>
      <w:r w:rsidR="00D92780" w:rsidRPr="002674BD">
        <w:rPr>
          <w:rFonts w:ascii="Calibri Light" w:hAnsi="Calibri Light" w:cs="Arial"/>
          <w:b/>
          <w:kern w:val="32"/>
          <w:sz w:val="28"/>
          <w:szCs w:val="26"/>
        </w:rPr>
        <w:t>Planning Code Regulations</w:t>
      </w:r>
    </w:p>
    <w:p w14:paraId="5FF9F14A" w14:textId="45795034" w:rsidR="00D92780" w:rsidRPr="002674BD" w:rsidRDefault="00D92780" w:rsidP="00D92780">
      <w:pPr>
        <w:spacing w:before="0"/>
        <w:jc w:val="both"/>
      </w:pPr>
      <w:r w:rsidRPr="002674BD">
        <w:rPr>
          <w:i/>
          <w:iCs/>
        </w:rPr>
        <w:t xml:space="preserve">Enacted. Commenced 1 March 2024.  </w:t>
      </w:r>
    </w:p>
    <w:p w14:paraId="3AD2C7EF" w14:textId="56DCA0D8" w:rsidR="007B351B" w:rsidRPr="002674BD" w:rsidRDefault="007B351B" w:rsidP="007B351B">
      <w:pPr>
        <w:jc w:val="both"/>
      </w:pPr>
      <w:r w:rsidRPr="002674BD">
        <w:t>On 1 March 2024 the new Planning and Development (Planning Code) Regulations 202</w:t>
      </w:r>
      <w:r w:rsidR="00B768A3" w:rsidRPr="002674BD">
        <w:t>4</w:t>
      </w:r>
      <w:r w:rsidRPr="002674BD">
        <w:t xml:space="preserve"> and Planning and Development (State Planning Policy) Regulations 202</w:t>
      </w:r>
      <w:r w:rsidR="00B768A3" w:rsidRPr="002674BD">
        <w:t>4</w:t>
      </w:r>
      <w:r w:rsidRPr="002674BD">
        <w:t xml:space="preserve"> </w:t>
      </w:r>
      <w:r w:rsidR="00792063" w:rsidRPr="002674BD">
        <w:t>came into effect</w:t>
      </w:r>
      <w:r w:rsidRPr="002674BD">
        <w:t xml:space="preserve">. </w:t>
      </w:r>
      <w:r w:rsidR="00792063" w:rsidRPr="002674BD">
        <w:t>These regulations introduce</w:t>
      </w:r>
      <w:r w:rsidRPr="002674BD">
        <w:t xml:space="preserve"> ‘risk-based’ assessment and decision-making pathways for several planning instruments, including State planning policies (SPP), is listed within the Action Plan for Planning Reform (Action C4).</w:t>
      </w:r>
    </w:p>
    <w:p w14:paraId="434CF510" w14:textId="650C89CE" w:rsidR="007B351B" w:rsidRPr="002674BD" w:rsidRDefault="007B351B" w:rsidP="007B351B">
      <w:pPr>
        <w:jc w:val="both"/>
      </w:pPr>
      <w:r w:rsidRPr="002674BD">
        <w:t xml:space="preserve">This approach </w:t>
      </w:r>
      <w:r w:rsidR="00792063" w:rsidRPr="002674BD">
        <w:t>will</w:t>
      </w:r>
      <w:r w:rsidRPr="002674BD">
        <w:t xml:space="preserve"> reduce SPP review requirements and timeframes, providing for a more contemporary and agile policy suite. SPPs will remain as strategic due-regard documents, providing direction on a range of land use planning matters applicable to Western Australia, whilst at the same time being easier to review and amend (i.e. administrative amendments not requiring Governor approval).</w:t>
      </w:r>
    </w:p>
    <w:p w14:paraId="12AA934E" w14:textId="71912FB7" w:rsidR="00D92780" w:rsidRPr="002674BD" w:rsidRDefault="00180111" w:rsidP="00D92780">
      <w:pPr>
        <w:jc w:val="both"/>
      </w:pPr>
      <w:r w:rsidRPr="002674BD">
        <w:t xml:space="preserve">Planning Codes were introduced via the </w:t>
      </w:r>
      <w:r w:rsidRPr="002674BD">
        <w:rPr>
          <w:i/>
          <w:iCs/>
        </w:rPr>
        <w:t>Planning and Development Amendment Act 2020</w:t>
      </w:r>
      <w:r w:rsidRPr="002674BD">
        <w:t xml:space="preserve">, with </w:t>
      </w:r>
      <w:r w:rsidR="004D0B9F" w:rsidRPr="002674BD">
        <w:t xml:space="preserve">the </w:t>
      </w:r>
      <w:r w:rsidRPr="002674BD">
        <w:t>regulations outlining the administrative processes to prepare Planning Codes.  The Residential Design Codes (R-Codes) were transitioned to be the first Planning Code, with the potential for other planning codes to be introduced in the future.</w:t>
      </w:r>
      <w:r w:rsidR="001708FD" w:rsidRPr="002674BD">
        <w:t xml:space="preserve"> </w:t>
      </w:r>
      <w:r w:rsidR="00D92780" w:rsidRPr="002674BD">
        <w:t>Only designated Planning Codes will have the ability to be read into local planning schemes given their status as subsidiary legislation.</w:t>
      </w:r>
    </w:p>
    <w:p w14:paraId="6FFAC5D2" w14:textId="4BAB77F6" w:rsidR="00243EC4" w:rsidRPr="002674BD" w:rsidRDefault="006F509C" w:rsidP="007E2D0E">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Planning Codes:</w:t>
      </w:r>
      <w:r w:rsidR="00243EC4" w:rsidRPr="002674BD">
        <w:rPr>
          <w:rFonts w:ascii="Calibri Light" w:hAnsi="Calibri Light" w:cs="Arial"/>
          <w:b/>
          <w:kern w:val="32"/>
          <w:sz w:val="28"/>
          <w:szCs w:val="26"/>
        </w:rPr>
        <w:t xml:space="preserve"> Residential Design Codes, Volume 1 and 2 </w:t>
      </w:r>
    </w:p>
    <w:p w14:paraId="0283F291" w14:textId="46B1428B" w:rsidR="00243EC4" w:rsidRPr="002674BD" w:rsidRDefault="00243EC4" w:rsidP="007E2D0E">
      <w:pPr>
        <w:spacing w:before="0"/>
        <w:jc w:val="both"/>
        <w:rPr>
          <w:i/>
          <w:iCs/>
        </w:rPr>
      </w:pPr>
      <w:r w:rsidRPr="002674BD">
        <w:rPr>
          <w:i/>
          <w:iCs/>
        </w:rPr>
        <w:t>Ongoing</w:t>
      </w:r>
    </w:p>
    <w:p w14:paraId="0E18D865" w14:textId="77777777" w:rsidR="00765F26" w:rsidRPr="002674BD" w:rsidRDefault="00243EC4" w:rsidP="00765F26">
      <w:pPr>
        <w:jc w:val="both"/>
      </w:pPr>
      <w:r w:rsidRPr="002674BD">
        <w:t xml:space="preserve">The WA Government is undertaking a review of the main policy suite for development applications, being the R-Codes, to guide design and development for low, medium and high-density residential development across Western Australia. </w:t>
      </w:r>
      <w:r w:rsidR="00765F26" w:rsidRPr="002674BD">
        <w:t>Deemed-to-comply provisions provide a straight-forward pathway for approval for single houses and generally do not require planning approval.</w:t>
      </w:r>
    </w:p>
    <w:p w14:paraId="6D3AE965" w14:textId="5BFF5B6D" w:rsidR="008A5CAB" w:rsidRPr="002674BD" w:rsidRDefault="008A5CAB" w:rsidP="00765F26">
      <w:pPr>
        <w:jc w:val="both"/>
      </w:pPr>
      <w:r w:rsidRPr="002674BD">
        <w:t>The R-Codes Volume 1 was amended and released (March 2023) to include provisions for contemporary housing included in Part C.</w:t>
      </w:r>
      <w:r w:rsidR="005378CC" w:rsidRPr="002674BD">
        <w:t xml:space="preserve"> </w:t>
      </w:r>
      <w:r w:rsidRPr="002674BD">
        <w:t xml:space="preserve">The amended R-codes Volume 1 was released 8 March 2024 and Volume 1 and consequential amendments to Volume 2 were made operational on 10 April 2024. </w:t>
      </w:r>
    </w:p>
    <w:p w14:paraId="56D7A57D" w14:textId="6DE7CE4A" w:rsidR="00A47F86" w:rsidRPr="002674BD" w:rsidRDefault="00A47F86" w:rsidP="00A47F86">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Planning and Development (Region Planning Scheme) Regulations 2023</w:t>
      </w:r>
    </w:p>
    <w:p w14:paraId="70E1CF90" w14:textId="15906AAD" w:rsidR="00A47F86" w:rsidRPr="002674BD" w:rsidRDefault="00A47F86" w:rsidP="0022733F">
      <w:pPr>
        <w:spacing w:before="0"/>
        <w:jc w:val="both"/>
        <w:rPr>
          <w:i/>
          <w:iCs/>
        </w:rPr>
      </w:pPr>
      <w:r w:rsidRPr="002674BD">
        <w:rPr>
          <w:i/>
          <w:iCs/>
        </w:rPr>
        <w:t>Enacted. Commenced 1 August 2024</w:t>
      </w:r>
    </w:p>
    <w:bookmarkEnd w:id="30"/>
    <w:p w14:paraId="3004C30F" w14:textId="30F5052C" w:rsidR="009350C6" w:rsidRPr="002674BD" w:rsidRDefault="00A47F86" w:rsidP="007E2D0E">
      <w:pPr>
        <w:spacing w:before="0"/>
        <w:jc w:val="both"/>
      </w:pPr>
      <w:r w:rsidRPr="002674BD">
        <w:t xml:space="preserve">The Regulations introduce three streams for region planning scheme amendments (complex, standard and basic), and outline the advertising requirements and factors associated with the consideration of </w:t>
      </w:r>
      <w:r w:rsidRPr="002674BD">
        <w:lastRenderedPageBreak/>
        <w:t>submissions region planning scheme amendments and new region planning schemes.</w:t>
      </w:r>
      <w:r w:rsidR="00934E36" w:rsidRPr="002674BD">
        <w:t xml:space="preserve"> The purpose of which is to introduce the use of risk-based assessment and decision-making pathways for region scheme amendments (and any new region scheme), reducing timeframes for lower-risk proposals.</w:t>
      </w:r>
    </w:p>
    <w:p w14:paraId="4A906F70" w14:textId="77777777" w:rsidR="00896926" w:rsidRPr="002674BD" w:rsidRDefault="00896926" w:rsidP="00896926">
      <w:pPr>
        <w:spacing w:before="0" w:after="0"/>
        <w:jc w:val="both"/>
        <w:rPr>
          <w:rFonts w:ascii="Calibri Light" w:hAnsi="Calibri Light" w:cs="Arial"/>
          <w:b/>
          <w:kern w:val="32"/>
          <w:sz w:val="28"/>
          <w:szCs w:val="26"/>
        </w:rPr>
      </w:pPr>
      <w:r w:rsidRPr="002674BD">
        <w:rPr>
          <w:rFonts w:ascii="Calibri Light" w:hAnsi="Calibri Light" w:cs="Arial"/>
          <w:b/>
          <w:kern w:val="32"/>
          <w:sz w:val="28"/>
          <w:szCs w:val="26"/>
        </w:rPr>
        <w:t>Planning and Development Amendment (Metropolitan Region Scheme) Bill 2024</w:t>
      </w:r>
    </w:p>
    <w:p w14:paraId="268894EF" w14:textId="2C21C0CB" w:rsidR="008534EE" w:rsidRPr="002674BD" w:rsidRDefault="008534EE" w:rsidP="00A473F0">
      <w:pPr>
        <w:spacing w:before="0" w:after="0"/>
        <w:jc w:val="both"/>
        <w:rPr>
          <w:rFonts w:ascii="Aptos" w:hAnsi="Aptos"/>
          <w:b/>
          <w:bCs/>
          <w:color w:val="FF0000"/>
          <w:sz w:val="24"/>
          <w:szCs w:val="24"/>
        </w:rPr>
      </w:pPr>
      <w:r w:rsidRPr="002674BD">
        <w:rPr>
          <w:i/>
          <w:iCs/>
          <w:color w:val="0070C0"/>
        </w:rPr>
        <w:t>New:</w:t>
      </w:r>
      <w:r w:rsidRPr="002674BD">
        <w:rPr>
          <w:rFonts w:ascii="Aptos" w:hAnsi="Aptos"/>
          <w:b/>
          <w:bCs/>
          <w:color w:val="FF0000"/>
          <w:sz w:val="24"/>
          <w:szCs w:val="24"/>
        </w:rPr>
        <w:t xml:space="preserve"> </w:t>
      </w:r>
      <w:r w:rsidRPr="002674BD">
        <w:rPr>
          <w:i/>
          <w:iCs/>
        </w:rPr>
        <w:t>Enacted. Commenced 24 October 2024</w:t>
      </w:r>
    </w:p>
    <w:p w14:paraId="76118B0F" w14:textId="77777777" w:rsidR="008534EE" w:rsidRPr="002674BD" w:rsidRDefault="008534EE" w:rsidP="00A473F0">
      <w:pPr>
        <w:spacing w:before="0" w:after="0"/>
        <w:jc w:val="both"/>
        <w:rPr>
          <w:rFonts w:ascii="Aptos" w:hAnsi="Aptos"/>
          <w:b/>
          <w:bCs/>
          <w:color w:val="FF0000"/>
          <w:sz w:val="24"/>
          <w:szCs w:val="24"/>
        </w:rPr>
      </w:pPr>
    </w:p>
    <w:p w14:paraId="039448B5" w14:textId="37FD3CD8" w:rsidR="00896926" w:rsidRPr="002674BD" w:rsidRDefault="00896926" w:rsidP="00896926">
      <w:pPr>
        <w:spacing w:before="0"/>
        <w:jc w:val="both"/>
      </w:pPr>
      <w:r w:rsidRPr="002674BD">
        <w:t xml:space="preserve">The </w:t>
      </w:r>
      <w:r w:rsidRPr="002674BD">
        <w:rPr>
          <w:i/>
          <w:iCs/>
        </w:rPr>
        <w:t>Planning and Development Amendment (Metropolitan Region Scheme) Bill 2024</w:t>
      </w:r>
      <w:r w:rsidRPr="002674BD">
        <w:t xml:space="preserve"> passed through State Parliament on 24 October 2024 and is now the </w:t>
      </w:r>
      <w:r w:rsidRPr="002674BD">
        <w:rPr>
          <w:i/>
          <w:iCs/>
        </w:rPr>
        <w:t>Planning and Development Amendment (Metropolitan Region Scheme) Act 2024</w:t>
      </w:r>
      <w:r w:rsidRPr="002674BD">
        <w:t>. The Bill modernises the 60-year-old text of the Metropolitan Region Scheme to cut unnecessary red tape and removes significant duplicate processes from the planning system.</w:t>
      </w:r>
    </w:p>
    <w:p w14:paraId="5FC7B6E2" w14:textId="64308ABD" w:rsidR="00896926" w:rsidRPr="002674BD" w:rsidRDefault="00896926" w:rsidP="00896926">
      <w:pPr>
        <w:spacing w:before="0"/>
        <w:jc w:val="both"/>
      </w:pPr>
      <w:r w:rsidRPr="002674BD">
        <w:t>The new Metropolitan Region Scheme will become operational on 31 March 2025. Western Australian Planning Commission notices were finalised on 22 January 2025 and delegations were finalised on 19 February 2025.</w:t>
      </w:r>
    </w:p>
    <w:p w14:paraId="3F21700B" w14:textId="77777777" w:rsidR="00674949" w:rsidRPr="002674BD" w:rsidRDefault="00674949" w:rsidP="007E2D0E">
      <w:pPr>
        <w:jc w:val="both"/>
      </w:pPr>
    </w:p>
    <w:p w14:paraId="6EE0C03A" w14:textId="77777777" w:rsidR="00674949" w:rsidRPr="002674BD" w:rsidRDefault="00674949" w:rsidP="007E2D0E">
      <w:pPr>
        <w:jc w:val="both"/>
      </w:pPr>
    </w:p>
    <w:p w14:paraId="0A4E11F3" w14:textId="77777777" w:rsidR="00BA7BFF" w:rsidRPr="002674BD" w:rsidRDefault="00BA7BFF" w:rsidP="007E2D0E">
      <w:pPr>
        <w:spacing w:before="0" w:after="160" w:line="259" w:lineRule="auto"/>
        <w:jc w:val="both"/>
      </w:pPr>
      <w:r w:rsidRPr="002674BD">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rsidRPr="002674BD" w14:paraId="389CBD4C" w14:textId="77777777" w:rsidTr="003074FE">
        <w:tc>
          <w:tcPr>
            <w:tcW w:w="5000" w:type="pct"/>
            <w:shd w:val="clear" w:color="auto" w:fill="CEDBE6" w:themeFill="background2"/>
            <w:hideMark/>
          </w:tcPr>
          <w:p w14:paraId="5B9556AD" w14:textId="3D0A77B9" w:rsidR="005455D8" w:rsidRPr="002674BD" w:rsidRDefault="005455D8" w:rsidP="007E2D0E">
            <w:pPr>
              <w:pStyle w:val="Heading1"/>
              <w:jc w:val="both"/>
              <w:rPr>
                <w:lang w:eastAsia="en-US"/>
              </w:rPr>
            </w:pPr>
            <w:bookmarkStart w:id="31" w:name="_Toc168064964"/>
            <w:bookmarkStart w:id="32" w:name="_Toc168065275"/>
            <w:bookmarkStart w:id="33" w:name="_Toc191366148"/>
            <w:r w:rsidRPr="002674BD">
              <w:rPr>
                <w:lang w:eastAsia="en-US"/>
              </w:rPr>
              <w:lastRenderedPageBreak/>
              <w:t>Measure 4</w:t>
            </w:r>
            <w:bookmarkEnd w:id="31"/>
            <w:bookmarkEnd w:id="32"/>
            <w:bookmarkEnd w:id="33"/>
          </w:p>
          <w:p w14:paraId="6678853F" w14:textId="6342AD13" w:rsidR="005455D8" w:rsidRPr="002674BD" w:rsidRDefault="005455D8" w:rsidP="007E2D0E">
            <w:pPr>
              <w:pStyle w:val="Boxbullet"/>
              <w:numPr>
                <w:ilvl w:val="0"/>
                <w:numId w:val="0"/>
              </w:numPr>
              <w:jc w:val="both"/>
            </w:pPr>
            <w:r w:rsidRPr="002674BD">
              <w:rPr>
                <w:sz w:val="24"/>
                <w:szCs w:val="24"/>
              </w:rPr>
              <w:t>Planning Ministers will identify well-located ‘development ready’ land, having appropriate regard to the protection of land with key attributes e.g. environmental or economic.</w:t>
            </w:r>
          </w:p>
        </w:tc>
      </w:tr>
    </w:tbl>
    <w:p w14:paraId="54FE259A" w14:textId="77777777" w:rsidR="00A07CC6" w:rsidRPr="002674BD" w:rsidRDefault="00A07CC6" w:rsidP="009D157D">
      <w:pPr>
        <w:pStyle w:val="Heading2"/>
        <w:spacing w:after="0"/>
        <w:jc w:val="both"/>
      </w:pPr>
      <w:bookmarkStart w:id="34" w:name="_Toc160799704"/>
      <w:bookmarkStart w:id="35" w:name="_Toc168064965"/>
      <w:bookmarkStart w:id="36" w:name="_Toc168065276"/>
      <w:bookmarkStart w:id="37" w:name="_Toc191366149"/>
      <w:r w:rsidRPr="002674BD">
        <w:t>Key findings from a development ready land stocktake</w:t>
      </w:r>
      <w:r w:rsidRPr="002674BD">
        <w:rPr>
          <w:szCs w:val="40"/>
          <w:vertAlign w:val="superscript"/>
        </w:rPr>
        <w:footnoteReference w:id="3"/>
      </w:r>
      <w:bookmarkEnd w:id="34"/>
      <w:bookmarkEnd w:id="35"/>
      <w:bookmarkEnd w:id="36"/>
      <w:bookmarkEnd w:id="37"/>
    </w:p>
    <w:p w14:paraId="325FB17A" w14:textId="5CDAB6A5" w:rsidR="004662CA" w:rsidRPr="002674BD" w:rsidRDefault="004662CA" w:rsidP="007E2D0E">
      <w:pPr>
        <w:spacing w:before="0"/>
        <w:jc w:val="both"/>
        <w:rPr>
          <w:color w:val="0070C0"/>
        </w:rPr>
      </w:pPr>
      <w:r w:rsidRPr="002674BD">
        <w:rPr>
          <w:color w:val="0070C0"/>
        </w:rPr>
        <w:t>Update</w:t>
      </w:r>
    </w:p>
    <w:p w14:paraId="64D9812D" w14:textId="3DF3E3E0" w:rsidR="000358E9" w:rsidRPr="002674BD" w:rsidRDefault="000358E9" w:rsidP="007E2D0E">
      <w:pPr>
        <w:jc w:val="both"/>
      </w:pPr>
      <w:r w:rsidRPr="002674BD">
        <w:t>The data provided is centred on the existing stock of lots for both conditional and final subdivision approvals</w:t>
      </w:r>
      <w:r w:rsidR="00B00636" w:rsidRPr="002674BD">
        <w:t xml:space="preserve"> (as of Dec 2024)</w:t>
      </w:r>
      <w:r w:rsidRPr="002674BD">
        <w:t>.</w:t>
      </w:r>
    </w:p>
    <w:p w14:paraId="073D82FA" w14:textId="77777777" w:rsidR="000358E9" w:rsidRPr="002674BD" w:rsidRDefault="000358E9" w:rsidP="007E2D0E">
      <w:pPr>
        <w:jc w:val="both"/>
      </w:pPr>
      <w:r w:rsidRPr="002674BD">
        <w:t>In summary:</w:t>
      </w:r>
    </w:p>
    <w:p w14:paraId="5DD677C7" w14:textId="0BBEAB49" w:rsidR="000358E9" w:rsidRPr="002674BD" w:rsidRDefault="000358E9" w:rsidP="007E2D0E">
      <w:pPr>
        <w:pStyle w:val="Bullet"/>
        <w:jc w:val="both"/>
      </w:pPr>
      <w:r w:rsidRPr="002674BD">
        <w:t xml:space="preserve">The stock of lots </w:t>
      </w:r>
      <w:r w:rsidR="004662CA" w:rsidRPr="002674BD">
        <w:t xml:space="preserve">with valid conditional approval </w:t>
      </w:r>
      <w:r w:rsidR="003E72F9" w:rsidRPr="002674BD">
        <w:t xml:space="preserve">in </w:t>
      </w:r>
      <w:r w:rsidR="00B00636" w:rsidRPr="002674BD">
        <w:t xml:space="preserve">June 2024 </w:t>
      </w:r>
      <w:r w:rsidR="003E72F9" w:rsidRPr="002674BD">
        <w:t xml:space="preserve">was </w:t>
      </w:r>
      <w:r w:rsidR="00B00636" w:rsidRPr="002674BD">
        <w:t>61,010</w:t>
      </w:r>
      <w:r w:rsidRPr="002674BD">
        <w:t xml:space="preserve"> lots</w:t>
      </w:r>
      <w:r w:rsidR="003E72F9" w:rsidRPr="002674BD">
        <w:t xml:space="preserve"> </w:t>
      </w:r>
      <w:r w:rsidR="004662CA" w:rsidRPr="002674BD">
        <w:t xml:space="preserve">and </w:t>
      </w:r>
      <w:r w:rsidR="003E72F9" w:rsidRPr="002674BD">
        <w:t xml:space="preserve">as </w:t>
      </w:r>
      <w:r w:rsidR="004662CA" w:rsidRPr="002674BD">
        <w:t>of</w:t>
      </w:r>
      <w:r w:rsidR="003E72F9" w:rsidRPr="002674BD">
        <w:t xml:space="preserve"> </w:t>
      </w:r>
      <w:r w:rsidR="00B00636" w:rsidRPr="002674BD">
        <w:t>Dec</w:t>
      </w:r>
      <w:r w:rsidR="003E72F9" w:rsidRPr="002674BD">
        <w:t xml:space="preserve"> 2024 </w:t>
      </w:r>
      <w:r w:rsidR="004662CA" w:rsidRPr="002674BD">
        <w:t xml:space="preserve">is </w:t>
      </w:r>
      <w:r w:rsidR="00B00636" w:rsidRPr="002674BD">
        <w:t>64,326</w:t>
      </w:r>
      <w:r w:rsidRPr="002674BD">
        <w:t xml:space="preserve"> </w:t>
      </w:r>
      <w:r w:rsidR="004662CA" w:rsidRPr="002674BD">
        <w:t xml:space="preserve">lots </w:t>
      </w:r>
      <w:r w:rsidRPr="002674BD">
        <w:t xml:space="preserve">across the wider Metropolitan area and the major regional areas in Western Australia. These approvals will include conditions requiring servicing, connection to water, sewerage and power, with road access (gazetted and constructed road frontage). The stock of lots is variable depending on applications lodged by landowners/developers. Through the COVID-19 planning response to support economic recovery, some approvals were granted an automatic extension. </w:t>
      </w:r>
    </w:p>
    <w:p w14:paraId="07BDE7A9" w14:textId="15FE7A3F" w:rsidR="000358E9" w:rsidRPr="002674BD" w:rsidRDefault="000358E9" w:rsidP="007E2D0E">
      <w:pPr>
        <w:pStyle w:val="Bullet"/>
        <w:jc w:val="both"/>
      </w:pPr>
      <w:r w:rsidRPr="002674BD">
        <w:t>In 202</w:t>
      </w:r>
      <w:r w:rsidR="00404E45" w:rsidRPr="002674BD">
        <w:t>4</w:t>
      </w:r>
      <w:r w:rsidRPr="002674BD">
        <w:t xml:space="preserve">, </w:t>
      </w:r>
      <w:r w:rsidR="00B00636" w:rsidRPr="002674BD">
        <w:t>11,238</w:t>
      </w:r>
      <w:r w:rsidR="004662CA" w:rsidRPr="002674BD">
        <w:t xml:space="preserve"> residential lots have been created </w:t>
      </w:r>
      <w:r w:rsidRPr="002674BD">
        <w:t xml:space="preserve">(i.e. approval conditions have been satisfied and final approval granted) across the wider Metropolitan areas and the major regional areas in Western Australia. </w:t>
      </w:r>
    </w:p>
    <w:p w14:paraId="1B6CF41F" w14:textId="13111A1D" w:rsidR="000358E9" w:rsidRPr="002674BD" w:rsidRDefault="000358E9" w:rsidP="007E2D0E">
      <w:pPr>
        <w:pStyle w:val="Bullet"/>
        <w:jc w:val="both"/>
      </w:pPr>
      <w:r w:rsidRPr="002674BD">
        <w:t xml:space="preserve">A majority of the stock of lots under conditional </w:t>
      </w:r>
      <w:r w:rsidR="00D1693B" w:rsidRPr="002674BD">
        <w:t xml:space="preserve">approval </w:t>
      </w:r>
      <w:r w:rsidR="004662CA" w:rsidRPr="002674BD">
        <w:t>as of</w:t>
      </w:r>
      <w:r w:rsidR="00B00636" w:rsidRPr="002674BD">
        <w:t xml:space="preserve"> Dec</w:t>
      </w:r>
      <w:r w:rsidR="004662CA" w:rsidRPr="002674BD">
        <w:t xml:space="preserve"> 2024 </w:t>
      </w:r>
      <w:r w:rsidRPr="002674BD">
        <w:t>(</w:t>
      </w:r>
      <w:r w:rsidR="00B00636" w:rsidRPr="002674BD">
        <w:t xml:space="preserve">56,602 of 64,326 </w:t>
      </w:r>
      <w:r w:rsidRPr="002674BD">
        <w:t xml:space="preserve">lots) and those granted final approval </w:t>
      </w:r>
      <w:r w:rsidR="00B00636" w:rsidRPr="002674BD">
        <w:t>in 2024</w:t>
      </w:r>
      <w:r w:rsidRPr="002674BD">
        <w:t xml:space="preserve"> (</w:t>
      </w:r>
      <w:r w:rsidR="00B00636" w:rsidRPr="002674BD">
        <w:t>10,103 of 11,238</w:t>
      </w:r>
      <w:r w:rsidRPr="002674BD">
        <w:t xml:space="preserve"> lots) are located within the wider Metropolitan area (being the Perth and Peel regions).</w:t>
      </w:r>
    </w:p>
    <w:p w14:paraId="17B6F163" w14:textId="3146E5E8" w:rsidR="009D157D" w:rsidRPr="002674BD" w:rsidRDefault="00CD74A4" w:rsidP="009D157D">
      <w:pPr>
        <w:pStyle w:val="Bullet"/>
        <w:jc w:val="both"/>
      </w:pPr>
      <w:r w:rsidRPr="002674BD">
        <w:t>However,</w:t>
      </w:r>
      <w:r w:rsidR="00D544A6" w:rsidRPr="002674BD">
        <w:t xml:space="preserve"> lot creation relies on external parties applying for subdivision approval and then undertaking the required works on land over which conditional approval has been granted</w:t>
      </w:r>
      <w:r w:rsidR="00306CB8" w:rsidRPr="002674BD">
        <w:t>. As a result,</w:t>
      </w:r>
      <w:r w:rsidR="00D544A6" w:rsidRPr="002674BD">
        <w:t xml:space="preserve"> </w:t>
      </w:r>
      <w:r w:rsidRPr="002674BD">
        <w:t>t</w:t>
      </w:r>
      <w:r w:rsidR="00330B4C" w:rsidRPr="002674BD">
        <w:t>he state does not have direct control of the timing and delivery of land</w:t>
      </w:r>
      <w:r w:rsidR="00D544A6" w:rsidRPr="002674BD">
        <w:t>.</w:t>
      </w:r>
      <w:r w:rsidR="00330B4C" w:rsidRPr="002674BD">
        <w:t xml:space="preserve"> </w:t>
      </w:r>
    </w:p>
    <w:p w14:paraId="099180B0" w14:textId="62D81BFF" w:rsidR="000358E9" w:rsidRPr="002674BD" w:rsidRDefault="000358E9" w:rsidP="009D157D">
      <w:pPr>
        <w:pStyle w:val="Bullet"/>
        <w:jc w:val="both"/>
      </w:pPr>
      <w:r w:rsidRPr="002674BD">
        <w:t xml:space="preserve">Census data indicates that </w:t>
      </w:r>
      <w:r w:rsidR="009E4132" w:rsidRPr="002674BD">
        <w:t>t</w:t>
      </w:r>
      <w:r w:rsidRPr="002674BD">
        <w:t>he 10-year average annual increase in dwelling stock equates to approximately 15,600 dwellings in the Metropolitan region, and 3100 dwellings per annum in Western Australia's major regional centres.</w:t>
      </w:r>
    </w:p>
    <w:p w14:paraId="705B8BD8" w14:textId="704BBCE8" w:rsidR="00763A1F" w:rsidRPr="002674BD" w:rsidRDefault="00763A1F" w:rsidP="007E2D0E">
      <w:pPr>
        <w:jc w:val="both"/>
      </w:pPr>
      <w:r w:rsidRPr="002674BD">
        <w:lastRenderedPageBreak/>
        <w:t>Table 4 below provides a summary of land supply (as outlined in Tables 1 and 2 in Measure 3) and includes the stock of lots and annual dwellings within the Metropolitan Region and major regional areas in Western Australia. This includes land that is zoned urban and urban deferred but undeveloped, land that has been identified strategically for future growth and urban infill in the Metropolitan Region, and includes the Regional Land Supply Data prepared during 2015-202</w:t>
      </w:r>
      <w:r w:rsidR="00520ADD" w:rsidRPr="002674BD">
        <w:t>4</w:t>
      </w:r>
      <w:r w:rsidRPr="002674BD">
        <w:t>.</w:t>
      </w:r>
    </w:p>
    <w:p w14:paraId="0310CEB0" w14:textId="586ED834" w:rsidR="00763A1F" w:rsidRPr="002674BD" w:rsidRDefault="005D65E8" w:rsidP="007E2D0E">
      <w:pPr>
        <w:jc w:val="both"/>
        <w:rPr>
          <w:rStyle w:val="Strong"/>
        </w:rPr>
      </w:pPr>
      <w:r w:rsidRPr="002674BD">
        <w:rPr>
          <w:rStyle w:val="Strong"/>
          <w:color w:val="0070C0"/>
        </w:rPr>
        <w:t>Update</w:t>
      </w:r>
      <w:r w:rsidRPr="002674BD">
        <w:rPr>
          <w:rStyle w:val="Strong"/>
        </w:rPr>
        <w:t xml:space="preserve"> </w:t>
      </w:r>
      <w:r w:rsidR="00763A1F" w:rsidRPr="002674BD">
        <w:rPr>
          <w:rStyle w:val="Strong"/>
        </w:rPr>
        <w:t xml:space="preserve">Table 4: Land supply, stock of lots and average annual dwellings in the </w:t>
      </w:r>
      <w:r w:rsidR="00EB35E8" w:rsidRPr="002674BD">
        <w:rPr>
          <w:rStyle w:val="Strong"/>
        </w:rPr>
        <w:t>m</w:t>
      </w:r>
      <w:r w:rsidR="00763A1F" w:rsidRPr="002674BD">
        <w:rPr>
          <w:rStyle w:val="Strong"/>
        </w:rPr>
        <w:t xml:space="preserve">etropolitan </w:t>
      </w:r>
      <w:r w:rsidR="00EB35E8" w:rsidRPr="002674BD">
        <w:rPr>
          <w:rStyle w:val="Strong"/>
        </w:rPr>
        <w:t>r</w:t>
      </w:r>
      <w:r w:rsidR="00763A1F" w:rsidRPr="002674BD">
        <w:rPr>
          <w:rStyle w:val="Strong"/>
        </w:rPr>
        <w:t>egion and major regional areas (</w:t>
      </w:r>
      <w:r w:rsidR="00B00636" w:rsidRPr="002674BD">
        <w:rPr>
          <w:rStyle w:val="Strong"/>
        </w:rPr>
        <w:t>Dec 2024</w:t>
      </w:r>
      <w:r w:rsidR="00763A1F" w:rsidRPr="002674BD">
        <w:rPr>
          <w:rStyle w:val="Strong"/>
        </w:rPr>
        <w:t>)</w:t>
      </w:r>
    </w:p>
    <w:tbl>
      <w:tblPr>
        <w:tblW w:w="9924" w:type="dxa"/>
        <w:tblInd w:w="-426" w:type="dxa"/>
        <w:tblLook w:val="01E0" w:firstRow="1" w:lastRow="1" w:firstColumn="1" w:lastColumn="1" w:noHBand="0" w:noVBand="0"/>
      </w:tblPr>
      <w:tblGrid>
        <w:gridCol w:w="1844"/>
        <w:gridCol w:w="2551"/>
        <w:gridCol w:w="2127"/>
        <w:gridCol w:w="1701"/>
        <w:gridCol w:w="1701"/>
      </w:tblGrid>
      <w:tr w:rsidR="00C96C45" w:rsidRPr="002674BD" w14:paraId="48B209F7" w14:textId="77777777" w:rsidTr="00EB35E8">
        <w:trPr>
          <w:trHeight w:val="20"/>
        </w:trPr>
        <w:tc>
          <w:tcPr>
            <w:tcW w:w="1844" w:type="dxa"/>
            <w:vMerge w:val="restart"/>
            <w:shd w:val="clear" w:color="auto" w:fill="F2F2F2" w:themeFill="background1" w:themeFillShade="F2"/>
            <w:vAlign w:val="center"/>
            <w:hideMark/>
          </w:tcPr>
          <w:p w14:paraId="635988A1" w14:textId="77777777" w:rsidR="00C96C45" w:rsidRPr="002674BD" w:rsidRDefault="00C96C45" w:rsidP="00C96C45">
            <w:pPr>
              <w:spacing w:before="0" w:after="0"/>
              <w:jc w:val="both"/>
              <w:rPr>
                <w:rFonts w:ascii="Calibri" w:hAnsi="Calibri" w:cs="Calibri"/>
                <w:b/>
                <w:bCs/>
                <w:color w:val="000000"/>
                <w:sz w:val="20"/>
              </w:rPr>
            </w:pPr>
            <w:r w:rsidRPr="002674BD">
              <w:rPr>
                <w:rFonts w:ascii="Calibri" w:hAnsi="Calibri" w:cs="Calibri"/>
                <w:b/>
                <w:bCs/>
                <w:color w:val="000000"/>
                <w:sz w:val="20"/>
              </w:rPr>
              <w:t>Region</w:t>
            </w:r>
          </w:p>
        </w:tc>
        <w:tc>
          <w:tcPr>
            <w:tcW w:w="2551" w:type="dxa"/>
            <w:shd w:val="clear" w:color="auto" w:fill="F2F2F2" w:themeFill="background1" w:themeFillShade="F2"/>
            <w:hideMark/>
          </w:tcPr>
          <w:p w14:paraId="7CDB859D" w14:textId="1A73EC8A" w:rsidR="00C96C45" w:rsidRPr="002674BD" w:rsidRDefault="00C96C45" w:rsidP="00C96C45">
            <w:pPr>
              <w:spacing w:before="0" w:after="0"/>
              <w:jc w:val="both"/>
              <w:rPr>
                <w:rFonts w:ascii="Calibri" w:hAnsi="Calibri" w:cs="Calibri"/>
                <w:b/>
                <w:bCs/>
                <w:color w:val="000000"/>
                <w:sz w:val="20"/>
              </w:rPr>
            </w:pPr>
            <w:r w:rsidRPr="002674BD">
              <w:rPr>
                <w:b/>
                <w:bCs/>
                <w:sz w:val="20"/>
              </w:rPr>
              <w:t>Estimated dwellings – land zoned or identified for zoning to 2050</w:t>
            </w:r>
          </w:p>
        </w:tc>
        <w:tc>
          <w:tcPr>
            <w:tcW w:w="2127" w:type="dxa"/>
            <w:shd w:val="clear" w:color="auto" w:fill="F2F2F2" w:themeFill="background1" w:themeFillShade="F2"/>
            <w:hideMark/>
          </w:tcPr>
          <w:p w14:paraId="0CA1E547" w14:textId="5B072307" w:rsidR="00C96C45" w:rsidRPr="002674BD" w:rsidRDefault="00C96C45" w:rsidP="00C96C45">
            <w:pPr>
              <w:spacing w:before="0" w:after="0"/>
              <w:jc w:val="both"/>
              <w:rPr>
                <w:rFonts w:ascii="Calibri" w:hAnsi="Calibri" w:cs="Calibri"/>
                <w:b/>
                <w:bCs/>
                <w:color w:val="000000"/>
                <w:sz w:val="20"/>
              </w:rPr>
            </w:pPr>
            <w:r w:rsidRPr="002674BD">
              <w:rPr>
                <w:b/>
                <w:bCs/>
                <w:sz w:val="20"/>
              </w:rPr>
              <w:t>Stock of residential lots with conditional subdivision approval</w:t>
            </w:r>
          </w:p>
        </w:tc>
        <w:tc>
          <w:tcPr>
            <w:tcW w:w="1701" w:type="dxa"/>
            <w:shd w:val="clear" w:color="auto" w:fill="F2F2F2" w:themeFill="background1" w:themeFillShade="F2"/>
            <w:hideMark/>
          </w:tcPr>
          <w:p w14:paraId="39E59768" w14:textId="5E525582" w:rsidR="00C96C45" w:rsidRPr="002674BD" w:rsidRDefault="00C96C45" w:rsidP="00C96C45">
            <w:pPr>
              <w:spacing w:before="0" w:after="0"/>
              <w:jc w:val="both"/>
              <w:rPr>
                <w:rFonts w:ascii="Calibri" w:hAnsi="Calibri" w:cs="Calibri"/>
                <w:b/>
                <w:bCs/>
                <w:color w:val="000000"/>
                <w:sz w:val="20"/>
              </w:rPr>
            </w:pPr>
            <w:r w:rsidRPr="002674BD">
              <w:rPr>
                <w:b/>
                <w:bCs/>
                <w:sz w:val="20"/>
              </w:rPr>
              <w:t>Residential lots granted final approval (Jan to Dec 2024)</w:t>
            </w:r>
          </w:p>
        </w:tc>
        <w:tc>
          <w:tcPr>
            <w:tcW w:w="1701" w:type="dxa"/>
            <w:shd w:val="clear" w:color="auto" w:fill="F2F2F2" w:themeFill="background1" w:themeFillShade="F2"/>
            <w:hideMark/>
          </w:tcPr>
          <w:p w14:paraId="37EE369E" w14:textId="05BDB13F" w:rsidR="00C96C45" w:rsidRPr="002674BD" w:rsidRDefault="00C96C45" w:rsidP="00C96C45">
            <w:pPr>
              <w:spacing w:before="0" w:after="0"/>
              <w:jc w:val="both"/>
              <w:rPr>
                <w:rFonts w:ascii="Calibri" w:hAnsi="Calibri" w:cs="Calibri"/>
                <w:b/>
                <w:bCs/>
                <w:color w:val="000000"/>
                <w:sz w:val="20"/>
              </w:rPr>
            </w:pPr>
            <w:r w:rsidRPr="002674BD">
              <w:rPr>
                <w:b/>
                <w:bCs/>
                <w:sz w:val="20"/>
              </w:rPr>
              <w:t>Estimated annual dwelling increase</w:t>
            </w:r>
          </w:p>
        </w:tc>
      </w:tr>
      <w:tr w:rsidR="00C96C45" w:rsidRPr="002674BD" w14:paraId="79F6532E" w14:textId="77777777" w:rsidTr="00EB35E8">
        <w:trPr>
          <w:trHeight w:val="450"/>
        </w:trPr>
        <w:tc>
          <w:tcPr>
            <w:tcW w:w="1844" w:type="dxa"/>
            <w:vMerge/>
            <w:tcBorders>
              <w:bottom w:val="nil"/>
            </w:tcBorders>
            <w:shd w:val="clear" w:color="auto" w:fill="F2F2F2" w:themeFill="background1" w:themeFillShade="F2"/>
            <w:vAlign w:val="center"/>
            <w:hideMark/>
          </w:tcPr>
          <w:p w14:paraId="713515E7" w14:textId="77777777" w:rsidR="00C96C45" w:rsidRPr="002674BD" w:rsidRDefault="00C96C45" w:rsidP="00C96C45">
            <w:pPr>
              <w:spacing w:before="0" w:after="0"/>
              <w:jc w:val="both"/>
              <w:rPr>
                <w:rFonts w:ascii="Calibri" w:hAnsi="Calibri" w:cs="Calibri"/>
                <w:b/>
                <w:bCs/>
                <w:color w:val="000000"/>
                <w:sz w:val="20"/>
              </w:rPr>
            </w:pPr>
          </w:p>
        </w:tc>
        <w:tc>
          <w:tcPr>
            <w:tcW w:w="2551" w:type="dxa"/>
            <w:vMerge w:val="restart"/>
            <w:tcBorders>
              <w:bottom w:val="nil"/>
            </w:tcBorders>
            <w:shd w:val="clear" w:color="auto" w:fill="F2F2F2" w:themeFill="background1" w:themeFillShade="F2"/>
            <w:hideMark/>
          </w:tcPr>
          <w:p w14:paraId="1C964292" w14:textId="5923428F" w:rsidR="00C96C45" w:rsidRPr="002674BD" w:rsidRDefault="00C96C45" w:rsidP="00C96C45">
            <w:pPr>
              <w:spacing w:before="0" w:after="0"/>
              <w:jc w:val="both"/>
              <w:rPr>
                <w:rFonts w:ascii="Calibri" w:hAnsi="Calibri" w:cs="Calibri"/>
                <w:color w:val="000000"/>
                <w:sz w:val="20"/>
              </w:rPr>
            </w:pPr>
            <w:r w:rsidRPr="002674BD">
              <w:rPr>
                <w:sz w:val="20"/>
              </w:rPr>
              <w:t>Estimated Dwelling Yields on undeveloped Urban and Residential Land (see Notes)</w:t>
            </w:r>
          </w:p>
        </w:tc>
        <w:tc>
          <w:tcPr>
            <w:tcW w:w="2127" w:type="dxa"/>
            <w:vMerge w:val="restart"/>
            <w:tcBorders>
              <w:bottom w:val="nil"/>
            </w:tcBorders>
            <w:shd w:val="clear" w:color="auto" w:fill="F2F2F2" w:themeFill="background1" w:themeFillShade="F2"/>
            <w:hideMark/>
          </w:tcPr>
          <w:p w14:paraId="4B84940F" w14:textId="502CED12" w:rsidR="00C96C45" w:rsidRPr="002674BD" w:rsidRDefault="00C96C45" w:rsidP="00C96C45">
            <w:pPr>
              <w:spacing w:before="0" w:after="0"/>
              <w:jc w:val="both"/>
              <w:rPr>
                <w:rFonts w:ascii="Calibri" w:hAnsi="Calibri" w:cs="Calibri"/>
                <w:color w:val="000000"/>
                <w:sz w:val="20"/>
              </w:rPr>
            </w:pPr>
            <w:r w:rsidRPr="002674BD">
              <w:rPr>
                <w:sz w:val="20"/>
              </w:rPr>
              <w:t>Current conditional approvals – residential subdivision – as at Dec 2024***</w:t>
            </w:r>
          </w:p>
        </w:tc>
        <w:tc>
          <w:tcPr>
            <w:tcW w:w="1701" w:type="dxa"/>
            <w:vMerge w:val="restart"/>
            <w:tcBorders>
              <w:bottom w:val="nil"/>
            </w:tcBorders>
            <w:shd w:val="clear" w:color="auto" w:fill="F2F2F2" w:themeFill="background1" w:themeFillShade="F2"/>
            <w:hideMark/>
          </w:tcPr>
          <w:p w14:paraId="3830E60E" w14:textId="30DC3F7F" w:rsidR="00C96C45" w:rsidRPr="002674BD" w:rsidRDefault="00C96C45" w:rsidP="00C96C45">
            <w:pPr>
              <w:spacing w:before="0" w:after="0"/>
              <w:jc w:val="both"/>
              <w:rPr>
                <w:rFonts w:ascii="Calibri" w:hAnsi="Calibri" w:cs="Calibri"/>
                <w:color w:val="000000"/>
                <w:sz w:val="20"/>
              </w:rPr>
            </w:pPr>
            <w:r w:rsidRPr="002674BD">
              <w:rPr>
                <w:sz w:val="20"/>
              </w:rPr>
              <w:t>Final approvals – residential subdivision – Jan to Dec 2024****</w:t>
            </w:r>
          </w:p>
        </w:tc>
        <w:tc>
          <w:tcPr>
            <w:tcW w:w="1701" w:type="dxa"/>
            <w:vMerge w:val="restart"/>
            <w:tcBorders>
              <w:bottom w:val="nil"/>
            </w:tcBorders>
            <w:shd w:val="clear" w:color="auto" w:fill="F2F2F2" w:themeFill="background1" w:themeFillShade="F2"/>
            <w:hideMark/>
          </w:tcPr>
          <w:p w14:paraId="46F6826C" w14:textId="27C051F6" w:rsidR="00C96C45" w:rsidRPr="002674BD" w:rsidRDefault="00C96C45" w:rsidP="00C96C45">
            <w:pPr>
              <w:spacing w:before="0" w:after="0"/>
              <w:jc w:val="both"/>
              <w:rPr>
                <w:rFonts w:ascii="Calibri" w:hAnsi="Calibri" w:cs="Calibri"/>
                <w:color w:val="000000"/>
                <w:sz w:val="20"/>
              </w:rPr>
            </w:pPr>
            <w:r w:rsidRPr="002674BD">
              <w:rPr>
                <w:sz w:val="20"/>
              </w:rPr>
              <w:t>Average annual change in dwelling stock (2011 to 2021) ABS Census</w:t>
            </w:r>
          </w:p>
        </w:tc>
      </w:tr>
      <w:tr w:rsidR="005D65E8" w:rsidRPr="002674BD" w14:paraId="7EDEF7C5" w14:textId="77777777" w:rsidTr="00EB35E8">
        <w:trPr>
          <w:trHeight w:val="450"/>
        </w:trPr>
        <w:tc>
          <w:tcPr>
            <w:tcW w:w="1844" w:type="dxa"/>
            <w:vMerge/>
            <w:shd w:val="clear" w:color="auto" w:fill="F2F2F2" w:themeFill="background1" w:themeFillShade="F2"/>
            <w:vAlign w:val="center"/>
            <w:hideMark/>
          </w:tcPr>
          <w:p w14:paraId="79E205C4" w14:textId="77777777" w:rsidR="005D65E8" w:rsidRPr="002674BD" w:rsidRDefault="005D65E8" w:rsidP="007E2D0E">
            <w:pPr>
              <w:spacing w:before="0" w:after="0"/>
              <w:jc w:val="both"/>
              <w:rPr>
                <w:rFonts w:ascii="Calibri" w:hAnsi="Calibri" w:cs="Calibri"/>
                <w:b/>
                <w:bCs/>
                <w:color w:val="000000"/>
                <w:sz w:val="20"/>
              </w:rPr>
            </w:pPr>
          </w:p>
        </w:tc>
        <w:tc>
          <w:tcPr>
            <w:tcW w:w="2551" w:type="dxa"/>
            <w:vMerge/>
            <w:shd w:val="clear" w:color="auto" w:fill="F2F2F2" w:themeFill="background1" w:themeFillShade="F2"/>
            <w:vAlign w:val="center"/>
            <w:hideMark/>
          </w:tcPr>
          <w:p w14:paraId="6F042C5B" w14:textId="77777777" w:rsidR="005D65E8" w:rsidRPr="002674BD" w:rsidRDefault="005D65E8" w:rsidP="007E2D0E">
            <w:pPr>
              <w:spacing w:before="0" w:after="0"/>
              <w:jc w:val="both"/>
              <w:rPr>
                <w:rFonts w:ascii="Calibri" w:hAnsi="Calibri" w:cs="Calibri"/>
                <w:color w:val="000000"/>
                <w:sz w:val="20"/>
              </w:rPr>
            </w:pPr>
          </w:p>
        </w:tc>
        <w:tc>
          <w:tcPr>
            <w:tcW w:w="2127" w:type="dxa"/>
            <w:vMerge/>
            <w:shd w:val="clear" w:color="auto" w:fill="F2F2F2" w:themeFill="background1" w:themeFillShade="F2"/>
            <w:vAlign w:val="center"/>
            <w:hideMark/>
          </w:tcPr>
          <w:p w14:paraId="0E269E84" w14:textId="77777777" w:rsidR="005D65E8" w:rsidRPr="002674BD" w:rsidRDefault="005D65E8" w:rsidP="007E2D0E">
            <w:pPr>
              <w:spacing w:before="0" w:after="0"/>
              <w:jc w:val="both"/>
              <w:rPr>
                <w:rFonts w:ascii="Calibri" w:hAnsi="Calibri" w:cs="Calibri"/>
                <w:color w:val="000000"/>
                <w:sz w:val="20"/>
              </w:rPr>
            </w:pPr>
          </w:p>
        </w:tc>
        <w:tc>
          <w:tcPr>
            <w:tcW w:w="1701" w:type="dxa"/>
            <w:vMerge/>
            <w:shd w:val="clear" w:color="auto" w:fill="F2F2F2" w:themeFill="background1" w:themeFillShade="F2"/>
            <w:vAlign w:val="center"/>
            <w:hideMark/>
          </w:tcPr>
          <w:p w14:paraId="7A9BE060" w14:textId="77777777" w:rsidR="005D65E8" w:rsidRPr="002674BD" w:rsidRDefault="005D65E8" w:rsidP="007E2D0E">
            <w:pPr>
              <w:spacing w:before="0" w:after="0"/>
              <w:jc w:val="both"/>
              <w:rPr>
                <w:rFonts w:ascii="Calibri" w:hAnsi="Calibri" w:cs="Calibri"/>
                <w:color w:val="000000"/>
                <w:sz w:val="20"/>
              </w:rPr>
            </w:pPr>
          </w:p>
        </w:tc>
        <w:tc>
          <w:tcPr>
            <w:tcW w:w="1701" w:type="dxa"/>
            <w:vMerge/>
            <w:shd w:val="clear" w:color="auto" w:fill="F2F2F2" w:themeFill="background1" w:themeFillShade="F2"/>
            <w:vAlign w:val="center"/>
            <w:hideMark/>
          </w:tcPr>
          <w:p w14:paraId="48FBCC71" w14:textId="77777777" w:rsidR="005D65E8" w:rsidRPr="002674BD" w:rsidRDefault="005D65E8" w:rsidP="007E2D0E">
            <w:pPr>
              <w:spacing w:before="0" w:after="0"/>
              <w:jc w:val="both"/>
              <w:rPr>
                <w:rFonts w:ascii="Calibri" w:hAnsi="Calibri" w:cs="Calibri"/>
                <w:color w:val="000000"/>
                <w:sz w:val="20"/>
              </w:rPr>
            </w:pPr>
          </w:p>
        </w:tc>
      </w:tr>
      <w:tr w:rsidR="00C96C45" w:rsidRPr="002674BD" w14:paraId="79B3782B" w14:textId="77777777" w:rsidTr="00EB35E8">
        <w:trPr>
          <w:trHeight w:val="20"/>
        </w:trPr>
        <w:tc>
          <w:tcPr>
            <w:tcW w:w="1844" w:type="dxa"/>
            <w:shd w:val="clear" w:color="auto" w:fill="auto"/>
            <w:vAlign w:val="center"/>
          </w:tcPr>
          <w:p w14:paraId="4AD42FE9" w14:textId="77777777" w:rsidR="00C96C45" w:rsidRPr="002674BD" w:rsidRDefault="00C96C45" w:rsidP="00C96C45">
            <w:pPr>
              <w:spacing w:before="0" w:after="0"/>
              <w:jc w:val="both"/>
              <w:rPr>
                <w:rFonts w:ascii="Calibri" w:hAnsi="Calibri" w:cs="Calibri"/>
                <w:b/>
                <w:bCs/>
                <w:color w:val="000000"/>
                <w:sz w:val="18"/>
                <w:szCs w:val="18"/>
              </w:rPr>
            </w:pPr>
            <w:r w:rsidRPr="002674BD">
              <w:rPr>
                <w:rFonts w:ascii="Calibri" w:hAnsi="Calibri" w:cs="Calibri"/>
                <w:b/>
                <w:bCs/>
                <w:color w:val="000000"/>
                <w:sz w:val="18"/>
                <w:szCs w:val="18"/>
              </w:rPr>
              <w:t>Perth and Peel metropolitan Regions</w:t>
            </w:r>
          </w:p>
        </w:tc>
        <w:tc>
          <w:tcPr>
            <w:tcW w:w="2551" w:type="dxa"/>
            <w:shd w:val="clear" w:color="auto" w:fill="auto"/>
            <w:vAlign w:val="center"/>
          </w:tcPr>
          <w:p w14:paraId="493ED47C" w14:textId="77777777" w:rsidR="00C96C45" w:rsidRPr="002674BD" w:rsidRDefault="00C96C45" w:rsidP="00C96C45">
            <w:pPr>
              <w:spacing w:before="0" w:after="0"/>
              <w:jc w:val="both"/>
              <w:rPr>
                <w:rFonts w:ascii="Calibri" w:hAnsi="Calibri" w:cs="Calibri"/>
                <w:color w:val="000000"/>
                <w:sz w:val="18"/>
                <w:szCs w:val="18"/>
              </w:rPr>
            </w:pPr>
            <w:r w:rsidRPr="002674BD">
              <w:rPr>
                <w:rFonts w:ascii="Calibri" w:hAnsi="Calibri" w:cs="Calibri"/>
                <w:color w:val="000000"/>
                <w:sz w:val="18"/>
                <w:szCs w:val="18"/>
              </w:rPr>
              <w:t>1,000,210*</w:t>
            </w:r>
            <w:r w:rsidRPr="002674BD">
              <w:rPr>
                <w:rFonts w:ascii="Calibri" w:hAnsi="Calibri" w:cs="Calibri"/>
                <w:color w:val="000000"/>
                <w:sz w:val="18"/>
                <w:szCs w:val="18"/>
              </w:rPr>
              <w:br/>
              <w:t>(to 2050)</w:t>
            </w:r>
          </w:p>
        </w:tc>
        <w:tc>
          <w:tcPr>
            <w:tcW w:w="2127" w:type="dxa"/>
            <w:shd w:val="clear" w:color="auto" w:fill="auto"/>
            <w:vAlign w:val="center"/>
          </w:tcPr>
          <w:p w14:paraId="0A6A86E5" w14:textId="698A600D" w:rsidR="00C96C45" w:rsidRPr="002674BD" w:rsidRDefault="00C96C45" w:rsidP="00C96C45">
            <w:pPr>
              <w:spacing w:before="0" w:after="0"/>
              <w:jc w:val="both"/>
              <w:rPr>
                <w:rFonts w:ascii="Calibri" w:hAnsi="Calibri" w:cs="Calibri"/>
                <w:color w:val="000000"/>
                <w:sz w:val="18"/>
                <w:szCs w:val="18"/>
              </w:rPr>
            </w:pPr>
            <w:r w:rsidRPr="002674BD">
              <w:rPr>
                <w:rFonts w:ascii="Calibri" w:hAnsi="Calibri" w:cs="Calibri"/>
                <w:color w:val="000000"/>
                <w:sz w:val="18"/>
                <w:szCs w:val="18"/>
              </w:rPr>
              <w:t>56,602</w:t>
            </w:r>
          </w:p>
        </w:tc>
        <w:tc>
          <w:tcPr>
            <w:tcW w:w="1701" w:type="dxa"/>
            <w:shd w:val="clear" w:color="auto" w:fill="auto"/>
            <w:vAlign w:val="center"/>
          </w:tcPr>
          <w:p w14:paraId="33C5BD9C" w14:textId="6D708511" w:rsidR="00C96C45" w:rsidRPr="002674BD" w:rsidRDefault="00C96C45" w:rsidP="00C96C45">
            <w:pPr>
              <w:spacing w:before="0" w:after="0"/>
              <w:rPr>
                <w:rFonts w:ascii="Calibri" w:hAnsi="Calibri" w:cs="Calibri"/>
                <w:color w:val="000000"/>
                <w:sz w:val="18"/>
                <w:szCs w:val="18"/>
              </w:rPr>
            </w:pPr>
            <w:r w:rsidRPr="002674BD">
              <w:rPr>
                <w:rFonts w:ascii="Calibri" w:hAnsi="Calibri" w:cs="Calibri"/>
                <w:color w:val="000000"/>
                <w:sz w:val="18"/>
                <w:szCs w:val="18"/>
              </w:rPr>
              <w:t>10,103</w:t>
            </w:r>
          </w:p>
        </w:tc>
        <w:tc>
          <w:tcPr>
            <w:tcW w:w="1701" w:type="dxa"/>
            <w:shd w:val="clear" w:color="auto" w:fill="auto"/>
            <w:vAlign w:val="center"/>
          </w:tcPr>
          <w:p w14:paraId="4407C8E9" w14:textId="75528F2D" w:rsidR="00C96C45" w:rsidRPr="002674BD" w:rsidRDefault="00C96C45" w:rsidP="00C96C45">
            <w:pPr>
              <w:spacing w:before="0" w:after="0"/>
              <w:rPr>
                <w:rFonts w:ascii="Calibri" w:hAnsi="Calibri" w:cs="Calibri"/>
                <w:color w:val="000000"/>
                <w:sz w:val="18"/>
                <w:szCs w:val="18"/>
              </w:rPr>
            </w:pPr>
            <w:r w:rsidRPr="002674BD">
              <w:rPr>
                <w:rFonts w:ascii="Calibri" w:hAnsi="Calibri" w:cs="Calibri"/>
                <w:color w:val="000000"/>
                <w:sz w:val="18"/>
                <w:szCs w:val="18"/>
              </w:rPr>
              <w:t>15,637</w:t>
            </w:r>
          </w:p>
        </w:tc>
      </w:tr>
      <w:tr w:rsidR="005D65E8" w:rsidRPr="002674BD" w14:paraId="2029D979" w14:textId="77777777" w:rsidTr="00EB35E8">
        <w:trPr>
          <w:trHeight w:val="20"/>
        </w:trPr>
        <w:tc>
          <w:tcPr>
            <w:tcW w:w="1844" w:type="dxa"/>
            <w:tcBorders>
              <w:top w:val="single" w:sz="4" w:space="0" w:color="BFBFBF" w:themeColor="background1" w:themeShade="BF"/>
            </w:tcBorders>
            <w:shd w:val="clear" w:color="auto" w:fill="auto"/>
            <w:vAlign w:val="center"/>
            <w:hideMark/>
          </w:tcPr>
          <w:p w14:paraId="75160E8A" w14:textId="77777777" w:rsidR="005D65E8" w:rsidRPr="002674BD" w:rsidRDefault="005D65E8" w:rsidP="007E2D0E">
            <w:pPr>
              <w:spacing w:before="0" w:after="0"/>
              <w:jc w:val="both"/>
              <w:rPr>
                <w:rFonts w:ascii="Calibri" w:hAnsi="Calibri" w:cs="Calibri"/>
                <w:b/>
                <w:bCs/>
                <w:color w:val="000000"/>
                <w:sz w:val="18"/>
                <w:szCs w:val="18"/>
              </w:rPr>
            </w:pPr>
            <w:r w:rsidRPr="002674BD">
              <w:rPr>
                <w:rFonts w:ascii="Calibri" w:hAnsi="Calibri" w:cs="Calibri"/>
                <w:b/>
                <w:bCs/>
                <w:color w:val="000000"/>
                <w:sz w:val="18"/>
                <w:szCs w:val="18"/>
              </w:rPr>
              <w:t>Regional LGAs</w:t>
            </w:r>
          </w:p>
        </w:tc>
        <w:tc>
          <w:tcPr>
            <w:tcW w:w="8080" w:type="dxa"/>
            <w:gridSpan w:val="4"/>
            <w:tcBorders>
              <w:top w:val="single" w:sz="4" w:space="0" w:color="BFBFBF" w:themeColor="background1" w:themeShade="BF"/>
            </w:tcBorders>
            <w:shd w:val="clear" w:color="auto" w:fill="auto"/>
            <w:vAlign w:val="center"/>
            <w:hideMark/>
          </w:tcPr>
          <w:p w14:paraId="6A38CD53" w14:textId="77777777" w:rsidR="005D65E8" w:rsidRPr="002674BD" w:rsidRDefault="005D65E8" w:rsidP="007E2D0E">
            <w:pPr>
              <w:spacing w:before="0" w:after="0"/>
              <w:jc w:val="both"/>
              <w:rPr>
                <w:rFonts w:ascii="Calibri" w:hAnsi="Calibri" w:cs="Calibri"/>
                <w:color w:val="000000"/>
                <w:sz w:val="18"/>
                <w:szCs w:val="18"/>
              </w:rPr>
            </w:pPr>
            <w:r w:rsidRPr="002674BD">
              <w:rPr>
                <w:rFonts w:ascii="Calibri" w:hAnsi="Calibri" w:cs="Calibri"/>
                <w:color w:val="000000"/>
                <w:sz w:val="18"/>
                <w:szCs w:val="18"/>
              </w:rPr>
              <w:t> </w:t>
            </w:r>
          </w:p>
        </w:tc>
      </w:tr>
      <w:tr w:rsidR="00B00636" w:rsidRPr="002674BD" w14:paraId="4FD51F9B" w14:textId="77777777" w:rsidTr="00EB35E8">
        <w:trPr>
          <w:trHeight w:val="20"/>
        </w:trPr>
        <w:tc>
          <w:tcPr>
            <w:tcW w:w="1844" w:type="dxa"/>
            <w:tcBorders>
              <w:top w:val="nil"/>
              <w:bottom w:val="single" w:sz="4" w:space="0" w:color="F2F2F2" w:themeColor="background1" w:themeShade="F2"/>
            </w:tcBorders>
            <w:shd w:val="clear" w:color="auto" w:fill="auto"/>
            <w:vAlign w:val="center"/>
            <w:hideMark/>
          </w:tcPr>
          <w:p w14:paraId="0088B527" w14:textId="77777777"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Albany</w:t>
            </w:r>
          </w:p>
        </w:tc>
        <w:tc>
          <w:tcPr>
            <w:tcW w:w="2551" w:type="dxa"/>
            <w:tcBorders>
              <w:top w:val="nil"/>
              <w:bottom w:val="single" w:sz="4" w:space="0" w:color="F2F2F2" w:themeColor="background1" w:themeShade="F2"/>
            </w:tcBorders>
            <w:shd w:val="clear" w:color="auto" w:fill="auto"/>
          </w:tcPr>
          <w:p w14:paraId="179A4381" w14:textId="757A9B96" w:rsidR="00B00636" w:rsidRPr="002674BD" w:rsidRDefault="00B00636" w:rsidP="00B00636">
            <w:pPr>
              <w:spacing w:before="0" w:after="0"/>
              <w:jc w:val="both"/>
              <w:rPr>
                <w:rFonts w:ascii="Calibri" w:hAnsi="Calibri" w:cs="Calibri"/>
                <w:color w:val="000000"/>
                <w:sz w:val="20"/>
              </w:rPr>
            </w:pPr>
            <w:r w:rsidRPr="002674BD">
              <w:rPr>
                <w:sz w:val="20"/>
              </w:rPr>
              <w:t>10,700</w:t>
            </w:r>
          </w:p>
        </w:tc>
        <w:tc>
          <w:tcPr>
            <w:tcW w:w="2127" w:type="dxa"/>
            <w:tcBorders>
              <w:top w:val="nil"/>
              <w:bottom w:val="single" w:sz="4" w:space="0" w:color="F2F2F2" w:themeColor="background1" w:themeShade="F2"/>
            </w:tcBorders>
            <w:shd w:val="clear" w:color="auto" w:fill="auto"/>
          </w:tcPr>
          <w:p w14:paraId="141C7765" w14:textId="7BAFC4D2" w:rsidR="00B00636" w:rsidRPr="002674BD" w:rsidRDefault="00B00636" w:rsidP="00B00636">
            <w:pPr>
              <w:spacing w:before="0" w:after="0"/>
              <w:jc w:val="both"/>
              <w:rPr>
                <w:rFonts w:ascii="Calibri" w:hAnsi="Calibri" w:cs="Calibri"/>
                <w:color w:val="000000"/>
                <w:sz w:val="20"/>
              </w:rPr>
            </w:pPr>
            <w:r w:rsidRPr="002674BD">
              <w:rPr>
                <w:sz w:val="20"/>
              </w:rPr>
              <w:t>617</w:t>
            </w:r>
          </w:p>
        </w:tc>
        <w:tc>
          <w:tcPr>
            <w:tcW w:w="1701" w:type="dxa"/>
            <w:tcBorders>
              <w:top w:val="nil"/>
              <w:bottom w:val="single" w:sz="4" w:space="0" w:color="F2F2F2" w:themeColor="background1" w:themeShade="F2"/>
            </w:tcBorders>
            <w:shd w:val="clear" w:color="auto" w:fill="auto"/>
          </w:tcPr>
          <w:p w14:paraId="231D2044" w14:textId="211EABE5" w:rsidR="00B00636" w:rsidRPr="002674BD" w:rsidRDefault="00B00636" w:rsidP="00B00636">
            <w:pPr>
              <w:spacing w:before="0" w:after="0"/>
              <w:jc w:val="both"/>
              <w:rPr>
                <w:rFonts w:ascii="Calibri" w:hAnsi="Calibri" w:cs="Calibri"/>
                <w:color w:val="000000"/>
                <w:sz w:val="20"/>
              </w:rPr>
            </w:pPr>
            <w:r w:rsidRPr="002674BD">
              <w:rPr>
                <w:sz w:val="20"/>
              </w:rPr>
              <w:t>63</w:t>
            </w:r>
          </w:p>
        </w:tc>
        <w:tc>
          <w:tcPr>
            <w:tcW w:w="1701" w:type="dxa"/>
            <w:tcBorders>
              <w:top w:val="nil"/>
              <w:bottom w:val="single" w:sz="4" w:space="0" w:color="F2F2F2" w:themeColor="background1" w:themeShade="F2"/>
            </w:tcBorders>
            <w:shd w:val="clear" w:color="auto" w:fill="auto"/>
          </w:tcPr>
          <w:p w14:paraId="2F6BA63C" w14:textId="30B5308E" w:rsidR="00B00636" w:rsidRPr="002674BD" w:rsidRDefault="00B00636" w:rsidP="00B00636">
            <w:pPr>
              <w:spacing w:before="0" w:after="0"/>
              <w:jc w:val="both"/>
              <w:rPr>
                <w:rFonts w:ascii="Calibri" w:hAnsi="Calibri" w:cs="Calibri"/>
                <w:color w:val="000000"/>
                <w:sz w:val="20"/>
              </w:rPr>
            </w:pPr>
            <w:r w:rsidRPr="002674BD">
              <w:rPr>
                <w:sz w:val="20"/>
              </w:rPr>
              <w:t>234</w:t>
            </w:r>
          </w:p>
        </w:tc>
      </w:tr>
      <w:tr w:rsidR="00B00636" w:rsidRPr="002674BD" w14:paraId="1F322C39"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vAlign w:val="center"/>
          </w:tcPr>
          <w:p w14:paraId="5EA479F7" w14:textId="18A46AE1"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Augusta-Margaret River</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66E7EF44" w14:textId="3214928D" w:rsidR="00B00636" w:rsidRPr="002674BD" w:rsidRDefault="00B00636" w:rsidP="00B00636">
            <w:pPr>
              <w:spacing w:before="0" w:after="0"/>
              <w:jc w:val="both"/>
              <w:rPr>
                <w:rFonts w:ascii="Calibri" w:hAnsi="Calibri" w:cs="Calibri"/>
                <w:color w:val="000000"/>
                <w:sz w:val="20"/>
              </w:rPr>
            </w:pPr>
            <w:r w:rsidRPr="002674BD">
              <w:rPr>
                <w:sz w:val="20"/>
              </w:rPr>
              <w:t>6,640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6AD2EB2D" w14:textId="5A46F254" w:rsidR="00B00636" w:rsidRPr="002674BD" w:rsidRDefault="00B00636" w:rsidP="00B00636">
            <w:pPr>
              <w:spacing w:before="0" w:after="0"/>
              <w:jc w:val="both"/>
              <w:rPr>
                <w:rFonts w:ascii="Calibri" w:hAnsi="Calibri" w:cs="Calibri"/>
                <w:color w:val="000000"/>
                <w:sz w:val="20"/>
              </w:rPr>
            </w:pPr>
            <w:r w:rsidRPr="002674BD">
              <w:rPr>
                <w:sz w:val="20"/>
              </w:rPr>
              <w:t>1355</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389517A2" w14:textId="6ECB68D0" w:rsidR="00B00636" w:rsidRPr="002674BD" w:rsidRDefault="00B00636" w:rsidP="00B00636">
            <w:pPr>
              <w:spacing w:before="0" w:after="0"/>
              <w:jc w:val="both"/>
              <w:rPr>
                <w:rFonts w:ascii="Calibri" w:hAnsi="Calibri" w:cs="Calibri"/>
                <w:color w:val="000000"/>
                <w:sz w:val="20"/>
              </w:rPr>
            </w:pPr>
            <w:r w:rsidRPr="002674BD">
              <w:rPr>
                <w:sz w:val="20"/>
              </w:rPr>
              <w:t>155</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4AB8661C" w14:textId="0C80EDC6" w:rsidR="00B00636" w:rsidRPr="002674BD" w:rsidRDefault="00B00636" w:rsidP="00B00636">
            <w:pPr>
              <w:spacing w:before="0" w:after="0"/>
              <w:jc w:val="both"/>
              <w:rPr>
                <w:rFonts w:ascii="Calibri" w:hAnsi="Calibri" w:cs="Calibri"/>
                <w:color w:val="000000"/>
                <w:sz w:val="20"/>
              </w:rPr>
            </w:pPr>
            <w:r w:rsidRPr="002674BD">
              <w:rPr>
                <w:sz w:val="20"/>
              </w:rPr>
              <w:t>206</w:t>
            </w:r>
          </w:p>
        </w:tc>
      </w:tr>
      <w:tr w:rsidR="00B00636" w:rsidRPr="002674BD" w14:paraId="4ED6B6EF"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vAlign w:val="center"/>
            <w:hideMark/>
          </w:tcPr>
          <w:p w14:paraId="3E2A4A4C" w14:textId="77777777"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Broome</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7771249E" w14:textId="492E824C" w:rsidR="00B00636" w:rsidRPr="002674BD" w:rsidRDefault="00B00636" w:rsidP="00B00636">
            <w:pPr>
              <w:spacing w:before="0" w:after="0"/>
              <w:jc w:val="both"/>
              <w:rPr>
                <w:rFonts w:ascii="Calibri" w:hAnsi="Calibri" w:cs="Calibri"/>
                <w:color w:val="000000"/>
                <w:sz w:val="20"/>
              </w:rPr>
            </w:pPr>
            <w:r w:rsidRPr="002674BD">
              <w:rPr>
                <w:sz w:val="20"/>
              </w:rPr>
              <w:t>1,700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4A96A786" w14:textId="18496E63" w:rsidR="00B00636" w:rsidRPr="002674BD" w:rsidRDefault="00B00636" w:rsidP="00B00636">
            <w:pPr>
              <w:spacing w:before="0" w:after="0"/>
              <w:jc w:val="both"/>
              <w:rPr>
                <w:rFonts w:ascii="Calibri" w:hAnsi="Calibri" w:cs="Calibri"/>
                <w:color w:val="000000"/>
                <w:sz w:val="20"/>
              </w:rPr>
            </w:pPr>
            <w:r w:rsidRPr="002674BD">
              <w:rPr>
                <w:sz w:val="20"/>
              </w:rPr>
              <w:t>321</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10A5AFB3" w14:textId="541C7819" w:rsidR="00B00636" w:rsidRPr="002674BD" w:rsidRDefault="00B00636" w:rsidP="00B00636">
            <w:pPr>
              <w:spacing w:before="0" w:after="0"/>
              <w:jc w:val="both"/>
              <w:rPr>
                <w:rFonts w:ascii="Calibri" w:hAnsi="Calibri" w:cs="Calibri"/>
                <w:color w:val="000000"/>
                <w:sz w:val="20"/>
              </w:rPr>
            </w:pPr>
            <w:r w:rsidRPr="002674BD">
              <w:rPr>
                <w:sz w:val="20"/>
              </w:rPr>
              <w:t>30</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3F522EB5" w14:textId="63383065" w:rsidR="00B00636" w:rsidRPr="002674BD" w:rsidRDefault="00B00636" w:rsidP="00B00636">
            <w:pPr>
              <w:spacing w:before="0" w:after="0"/>
              <w:jc w:val="both"/>
              <w:rPr>
                <w:rFonts w:ascii="Calibri" w:hAnsi="Calibri" w:cs="Calibri"/>
                <w:color w:val="000000"/>
                <w:sz w:val="20"/>
              </w:rPr>
            </w:pPr>
            <w:r w:rsidRPr="002674BD">
              <w:rPr>
                <w:sz w:val="20"/>
              </w:rPr>
              <w:t>165</w:t>
            </w:r>
          </w:p>
        </w:tc>
      </w:tr>
      <w:tr w:rsidR="00B00636" w:rsidRPr="002674BD" w14:paraId="21EC1102"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vAlign w:val="center"/>
            <w:hideMark/>
          </w:tcPr>
          <w:p w14:paraId="1E34DF38" w14:textId="77777777"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Bunbury</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6D642C80" w14:textId="7DA5804F" w:rsidR="00B00636" w:rsidRPr="002674BD" w:rsidRDefault="00B00636" w:rsidP="00B00636">
            <w:pPr>
              <w:spacing w:before="0" w:after="0"/>
              <w:jc w:val="both"/>
              <w:rPr>
                <w:rFonts w:ascii="Calibri" w:hAnsi="Calibri" w:cs="Calibri"/>
                <w:color w:val="000000"/>
                <w:sz w:val="20"/>
              </w:rPr>
            </w:pPr>
            <w:r w:rsidRPr="002674BD">
              <w:rPr>
                <w:sz w:val="20"/>
              </w:rPr>
              <w:t>2,810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370C1D71" w14:textId="51384CEF" w:rsidR="00B00636" w:rsidRPr="002674BD" w:rsidRDefault="00B00636" w:rsidP="00B00636">
            <w:pPr>
              <w:spacing w:before="0" w:after="0"/>
              <w:jc w:val="both"/>
              <w:rPr>
                <w:rFonts w:ascii="Calibri" w:hAnsi="Calibri" w:cs="Calibri"/>
                <w:color w:val="000000"/>
                <w:sz w:val="20"/>
              </w:rPr>
            </w:pPr>
            <w:r w:rsidRPr="002674BD">
              <w:rPr>
                <w:sz w:val="20"/>
              </w:rPr>
              <w:t>155</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66D2441A" w14:textId="77EC5EF0" w:rsidR="00B00636" w:rsidRPr="002674BD" w:rsidRDefault="00B00636" w:rsidP="00B00636">
            <w:pPr>
              <w:spacing w:before="0" w:after="0"/>
              <w:jc w:val="both"/>
              <w:rPr>
                <w:rFonts w:ascii="Calibri" w:hAnsi="Calibri" w:cs="Calibri"/>
                <w:color w:val="000000"/>
                <w:sz w:val="20"/>
              </w:rPr>
            </w:pPr>
            <w:r w:rsidRPr="002674BD">
              <w:rPr>
                <w:sz w:val="20"/>
              </w:rPr>
              <w:t>67</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2B8B814C" w14:textId="42030F87" w:rsidR="00B00636" w:rsidRPr="002674BD" w:rsidRDefault="00B00636" w:rsidP="00B00636">
            <w:pPr>
              <w:spacing w:before="0" w:after="0"/>
              <w:jc w:val="both"/>
              <w:rPr>
                <w:rFonts w:ascii="Calibri" w:hAnsi="Calibri" w:cs="Calibri"/>
                <w:color w:val="000000"/>
                <w:sz w:val="20"/>
              </w:rPr>
            </w:pPr>
            <w:r w:rsidRPr="002674BD">
              <w:rPr>
                <w:sz w:val="20"/>
              </w:rPr>
              <w:t>116</w:t>
            </w:r>
          </w:p>
        </w:tc>
      </w:tr>
      <w:tr w:rsidR="00B00636" w:rsidRPr="002674BD" w14:paraId="107A341C"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vAlign w:val="center"/>
            <w:hideMark/>
          </w:tcPr>
          <w:p w14:paraId="78554FBE" w14:textId="77777777"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Busselton</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7BE119F1" w14:textId="0A778F14" w:rsidR="00B00636" w:rsidRPr="002674BD" w:rsidRDefault="00B00636" w:rsidP="00B00636">
            <w:pPr>
              <w:spacing w:before="0" w:after="0"/>
              <w:jc w:val="both"/>
              <w:rPr>
                <w:rFonts w:ascii="Calibri" w:hAnsi="Calibri" w:cs="Calibri"/>
                <w:color w:val="000000"/>
                <w:sz w:val="20"/>
              </w:rPr>
            </w:pPr>
            <w:r w:rsidRPr="002674BD">
              <w:rPr>
                <w:sz w:val="20"/>
              </w:rPr>
              <w:t>13,790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05AD1E60" w14:textId="27B8AE5C" w:rsidR="00B00636" w:rsidRPr="002674BD" w:rsidRDefault="00B00636" w:rsidP="00B00636">
            <w:pPr>
              <w:spacing w:before="0" w:after="0"/>
              <w:jc w:val="both"/>
              <w:rPr>
                <w:rFonts w:ascii="Calibri" w:hAnsi="Calibri" w:cs="Calibri"/>
                <w:color w:val="000000"/>
                <w:sz w:val="20"/>
              </w:rPr>
            </w:pPr>
            <w:r w:rsidRPr="002674BD">
              <w:rPr>
                <w:sz w:val="20"/>
              </w:rPr>
              <w:t>305</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5D730B09" w14:textId="7305CCD2" w:rsidR="00B00636" w:rsidRPr="002674BD" w:rsidRDefault="00B00636" w:rsidP="00B00636">
            <w:pPr>
              <w:spacing w:before="0" w:after="0"/>
              <w:jc w:val="both"/>
              <w:rPr>
                <w:rFonts w:ascii="Calibri" w:hAnsi="Calibri" w:cs="Calibri"/>
                <w:color w:val="000000"/>
                <w:sz w:val="20"/>
              </w:rPr>
            </w:pPr>
            <w:r w:rsidRPr="002674BD">
              <w:rPr>
                <w:sz w:val="20"/>
              </w:rPr>
              <w:t>289</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217B4105" w14:textId="408F867B" w:rsidR="00B00636" w:rsidRPr="002674BD" w:rsidRDefault="00B00636" w:rsidP="00B00636">
            <w:pPr>
              <w:spacing w:before="0" w:after="0"/>
              <w:jc w:val="both"/>
              <w:rPr>
                <w:rFonts w:ascii="Calibri" w:hAnsi="Calibri" w:cs="Calibri"/>
                <w:color w:val="000000"/>
                <w:sz w:val="20"/>
              </w:rPr>
            </w:pPr>
            <w:r w:rsidRPr="002674BD">
              <w:rPr>
                <w:sz w:val="20"/>
              </w:rPr>
              <w:t>540</w:t>
            </w:r>
          </w:p>
        </w:tc>
      </w:tr>
      <w:tr w:rsidR="00B00636" w:rsidRPr="002674BD" w14:paraId="39F00FC3"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tcPr>
          <w:p w14:paraId="69184263" w14:textId="09A6526A"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Capel</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62B7BA36" w14:textId="5D26EFA1" w:rsidR="00B00636" w:rsidRPr="002674BD" w:rsidRDefault="00B00636" w:rsidP="00B00636">
            <w:pPr>
              <w:spacing w:before="0" w:after="0"/>
              <w:jc w:val="both"/>
              <w:rPr>
                <w:rFonts w:ascii="Calibri" w:hAnsi="Calibri" w:cs="Calibri"/>
                <w:color w:val="000000"/>
                <w:sz w:val="20"/>
              </w:rPr>
            </w:pPr>
            <w:r w:rsidRPr="002674BD">
              <w:rPr>
                <w:sz w:val="20"/>
              </w:rPr>
              <w:t>8,450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3D6F9930" w14:textId="39C3D040" w:rsidR="00B00636" w:rsidRPr="002674BD" w:rsidRDefault="00B00636" w:rsidP="00B00636">
            <w:pPr>
              <w:spacing w:before="0" w:after="0"/>
              <w:jc w:val="both"/>
              <w:rPr>
                <w:rFonts w:ascii="Calibri" w:hAnsi="Calibri" w:cs="Calibri"/>
                <w:color w:val="000000"/>
                <w:sz w:val="20"/>
              </w:rPr>
            </w:pPr>
            <w:r w:rsidRPr="002674BD">
              <w:rPr>
                <w:sz w:val="20"/>
              </w:rPr>
              <w:t>478</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7D548BAB" w14:textId="2818FC25" w:rsidR="00B00636" w:rsidRPr="002674BD" w:rsidRDefault="00B00636" w:rsidP="00B00636">
            <w:pPr>
              <w:spacing w:before="0" w:after="0"/>
              <w:jc w:val="both"/>
              <w:rPr>
                <w:rFonts w:ascii="Calibri" w:hAnsi="Calibri" w:cs="Calibri"/>
                <w:color w:val="000000"/>
                <w:sz w:val="20"/>
              </w:rPr>
            </w:pPr>
            <w:r w:rsidRPr="002674BD">
              <w:rPr>
                <w:sz w:val="20"/>
              </w:rPr>
              <w:t>157</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2F7F1908" w14:textId="618DE990" w:rsidR="00B00636" w:rsidRPr="002674BD" w:rsidRDefault="00B00636" w:rsidP="00B00636">
            <w:pPr>
              <w:spacing w:before="0" w:after="0"/>
              <w:jc w:val="both"/>
              <w:rPr>
                <w:rFonts w:ascii="Calibri" w:hAnsi="Calibri" w:cs="Calibri"/>
                <w:color w:val="000000"/>
                <w:sz w:val="20"/>
              </w:rPr>
            </w:pPr>
            <w:r w:rsidRPr="002674BD">
              <w:rPr>
                <w:sz w:val="20"/>
              </w:rPr>
              <w:t>166</w:t>
            </w:r>
          </w:p>
        </w:tc>
      </w:tr>
      <w:tr w:rsidR="00B00636" w:rsidRPr="002674BD" w14:paraId="6C2485D9"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tcPr>
          <w:p w14:paraId="02503EC3" w14:textId="4CB45F75"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Dardanup</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5B846C8B" w14:textId="1C461627" w:rsidR="00B00636" w:rsidRPr="002674BD" w:rsidRDefault="00B00636" w:rsidP="00B00636">
            <w:pPr>
              <w:spacing w:before="0" w:after="0"/>
              <w:jc w:val="both"/>
              <w:rPr>
                <w:rFonts w:ascii="Calibri" w:hAnsi="Calibri" w:cs="Calibri"/>
                <w:color w:val="000000"/>
                <w:sz w:val="20"/>
              </w:rPr>
            </w:pPr>
            <w:r w:rsidRPr="002674BD">
              <w:rPr>
                <w:sz w:val="20"/>
              </w:rPr>
              <w:t>21,270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02450910" w14:textId="47CC8BAB" w:rsidR="00B00636" w:rsidRPr="002674BD" w:rsidRDefault="00B00636" w:rsidP="00B00636">
            <w:pPr>
              <w:spacing w:before="0" w:after="0"/>
              <w:jc w:val="both"/>
              <w:rPr>
                <w:rFonts w:ascii="Calibri" w:hAnsi="Calibri" w:cs="Calibri"/>
                <w:color w:val="000000"/>
                <w:sz w:val="20"/>
              </w:rPr>
            </w:pPr>
            <w:r w:rsidRPr="002674BD">
              <w:rPr>
                <w:sz w:val="20"/>
              </w:rPr>
              <w:t>297</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2D7958E5" w14:textId="0D16ED20" w:rsidR="00B00636" w:rsidRPr="002674BD" w:rsidRDefault="00B00636" w:rsidP="00B00636">
            <w:pPr>
              <w:spacing w:before="0" w:after="0"/>
              <w:jc w:val="both"/>
              <w:rPr>
                <w:rFonts w:ascii="Calibri" w:hAnsi="Calibri" w:cs="Calibri"/>
                <w:color w:val="000000"/>
                <w:sz w:val="20"/>
              </w:rPr>
            </w:pPr>
            <w:r w:rsidRPr="002674BD">
              <w:rPr>
                <w:sz w:val="20"/>
              </w:rPr>
              <w:t>65</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235417DF" w14:textId="43939B79" w:rsidR="00B00636" w:rsidRPr="002674BD" w:rsidRDefault="00B00636" w:rsidP="00B00636">
            <w:pPr>
              <w:spacing w:before="0" w:after="0"/>
              <w:jc w:val="both"/>
              <w:rPr>
                <w:rFonts w:ascii="Calibri" w:hAnsi="Calibri" w:cs="Calibri"/>
                <w:color w:val="000000"/>
                <w:sz w:val="20"/>
              </w:rPr>
            </w:pPr>
            <w:r w:rsidRPr="002674BD">
              <w:rPr>
                <w:sz w:val="20"/>
              </w:rPr>
              <w:t>110</w:t>
            </w:r>
          </w:p>
        </w:tc>
      </w:tr>
      <w:tr w:rsidR="00B00636" w:rsidRPr="002674BD" w14:paraId="02C1F16E"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tcPr>
          <w:p w14:paraId="0603DE79" w14:textId="3EBEF920"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Denmark</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5D7A6DA5" w14:textId="10C0494D" w:rsidR="00B00636" w:rsidRPr="002674BD" w:rsidRDefault="00B00636" w:rsidP="00B00636">
            <w:pPr>
              <w:spacing w:before="0" w:after="0"/>
              <w:jc w:val="both"/>
              <w:rPr>
                <w:rFonts w:ascii="Calibri" w:hAnsi="Calibri" w:cs="Calibri"/>
                <w:color w:val="000000"/>
                <w:sz w:val="20"/>
              </w:rPr>
            </w:pPr>
            <w:r w:rsidRPr="002674BD">
              <w:rPr>
                <w:sz w:val="20"/>
              </w:rPr>
              <w:t>1,890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3CCD3ACB" w14:textId="3BC8C85E" w:rsidR="00B00636" w:rsidRPr="002674BD" w:rsidRDefault="00B00636" w:rsidP="00B00636">
            <w:pPr>
              <w:spacing w:before="0" w:after="0"/>
              <w:jc w:val="both"/>
              <w:rPr>
                <w:rFonts w:ascii="Calibri" w:hAnsi="Calibri" w:cs="Calibri"/>
                <w:color w:val="000000"/>
                <w:sz w:val="20"/>
              </w:rPr>
            </w:pPr>
            <w:r w:rsidRPr="002674BD">
              <w:rPr>
                <w:sz w:val="20"/>
              </w:rPr>
              <w:t>279</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28554E25" w14:textId="20BB9D3C" w:rsidR="00B00636" w:rsidRPr="002674BD" w:rsidRDefault="00B00636" w:rsidP="00B00636">
            <w:pPr>
              <w:spacing w:before="0" w:after="0"/>
              <w:jc w:val="both"/>
              <w:rPr>
                <w:rFonts w:ascii="Calibri" w:hAnsi="Calibri" w:cs="Calibri"/>
                <w:color w:val="000000"/>
                <w:sz w:val="20"/>
              </w:rPr>
            </w:pPr>
            <w:r w:rsidRPr="002674BD">
              <w:rPr>
                <w:sz w:val="20"/>
              </w:rPr>
              <w:t>9</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6BA3B775" w14:textId="588BCD87" w:rsidR="00B00636" w:rsidRPr="002674BD" w:rsidRDefault="00B00636" w:rsidP="00B00636">
            <w:pPr>
              <w:spacing w:before="0" w:after="0"/>
              <w:jc w:val="both"/>
              <w:rPr>
                <w:rFonts w:ascii="Calibri" w:hAnsi="Calibri" w:cs="Calibri"/>
                <w:color w:val="000000"/>
                <w:sz w:val="20"/>
              </w:rPr>
            </w:pPr>
            <w:r w:rsidRPr="002674BD">
              <w:rPr>
                <w:sz w:val="20"/>
              </w:rPr>
              <w:t>46</w:t>
            </w:r>
          </w:p>
        </w:tc>
      </w:tr>
      <w:tr w:rsidR="00B00636" w:rsidRPr="002674BD" w14:paraId="00B15968"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vAlign w:val="center"/>
            <w:hideMark/>
          </w:tcPr>
          <w:p w14:paraId="3B2DE11A" w14:textId="77777777"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 xml:space="preserve">Esperance </w:t>
            </w:r>
            <w:r w:rsidRPr="002674BD">
              <w:rPr>
                <w:rFonts w:ascii="Calibri" w:hAnsi="Calibri" w:cs="Calibri"/>
                <w:color w:val="000000"/>
                <w:sz w:val="18"/>
                <w:szCs w:val="18"/>
              </w:rPr>
              <w:br/>
              <w:t>(in progress draft)</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6A216E7F" w14:textId="06589FDE" w:rsidR="00B00636" w:rsidRPr="002674BD" w:rsidRDefault="00B00636" w:rsidP="00B00636">
            <w:pPr>
              <w:spacing w:before="0" w:after="0"/>
              <w:jc w:val="both"/>
              <w:rPr>
                <w:rFonts w:ascii="Calibri" w:hAnsi="Calibri" w:cs="Calibri"/>
                <w:color w:val="000000"/>
                <w:sz w:val="20"/>
              </w:rPr>
            </w:pPr>
            <w:r w:rsidRPr="002674BD">
              <w:rPr>
                <w:sz w:val="20"/>
              </w:rPr>
              <w:t>2,290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1F98E5FD" w14:textId="10F9C9BD" w:rsidR="00B00636" w:rsidRPr="002674BD" w:rsidRDefault="00B00636" w:rsidP="00B00636">
            <w:pPr>
              <w:spacing w:before="0" w:after="0"/>
              <w:jc w:val="both"/>
              <w:rPr>
                <w:rFonts w:ascii="Calibri" w:hAnsi="Calibri" w:cs="Calibri"/>
                <w:color w:val="000000"/>
                <w:sz w:val="20"/>
              </w:rPr>
            </w:pPr>
            <w:r w:rsidRPr="002674BD">
              <w:rPr>
                <w:sz w:val="20"/>
              </w:rPr>
              <w:t>133</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47BBEB4F" w14:textId="59BD1314" w:rsidR="00B00636" w:rsidRPr="002674BD" w:rsidRDefault="00B00636" w:rsidP="00B00636">
            <w:pPr>
              <w:spacing w:before="0" w:after="0"/>
              <w:jc w:val="both"/>
              <w:rPr>
                <w:rFonts w:ascii="Calibri" w:hAnsi="Calibri" w:cs="Calibri"/>
                <w:color w:val="000000"/>
                <w:sz w:val="20"/>
              </w:rPr>
            </w:pPr>
            <w:r w:rsidRPr="002674BD">
              <w:rPr>
                <w:sz w:val="20"/>
              </w:rPr>
              <w:t>33</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0F3F0BB8" w14:textId="4591C1AE" w:rsidR="00B00636" w:rsidRPr="002674BD" w:rsidRDefault="00B00636" w:rsidP="00B00636">
            <w:pPr>
              <w:spacing w:before="0" w:after="0"/>
              <w:jc w:val="both"/>
              <w:rPr>
                <w:rFonts w:ascii="Calibri" w:hAnsi="Calibri" w:cs="Calibri"/>
                <w:color w:val="000000"/>
                <w:sz w:val="20"/>
              </w:rPr>
            </w:pPr>
            <w:r w:rsidRPr="002674BD">
              <w:rPr>
                <w:sz w:val="20"/>
              </w:rPr>
              <w:t>35</w:t>
            </w:r>
          </w:p>
        </w:tc>
      </w:tr>
      <w:tr w:rsidR="00B00636" w:rsidRPr="002674BD" w14:paraId="3674FAA0"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tcPr>
          <w:p w14:paraId="5E91C507" w14:textId="63D61AED" w:rsidR="00B00636" w:rsidRPr="002674BD" w:rsidRDefault="00B00636" w:rsidP="00B00636">
            <w:pPr>
              <w:spacing w:before="0" w:after="0"/>
              <w:jc w:val="both"/>
              <w:rPr>
                <w:rFonts w:ascii="Calibri" w:hAnsi="Calibri" w:cs="Calibri"/>
                <w:color w:val="000000"/>
                <w:sz w:val="20"/>
                <w:szCs w:val="18"/>
              </w:rPr>
            </w:pPr>
            <w:r w:rsidRPr="002674BD">
              <w:rPr>
                <w:sz w:val="20"/>
                <w:szCs w:val="18"/>
              </w:rPr>
              <w:t>Greater Bunbury Region (Bunbury, Capel, Dardanup, Harvey)</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194073B7" w14:textId="27D3D748" w:rsidR="00B00636" w:rsidRPr="002674BD" w:rsidRDefault="00B00636" w:rsidP="00B00636">
            <w:pPr>
              <w:spacing w:before="0" w:after="0"/>
              <w:jc w:val="both"/>
              <w:rPr>
                <w:sz w:val="20"/>
              </w:rPr>
            </w:pPr>
            <w:r w:rsidRPr="002674BD">
              <w:rPr>
                <w:sz w:val="20"/>
              </w:rPr>
              <w:t>49,400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58A3E29C" w14:textId="04F6AF30" w:rsidR="00B00636" w:rsidRPr="002674BD" w:rsidRDefault="00B00636" w:rsidP="00B00636">
            <w:pPr>
              <w:spacing w:before="0" w:after="0"/>
              <w:jc w:val="both"/>
              <w:rPr>
                <w:sz w:val="20"/>
              </w:rPr>
            </w:pPr>
            <w:r w:rsidRPr="002674BD">
              <w:rPr>
                <w:sz w:val="20"/>
              </w:rPr>
              <w:t>1,866</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22395E2E" w14:textId="06AB899A" w:rsidR="00B00636" w:rsidRPr="002674BD" w:rsidRDefault="00B00636" w:rsidP="00B00636">
            <w:pPr>
              <w:spacing w:before="0" w:after="0"/>
              <w:jc w:val="both"/>
              <w:rPr>
                <w:sz w:val="20"/>
              </w:rPr>
            </w:pPr>
            <w:r w:rsidRPr="002674BD">
              <w:rPr>
                <w:sz w:val="20"/>
              </w:rPr>
              <w:t>649</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0DDEC695" w14:textId="7DCA7F28" w:rsidR="00B00636" w:rsidRPr="002674BD" w:rsidRDefault="00B00636" w:rsidP="00B00636">
            <w:pPr>
              <w:spacing w:before="0" w:after="0"/>
              <w:jc w:val="both"/>
              <w:rPr>
                <w:sz w:val="20"/>
              </w:rPr>
            </w:pPr>
            <w:r w:rsidRPr="002674BD">
              <w:rPr>
                <w:sz w:val="20"/>
              </w:rPr>
              <w:t>1,151</w:t>
            </w:r>
          </w:p>
        </w:tc>
      </w:tr>
      <w:tr w:rsidR="00B00636" w:rsidRPr="002674BD" w14:paraId="350C1DB5"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vAlign w:val="center"/>
            <w:hideMark/>
          </w:tcPr>
          <w:p w14:paraId="2EBF89CE" w14:textId="77777777"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Greater Geraldton</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05165EF6" w14:textId="03BFFAC5" w:rsidR="00B00636" w:rsidRPr="002674BD" w:rsidRDefault="00B00636" w:rsidP="00B00636">
            <w:pPr>
              <w:spacing w:before="0" w:after="0"/>
              <w:jc w:val="both"/>
              <w:rPr>
                <w:rFonts w:ascii="Calibri" w:hAnsi="Calibri" w:cs="Calibri"/>
                <w:color w:val="000000"/>
                <w:sz w:val="20"/>
              </w:rPr>
            </w:pPr>
            <w:r w:rsidRPr="002674BD">
              <w:rPr>
                <w:sz w:val="20"/>
              </w:rPr>
              <w:t>24,460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4645A80B" w14:textId="770400C6" w:rsidR="00B00636" w:rsidRPr="002674BD" w:rsidRDefault="00B00636" w:rsidP="00B00636">
            <w:pPr>
              <w:spacing w:before="0" w:after="0"/>
              <w:jc w:val="both"/>
              <w:rPr>
                <w:rFonts w:ascii="Calibri" w:hAnsi="Calibri" w:cs="Calibri"/>
                <w:color w:val="000000"/>
                <w:sz w:val="20"/>
              </w:rPr>
            </w:pPr>
            <w:r w:rsidRPr="002674BD">
              <w:rPr>
                <w:sz w:val="20"/>
              </w:rPr>
              <w:t>1,361</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794C97AE" w14:textId="6F9EA862" w:rsidR="00B00636" w:rsidRPr="002674BD" w:rsidRDefault="00B00636" w:rsidP="00B00636">
            <w:pPr>
              <w:spacing w:before="0" w:after="0"/>
              <w:jc w:val="both"/>
              <w:rPr>
                <w:rFonts w:ascii="Calibri" w:hAnsi="Calibri" w:cs="Calibri"/>
                <w:color w:val="000000"/>
                <w:sz w:val="20"/>
              </w:rPr>
            </w:pPr>
            <w:r w:rsidRPr="002674BD">
              <w:rPr>
                <w:sz w:val="20"/>
              </w:rPr>
              <w:t>7</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0A63E31A" w14:textId="34AEAC91" w:rsidR="00B00636" w:rsidRPr="002674BD" w:rsidRDefault="00B00636" w:rsidP="00B00636">
            <w:pPr>
              <w:spacing w:before="0" w:after="0"/>
              <w:jc w:val="both"/>
              <w:rPr>
                <w:rFonts w:ascii="Calibri" w:hAnsi="Calibri" w:cs="Calibri"/>
                <w:color w:val="000000"/>
                <w:sz w:val="20"/>
              </w:rPr>
            </w:pPr>
            <w:r w:rsidRPr="002674BD">
              <w:rPr>
                <w:sz w:val="20"/>
              </w:rPr>
              <w:t>191</w:t>
            </w:r>
          </w:p>
        </w:tc>
      </w:tr>
      <w:tr w:rsidR="00B00636" w:rsidRPr="002674BD" w14:paraId="7F007CAB"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vAlign w:val="center"/>
          </w:tcPr>
          <w:p w14:paraId="6373F7F5" w14:textId="5B17F0B8" w:rsidR="00B00636" w:rsidRPr="002674BD" w:rsidRDefault="00B00636" w:rsidP="00B00636">
            <w:pPr>
              <w:spacing w:before="0" w:after="0"/>
              <w:jc w:val="both"/>
              <w:rPr>
                <w:rFonts w:ascii="Calibri" w:eastAsia="Calibri" w:hAnsi="Calibri" w:cs="Calibri"/>
                <w:color w:val="000000"/>
                <w:sz w:val="18"/>
                <w:szCs w:val="18"/>
                <w:lang w:eastAsia="en-US"/>
              </w:rPr>
            </w:pPr>
            <w:r w:rsidRPr="002674BD">
              <w:rPr>
                <w:rFonts w:ascii="Calibri" w:hAnsi="Calibri" w:cs="Calibri"/>
                <w:color w:val="000000"/>
                <w:sz w:val="18"/>
                <w:szCs w:val="18"/>
              </w:rPr>
              <w:t>Harvey</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72FC5A3A" w14:textId="2C1EFEFC" w:rsidR="00B00636" w:rsidRPr="002674BD" w:rsidRDefault="00B00636" w:rsidP="00B00636">
            <w:pPr>
              <w:spacing w:before="0" w:after="0"/>
              <w:jc w:val="both"/>
              <w:rPr>
                <w:sz w:val="20"/>
              </w:rPr>
            </w:pPr>
            <w:r w:rsidRPr="002674BD">
              <w:rPr>
                <w:sz w:val="20"/>
              </w:rPr>
              <w:t>3,080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561E564F" w14:textId="3C28C7E3" w:rsidR="00B00636" w:rsidRPr="002674BD" w:rsidRDefault="00B00636" w:rsidP="00B00636">
            <w:pPr>
              <w:spacing w:before="0" w:after="0"/>
              <w:jc w:val="both"/>
              <w:rPr>
                <w:sz w:val="20"/>
              </w:rPr>
            </w:pPr>
            <w:r w:rsidRPr="002674BD">
              <w:rPr>
                <w:sz w:val="20"/>
              </w:rPr>
              <w:t>631</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64E1FC9F" w14:textId="03892E1A" w:rsidR="00B00636" w:rsidRPr="002674BD" w:rsidRDefault="00B00636" w:rsidP="00B00636">
            <w:pPr>
              <w:spacing w:before="0" w:after="0"/>
              <w:jc w:val="both"/>
              <w:rPr>
                <w:sz w:val="20"/>
              </w:rPr>
            </w:pPr>
            <w:r w:rsidRPr="002674BD">
              <w:rPr>
                <w:sz w:val="20"/>
              </w:rPr>
              <w:t>71</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4CA55D7E" w14:textId="40BA5EBB" w:rsidR="00B00636" w:rsidRPr="002674BD" w:rsidRDefault="00B00636" w:rsidP="00B00636">
            <w:pPr>
              <w:spacing w:before="0" w:after="0"/>
              <w:jc w:val="both"/>
              <w:rPr>
                <w:sz w:val="20"/>
              </w:rPr>
            </w:pPr>
            <w:r w:rsidRPr="002674BD">
              <w:rPr>
                <w:sz w:val="20"/>
              </w:rPr>
              <w:t>219</w:t>
            </w:r>
          </w:p>
        </w:tc>
      </w:tr>
      <w:tr w:rsidR="00B00636" w:rsidRPr="002674BD" w14:paraId="737672B6"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vAlign w:val="center"/>
            <w:hideMark/>
          </w:tcPr>
          <w:p w14:paraId="2CDC8A9D" w14:textId="77777777" w:rsidR="00B00636" w:rsidRPr="002674BD" w:rsidRDefault="00B00636" w:rsidP="00B00636">
            <w:pPr>
              <w:spacing w:before="0" w:after="0"/>
              <w:jc w:val="both"/>
              <w:rPr>
                <w:rFonts w:ascii="Calibri" w:hAnsi="Calibri" w:cs="Calibri"/>
                <w:color w:val="000000"/>
                <w:sz w:val="18"/>
                <w:szCs w:val="18"/>
              </w:rPr>
            </w:pPr>
            <w:r w:rsidRPr="002674BD">
              <w:rPr>
                <w:rFonts w:ascii="Calibri" w:eastAsia="Calibri" w:hAnsi="Calibri" w:cs="Calibri"/>
                <w:color w:val="000000"/>
                <w:sz w:val="18"/>
                <w:szCs w:val="18"/>
                <w:lang w:eastAsia="en-US"/>
              </w:rPr>
              <w:t xml:space="preserve">Kalgoorlie-Boulder </w:t>
            </w:r>
            <w:r w:rsidRPr="002674BD">
              <w:rPr>
                <w:rFonts w:ascii="Calibri" w:eastAsia="Calibri" w:hAnsi="Calibri" w:cs="Calibri"/>
                <w:color w:val="000000"/>
                <w:sz w:val="18"/>
                <w:szCs w:val="18"/>
                <w:lang w:eastAsia="en-US"/>
              </w:rPr>
              <w:br/>
              <w:t>(in progress draft)</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23BE650E" w14:textId="48D10A1E" w:rsidR="00B00636" w:rsidRPr="002674BD" w:rsidRDefault="00B00636" w:rsidP="00B00636">
            <w:pPr>
              <w:spacing w:before="0" w:after="0"/>
              <w:jc w:val="both"/>
              <w:rPr>
                <w:rFonts w:ascii="Calibri" w:hAnsi="Calibri" w:cs="Calibri"/>
                <w:color w:val="000000"/>
                <w:sz w:val="20"/>
              </w:rPr>
            </w:pPr>
            <w:r w:rsidRPr="002674BD">
              <w:rPr>
                <w:sz w:val="20"/>
              </w:rPr>
              <w:t>1,170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5A379084" w14:textId="167E071A" w:rsidR="00B00636" w:rsidRPr="002674BD" w:rsidRDefault="00B00636" w:rsidP="00B00636">
            <w:pPr>
              <w:spacing w:before="0" w:after="0"/>
              <w:jc w:val="both"/>
              <w:rPr>
                <w:rFonts w:ascii="Calibri" w:hAnsi="Calibri" w:cs="Calibri"/>
                <w:color w:val="000000"/>
                <w:sz w:val="20"/>
              </w:rPr>
            </w:pPr>
            <w:r w:rsidRPr="002674BD">
              <w:rPr>
                <w:sz w:val="20"/>
              </w:rPr>
              <w:t>336</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20B00E44" w14:textId="7BE340FD" w:rsidR="00B00636" w:rsidRPr="002674BD" w:rsidRDefault="00B00636" w:rsidP="00B00636">
            <w:pPr>
              <w:spacing w:before="0" w:after="0"/>
              <w:jc w:val="both"/>
              <w:rPr>
                <w:rFonts w:ascii="Calibri" w:hAnsi="Calibri" w:cs="Calibri"/>
                <w:color w:val="000000"/>
                <w:sz w:val="20"/>
              </w:rPr>
            </w:pPr>
            <w:r w:rsidRPr="002674BD">
              <w:rPr>
                <w:sz w:val="20"/>
              </w:rPr>
              <w:t>124</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1D201947" w14:textId="5841343A" w:rsidR="00B00636" w:rsidRPr="002674BD" w:rsidRDefault="00B00636" w:rsidP="00B00636">
            <w:pPr>
              <w:spacing w:before="0" w:after="0"/>
              <w:jc w:val="both"/>
              <w:rPr>
                <w:rFonts w:ascii="Calibri" w:hAnsi="Calibri" w:cs="Calibri"/>
                <w:color w:val="000000"/>
                <w:sz w:val="20"/>
              </w:rPr>
            </w:pPr>
            <w:r w:rsidRPr="002674BD">
              <w:rPr>
                <w:sz w:val="20"/>
              </w:rPr>
              <w:t>64</w:t>
            </w:r>
          </w:p>
        </w:tc>
      </w:tr>
      <w:tr w:rsidR="00B00636" w:rsidRPr="002674BD" w14:paraId="3F2D3844"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vAlign w:val="center"/>
            <w:hideMark/>
          </w:tcPr>
          <w:p w14:paraId="221B999E" w14:textId="77777777"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Karratha</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17E112A6" w14:textId="587D7AE6" w:rsidR="00B00636" w:rsidRPr="002674BD" w:rsidRDefault="00B00636" w:rsidP="00B00636">
            <w:pPr>
              <w:spacing w:before="0" w:after="0"/>
              <w:jc w:val="both"/>
              <w:rPr>
                <w:rFonts w:ascii="Calibri" w:hAnsi="Calibri" w:cs="Calibri"/>
                <w:color w:val="000000"/>
                <w:sz w:val="20"/>
              </w:rPr>
            </w:pPr>
            <w:r w:rsidRPr="002674BD">
              <w:rPr>
                <w:sz w:val="20"/>
              </w:rPr>
              <w:t>4,500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30953263" w14:textId="60E09D9F" w:rsidR="00B00636" w:rsidRPr="002674BD" w:rsidRDefault="00B00636" w:rsidP="00B00636">
            <w:pPr>
              <w:spacing w:before="0" w:after="0"/>
              <w:jc w:val="both"/>
              <w:rPr>
                <w:rFonts w:ascii="Calibri" w:hAnsi="Calibri" w:cs="Calibri"/>
                <w:color w:val="000000"/>
                <w:sz w:val="20"/>
              </w:rPr>
            </w:pPr>
            <w:r w:rsidRPr="002674BD">
              <w:rPr>
                <w:sz w:val="20"/>
              </w:rPr>
              <w:t>281</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66BACFC3" w14:textId="240BD553" w:rsidR="00B00636" w:rsidRPr="002674BD" w:rsidRDefault="00B00636" w:rsidP="00B00636">
            <w:pPr>
              <w:spacing w:before="0" w:after="0"/>
              <w:jc w:val="both"/>
              <w:rPr>
                <w:rFonts w:ascii="Calibri" w:hAnsi="Calibri" w:cs="Calibri"/>
                <w:color w:val="000000"/>
                <w:sz w:val="20"/>
              </w:rPr>
            </w:pPr>
            <w:r w:rsidRPr="002674BD">
              <w:rPr>
                <w:sz w:val="20"/>
              </w:rPr>
              <w:t>63</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27C156D7" w14:textId="75038E97" w:rsidR="00B00636" w:rsidRPr="002674BD" w:rsidRDefault="00B00636" w:rsidP="00B00636">
            <w:pPr>
              <w:spacing w:before="0" w:after="0"/>
              <w:jc w:val="both"/>
              <w:rPr>
                <w:rFonts w:ascii="Calibri" w:hAnsi="Calibri" w:cs="Calibri"/>
                <w:color w:val="000000"/>
                <w:sz w:val="20"/>
              </w:rPr>
            </w:pPr>
            <w:r w:rsidRPr="002674BD">
              <w:rPr>
                <w:sz w:val="20"/>
              </w:rPr>
              <w:t>157</w:t>
            </w:r>
          </w:p>
        </w:tc>
      </w:tr>
      <w:tr w:rsidR="00B00636" w:rsidRPr="002674BD" w14:paraId="1B514613" w14:textId="77777777" w:rsidTr="00EB35E8">
        <w:trPr>
          <w:trHeight w:val="20"/>
        </w:trPr>
        <w:tc>
          <w:tcPr>
            <w:tcW w:w="1844" w:type="dxa"/>
            <w:tcBorders>
              <w:top w:val="single" w:sz="4" w:space="0" w:color="F2F2F2" w:themeColor="background1" w:themeShade="F2"/>
              <w:bottom w:val="single" w:sz="4" w:space="0" w:color="F2F2F2" w:themeColor="background1" w:themeShade="F2"/>
            </w:tcBorders>
            <w:shd w:val="clear" w:color="auto" w:fill="auto"/>
            <w:vAlign w:val="center"/>
            <w:hideMark/>
          </w:tcPr>
          <w:p w14:paraId="44D47174" w14:textId="77777777"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color w:val="000000"/>
                <w:sz w:val="18"/>
                <w:szCs w:val="18"/>
              </w:rPr>
              <w:t>Port Hedland</w:t>
            </w:r>
          </w:p>
        </w:tc>
        <w:tc>
          <w:tcPr>
            <w:tcW w:w="2551" w:type="dxa"/>
            <w:tcBorders>
              <w:top w:val="single" w:sz="4" w:space="0" w:color="F2F2F2" w:themeColor="background1" w:themeShade="F2"/>
              <w:bottom w:val="single" w:sz="4" w:space="0" w:color="F2F2F2" w:themeColor="background1" w:themeShade="F2"/>
            </w:tcBorders>
            <w:shd w:val="clear" w:color="auto" w:fill="auto"/>
          </w:tcPr>
          <w:p w14:paraId="2511466F" w14:textId="248234F6" w:rsidR="00B00636" w:rsidRPr="002674BD" w:rsidRDefault="00B00636" w:rsidP="00B00636">
            <w:pPr>
              <w:spacing w:before="0" w:after="0"/>
              <w:jc w:val="both"/>
              <w:rPr>
                <w:rFonts w:ascii="Calibri" w:hAnsi="Calibri" w:cs="Calibri"/>
                <w:color w:val="000000"/>
                <w:sz w:val="20"/>
              </w:rPr>
            </w:pPr>
            <w:r w:rsidRPr="002674BD">
              <w:rPr>
                <w:sz w:val="20"/>
              </w:rPr>
              <w:t>6,030</w:t>
            </w:r>
          </w:p>
        </w:tc>
        <w:tc>
          <w:tcPr>
            <w:tcW w:w="2127" w:type="dxa"/>
            <w:tcBorders>
              <w:top w:val="single" w:sz="4" w:space="0" w:color="F2F2F2" w:themeColor="background1" w:themeShade="F2"/>
              <w:bottom w:val="single" w:sz="4" w:space="0" w:color="F2F2F2" w:themeColor="background1" w:themeShade="F2"/>
            </w:tcBorders>
            <w:shd w:val="clear" w:color="auto" w:fill="auto"/>
          </w:tcPr>
          <w:p w14:paraId="22C7DB41" w14:textId="32368FD1" w:rsidR="00B00636" w:rsidRPr="002674BD" w:rsidRDefault="00B00636" w:rsidP="00B00636">
            <w:pPr>
              <w:spacing w:before="0" w:after="0"/>
              <w:jc w:val="both"/>
              <w:rPr>
                <w:rFonts w:ascii="Calibri" w:hAnsi="Calibri" w:cs="Calibri"/>
                <w:color w:val="000000"/>
                <w:sz w:val="20"/>
              </w:rPr>
            </w:pPr>
            <w:r w:rsidRPr="002674BD">
              <w:rPr>
                <w:sz w:val="20"/>
              </w:rPr>
              <w:t>175</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683318AA" w14:textId="72382595" w:rsidR="00B00636" w:rsidRPr="002674BD" w:rsidRDefault="00B00636" w:rsidP="00B00636">
            <w:pPr>
              <w:spacing w:before="0" w:after="0"/>
              <w:jc w:val="both"/>
              <w:rPr>
                <w:rFonts w:ascii="Calibri" w:hAnsi="Calibri" w:cs="Calibri"/>
                <w:color w:val="000000"/>
                <w:sz w:val="20"/>
              </w:rPr>
            </w:pPr>
            <w:r w:rsidRPr="002674BD">
              <w:rPr>
                <w:sz w:val="20"/>
              </w:rPr>
              <w:t>2</w:t>
            </w:r>
          </w:p>
        </w:tc>
        <w:tc>
          <w:tcPr>
            <w:tcW w:w="1701" w:type="dxa"/>
            <w:tcBorders>
              <w:top w:val="single" w:sz="4" w:space="0" w:color="F2F2F2" w:themeColor="background1" w:themeShade="F2"/>
              <w:bottom w:val="single" w:sz="4" w:space="0" w:color="F2F2F2" w:themeColor="background1" w:themeShade="F2"/>
            </w:tcBorders>
            <w:shd w:val="clear" w:color="auto" w:fill="auto"/>
          </w:tcPr>
          <w:p w14:paraId="0B46199D" w14:textId="6F06AB1B" w:rsidR="00B00636" w:rsidRPr="002674BD" w:rsidRDefault="00B00636" w:rsidP="00B00636">
            <w:pPr>
              <w:spacing w:before="0" w:after="0"/>
              <w:jc w:val="both"/>
              <w:rPr>
                <w:rFonts w:ascii="Calibri" w:hAnsi="Calibri" w:cs="Calibri"/>
                <w:color w:val="000000"/>
                <w:sz w:val="20"/>
              </w:rPr>
            </w:pPr>
            <w:r w:rsidRPr="002674BD">
              <w:rPr>
                <w:sz w:val="20"/>
              </w:rPr>
              <w:t>190</w:t>
            </w:r>
          </w:p>
        </w:tc>
      </w:tr>
      <w:tr w:rsidR="00B00636" w:rsidRPr="002674BD" w14:paraId="62C65C3A" w14:textId="77777777" w:rsidTr="00EB35E8">
        <w:trPr>
          <w:trHeight w:val="20"/>
        </w:trPr>
        <w:tc>
          <w:tcPr>
            <w:tcW w:w="1844" w:type="dxa"/>
            <w:tcBorders>
              <w:top w:val="single" w:sz="4" w:space="0" w:color="F2F2F2" w:themeColor="background1" w:themeShade="F2"/>
              <w:bottom w:val="single" w:sz="4" w:space="0" w:color="BFBFBF" w:themeColor="background1" w:themeShade="BF"/>
            </w:tcBorders>
            <w:shd w:val="clear" w:color="auto" w:fill="auto"/>
            <w:vAlign w:val="center"/>
            <w:hideMark/>
          </w:tcPr>
          <w:p w14:paraId="17F9F68F" w14:textId="77777777" w:rsidR="00B00636" w:rsidRPr="002674BD" w:rsidRDefault="00B00636" w:rsidP="00B00636">
            <w:pPr>
              <w:spacing w:before="0" w:after="0"/>
              <w:jc w:val="both"/>
              <w:rPr>
                <w:rFonts w:ascii="Calibri" w:hAnsi="Calibri" w:cs="Calibri"/>
                <w:color w:val="000000"/>
                <w:sz w:val="18"/>
                <w:szCs w:val="18"/>
              </w:rPr>
            </w:pPr>
            <w:r w:rsidRPr="002674BD">
              <w:rPr>
                <w:rFonts w:ascii="Calibri" w:hAnsi="Calibri" w:cs="Calibri"/>
                <w:b/>
                <w:bCs/>
                <w:color w:val="000000"/>
                <w:sz w:val="18"/>
                <w:szCs w:val="18"/>
              </w:rPr>
              <w:t>Regional total</w:t>
            </w:r>
            <w:r w:rsidRPr="002674BD">
              <w:rPr>
                <w:rFonts w:ascii="Calibri" w:hAnsi="Calibri" w:cs="Calibri"/>
                <w:color w:val="000000"/>
                <w:sz w:val="18"/>
                <w:szCs w:val="18"/>
              </w:rPr>
              <w:t xml:space="preserve"> </w:t>
            </w:r>
            <w:r w:rsidRPr="002674BD">
              <w:rPr>
                <w:rFonts w:ascii="Calibri" w:hAnsi="Calibri" w:cs="Calibri"/>
                <w:color w:val="000000"/>
                <w:sz w:val="18"/>
                <w:szCs w:val="18"/>
              </w:rPr>
              <w:br/>
              <w:t>(listed centres only)</w:t>
            </w:r>
          </w:p>
        </w:tc>
        <w:tc>
          <w:tcPr>
            <w:tcW w:w="2551" w:type="dxa"/>
            <w:tcBorders>
              <w:top w:val="single" w:sz="4" w:space="0" w:color="F2F2F2" w:themeColor="background1" w:themeShade="F2"/>
              <w:bottom w:val="single" w:sz="4" w:space="0" w:color="BFBFBF" w:themeColor="background1" w:themeShade="BF"/>
            </w:tcBorders>
            <w:shd w:val="clear" w:color="auto" w:fill="auto"/>
            <w:vAlign w:val="center"/>
            <w:hideMark/>
          </w:tcPr>
          <w:p w14:paraId="6B749381" w14:textId="77777777" w:rsidR="00B00636" w:rsidRPr="002674BD" w:rsidRDefault="00B00636" w:rsidP="00B00636">
            <w:pPr>
              <w:spacing w:before="0" w:after="0"/>
              <w:jc w:val="both"/>
              <w:rPr>
                <w:rFonts w:ascii="Calibri" w:hAnsi="Calibri" w:cs="Calibri"/>
                <w:b/>
                <w:bCs/>
                <w:color w:val="000000"/>
                <w:sz w:val="20"/>
              </w:rPr>
            </w:pPr>
            <w:r w:rsidRPr="002674BD">
              <w:rPr>
                <w:rFonts w:ascii="Calibri" w:hAnsi="Calibri" w:cs="Calibri"/>
                <w:b/>
                <w:bCs/>
                <w:color w:val="000000"/>
                <w:sz w:val="20"/>
              </w:rPr>
              <w:t>n/a</w:t>
            </w:r>
          </w:p>
        </w:tc>
        <w:tc>
          <w:tcPr>
            <w:tcW w:w="2127" w:type="dxa"/>
            <w:tcBorders>
              <w:top w:val="single" w:sz="4" w:space="0" w:color="F2F2F2" w:themeColor="background1" w:themeShade="F2"/>
              <w:bottom w:val="single" w:sz="4" w:space="0" w:color="BFBFBF" w:themeColor="background1" w:themeShade="BF"/>
            </w:tcBorders>
            <w:shd w:val="clear" w:color="auto" w:fill="auto"/>
            <w:hideMark/>
          </w:tcPr>
          <w:p w14:paraId="724BA79C" w14:textId="67958AE2" w:rsidR="00B00636" w:rsidRPr="002674BD" w:rsidRDefault="00B00636" w:rsidP="00B00636">
            <w:pPr>
              <w:spacing w:before="0" w:after="0"/>
              <w:jc w:val="both"/>
              <w:rPr>
                <w:rFonts w:ascii="Calibri" w:hAnsi="Calibri" w:cs="Calibri"/>
                <w:b/>
                <w:bCs/>
                <w:color w:val="000000"/>
                <w:sz w:val="20"/>
              </w:rPr>
            </w:pPr>
            <w:r w:rsidRPr="002674BD">
              <w:rPr>
                <w:sz w:val="20"/>
              </w:rPr>
              <w:t>7,724</w:t>
            </w:r>
          </w:p>
        </w:tc>
        <w:tc>
          <w:tcPr>
            <w:tcW w:w="1701" w:type="dxa"/>
            <w:tcBorders>
              <w:top w:val="single" w:sz="4" w:space="0" w:color="F2F2F2" w:themeColor="background1" w:themeShade="F2"/>
              <w:bottom w:val="single" w:sz="4" w:space="0" w:color="BFBFBF" w:themeColor="background1" w:themeShade="BF"/>
            </w:tcBorders>
            <w:shd w:val="clear" w:color="auto" w:fill="auto"/>
            <w:hideMark/>
          </w:tcPr>
          <w:p w14:paraId="5B69ED4D" w14:textId="1CF4D4D6" w:rsidR="00B00636" w:rsidRPr="002674BD" w:rsidRDefault="00B00636" w:rsidP="00B00636">
            <w:pPr>
              <w:spacing w:before="0" w:after="0"/>
              <w:jc w:val="both"/>
              <w:rPr>
                <w:rFonts w:ascii="Calibri" w:hAnsi="Calibri" w:cs="Calibri"/>
                <w:b/>
                <w:bCs/>
                <w:color w:val="000000"/>
                <w:sz w:val="20"/>
              </w:rPr>
            </w:pPr>
            <w:r w:rsidRPr="002674BD">
              <w:rPr>
                <w:sz w:val="20"/>
              </w:rPr>
              <w:t>1,135</w:t>
            </w:r>
          </w:p>
        </w:tc>
        <w:tc>
          <w:tcPr>
            <w:tcW w:w="1701" w:type="dxa"/>
            <w:tcBorders>
              <w:top w:val="single" w:sz="4" w:space="0" w:color="F2F2F2" w:themeColor="background1" w:themeShade="F2"/>
              <w:bottom w:val="single" w:sz="4" w:space="0" w:color="BFBFBF" w:themeColor="background1" w:themeShade="BF"/>
            </w:tcBorders>
            <w:shd w:val="clear" w:color="auto" w:fill="auto"/>
            <w:vAlign w:val="center"/>
          </w:tcPr>
          <w:p w14:paraId="09C196E4" w14:textId="7A60D88E" w:rsidR="00B00636" w:rsidRPr="002674BD" w:rsidRDefault="00B00636" w:rsidP="00B00636">
            <w:pPr>
              <w:spacing w:before="0" w:after="0"/>
              <w:jc w:val="both"/>
              <w:rPr>
                <w:rFonts w:ascii="Calibri" w:hAnsi="Calibri" w:cs="Calibri"/>
                <w:b/>
                <w:bCs/>
                <w:color w:val="000000"/>
                <w:sz w:val="20"/>
              </w:rPr>
            </w:pPr>
          </w:p>
        </w:tc>
      </w:tr>
      <w:tr w:rsidR="005D65E8" w:rsidRPr="002674BD" w14:paraId="1DA86B74" w14:textId="77777777" w:rsidTr="00EB35E8">
        <w:trPr>
          <w:trHeight w:val="20"/>
        </w:trPr>
        <w:tc>
          <w:tcPr>
            <w:tcW w:w="1844" w:type="dxa"/>
            <w:tcBorders>
              <w:top w:val="single" w:sz="4" w:space="0" w:color="BFBFBF" w:themeColor="background1" w:themeShade="BF"/>
            </w:tcBorders>
            <w:shd w:val="clear" w:color="auto" w:fill="auto"/>
            <w:vAlign w:val="center"/>
            <w:hideMark/>
          </w:tcPr>
          <w:p w14:paraId="6ECD0E22" w14:textId="77777777" w:rsidR="005D65E8" w:rsidRPr="002674BD" w:rsidRDefault="005D65E8" w:rsidP="007E2D0E">
            <w:pPr>
              <w:spacing w:before="0" w:after="0"/>
              <w:jc w:val="both"/>
              <w:rPr>
                <w:rFonts w:ascii="Calibri" w:hAnsi="Calibri" w:cs="Calibri"/>
                <w:b/>
                <w:bCs/>
                <w:color w:val="000000"/>
                <w:sz w:val="18"/>
                <w:szCs w:val="18"/>
              </w:rPr>
            </w:pPr>
            <w:r w:rsidRPr="002674BD">
              <w:rPr>
                <w:rFonts w:ascii="Calibri" w:hAnsi="Calibri" w:cs="Calibri"/>
                <w:b/>
                <w:bCs/>
                <w:color w:val="000000"/>
                <w:sz w:val="18"/>
                <w:szCs w:val="18"/>
              </w:rPr>
              <w:t xml:space="preserve">TOTAL </w:t>
            </w:r>
            <w:r w:rsidRPr="002674BD">
              <w:rPr>
                <w:rFonts w:ascii="Calibri" w:hAnsi="Calibri" w:cs="Calibri"/>
                <w:color w:val="000000"/>
                <w:sz w:val="18"/>
                <w:szCs w:val="18"/>
              </w:rPr>
              <w:t>(listed centres only)</w:t>
            </w:r>
          </w:p>
        </w:tc>
        <w:tc>
          <w:tcPr>
            <w:tcW w:w="2551" w:type="dxa"/>
            <w:tcBorders>
              <w:top w:val="single" w:sz="4" w:space="0" w:color="BFBFBF" w:themeColor="background1" w:themeShade="BF"/>
            </w:tcBorders>
            <w:shd w:val="clear" w:color="auto" w:fill="auto"/>
            <w:vAlign w:val="center"/>
            <w:hideMark/>
          </w:tcPr>
          <w:p w14:paraId="4BA4323A" w14:textId="77777777" w:rsidR="005D65E8" w:rsidRPr="002674BD" w:rsidRDefault="005D65E8" w:rsidP="007E2D0E">
            <w:pPr>
              <w:spacing w:before="0" w:after="0"/>
              <w:jc w:val="both"/>
              <w:rPr>
                <w:rFonts w:ascii="Calibri" w:hAnsi="Calibri" w:cs="Calibri"/>
                <w:b/>
                <w:bCs/>
                <w:color w:val="000000"/>
                <w:sz w:val="18"/>
                <w:szCs w:val="18"/>
              </w:rPr>
            </w:pPr>
            <w:r w:rsidRPr="002674BD">
              <w:rPr>
                <w:rFonts w:ascii="Calibri" w:hAnsi="Calibri" w:cs="Calibri"/>
                <w:b/>
                <w:bCs/>
                <w:color w:val="000000"/>
                <w:sz w:val="18"/>
                <w:szCs w:val="18"/>
              </w:rPr>
              <w:t>n/a</w:t>
            </w:r>
          </w:p>
        </w:tc>
        <w:tc>
          <w:tcPr>
            <w:tcW w:w="2127" w:type="dxa"/>
            <w:tcBorders>
              <w:top w:val="single" w:sz="4" w:space="0" w:color="BFBFBF" w:themeColor="background1" w:themeShade="BF"/>
            </w:tcBorders>
            <w:shd w:val="clear" w:color="auto" w:fill="auto"/>
            <w:vAlign w:val="center"/>
            <w:hideMark/>
          </w:tcPr>
          <w:p w14:paraId="7527A8EB" w14:textId="0376FDD4" w:rsidR="005D65E8" w:rsidRPr="002674BD" w:rsidRDefault="005D65E8" w:rsidP="007E2D0E">
            <w:pPr>
              <w:spacing w:before="0" w:after="0"/>
              <w:jc w:val="both"/>
              <w:rPr>
                <w:rFonts w:ascii="Calibri" w:hAnsi="Calibri" w:cs="Calibri"/>
                <w:b/>
                <w:bCs/>
                <w:color w:val="000000"/>
                <w:sz w:val="18"/>
                <w:szCs w:val="18"/>
              </w:rPr>
            </w:pPr>
            <w:r w:rsidRPr="002674BD">
              <w:rPr>
                <w:rFonts w:ascii="Calibri" w:hAnsi="Calibri" w:cs="Calibri"/>
                <w:b/>
                <w:bCs/>
                <w:color w:val="000000"/>
                <w:sz w:val="18"/>
                <w:szCs w:val="18"/>
              </w:rPr>
              <w:t>6</w:t>
            </w:r>
            <w:r w:rsidR="00B00636" w:rsidRPr="002674BD">
              <w:rPr>
                <w:rFonts w:ascii="Calibri" w:hAnsi="Calibri" w:cs="Calibri"/>
                <w:b/>
                <w:bCs/>
                <w:color w:val="000000"/>
                <w:sz w:val="18"/>
                <w:szCs w:val="18"/>
              </w:rPr>
              <w:t>4,326</w:t>
            </w:r>
          </w:p>
        </w:tc>
        <w:tc>
          <w:tcPr>
            <w:tcW w:w="1701" w:type="dxa"/>
            <w:tcBorders>
              <w:top w:val="single" w:sz="4" w:space="0" w:color="BFBFBF" w:themeColor="background1" w:themeShade="BF"/>
            </w:tcBorders>
            <w:shd w:val="clear" w:color="auto" w:fill="auto"/>
            <w:vAlign w:val="center"/>
            <w:hideMark/>
          </w:tcPr>
          <w:p w14:paraId="0D883503" w14:textId="55D30A19" w:rsidR="005D65E8" w:rsidRPr="002674BD" w:rsidRDefault="00B00636" w:rsidP="007E2D0E">
            <w:pPr>
              <w:spacing w:before="0" w:after="0"/>
              <w:jc w:val="both"/>
              <w:rPr>
                <w:rFonts w:ascii="Calibri" w:hAnsi="Calibri" w:cs="Calibri"/>
                <w:b/>
                <w:bCs/>
                <w:color w:val="000000"/>
                <w:sz w:val="18"/>
                <w:szCs w:val="18"/>
              </w:rPr>
            </w:pPr>
            <w:r w:rsidRPr="002674BD">
              <w:rPr>
                <w:rFonts w:ascii="Calibri" w:hAnsi="Calibri" w:cs="Calibri"/>
                <w:b/>
                <w:bCs/>
                <w:color w:val="000000"/>
                <w:sz w:val="18"/>
                <w:szCs w:val="18"/>
              </w:rPr>
              <w:t>11,238</w:t>
            </w:r>
          </w:p>
        </w:tc>
        <w:tc>
          <w:tcPr>
            <w:tcW w:w="1701" w:type="dxa"/>
            <w:tcBorders>
              <w:top w:val="single" w:sz="4" w:space="0" w:color="BFBFBF" w:themeColor="background1" w:themeShade="BF"/>
            </w:tcBorders>
            <w:shd w:val="clear" w:color="auto" w:fill="auto"/>
            <w:vAlign w:val="center"/>
            <w:hideMark/>
          </w:tcPr>
          <w:p w14:paraId="3D666E76" w14:textId="2FFB546B" w:rsidR="005D65E8" w:rsidRPr="002674BD" w:rsidRDefault="005D65E8" w:rsidP="007E2D0E">
            <w:pPr>
              <w:spacing w:before="0" w:after="0"/>
              <w:jc w:val="both"/>
              <w:rPr>
                <w:rFonts w:ascii="Calibri" w:hAnsi="Calibri" w:cs="Calibri"/>
                <w:b/>
                <w:bCs/>
                <w:color w:val="000000"/>
                <w:sz w:val="18"/>
                <w:szCs w:val="18"/>
              </w:rPr>
            </w:pPr>
          </w:p>
        </w:tc>
      </w:tr>
    </w:tbl>
    <w:p w14:paraId="23C92168" w14:textId="79FD9D8C" w:rsidR="00763A1F" w:rsidRPr="002674BD" w:rsidRDefault="00763A1F" w:rsidP="009A56C4">
      <w:pPr>
        <w:spacing w:before="120"/>
        <w:rPr>
          <w:rFonts w:eastAsia="Calibri"/>
          <w:sz w:val="16"/>
          <w:szCs w:val="16"/>
          <w:lang w:eastAsia="en-US"/>
        </w:rPr>
      </w:pPr>
      <w:r w:rsidRPr="002674BD">
        <w:rPr>
          <w:rFonts w:eastAsia="Calibri"/>
          <w:sz w:val="16"/>
          <w:szCs w:val="16"/>
          <w:lang w:eastAsia="en-US"/>
        </w:rPr>
        <w:t>Source: Data Analytics, 202</w:t>
      </w:r>
      <w:r w:rsidR="00B00636" w:rsidRPr="002674BD">
        <w:rPr>
          <w:rFonts w:eastAsia="Calibri"/>
          <w:sz w:val="16"/>
          <w:szCs w:val="16"/>
          <w:lang w:eastAsia="en-US"/>
        </w:rPr>
        <w:t>5</w:t>
      </w:r>
      <w:r w:rsidRPr="002674BD">
        <w:rPr>
          <w:rFonts w:eastAsia="Calibri"/>
          <w:sz w:val="16"/>
          <w:szCs w:val="16"/>
          <w:lang w:eastAsia="en-US"/>
        </w:rPr>
        <w:t>.</w:t>
      </w:r>
      <w:r w:rsidRPr="002674BD">
        <w:rPr>
          <w:rFonts w:eastAsia="Calibri"/>
          <w:sz w:val="16"/>
          <w:szCs w:val="16"/>
          <w:lang w:eastAsia="en-US"/>
        </w:rPr>
        <w:br/>
        <w:t xml:space="preserve">*In Metropolitan Region – Perth and Peel Regions, estimated dwellings includes strategic land use plans future urban land identified in </w:t>
      </w:r>
      <w:r w:rsidRPr="002674BD">
        <w:rPr>
          <w:rFonts w:eastAsia="Calibri"/>
          <w:i/>
          <w:iCs/>
          <w:sz w:val="16"/>
          <w:szCs w:val="16"/>
          <w:lang w:eastAsia="en-US"/>
        </w:rPr>
        <w:t>Perth and Peel@3.5million</w:t>
      </w:r>
      <w:r w:rsidRPr="002674BD">
        <w:rPr>
          <w:rFonts w:eastAsia="Calibri"/>
          <w:sz w:val="16"/>
          <w:szCs w:val="16"/>
          <w:lang w:eastAsia="en-US"/>
        </w:rPr>
        <w:t xml:space="preserve"> </w:t>
      </w:r>
      <w:r w:rsidRPr="002674BD">
        <w:rPr>
          <w:rFonts w:eastAsia="Calibri"/>
          <w:sz w:val="16"/>
          <w:szCs w:val="16"/>
          <w:lang w:eastAsia="en-US"/>
        </w:rPr>
        <w:br/>
        <w:t>**Regional data collection is produced on an as needs basis, and therefore have different data dates ranging from 2015-202</w:t>
      </w:r>
      <w:r w:rsidR="004662CA" w:rsidRPr="002674BD">
        <w:rPr>
          <w:rFonts w:eastAsia="Calibri"/>
          <w:sz w:val="16"/>
          <w:szCs w:val="16"/>
          <w:lang w:eastAsia="en-US"/>
        </w:rPr>
        <w:t>4</w:t>
      </w:r>
      <w:r w:rsidRPr="002674BD">
        <w:rPr>
          <w:rFonts w:eastAsia="Calibri"/>
          <w:sz w:val="16"/>
          <w:szCs w:val="16"/>
          <w:lang w:eastAsia="en-US"/>
        </w:rPr>
        <w:t>. The data may be subject to change. Given regional data collection is produced on an as needs basis, available land in 2015, may be less in 202</w:t>
      </w:r>
      <w:r w:rsidR="004662CA" w:rsidRPr="002674BD">
        <w:rPr>
          <w:rFonts w:eastAsia="Calibri"/>
          <w:sz w:val="16"/>
          <w:szCs w:val="16"/>
          <w:lang w:eastAsia="en-US"/>
        </w:rPr>
        <w:t>4</w:t>
      </w:r>
      <w:r w:rsidRPr="002674BD">
        <w:rPr>
          <w:rFonts w:eastAsia="Calibri"/>
          <w:sz w:val="16"/>
          <w:szCs w:val="16"/>
          <w:lang w:eastAsia="en-US"/>
        </w:rPr>
        <w:t>, and on that basis, average land consumption needs to be considered, as this will impact estimated dwelling yields and population capacity.</w:t>
      </w:r>
      <w:r w:rsidRPr="002674BD">
        <w:rPr>
          <w:rFonts w:eastAsia="Calibri"/>
          <w:sz w:val="16"/>
          <w:szCs w:val="16"/>
          <w:lang w:eastAsia="en-US"/>
        </w:rPr>
        <w:br/>
        <w:t xml:space="preserve">***Conditional subdivision approvals, are subdivision approvals granted by the Western Australian Planning Commission are still valid in accordance with the </w:t>
      </w:r>
      <w:r w:rsidRPr="002674BD">
        <w:rPr>
          <w:rFonts w:eastAsia="Calibri"/>
          <w:i/>
          <w:iCs/>
          <w:sz w:val="16"/>
          <w:szCs w:val="16"/>
          <w:lang w:eastAsia="en-US"/>
        </w:rPr>
        <w:t>Planning and Development Act 2005</w:t>
      </w:r>
      <w:r w:rsidRPr="002674BD">
        <w:rPr>
          <w:rFonts w:eastAsia="Calibri"/>
          <w:sz w:val="16"/>
          <w:szCs w:val="16"/>
          <w:lang w:eastAsia="en-US"/>
        </w:rPr>
        <w:t xml:space="preserve"> and extensions under the Act. </w:t>
      </w:r>
      <w:r w:rsidRPr="002674BD">
        <w:rPr>
          <w:rFonts w:eastAsia="Calibri"/>
          <w:sz w:val="16"/>
          <w:szCs w:val="16"/>
          <w:lang w:eastAsia="en-US"/>
        </w:rPr>
        <w:br/>
        <w:t>****Final subdivision approval issued by Western Australian Planning Commission, requires developers to request Titles to be issued through Landgate.</w:t>
      </w:r>
    </w:p>
    <w:p w14:paraId="5CD9FF61" w14:textId="36088449" w:rsidR="00763A1F" w:rsidRPr="002674BD" w:rsidRDefault="00763A1F" w:rsidP="007E2D0E">
      <w:pPr>
        <w:pStyle w:val="Heading4"/>
        <w:jc w:val="both"/>
        <w:rPr>
          <w:rFonts w:eastAsia="Calibri"/>
          <w:lang w:eastAsia="en-US"/>
        </w:rPr>
      </w:pPr>
      <w:r w:rsidRPr="002674BD">
        <w:rPr>
          <w:rFonts w:eastAsia="Calibri"/>
          <w:lang w:eastAsia="en-US"/>
        </w:rPr>
        <w:lastRenderedPageBreak/>
        <w:t>WA Government Initiatives</w:t>
      </w:r>
    </w:p>
    <w:p w14:paraId="3227172A" w14:textId="77777777" w:rsidR="00763A1F" w:rsidRPr="002674BD" w:rsidRDefault="00763A1F" w:rsidP="007E2D0E">
      <w:pPr>
        <w:jc w:val="both"/>
        <w:rPr>
          <w:rFonts w:eastAsia="Calibri"/>
          <w:lang w:eastAsia="en-US"/>
        </w:rPr>
      </w:pPr>
      <w:r w:rsidRPr="002674BD">
        <w:rPr>
          <w:rFonts w:eastAsia="Calibri"/>
          <w:lang w:eastAsia="en-US"/>
        </w:rPr>
        <w:t xml:space="preserve">The single largest project in the Metropolitan Region has been METRONET (2017, and currently under construction), with the planned expansion of the railway network providing opportunities for urban infill, and increased diversity of housing. See </w:t>
      </w:r>
      <w:hyperlink r:id="rId21" w:history="1">
        <w:r w:rsidRPr="002674BD">
          <w:rPr>
            <w:rStyle w:val="Hyperlink"/>
            <w:rFonts w:eastAsia="Calibri"/>
            <w:lang w:eastAsia="en-US"/>
          </w:rPr>
          <w:t>www.metronet.wa.gov.au</w:t>
        </w:r>
      </w:hyperlink>
      <w:r w:rsidRPr="002674BD">
        <w:rPr>
          <w:rFonts w:eastAsia="Calibri"/>
          <w:lang w:eastAsia="en-US"/>
        </w:rPr>
        <w:t xml:space="preserve"> for further information. </w:t>
      </w:r>
    </w:p>
    <w:p w14:paraId="65957CA4" w14:textId="77777777" w:rsidR="00FC4A3A" w:rsidRPr="002674BD" w:rsidRDefault="00FC4A3A" w:rsidP="00891028">
      <w:pPr>
        <w:spacing w:after="0"/>
        <w:jc w:val="both"/>
        <w:rPr>
          <w:u w:val="single"/>
        </w:rPr>
      </w:pPr>
      <w:r w:rsidRPr="002674BD">
        <w:rPr>
          <w:u w:val="single"/>
        </w:rPr>
        <w:t>State and Commonwealth Partnership</w:t>
      </w:r>
    </w:p>
    <w:p w14:paraId="32DB7A8B" w14:textId="77777777" w:rsidR="00FC4A3A" w:rsidRPr="002674BD" w:rsidRDefault="00FC4A3A" w:rsidP="00FC4A3A">
      <w:pPr>
        <w:pStyle w:val="BoxText"/>
        <w:spacing w:after="0"/>
        <w:jc w:val="both"/>
        <w:rPr>
          <w:sz w:val="22"/>
          <w:szCs w:val="22"/>
        </w:rPr>
      </w:pPr>
      <w:r w:rsidRPr="002674BD">
        <w:rPr>
          <w:sz w:val="22"/>
          <w:szCs w:val="22"/>
        </w:rPr>
        <w:t xml:space="preserve">A </w:t>
      </w:r>
      <w:r w:rsidRPr="002674BD">
        <w:rPr>
          <w:rFonts w:hint="cs"/>
          <w:sz w:val="22"/>
          <w:szCs w:val="22"/>
        </w:rPr>
        <w:t xml:space="preserve">new investment partnership between the </w:t>
      </w:r>
      <w:r w:rsidRPr="002674BD">
        <w:rPr>
          <w:sz w:val="22"/>
          <w:szCs w:val="22"/>
        </w:rPr>
        <w:t>Australian Government and State Government</w:t>
      </w:r>
      <w:r w:rsidRPr="002674BD">
        <w:rPr>
          <w:rFonts w:hint="cs"/>
          <w:sz w:val="22"/>
          <w:szCs w:val="22"/>
        </w:rPr>
        <w:t xml:space="preserve"> will deliver </w:t>
      </w:r>
      <w:r w:rsidRPr="002674BD">
        <w:rPr>
          <w:sz w:val="22"/>
          <w:szCs w:val="22"/>
        </w:rPr>
        <w:t>21 new social and affordable housing projects to deliver almost</w:t>
      </w:r>
      <w:r w:rsidRPr="002674BD">
        <w:rPr>
          <w:rFonts w:hint="cs"/>
          <w:sz w:val="22"/>
          <w:szCs w:val="22"/>
        </w:rPr>
        <w:t xml:space="preserve"> 1,800 social and affordable homes </w:t>
      </w:r>
      <w:r w:rsidRPr="002674BD">
        <w:rPr>
          <w:sz w:val="22"/>
          <w:szCs w:val="22"/>
        </w:rPr>
        <w:t>near METRONET stations and on other Government-owned land. The State Government will make initial investments of land and capital, with dwellings to be sold to Community Housing Providers (CHP) to own and manage. The Commonwealth will contribute funds through the Housing Australia Future Fund Facility and the National Housing Accord Facility.</w:t>
      </w:r>
    </w:p>
    <w:p w14:paraId="20B06174" w14:textId="5A01EFCA" w:rsidR="00763A1F" w:rsidRPr="002674BD" w:rsidRDefault="00763A1F" w:rsidP="007E2D0E">
      <w:pPr>
        <w:jc w:val="both"/>
        <w:rPr>
          <w:rFonts w:eastAsia="Calibri"/>
          <w:lang w:eastAsia="en-US"/>
        </w:rPr>
      </w:pPr>
      <w:r w:rsidRPr="002674BD">
        <w:rPr>
          <w:rFonts w:eastAsia="Calibri"/>
          <w:lang w:eastAsia="en-US"/>
        </w:rPr>
        <w:t>The WA Government also has several other initiatives, commenced during 2022</w:t>
      </w:r>
      <w:r w:rsidR="008A1ED8" w:rsidRPr="002674BD">
        <w:rPr>
          <w:rFonts w:eastAsia="Calibri"/>
          <w:lang w:eastAsia="en-US"/>
        </w:rPr>
        <w:t>,</w:t>
      </w:r>
      <w:r w:rsidRPr="002674BD">
        <w:rPr>
          <w:rFonts w:eastAsia="Calibri"/>
          <w:lang w:eastAsia="en-US"/>
        </w:rPr>
        <w:t xml:space="preserve"> 2023</w:t>
      </w:r>
      <w:r w:rsidR="008A1ED8" w:rsidRPr="002674BD">
        <w:rPr>
          <w:rFonts w:eastAsia="Calibri"/>
          <w:lang w:eastAsia="en-US"/>
        </w:rPr>
        <w:t xml:space="preserve"> and 2024</w:t>
      </w:r>
      <w:r w:rsidRPr="002674BD">
        <w:rPr>
          <w:rFonts w:eastAsia="Calibri"/>
          <w:lang w:eastAsia="en-US"/>
        </w:rPr>
        <w:t>, including:</w:t>
      </w:r>
    </w:p>
    <w:p w14:paraId="299765A6" w14:textId="77777777" w:rsidR="00763A1F" w:rsidRPr="002674BD" w:rsidRDefault="00763A1F" w:rsidP="007E2D0E">
      <w:pPr>
        <w:pStyle w:val="Bullet"/>
        <w:jc w:val="both"/>
        <w:rPr>
          <w:rFonts w:eastAsia="Calibri"/>
          <w:lang w:eastAsia="en-US"/>
        </w:rPr>
      </w:pPr>
      <w:r w:rsidRPr="002674BD">
        <w:rPr>
          <w:rFonts w:eastAsia="Calibri"/>
          <w:lang w:eastAsia="en-US"/>
        </w:rPr>
        <w:t>supporting efficient use of Government land</w:t>
      </w:r>
    </w:p>
    <w:p w14:paraId="30236839" w14:textId="77777777" w:rsidR="00763A1F" w:rsidRPr="002674BD" w:rsidRDefault="00763A1F" w:rsidP="007E2D0E">
      <w:pPr>
        <w:pStyle w:val="Bullet"/>
        <w:jc w:val="both"/>
        <w:rPr>
          <w:rFonts w:eastAsia="Calibri"/>
          <w:lang w:eastAsia="en-US"/>
        </w:rPr>
      </w:pPr>
      <w:r w:rsidRPr="002674BD">
        <w:rPr>
          <w:rFonts w:eastAsia="Calibri"/>
          <w:lang w:eastAsia="en-US"/>
        </w:rPr>
        <w:t>maximising the use of existing and proposed infrastructure</w:t>
      </w:r>
    </w:p>
    <w:p w14:paraId="59622128" w14:textId="77777777" w:rsidR="00763A1F" w:rsidRPr="002674BD" w:rsidRDefault="00763A1F" w:rsidP="007E2D0E">
      <w:pPr>
        <w:pStyle w:val="Bullet"/>
        <w:jc w:val="both"/>
        <w:rPr>
          <w:rFonts w:eastAsia="Calibri"/>
          <w:lang w:eastAsia="en-US"/>
        </w:rPr>
      </w:pPr>
      <w:r w:rsidRPr="002674BD">
        <w:rPr>
          <w:rFonts w:eastAsia="Calibri"/>
          <w:lang w:eastAsia="en-US"/>
        </w:rPr>
        <w:t>well-located sites for development</w:t>
      </w:r>
    </w:p>
    <w:p w14:paraId="249EDC31" w14:textId="77777777" w:rsidR="00763A1F" w:rsidRPr="002674BD" w:rsidRDefault="00763A1F" w:rsidP="007E2D0E">
      <w:pPr>
        <w:pStyle w:val="Bullet"/>
        <w:jc w:val="both"/>
        <w:rPr>
          <w:rFonts w:eastAsia="Calibri"/>
          <w:lang w:eastAsia="en-US"/>
        </w:rPr>
      </w:pPr>
      <w:r w:rsidRPr="002674BD">
        <w:rPr>
          <w:rFonts w:eastAsia="Calibri"/>
          <w:lang w:eastAsia="en-US"/>
        </w:rPr>
        <w:t>promoting the delivery of social and affordable housing</w:t>
      </w:r>
    </w:p>
    <w:p w14:paraId="7D720369" w14:textId="77777777" w:rsidR="00763A1F" w:rsidRPr="002674BD" w:rsidRDefault="00763A1F" w:rsidP="007E2D0E">
      <w:pPr>
        <w:pStyle w:val="Bullet"/>
        <w:jc w:val="both"/>
        <w:rPr>
          <w:rFonts w:eastAsia="Calibri"/>
          <w:lang w:eastAsia="en-US"/>
        </w:rPr>
      </w:pPr>
      <w:r w:rsidRPr="002674BD">
        <w:rPr>
          <w:rFonts w:eastAsia="Calibri"/>
          <w:lang w:eastAsia="en-US"/>
        </w:rPr>
        <w:t>assisting with the cost of infrastructure provision.</w:t>
      </w:r>
    </w:p>
    <w:p w14:paraId="19F9DB84" w14:textId="77777777" w:rsidR="00763A1F" w:rsidRPr="002674BD" w:rsidRDefault="00763A1F" w:rsidP="007E2D0E">
      <w:pPr>
        <w:jc w:val="both"/>
        <w:rPr>
          <w:rFonts w:eastAsia="Calibri"/>
          <w:lang w:eastAsia="en-US"/>
        </w:rPr>
      </w:pPr>
      <w:r w:rsidRPr="002674BD">
        <w:rPr>
          <w:rFonts w:eastAsia="Calibri"/>
          <w:lang w:eastAsia="en-US"/>
        </w:rPr>
        <w:t xml:space="preserve">Examples of the WA Government’s initiatives are summarised in Table 5 below. </w:t>
      </w:r>
    </w:p>
    <w:p w14:paraId="216720E9" w14:textId="3FA3BFFE" w:rsidR="00763A1F" w:rsidRPr="002674BD" w:rsidRDefault="004040C8" w:rsidP="007E2D0E">
      <w:pPr>
        <w:jc w:val="both"/>
        <w:rPr>
          <w:rStyle w:val="Strong"/>
          <w:rFonts w:eastAsia="Calibri"/>
        </w:rPr>
      </w:pPr>
      <w:r w:rsidRPr="002674BD">
        <w:rPr>
          <w:rStyle w:val="Strong"/>
          <w:rFonts w:eastAsia="Calibri"/>
          <w:color w:val="0070C0"/>
        </w:rPr>
        <w:t xml:space="preserve">Update: </w:t>
      </w:r>
      <w:r w:rsidR="00763A1F" w:rsidRPr="002674BD">
        <w:rPr>
          <w:rStyle w:val="Strong"/>
          <w:rFonts w:eastAsia="Calibri"/>
        </w:rPr>
        <w:t>Table 5 – WA Government initiatives with Associated Dwelling Commitments</w:t>
      </w:r>
    </w:p>
    <w:tbl>
      <w:tblPr>
        <w:tblW w:w="5000" w:type="pct"/>
        <w:tblLook w:val="01E0" w:firstRow="1" w:lastRow="1" w:firstColumn="1" w:lastColumn="1" w:noHBand="0" w:noVBand="0"/>
      </w:tblPr>
      <w:tblGrid>
        <w:gridCol w:w="1984"/>
        <w:gridCol w:w="4537"/>
        <w:gridCol w:w="2549"/>
      </w:tblGrid>
      <w:tr w:rsidR="00763A1F" w:rsidRPr="002674BD" w14:paraId="73E27733" w14:textId="77777777" w:rsidTr="008534EE">
        <w:trPr>
          <w:trHeight w:val="270"/>
          <w:tblHeader/>
        </w:trPr>
        <w:tc>
          <w:tcPr>
            <w:tcW w:w="1094" w:type="pct"/>
            <w:shd w:val="clear" w:color="auto" w:fill="E5E5E5"/>
          </w:tcPr>
          <w:p w14:paraId="0C6648D7" w14:textId="77777777" w:rsidR="00763A1F" w:rsidRPr="002674BD" w:rsidRDefault="00763A1F" w:rsidP="007E2D0E">
            <w:pPr>
              <w:pStyle w:val="TableTextLeft"/>
              <w:jc w:val="both"/>
            </w:pPr>
            <w:r w:rsidRPr="002674BD">
              <w:t>WA Government Initiative</w:t>
            </w:r>
          </w:p>
        </w:tc>
        <w:tc>
          <w:tcPr>
            <w:tcW w:w="2501" w:type="pct"/>
            <w:shd w:val="clear" w:color="auto" w:fill="E5E5E5"/>
          </w:tcPr>
          <w:p w14:paraId="4B050A71" w14:textId="77777777" w:rsidR="00763A1F" w:rsidRPr="002674BD" w:rsidRDefault="00763A1F" w:rsidP="007E2D0E">
            <w:pPr>
              <w:pStyle w:val="TableTextLeft"/>
              <w:jc w:val="both"/>
            </w:pPr>
            <w:r w:rsidRPr="002674BD">
              <w:t xml:space="preserve"> Expected impact</w:t>
            </w:r>
          </w:p>
        </w:tc>
        <w:tc>
          <w:tcPr>
            <w:tcW w:w="1405" w:type="pct"/>
            <w:shd w:val="clear" w:color="auto" w:fill="E5E5E5"/>
          </w:tcPr>
          <w:p w14:paraId="1B6E5C95" w14:textId="77777777" w:rsidR="00763A1F" w:rsidRPr="002674BD" w:rsidRDefault="00763A1F" w:rsidP="007E2D0E">
            <w:pPr>
              <w:pStyle w:val="TableTextLeft"/>
              <w:jc w:val="both"/>
            </w:pPr>
            <w:r w:rsidRPr="002674BD">
              <w:t>Further information</w:t>
            </w:r>
          </w:p>
        </w:tc>
      </w:tr>
      <w:tr w:rsidR="00763A1F" w:rsidRPr="002674BD" w14:paraId="0C17CC52" w14:textId="77777777" w:rsidTr="008534EE">
        <w:trPr>
          <w:trHeight w:val="270"/>
        </w:trPr>
        <w:tc>
          <w:tcPr>
            <w:tcW w:w="1094" w:type="pct"/>
            <w:tcBorders>
              <w:bottom w:val="single" w:sz="4" w:space="0" w:color="D9D9D9" w:themeColor="background1" w:themeShade="D9"/>
            </w:tcBorders>
          </w:tcPr>
          <w:p w14:paraId="5203CCC6" w14:textId="77777777" w:rsidR="00763A1F" w:rsidRPr="002674BD" w:rsidRDefault="00763A1F" w:rsidP="007E2D0E">
            <w:pPr>
              <w:pStyle w:val="TableTextLeft"/>
              <w:jc w:val="both"/>
            </w:pPr>
            <w:r w:rsidRPr="002674BD">
              <w:t>Social Housing Investment Fund</w:t>
            </w:r>
          </w:p>
          <w:p w14:paraId="76D39B79" w14:textId="77777777" w:rsidR="00763A1F" w:rsidRPr="002674BD" w:rsidRDefault="00763A1F" w:rsidP="007E2D0E">
            <w:pPr>
              <w:pStyle w:val="TableTextLeft"/>
              <w:jc w:val="both"/>
            </w:pPr>
          </w:p>
        </w:tc>
        <w:tc>
          <w:tcPr>
            <w:tcW w:w="2501" w:type="pct"/>
            <w:tcBorders>
              <w:bottom w:val="single" w:sz="4" w:space="0" w:color="D9D9D9" w:themeColor="background1" w:themeShade="D9"/>
            </w:tcBorders>
          </w:tcPr>
          <w:p w14:paraId="2F005F1A" w14:textId="519D91E3" w:rsidR="00763A1F" w:rsidRPr="002674BD" w:rsidRDefault="00763A1F" w:rsidP="007E2D0E">
            <w:pPr>
              <w:pStyle w:val="TableTextLeft"/>
              <w:jc w:val="both"/>
            </w:pPr>
            <w:r w:rsidRPr="002674BD">
              <w:t xml:space="preserve">Delivery of </w:t>
            </w:r>
            <w:r w:rsidR="005E1C37" w:rsidRPr="002674BD">
              <w:t>5</w:t>
            </w:r>
            <w:r w:rsidRPr="002674BD">
              <w:t>,000 new social dwellings across WA</w:t>
            </w:r>
          </w:p>
          <w:p w14:paraId="3C4D42E2" w14:textId="77777777" w:rsidR="00763A1F" w:rsidRPr="002674BD" w:rsidRDefault="00763A1F" w:rsidP="007E2D0E">
            <w:pPr>
              <w:pStyle w:val="TableTextLeft"/>
              <w:jc w:val="both"/>
            </w:pPr>
            <w:r w:rsidRPr="002674BD">
              <w:t xml:space="preserve"> </w:t>
            </w:r>
          </w:p>
        </w:tc>
        <w:tc>
          <w:tcPr>
            <w:tcW w:w="1405" w:type="pct"/>
            <w:tcBorders>
              <w:bottom w:val="single" w:sz="4" w:space="0" w:color="D9D9D9" w:themeColor="background1" w:themeShade="D9"/>
            </w:tcBorders>
          </w:tcPr>
          <w:p w14:paraId="7B0BBB27" w14:textId="77777777" w:rsidR="00763A1F" w:rsidRPr="002674BD" w:rsidRDefault="00763A1F" w:rsidP="007E2D0E">
            <w:pPr>
              <w:pStyle w:val="TableTextLeft"/>
              <w:jc w:val="both"/>
              <w:rPr>
                <w:rStyle w:val="Hyperlink"/>
              </w:rPr>
            </w:pPr>
            <w:hyperlink r:id="rId22" w:history="1">
              <w:r w:rsidRPr="002674BD">
                <w:rPr>
                  <w:rStyle w:val="Hyperlink"/>
                  <w:rFonts w:eastAsiaTheme="minorHAnsi"/>
                </w:rPr>
                <w:t>State Government housing reforms deliver over 1,300 social homes | Western Australian Government (www.wa.gov.au)</w:t>
              </w:r>
            </w:hyperlink>
          </w:p>
        </w:tc>
      </w:tr>
      <w:tr w:rsidR="00763A1F" w:rsidRPr="002674BD" w14:paraId="12DDF639"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080610BA" w14:textId="77777777" w:rsidR="00763A1F" w:rsidRPr="002674BD" w:rsidRDefault="00763A1F" w:rsidP="007E2D0E">
            <w:pPr>
              <w:pStyle w:val="TableTextLeft"/>
              <w:jc w:val="both"/>
            </w:pPr>
            <w:r w:rsidRPr="002674BD">
              <w:t>Infrastructure Development Fund (2023)</w:t>
            </w:r>
          </w:p>
          <w:p w14:paraId="6BBC661E" w14:textId="77777777" w:rsidR="00763A1F" w:rsidRPr="002674BD" w:rsidRDefault="00763A1F" w:rsidP="007E2D0E">
            <w:pPr>
              <w:pStyle w:val="TableTextLeft"/>
              <w:jc w:val="both"/>
            </w:pPr>
            <w:r w:rsidRPr="002674BD">
              <w:t>$80 million ($40 million Metropolitan and $40 million Regional)</w:t>
            </w:r>
          </w:p>
        </w:tc>
        <w:tc>
          <w:tcPr>
            <w:tcW w:w="2501" w:type="pct"/>
            <w:tcBorders>
              <w:top w:val="single" w:sz="4" w:space="0" w:color="D9D9D9" w:themeColor="background1" w:themeShade="D9"/>
              <w:bottom w:val="single" w:sz="4" w:space="0" w:color="D9D9D9" w:themeColor="background1" w:themeShade="D9"/>
            </w:tcBorders>
          </w:tcPr>
          <w:p w14:paraId="35A66FBB" w14:textId="77777777" w:rsidR="00763A1F" w:rsidRPr="002674BD" w:rsidRDefault="00763A1F" w:rsidP="007E2D0E">
            <w:pPr>
              <w:pStyle w:val="TableTextLeft"/>
              <w:jc w:val="both"/>
            </w:pPr>
            <w:r w:rsidRPr="002674BD">
              <w:t>Infill/well located development – apartments</w:t>
            </w:r>
          </w:p>
          <w:p w14:paraId="4D1922E3" w14:textId="77777777" w:rsidR="00763A1F" w:rsidRPr="002674BD" w:rsidRDefault="00763A1F" w:rsidP="007E2D0E">
            <w:pPr>
              <w:pStyle w:val="TableTextLeft"/>
              <w:jc w:val="both"/>
            </w:pPr>
            <w:r w:rsidRPr="002674BD">
              <w:t>Metropolitan Central</w:t>
            </w:r>
          </w:p>
          <w:p w14:paraId="585C4304" w14:textId="77777777" w:rsidR="00763A1F" w:rsidRPr="002674BD" w:rsidRDefault="00763A1F" w:rsidP="007E2D0E">
            <w:pPr>
              <w:pStyle w:val="TableTextLeft"/>
              <w:jc w:val="both"/>
            </w:pPr>
            <w:r w:rsidRPr="002674BD">
              <w:t>METRONET sites</w:t>
            </w:r>
          </w:p>
          <w:p w14:paraId="33F85E5D" w14:textId="56614F5C" w:rsidR="00763A1F" w:rsidRPr="002674BD" w:rsidRDefault="00763A1F" w:rsidP="007E2D0E">
            <w:pPr>
              <w:pStyle w:val="TableTextLeft"/>
              <w:jc w:val="both"/>
            </w:pPr>
            <w:r w:rsidRPr="002674BD">
              <w:t>Worker’s accommodation – regions</w:t>
            </w:r>
          </w:p>
          <w:p w14:paraId="6E2E4E17" w14:textId="2EDCFBFA" w:rsidR="00AB615B" w:rsidRPr="002674BD" w:rsidRDefault="00C1398A" w:rsidP="007E2D0E">
            <w:pPr>
              <w:pStyle w:val="TableTextLeft"/>
              <w:jc w:val="both"/>
            </w:pPr>
            <w:r w:rsidRPr="002674BD">
              <w:t>96</w:t>
            </w:r>
            <w:r w:rsidR="00AB615B" w:rsidRPr="002674BD">
              <w:t xml:space="preserve"> residential development projects with a potential yield of more than </w:t>
            </w:r>
            <w:r w:rsidRPr="002674BD">
              <w:t>6,780</w:t>
            </w:r>
            <w:r w:rsidR="00AB615B" w:rsidRPr="002674BD">
              <w:t xml:space="preserve"> </w:t>
            </w:r>
            <w:r w:rsidRPr="002674BD">
              <w:t>multiple dwellings.</w:t>
            </w:r>
          </w:p>
          <w:p w14:paraId="6683E783" w14:textId="0B5EF12A" w:rsidR="004C538E" w:rsidRPr="002674BD" w:rsidRDefault="004C538E" w:rsidP="007E2D0E">
            <w:pPr>
              <w:pStyle w:val="TableTextLeft"/>
              <w:jc w:val="both"/>
            </w:pPr>
          </w:p>
        </w:tc>
        <w:tc>
          <w:tcPr>
            <w:tcW w:w="1405" w:type="pct"/>
            <w:tcBorders>
              <w:top w:val="single" w:sz="4" w:space="0" w:color="D9D9D9" w:themeColor="background1" w:themeShade="D9"/>
              <w:bottom w:val="single" w:sz="4" w:space="0" w:color="D9D9D9" w:themeColor="background1" w:themeShade="D9"/>
            </w:tcBorders>
          </w:tcPr>
          <w:p w14:paraId="6D557E7A" w14:textId="3AE33CB9" w:rsidR="00763A1F" w:rsidRPr="002674BD" w:rsidRDefault="00AB615B" w:rsidP="007E2D0E">
            <w:pPr>
              <w:pStyle w:val="TableTextLeft"/>
              <w:jc w:val="both"/>
              <w:rPr>
                <w:rStyle w:val="Hyperlink"/>
                <w:rFonts w:eastAsiaTheme="minorHAnsi"/>
              </w:rPr>
            </w:pPr>
            <w:hyperlink r:id="rId23" w:history="1">
              <w:r w:rsidRPr="002674BD">
                <w:rPr>
                  <w:rStyle w:val="Hyperlink"/>
                </w:rPr>
                <w:t>Funding to support delivery of 363 new apartments | Western Australian Government (www.wa.gov.au)</w:t>
              </w:r>
            </w:hyperlink>
          </w:p>
          <w:p w14:paraId="03E21220" w14:textId="77777777" w:rsidR="00763A1F" w:rsidRPr="002674BD" w:rsidRDefault="00763A1F" w:rsidP="007E2D0E">
            <w:pPr>
              <w:pStyle w:val="TableTextLeft"/>
              <w:jc w:val="both"/>
              <w:rPr>
                <w:rStyle w:val="Hyperlink"/>
                <w:rFonts w:eastAsiaTheme="minorHAnsi"/>
              </w:rPr>
            </w:pPr>
            <w:hyperlink r:id="rId24" w:history="1">
              <w:r w:rsidRPr="002674BD">
                <w:rPr>
                  <w:rStyle w:val="Hyperlink"/>
                  <w:rFonts w:eastAsiaTheme="minorHAnsi"/>
                </w:rPr>
                <w:t>Infrastructure Development Fund (www.wa.gov.au)</w:t>
              </w:r>
            </w:hyperlink>
          </w:p>
        </w:tc>
      </w:tr>
      <w:tr w:rsidR="00763A1F" w:rsidRPr="002674BD" w14:paraId="3E8D79A9"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683B9CB5" w14:textId="77777777" w:rsidR="00763A1F" w:rsidRPr="002674BD" w:rsidRDefault="00763A1F" w:rsidP="007E2D0E">
            <w:pPr>
              <w:pStyle w:val="TableTextLeft"/>
              <w:jc w:val="both"/>
            </w:pPr>
            <w:r w:rsidRPr="002674BD">
              <w:t xml:space="preserve">$55 million strategic investment into water and wastewater infrastructure </w:t>
            </w:r>
          </w:p>
        </w:tc>
        <w:tc>
          <w:tcPr>
            <w:tcW w:w="2501" w:type="pct"/>
            <w:tcBorders>
              <w:top w:val="single" w:sz="4" w:space="0" w:color="D9D9D9" w:themeColor="background1" w:themeShade="D9"/>
              <w:bottom w:val="single" w:sz="4" w:space="0" w:color="D9D9D9" w:themeColor="background1" w:themeShade="D9"/>
            </w:tcBorders>
          </w:tcPr>
          <w:p w14:paraId="51F7A7D7" w14:textId="77777777" w:rsidR="00763A1F" w:rsidRPr="002674BD" w:rsidRDefault="00763A1F" w:rsidP="007E2D0E">
            <w:pPr>
              <w:pStyle w:val="TableTextLeft"/>
              <w:jc w:val="both"/>
            </w:pPr>
            <w:r w:rsidRPr="002674BD">
              <w:t>To drive metropolitan housing development over the next 10 years.</w:t>
            </w:r>
          </w:p>
          <w:p w14:paraId="24EEC603" w14:textId="77777777" w:rsidR="00763A1F" w:rsidRPr="002674BD" w:rsidRDefault="00763A1F" w:rsidP="007E2D0E">
            <w:pPr>
              <w:pStyle w:val="TableTextLeft"/>
              <w:jc w:val="both"/>
            </w:pPr>
            <w:r w:rsidRPr="002674BD">
              <w:t>More than 15,000 sites for new homes to be fast-tracked across METRONET sites, and strategic sites across Metropolitan Region.</w:t>
            </w:r>
          </w:p>
          <w:p w14:paraId="772F31EF" w14:textId="77777777" w:rsidR="00763A1F" w:rsidRPr="002674BD" w:rsidRDefault="00763A1F" w:rsidP="007E2D0E">
            <w:pPr>
              <w:pStyle w:val="TableTextLeft"/>
              <w:jc w:val="both"/>
            </w:pPr>
            <w:r w:rsidRPr="002674BD">
              <w:t>Special Development Contribution Areas to be created to recoup fair/equitable investment from future developers who benefit from planned upgrades.</w:t>
            </w:r>
          </w:p>
          <w:p w14:paraId="689B9DA6" w14:textId="77777777" w:rsidR="00763A1F" w:rsidRPr="002674BD" w:rsidRDefault="00763A1F" w:rsidP="007E2D0E">
            <w:pPr>
              <w:pStyle w:val="TableTextLeft"/>
              <w:jc w:val="both"/>
            </w:pPr>
            <w:r w:rsidRPr="002674BD">
              <w:lastRenderedPageBreak/>
              <w:t>Delivered by Water Corporation.</w:t>
            </w:r>
          </w:p>
        </w:tc>
        <w:tc>
          <w:tcPr>
            <w:tcW w:w="1405" w:type="pct"/>
            <w:tcBorders>
              <w:top w:val="single" w:sz="4" w:space="0" w:color="D9D9D9" w:themeColor="background1" w:themeShade="D9"/>
              <w:bottom w:val="single" w:sz="4" w:space="0" w:color="D9D9D9" w:themeColor="background1" w:themeShade="D9"/>
            </w:tcBorders>
          </w:tcPr>
          <w:p w14:paraId="34FBE503" w14:textId="77777777" w:rsidR="00763A1F" w:rsidRPr="002674BD" w:rsidRDefault="00763A1F" w:rsidP="007E2D0E">
            <w:pPr>
              <w:pStyle w:val="TableTextLeft"/>
              <w:jc w:val="both"/>
              <w:rPr>
                <w:rStyle w:val="Hyperlink"/>
                <w:rFonts w:eastAsiaTheme="minorHAnsi"/>
              </w:rPr>
            </w:pPr>
            <w:hyperlink r:id="rId25" w:history="1">
              <w:r w:rsidRPr="002674BD">
                <w:rPr>
                  <w:rStyle w:val="Hyperlink"/>
                  <w:rFonts w:eastAsiaTheme="minorHAnsi"/>
                </w:rPr>
                <w:t>New homes in the pipeline through $55 million water investment | Western Australian Government (www.wa.gov.au)</w:t>
              </w:r>
            </w:hyperlink>
          </w:p>
        </w:tc>
      </w:tr>
      <w:tr w:rsidR="00763A1F" w:rsidRPr="002674BD" w14:paraId="59435593"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54810C81" w14:textId="77777777" w:rsidR="00763A1F" w:rsidRPr="002674BD" w:rsidRDefault="00763A1F" w:rsidP="007E2D0E">
            <w:pPr>
              <w:pStyle w:val="TableTextLeft"/>
              <w:jc w:val="both"/>
            </w:pPr>
            <w:r w:rsidRPr="002674BD">
              <w:t xml:space="preserve">Housing Supply Unit – Department of Treasury Western Australia </w:t>
            </w:r>
          </w:p>
        </w:tc>
        <w:tc>
          <w:tcPr>
            <w:tcW w:w="2501" w:type="pct"/>
            <w:tcBorders>
              <w:top w:val="single" w:sz="4" w:space="0" w:color="D9D9D9" w:themeColor="background1" w:themeShade="D9"/>
              <w:bottom w:val="single" w:sz="4" w:space="0" w:color="D9D9D9" w:themeColor="background1" w:themeShade="D9"/>
            </w:tcBorders>
          </w:tcPr>
          <w:p w14:paraId="75C98EF8" w14:textId="77777777" w:rsidR="00763A1F" w:rsidRPr="002674BD" w:rsidRDefault="00763A1F" w:rsidP="007E2D0E">
            <w:pPr>
              <w:pStyle w:val="TableTextLeft"/>
              <w:jc w:val="both"/>
            </w:pPr>
            <w:r w:rsidRPr="002674BD">
              <w:t>Established to assist in WA Government’s continued drive to boost housing supply and affordability in Western Australia.</w:t>
            </w:r>
          </w:p>
          <w:p w14:paraId="507EC5B1" w14:textId="77777777" w:rsidR="00763A1F" w:rsidRPr="002674BD" w:rsidRDefault="00763A1F" w:rsidP="007E2D0E">
            <w:pPr>
              <w:pStyle w:val="TableTextLeft"/>
              <w:jc w:val="both"/>
            </w:pPr>
            <w:r w:rsidRPr="002674BD">
              <w:t>Unit will report to Residential Lands and Housing Delivery Ministerial Oversight Committee and be responsible for producing economic forecasts for Western Australia and development of market-driven housing policies including measures to boost supply and improve choice and affordability.</w:t>
            </w:r>
          </w:p>
          <w:p w14:paraId="2A72EC0C" w14:textId="58EBB76D" w:rsidR="00763A1F" w:rsidRPr="002674BD" w:rsidRDefault="00763A1F" w:rsidP="007E2D0E">
            <w:pPr>
              <w:pStyle w:val="TableTextLeft"/>
              <w:jc w:val="both"/>
            </w:pPr>
            <w:r w:rsidRPr="002674BD">
              <w:t xml:space="preserve">Unit </w:t>
            </w:r>
            <w:r w:rsidR="00EF59AF" w:rsidRPr="002674BD">
              <w:t>became</w:t>
            </w:r>
            <w:r w:rsidRPr="002674BD">
              <w:t xml:space="preserve"> operational in 2024.</w:t>
            </w:r>
          </w:p>
        </w:tc>
        <w:tc>
          <w:tcPr>
            <w:tcW w:w="1405" w:type="pct"/>
            <w:tcBorders>
              <w:top w:val="single" w:sz="4" w:space="0" w:color="D9D9D9" w:themeColor="background1" w:themeShade="D9"/>
              <w:bottom w:val="single" w:sz="4" w:space="0" w:color="D9D9D9" w:themeColor="background1" w:themeShade="D9"/>
            </w:tcBorders>
          </w:tcPr>
          <w:p w14:paraId="15D64C8C" w14:textId="77777777" w:rsidR="00763A1F" w:rsidRPr="002674BD" w:rsidRDefault="00763A1F" w:rsidP="007E2D0E">
            <w:pPr>
              <w:pStyle w:val="TableTextLeft"/>
              <w:jc w:val="both"/>
              <w:rPr>
                <w:rStyle w:val="Hyperlink"/>
                <w:rFonts w:eastAsiaTheme="minorHAnsi"/>
              </w:rPr>
            </w:pPr>
            <w:hyperlink r:id="rId26" w:history="1">
              <w:r w:rsidRPr="002674BD">
                <w:rPr>
                  <w:rStyle w:val="Hyperlink"/>
                  <w:rFonts w:eastAsiaTheme="minorHAnsi"/>
                </w:rPr>
                <w:t>New unit established to drive housing supply in Western Australia | Western Australian Government (www.wa.gov.au)</w:t>
              </w:r>
            </w:hyperlink>
          </w:p>
        </w:tc>
      </w:tr>
      <w:tr w:rsidR="007C505D" w:rsidRPr="002674BD" w14:paraId="37C92266"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74EF50E4" w14:textId="1A9102E1" w:rsidR="007C505D" w:rsidRPr="002674BD" w:rsidRDefault="007C505D" w:rsidP="007C505D">
            <w:pPr>
              <w:pStyle w:val="TableTextLeft"/>
              <w:jc w:val="both"/>
            </w:pPr>
            <w:r w:rsidRPr="002674BD">
              <w:t>Unlocking Surplus Government Land</w:t>
            </w:r>
          </w:p>
        </w:tc>
        <w:tc>
          <w:tcPr>
            <w:tcW w:w="2501" w:type="pct"/>
            <w:tcBorders>
              <w:top w:val="single" w:sz="4" w:space="0" w:color="D9D9D9" w:themeColor="background1" w:themeShade="D9"/>
              <w:bottom w:val="single" w:sz="4" w:space="0" w:color="D9D9D9" w:themeColor="background1" w:themeShade="D9"/>
            </w:tcBorders>
          </w:tcPr>
          <w:p w14:paraId="48282656" w14:textId="77777777" w:rsidR="007C505D" w:rsidRPr="002674BD" w:rsidRDefault="007C505D" w:rsidP="007C505D">
            <w:pPr>
              <w:pStyle w:val="TableTextLeft"/>
              <w:jc w:val="both"/>
            </w:pPr>
            <w:r w:rsidRPr="002674BD">
              <w:t xml:space="preserve">Housing Diversity Pipeline reviews surplus Government land, that is well located, with transport, employment opportunities and amenity. </w:t>
            </w:r>
          </w:p>
          <w:p w14:paraId="1BFF3809" w14:textId="47539EB6" w:rsidR="007C505D" w:rsidRPr="002674BD" w:rsidRDefault="007C505D" w:rsidP="007C505D">
            <w:pPr>
              <w:pStyle w:val="TableTextLeft"/>
              <w:jc w:val="both"/>
            </w:pPr>
            <w:r w:rsidRPr="002674BD">
              <w:t>Unlocking underutilised land at well located sites with amenity and near transport infrastructure, including METRONET.</w:t>
            </w:r>
          </w:p>
        </w:tc>
        <w:tc>
          <w:tcPr>
            <w:tcW w:w="1405" w:type="pct"/>
            <w:tcBorders>
              <w:top w:val="single" w:sz="4" w:space="0" w:color="D9D9D9" w:themeColor="background1" w:themeShade="D9"/>
              <w:bottom w:val="single" w:sz="4" w:space="0" w:color="D9D9D9" w:themeColor="background1" w:themeShade="D9"/>
            </w:tcBorders>
          </w:tcPr>
          <w:p w14:paraId="6DFC946A" w14:textId="77777777" w:rsidR="007C505D" w:rsidRPr="002674BD" w:rsidRDefault="007C505D" w:rsidP="007C505D">
            <w:pPr>
              <w:pStyle w:val="TableTextLeft"/>
              <w:jc w:val="both"/>
              <w:rPr>
                <w:rStyle w:val="Hyperlink"/>
                <w:rFonts w:eastAsiaTheme="minorHAnsi"/>
              </w:rPr>
            </w:pPr>
            <w:hyperlink r:id="rId27" w:history="1">
              <w:r w:rsidRPr="002674BD">
                <w:rPr>
                  <w:rStyle w:val="Hyperlink"/>
                  <w:rFonts w:eastAsiaTheme="minorHAnsi"/>
                </w:rPr>
                <w:t>Housing Diversity Pipeline (www.wa.gov.au)</w:t>
              </w:r>
            </w:hyperlink>
            <w:r w:rsidRPr="002674BD">
              <w:rPr>
                <w:rStyle w:val="Hyperlink"/>
                <w:rFonts w:eastAsiaTheme="minorHAnsi"/>
              </w:rPr>
              <w:t xml:space="preserve"> </w:t>
            </w:r>
          </w:p>
          <w:p w14:paraId="291578D4" w14:textId="0DD6A0B8" w:rsidR="007C505D" w:rsidRPr="002674BD" w:rsidRDefault="007C505D" w:rsidP="007C505D">
            <w:pPr>
              <w:pStyle w:val="TableTextLeft"/>
              <w:jc w:val="both"/>
            </w:pPr>
            <w:hyperlink r:id="rId28" w:history="1">
              <w:r w:rsidRPr="002674BD">
                <w:rPr>
                  <w:rStyle w:val="Hyperlink"/>
                  <w:rFonts w:eastAsiaTheme="minorHAnsi"/>
                </w:rPr>
                <w:t>Land released to build housing diversity | PS News</w:t>
              </w:r>
            </w:hyperlink>
            <w:r w:rsidRPr="002674BD">
              <w:rPr>
                <w:rStyle w:val="Hyperlink"/>
                <w:rFonts w:eastAsiaTheme="minorHAnsi"/>
              </w:rPr>
              <w:t>).</w:t>
            </w:r>
          </w:p>
        </w:tc>
      </w:tr>
      <w:tr w:rsidR="007C505D" w:rsidRPr="002674BD" w14:paraId="3504B38A"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2E35B1C7" w14:textId="5DBA1117" w:rsidR="007C505D" w:rsidRPr="002674BD" w:rsidRDefault="007C505D" w:rsidP="007C505D">
            <w:pPr>
              <w:pStyle w:val="TableTextLeft"/>
              <w:jc w:val="both"/>
            </w:pPr>
            <w:r w:rsidRPr="002674BD">
              <w:t>Regional land booster program</w:t>
            </w:r>
          </w:p>
        </w:tc>
        <w:tc>
          <w:tcPr>
            <w:tcW w:w="2501" w:type="pct"/>
            <w:tcBorders>
              <w:top w:val="single" w:sz="4" w:space="0" w:color="D9D9D9" w:themeColor="background1" w:themeShade="D9"/>
              <w:bottom w:val="single" w:sz="4" w:space="0" w:color="D9D9D9" w:themeColor="background1" w:themeShade="D9"/>
            </w:tcBorders>
          </w:tcPr>
          <w:p w14:paraId="5CF1DBAF" w14:textId="462E78E5" w:rsidR="007C505D" w:rsidRPr="002674BD" w:rsidRDefault="007C505D" w:rsidP="007C505D">
            <w:pPr>
              <w:pStyle w:val="TableTextLeft"/>
              <w:jc w:val="both"/>
            </w:pPr>
            <w:r w:rsidRPr="002674BD">
              <w:t>Funding of $7 million per year to improve supply of development-ready land across regional Western Australia to help build strong and vibrant regions. Through Development WA, there is currently approximately 577 residential/mixed use lots for sale in the regions across all land release programs.</w:t>
            </w:r>
          </w:p>
        </w:tc>
        <w:tc>
          <w:tcPr>
            <w:tcW w:w="1405" w:type="pct"/>
            <w:tcBorders>
              <w:top w:val="single" w:sz="4" w:space="0" w:color="D9D9D9" w:themeColor="background1" w:themeShade="D9"/>
              <w:bottom w:val="single" w:sz="4" w:space="0" w:color="D9D9D9" w:themeColor="background1" w:themeShade="D9"/>
            </w:tcBorders>
          </w:tcPr>
          <w:p w14:paraId="4585B1D9" w14:textId="7FE0C55A" w:rsidR="007C505D" w:rsidRPr="002674BD" w:rsidRDefault="007C505D" w:rsidP="007C505D">
            <w:pPr>
              <w:pStyle w:val="TableTextLeft"/>
              <w:jc w:val="both"/>
            </w:pPr>
            <w:hyperlink r:id="rId29" w:history="1">
              <w:r w:rsidRPr="002674BD">
                <w:rPr>
                  <w:rStyle w:val="Hyperlink"/>
                </w:rPr>
                <w:t>Funding boost to unlock development-ready land in the regions | Western Australian Government (www.wa.gov.au)</w:t>
              </w:r>
            </w:hyperlink>
          </w:p>
        </w:tc>
      </w:tr>
      <w:tr w:rsidR="007C505D" w:rsidRPr="002674BD" w14:paraId="54A1C1D0"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0736C385" w14:textId="77777777" w:rsidR="007C505D" w:rsidRPr="002674BD" w:rsidRDefault="007C505D" w:rsidP="007C505D">
            <w:pPr>
              <w:pStyle w:val="TableTextLeft"/>
              <w:jc w:val="both"/>
            </w:pPr>
            <w:r w:rsidRPr="002674BD">
              <w:t>Transfer duty concession for off-the-plan apartments and apartments under construction</w:t>
            </w:r>
          </w:p>
        </w:tc>
        <w:tc>
          <w:tcPr>
            <w:tcW w:w="2501" w:type="pct"/>
            <w:tcBorders>
              <w:top w:val="single" w:sz="4" w:space="0" w:color="D9D9D9" w:themeColor="background1" w:themeShade="D9"/>
              <w:bottom w:val="single" w:sz="4" w:space="0" w:color="D9D9D9" w:themeColor="background1" w:themeShade="D9"/>
            </w:tcBorders>
          </w:tcPr>
          <w:p w14:paraId="5AF773FF" w14:textId="77777777" w:rsidR="007C505D" w:rsidRPr="002674BD" w:rsidRDefault="007C505D" w:rsidP="007C505D">
            <w:pPr>
              <w:pStyle w:val="TableTextLeft"/>
              <w:jc w:val="both"/>
            </w:pPr>
            <w:r w:rsidRPr="002674BD">
              <w:t>Aims to make home ownership more accessible to Western Australians and encourage employment in the construction industry.</w:t>
            </w:r>
          </w:p>
          <w:p w14:paraId="6229DDB1" w14:textId="77777777" w:rsidR="007C505D" w:rsidRPr="002674BD" w:rsidRDefault="007C505D" w:rsidP="007C505D">
            <w:pPr>
              <w:pStyle w:val="TableTextLeft"/>
              <w:jc w:val="both"/>
            </w:pPr>
            <w:r w:rsidRPr="002674BD">
              <w:t>Rebate original due to expire in October 2021 – Scheme has been extended to 30 June 2025.</w:t>
            </w:r>
          </w:p>
        </w:tc>
        <w:tc>
          <w:tcPr>
            <w:tcW w:w="1405" w:type="pct"/>
            <w:tcBorders>
              <w:top w:val="single" w:sz="4" w:space="0" w:color="D9D9D9" w:themeColor="background1" w:themeShade="D9"/>
              <w:bottom w:val="single" w:sz="4" w:space="0" w:color="D9D9D9" w:themeColor="background1" w:themeShade="D9"/>
            </w:tcBorders>
          </w:tcPr>
          <w:p w14:paraId="7B2ACA41" w14:textId="77777777" w:rsidR="007C505D" w:rsidRPr="002674BD" w:rsidRDefault="007C505D" w:rsidP="007C505D">
            <w:pPr>
              <w:pStyle w:val="TableTextLeft"/>
              <w:jc w:val="both"/>
              <w:rPr>
                <w:rStyle w:val="Hyperlink"/>
                <w:rFonts w:eastAsiaTheme="minorHAnsi"/>
              </w:rPr>
            </w:pPr>
            <w:hyperlink r:id="rId30" w:history="1">
              <w:r w:rsidRPr="002674BD">
                <w:rPr>
                  <w:rStyle w:val="Hyperlink"/>
                  <w:rFonts w:eastAsiaTheme="minorHAnsi"/>
                </w:rPr>
                <w:t>Off-the-plan Duty Concession and Rebate Scheme (www.wa.gov.au)</w:t>
              </w:r>
            </w:hyperlink>
          </w:p>
          <w:p w14:paraId="339E2297" w14:textId="77777777" w:rsidR="007C505D" w:rsidRPr="002674BD" w:rsidRDefault="007C505D" w:rsidP="007C505D">
            <w:pPr>
              <w:pStyle w:val="TableTextLeft"/>
              <w:jc w:val="both"/>
            </w:pPr>
            <w:hyperlink r:id="rId31" w:history="1">
              <w:r w:rsidRPr="002674BD">
                <w:rPr>
                  <w:rStyle w:val="Hyperlink"/>
                  <w:rFonts w:eastAsiaTheme="minorHAnsi"/>
                </w:rPr>
                <w:t>Apply for an off-the-plan duty concession or rebate | Western Australian Government (www.wa.gov.au)</w:t>
              </w:r>
            </w:hyperlink>
          </w:p>
        </w:tc>
      </w:tr>
      <w:tr w:rsidR="007C505D" w:rsidRPr="002674BD" w14:paraId="42F12926"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3E2402AA" w14:textId="7DCC30BB" w:rsidR="007C505D" w:rsidRPr="002674BD" w:rsidRDefault="007C505D" w:rsidP="007C505D">
            <w:pPr>
              <w:pStyle w:val="TableTextLeft"/>
              <w:jc w:val="both"/>
            </w:pPr>
            <w:r w:rsidRPr="002674BD">
              <w:t>Keystart loan product</w:t>
            </w:r>
          </w:p>
        </w:tc>
        <w:tc>
          <w:tcPr>
            <w:tcW w:w="2501" w:type="pct"/>
            <w:tcBorders>
              <w:top w:val="single" w:sz="4" w:space="0" w:color="D9D9D9" w:themeColor="background1" w:themeShade="D9"/>
              <w:bottom w:val="single" w:sz="4" w:space="0" w:color="D9D9D9" w:themeColor="background1" w:themeShade="D9"/>
            </w:tcBorders>
          </w:tcPr>
          <w:p w14:paraId="2117275D" w14:textId="70ABED05" w:rsidR="007C505D" w:rsidRPr="002674BD" w:rsidRDefault="007C505D" w:rsidP="007C505D">
            <w:pPr>
              <w:pStyle w:val="TableTextLeft"/>
              <w:jc w:val="both"/>
            </w:pPr>
            <w:r w:rsidRPr="002674BD">
              <w:t xml:space="preserve">Keystarts home loan limit has been lifted and will be reviewed against annualised median house prices on a regular basis. </w:t>
            </w:r>
          </w:p>
          <w:p w14:paraId="52112AEC" w14:textId="77777777" w:rsidR="007C505D" w:rsidRPr="002674BD" w:rsidRDefault="007C505D" w:rsidP="007C505D">
            <w:pPr>
              <w:pStyle w:val="TableTextLeft"/>
              <w:jc w:val="both"/>
            </w:pPr>
            <w:r w:rsidRPr="002674BD">
              <w:t xml:space="preserve">Keystart's new Urban Connect Plus is an extension of the Urban Connect Home Loan and will allow approved Urban Connect Home Loan customers to access a loan to support developers' deposits for off-the-plan apartments. </w:t>
            </w:r>
          </w:p>
          <w:p w14:paraId="42BBDE15" w14:textId="77777777" w:rsidR="001C6861" w:rsidRPr="002674BD" w:rsidRDefault="001C6861" w:rsidP="007C505D">
            <w:pPr>
              <w:pStyle w:val="TableTextLeft"/>
              <w:jc w:val="both"/>
            </w:pPr>
            <w:r w:rsidRPr="002674BD">
              <w:rPr>
                <w:rFonts w:hint="cs"/>
              </w:rPr>
              <w:t>Legislation has been introduced to the Western Australian Parliament to make Government-owned home lender Keystart a statutory corporation, to support more Western Australians to achieve home ownership.</w:t>
            </w:r>
          </w:p>
          <w:p w14:paraId="06871877" w14:textId="62869012" w:rsidR="00647FD7" w:rsidRPr="002674BD" w:rsidRDefault="00647FD7" w:rsidP="007C505D">
            <w:pPr>
              <w:pStyle w:val="TableTextLeft"/>
              <w:jc w:val="both"/>
            </w:pPr>
          </w:p>
        </w:tc>
        <w:tc>
          <w:tcPr>
            <w:tcW w:w="1405" w:type="pct"/>
            <w:tcBorders>
              <w:top w:val="single" w:sz="4" w:space="0" w:color="D9D9D9" w:themeColor="background1" w:themeShade="D9"/>
              <w:bottom w:val="single" w:sz="4" w:space="0" w:color="D9D9D9" w:themeColor="background1" w:themeShade="D9"/>
            </w:tcBorders>
          </w:tcPr>
          <w:p w14:paraId="6F3E5BD6" w14:textId="452275F4" w:rsidR="007C505D" w:rsidRPr="002674BD" w:rsidRDefault="007C505D" w:rsidP="007C505D">
            <w:pPr>
              <w:pStyle w:val="TableTextLeft"/>
              <w:jc w:val="both"/>
            </w:pPr>
            <w:hyperlink r:id="rId32" w:history="1">
              <w:r w:rsidRPr="002674BD">
                <w:rPr>
                  <w:rStyle w:val="Hyperlink"/>
                </w:rPr>
                <w:t>Changes to Keystart property price and income limits | Western Australian Government (www.wa.gov.au)</w:t>
              </w:r>
            </w:hyperlink>
          </w:p>
          <w:p w14:paraId="00844C1D" w14:textId="77777777" w:rsidR="007C505D" w:rsidRPr="002674BD" w:rsidRDefault="007C505D" w:rsidP="007C505D">
            <w:pPr>
              <w:pStyle w:val="TableTextLeft"/>
              <w:jc w:val="both"/>
              <w:rPr>
                <w:rStyle w:val="Hyperlink"/>
              </w:rPr>
            </w:pPr>
            <w:hyperlink r:id="rId33" w:history="1">
              <w:r w:rsidRPr="002674BD">
                <w:rPr>
                  <w:rStyle w:val="Hyperlink"/>
                </w:rPr>
                <w:t>New Keystart product to improve access to urban infill projects | Western Australian Government (www.wa.gov.au)</w:t>
              </w:r>
            </w:hyperlink>
          </w:p>
          <w:p w14:paraId="07C24581" w14:textId="368D326D" w:rsidR="00647FD7" w:rsidRPr="002674BD" w:rsidRDefault="00647FD7" w:rsidP="007C505D">
            <w:pPr>
              <w:pStyle w:val="TableTextLeft"/>
              <w:jc w:val="both"/>
            </w:pPr>
            <w:hyperlink r:id="rId34" w:history="1">
              <w:r w:rsidRPr="002674BD">
                <w:rPr>
                  <w:rStyle w:val="Hyperlink"/>
                </w:rPr>
                <w:t>Keystart to become a Government Trading Enterprise | Western Australian Government (www.wa.gov.au)</w:t>
              </w:r>
            </w:hyperlink>
          </w:p>
        </w:tc>
      </w:tr>
      <w:tr w:rsidR="00647FD7" w:rsidRPr="002674BD" w14:paraId="532F113A"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5164F5C3" w14:textId="23F42F19" w:rsidR="00647FD7" w:rsidRPr="002674BD" w:rsidRDefault="00647FD7" w:rsidP="007C505D">
            <w:pPr>
              <w:pStyle w:val="TableTextLeft"/>
              <w:jc w:val="both"/>
            </w:pPr>
            <w:r w:rsidRPr="002674BD">
              <w:t>Home Buyers Assistance Account</w:t>
            </w:r>
          </w:p>
        </w:tc>
        <w:tc>
          <w:tcPr>
            <w:tcW w:w="2501" w:type="pct"/>
            <w:tcBorders>
              <w:top w:val="single" w:sz="4" w:space="0" w:color="D9D9D9" w:themeColor="background1" w:themeShade="D9"/>
              <w:bottom w:val="single" w:sz="4" w:space="0" w:color="D9D9D9" w:themeColor="background1" w:themeShade="D9"/>
            </w:tcBorders>
          </w:tcPr>
          <w:p w14:paraId="29351B66" w14:textId="3A5C5BBF" w:rsidR="00647FD7" w:rsidRPr="002674BD" w:rsidRDefault="00647FD7" w:rsidP="007C505D">
            <w:pPr>
              <w:pStyle w:val="TableTextLeft"/>
              <w:jc w:val="both"/>
            </w:pPr>
            <w:r w:rsidRPr="002674BD">
              <w:t>The Home Buyers Assistance Account (HBAA), administered by Consumer Protection, provides a grant of up to $2,000 for eligible first home buyers in WA, but previously only covered properties bought for $400,000 or less. That threshold has now been raised to $500,000.</w:t>
            </w:r>
          </w:p>
        </w:tc>
        <w:tc>
          <w:tcPr>
            <w:tcW w:w="1405" w:type="pct"/>
            <w:tcBorders>
              <w:top w:val="single" w:sz="4" w:space="0" w:color="D9D9D9" w:themeColor="background1" w:themeShade="D9"/>
              <w:bottom w:val="single" w:sz="4" w:space="0" w:color="D9D9D9" w:themeColor="background1" w:themeShade="D9"/>
            </w:tcBorders>
          </w:tcPr>
          <w:p w14:paraId="542D66EB" w14:textId="77777777" w:rsidR="00647FD7" w:rsidRPr="002674BD" w:rsidRDefault="008B42B8" w:rsidP="007C505D">
            <w:pPr>
              <w:pStyle w:val="TableTextLeft"/>
              <w:jc w:val="both"/>
            </w:pPr>
            <w:hyperlink r:id="rId35" w:history="1">
              <w:r w:rsidRPr="002674BD">
                <w:rPr>
                  <w:rStyle w:val="Hyperlink"/>
                </w:rPr>
                <w:t>Scheme expanded to help more first home buyers | Western Australian Government (www.wa.gov.au)</w:t>
              </w:r>
            </w:hyperlink>
          </w:p>
          <w:p w14:paraId="7568DE8F" w14:textId="34695A02" w:rsidR="008B42B8" w:rsidRPr="002674BD" w:rsidRDefault="008B42B8" w:rsidP="007C505D">
            <w:pPr>
              <w:pStyle w:val="TableTextLeft"/>
              <w:jc w:val="both"/>
            </w:pPr>
          </w:p>
        </w:tc>
      </w:tr>
      <w:tr w:rsidR="007C505D" w:rsidRPr="002674BD" w14:paraId="2D1F326C"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1DDFFF0F" w14:textId="346BE5F1" w:rsidR="007C505D" w:rsidRPr="002674BD" w:rsidRDefault="007C505D" w:rsidP="007C505D">
            <w:pPr>
              <w:pStyle w:val="TableTextLeft"/>
              <w:jc w:val="both"/>
            </w:pPr>
            <w:r w:rsidRPr="002674BD">
              <w:t>Build-to-rent land tax exemption</w:t>
            </w:r>
          </w:p>
        </w:tc>
        <w:tc>
          <w:tcPr>
            <w:tcW w:w="2501" w:type="pct"/>
            <w:tcBorders>
              <w:top w:val="single" w:sz="4" w:space="0" w:color="D9D9D9" w:themeColor="background1" w:themeShade="D9"/>
              <w:bottom w:val="single" w:sz="4" w:space="0" w:color="D9D9D9" w:themeColor="background1" w:themeShade="D9"/>
            </w:tcBorders>
          </w:tcPr>
          <w:p w14:paraId="19A21AFF" w14:textId="0DF9C677" w:rsidR="007C505D" w:rsidRPr="002674BD" w:rsidRDefault="007C505D" w:rsidP="007C505D">
            <w:pPr>
              <w:pStyle w:val="TableTextLeft"/>
              <w:jc w:val="both"/>
            </w:pPr>
            <w:r w:rsidRPr="002674BD">
              <w:t>Build-to-rent exemption aims to increase the availability of rental properties in WA by providing a 50 per cent exemption from land tax for up to 20 years for eligible developments. The exemption will apply to developments that:</w:t>
            </w:r>
          </w:p>
          <w:p w14:paraId="3E93B868" w14:textId="77777777" w:rsidR="007C505D" w:rsidRPr="002674BD" w:rsidRDefault="007C505D" w:rsidP="007C505D">
            <w:pPr>
              <w:pStyle w:val="TableTextLeft"/>
              <w:numPr>
                <w:ilvl w:val="0"/>
                <w:numId w:val="37"/>
              </w:numPr>
              <w:ind w:left="321" w:hanging="283"/>
              <w:jc w:val="both"/>
            </w:pPr>
            <w:r w:rsidRPr="002674BD">
              <w:t>contain at least 40 self-contained dwellings available for three-year residential leases</w:t>
            </w:r>
          </w:p>
          <w:p w14:paraId="44164094" w14:textId="77777777" w:rsidR="007C505D" w:rsidRPr="002674BD" w:rsidRDefault="007C505D" w:rsidP="007C505D">
            <w:pPr>
              <w:pStyle w:val="TableTextLeft"/>
              <w:numPr>
                <w:ilvl w:val="0"/>
                <w:numId w:val="37"/>
              </w:numPr>
              <w:ind w:left="321" w:hanging="283"/>
              <w:jc w:val="both"/>
            </w:pPr>
            <w:r w:rsidRPr="002674BD">
              <w:lastRenderedPageBreak/>
              <w:t>are owned by the same owner or group of owners and be managed by the same management entity and</w:t>
            </w:r>
          </w:p>
          <w:p w14:paraId="3548A97B" w14:textId="0726D870" w:rsidR="007C505D" w:rsidRPr="002674BD" w:rsidRDefault="007C505D" w:rsidP="007C505D">
            <w:pPr>
              <w:pStyle w:val="TableTextLeft"/>
              <w:numPr>
                <w:ilvl w:val="0"/>
                <w:numId w:val="37"/>
              </w:numPr>
              <w:ind w:left="321" w:hanging="283"/>
              <w:jc w:val="both"/>
            </w:pPr>
            <w:r w:rsidRPr="002674BD">
              <w:t>completed between 12 May 2022 and 1 July 2032.</w:t>
            </w:r>
          </w:p>
        </w:tc>
        <w:tc>
          <w:tcPr>
            <w:tcW w:w="1405" w:type="pct"/>
            <w:tcBorders>
              <w:top w:val="single" w:sz="4" w:space="0" w:color="D9D9D9" w:themeColor="background1" w:themeShade="D9"/>
              <w:bottom w:val="single" w:sz="4" w:space="0" w:color="D9D9D9" w:themeColor="background1" w:themeShade="D9"/>
            </w:tcBorders>
          </w:tcPr>
          <w:p w14:paraId="3F9AB504" w14:textId="24B4A3F5" w:rsidR="007C505D" w:rsidRPr="002674BD" w:rsidRDefault="007C505D" w:rsidP="007C505D">
            <w:pPr>
              <w:pStyle w:val="TableTextLeft"/>
              <w:jc w:val="both"/>
            </w:pPr>
            <w:hyperlink r:id="rId36" w:history="1">
              <w:r w:rsidRPr="002674BD">
                <w:rPr>
                  <w:rStyle w:val="Hyperlink"/>
                </w:rPr>
                <w:t>Build-to-rent land tax exemption | Western Australian Government (www.wa.gov.au)</w:t>
              </w:r>
            </w:hyperlink>
          </w:p>
        </w:tc>
      </w:tr>
      <w:tr w:rsidR="007C505D" w:rsidRPr="002674BD" w14:paraId="037183F9"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5223BC3D" w14:textId="49EE8E53" w:rsidR="007C505D" w:rsidRPr="002674BD" w:rsidRDefault="007C505D" w:rsidP="007C505D">
            <w:pPr>
              <w:pStyle w:val="TableTextLeft"/>
              <w:jc w:val="both"/>
            </w:pPr>
            <w:r w:rsidRPr="002674BD">
              <w:t xml:space="preserve">Call for Submission for Social Housing </w:t>
            </w:r>
          </w:p>
        </w:tc>
        <w:tc>
          <w:tcPr>
            <w:tcW w:w="2501" w:type="pct"/>
            <w:tcBorders>
              <w:top w:val="single" w:sz="4" w:space="0" w:color="D9D9D9" w:themeColor="background1" w:themeShade="D9"/>
              <w:bottom w:val="single" w:sz="4" w:space="0" w:color="D9D9D9" w:themeColor="background1" w:themeShade="D9"/>
            </w:tcBorders>
          </w:tcPr>
          <w:p w14:paraId="3FF94940" w14:textId="7D41D01D" w:rsidR="007C505D" w:rsidRPr="002674BD" w:rsidRDefault="007C505D" w:rsidP="00487F17">
            <w:pPr>
              <w:pStyle w:val="TableTextLeft"/>
              <w:jc w:val="both"/>
            </w:pPr>
            <w:r w:rsidRPr="002674BD">
              <w:t>The 'Call for Submissions for Social Housing' (CFS-SH) initiative invites private industry to help deliver liveable and sustainable apartment and grouped dwelling residential developments (of up to 30 homes) for social housing in Perth and regional Western Australia. The CFS-SH is supported by the $843 million increase in funding provided by the 2024-25 State Budget.</w:t>
            </w:r>
            <w:r w:rsidR="008B42B8" w:rsidRPr="002674BD">
              <w:t xml:space="preserve"> Eligibility for the $50 million grant funding has now been expanded to local government submissions, with funding available for housing projects in the South West, Great Southern, Wheatbelt, Goldfields-Esperance, Mid West, Gascoyne, Pilbara and the Kimberley Regions.</w:t>
            </w:r>
            <w:r w:rsidR="00487F17" w:rsidRPr="002674BD">
              <w:t xml:space="preserve"> </w:t>
            </w:r>
            <w:r w:rsidRPr="002674BD">
              <w:t>Delivered by Department of Communities</w:t>
            </w:r>
          </w:p>
        </w:tc>
        <w:tc>
          <w:tcPr>
            <w:tcW w:w="1405" w:type="pct"/>
            <w:tcBorders>
              <w:top w:val="single" w:sz="4" w:space="0" w:color="D9D9D9" w:themeColor="background1" w:themeShade="D9"/>
              <w:bottom w:val="single" w:sz="4" w:space="0" w:color="D9D9D9" w:themeColor="background1" w:themeShade="D9"/>
            </w:tcBorders>
          </w:tcPr>
          <w:p w14:paraId="597BF4F7" w14:textId="05680627" w:rsidR="007C505D" w:rsidRPr="002674BD" w:rsidRDefault="007C505D" w:rsidP="007C505D">
            <w:pPr>
              <w:pStyle w:val="TableTextLeft"/>
              <w:jc w:val="both"/>
            </w:pPr>
            <w:hyperlink r:id="rId37" w:history="1">
              <w:r w:rsidRPr="002674BD">
                <w:rPr>
                  <w:rStyle w:val="Hyperlink"/>
                </w:rPr>
                <w:t>Submissions now open to deliver WA's new social housing | Western Australian Government (www.wa.gov.au)</w:t>
              </w:r>
            </w:hyperlink>
          </w:p>
        </w:tc>
      </w:tr>
      <w:tr w:rsidR="007C505D" w:rsidRPr="002674BD" w14:paraId="3722EA79"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26B705F2" w14:textId="3E4EB1AA" w:rsidR="007C505D" w:rsidRPr="002674BD" w:rsidRDefault="007C505D" w:rsidP="007C505D">
            <w:pPr>
              <w:pStyle w:val="TableTextLeft"/>
              <w:jc w:val="both"/>
            </w:pPr>
            <w:r w:rsidRPr="002674BD">
              <w:t>Community Housing Prequalification Scheme</w:t>
            </w:r>
          </w:p>
        </w:tc>
        <w:tc>
          <w:tcPr>
            <w:tcW w:w="2501" w:type="pct"/>
            <w:tcBorders>
              <w:top w:val="single" w:sz="4" w:space="0" w:color="D9D9D9" w:themeColor="background1" w:themeShade="D9"/>
              <w:bottom w:val="single" w:sz="4" w:space="0" w:color="D9D9D9" w:themeColor="background1" w:themeShade="D9"/>
            </w:tcBorders>
          </w:tcPr>
          <w:p w14:paraId="566BECA7" w14:textId="17AE7A93" w:rsidR="007C505D" w:rsidRPr="002674BD" w:rsidRDefault="007C505D" w:rsidP="007C505D">
            <w:pPr>
              <w:pStyle w:val="TableTextLeft"/>
              <w:jc w:val="both"/>
            </w:pPr>
            <w:r w:rsidRPr="002674BD">
              <w:t>Boost delivery of new social and affordable housing across Western Australia by reducing procurement times and costs, allowing Community Housing Providers to prequalify for predetermined categories of developments</w:t>
            </w:r>
          </w:p>
        </w:tc>
        <w:tc>
          <w:tcPr>
            <w:tcW w:w="1405" w:type="pct"/>
            <w:tcBorders>
              <w:top w:val="single" w:sz="4" w:space="0" w:color="D9D9D9" w:themeColor="background1" w:themeShade="D9"/>
              <w:bottom w:val="single" w:sz="4" w:space="0" w:color="D9D9D9" w:themeColor="background1" w:themeShade="D9"/>
            </w:tcBorders>
          </w:tcPr>
          <w:p w14:paraId="0562B769" w14:textId="18758119" w:rsidR="007C505D" w:rsidRPr="002674BD" w:rsidRDefault="007C505D" w:rsidP="007C505D">
            <w:pPr>
              <w:pStyle w:val="TableTextLeft"/>
              <w:jc w:val="both"/>
            </w:pPr>
            <w:hyperlink r:id="rId38" w:history="1">
              <w:r w:rsidRPr="002674BD">
                <w:rPr>
                  <w:rStyle w:val="Hyperlink"/>
                </w:rPr>
                <w:t>Community Housing Prequalification Scheme | Western Australian Government (www.wa.gov.au)</w:t>
              </w:r>
            </w:hyperlink>
          </w:p>
        </w:tc>
      </w:tr>
      <w:tr w:rsidR="007C505D" w:rsidRPr="002674BD" w14:paraId="4B285294"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0801868C" w14:textId="3C6D91EA" w:rsidR="007C505D" w:rsidRPr="002674BD" w:rsidRDefault="007C505D" w:rsidP="007C505D">
            <w:pPr>
              <w:pStyle w:val="TableTextLeft"/>
              <w:jc w:val="both"/>
            </w:pPr>
            <w:r w:rsidRPr="002674BD">
              <w:t>State-wide Housing Construction and Refurbishment Builders Panel</w:t>
            </w:r>
          </w:p>
        </w:tc>
        <w:tc>
          <w:tcPr>
            <w:tcW w:w="2501" w:type="pct"/>
            <w:tcBorders>
              <w:top w:val="single" w:sz="4" w:space="0" w:color="D9D9D9" w:themeColor="background1" w:themeShade="D9"/>
              <w:bottom w:val="single" w:sz="4" w:space="0" w:color="D9D9D9" w:themeColor="background1" w:themeShade="D9"/>
            </w:tcBorders>
          </w:tcPr>
          <w:p w14:paraId="3D93513F" w14:textId="67A318E8" w:rsidR="007C505D" w:rsidRPr="002674BD" w:rsidRDefault="007C505D" w:rsidP="007C505D">
            <w:pPr>
              <w:pStyle w:val="TableTextLeft"/>
              <w:jc w:val="both"/>
            </w:pPr>
            <w:r w:rsidRPr="002674BD">
              <w:t>A state-wide Housing Construction and Refurbishment Builders Panel has been established, consisting of 145 small, medium and large companies from across Western Australia, to expedite new construction and refurbishments.</w:t>
            </w:r>
          </w:p>
        </w:tc>
        <w:tc>
          <w:tcPr>
            <w:tcW w:w="1405" w:type="pct"/>
            <w:tcBorders>
              <w:top w:val="single" w:sz="4" w:space="0" w:color="D9D9D9" w:themeColor="background1" w:themeShade="D9"/>
              <w:bottom w:val="single" w:sz="4" w:space="0" w:color="D9D9D9" w:themeColor="background1" w:themeShade="D9"/>
            </w:tcBorders>
          </w:tcPr>
          <w:p w14:paraId="57A0B40E" w14:textId="71417094" w:rsidR="007C505D" w:rsidRPr="002674BD" w:rsidRDefault="007C505D" w:rsidP="007C505D">
            <w:pPr>
              <w:pStyle w:val="TableTextLeft"/>
              <w:jc w:val="both"/>
            </w:pPr>
            <w:hyperlink r:id="rId39" w:history="1">
              <w:r w:rsidRPr="002674BD">
                <w:rPr>
                  <w:rStyle w:val="Hyperlink"/>
                </w:rPr>
                <w:t>New builders appointed to State-wide social housing delivery panel | Western Australian Government (www.wa.gov.au)</w:t>
              </w:r>
            </w:hyperlink>
          </w:p>
        </w:tc>
      </w:tr>
      <w:tr w:rsidR="007C505D" w:rsidRPr="002674BD" w14:paraId="4D3576C7" w14:textId="77777777" w:rsidTr="008534EE">
        <w:trPr>
          <w:trHeight w:val="270"/>
        </w:trPr>
        <w:tc>
          <w:tcPr>
            <w:tcW w:w="1094" w:type="pct"/>
            <w:tcBorders>
              <w:top w:val="single" w:sz="4" w:space="0" w:color="D9D9D9" w:themeColor="background1" w:themeShade="D9"/>
              <w:bottom w:val="single" w:sz="4" w:space="0" w:color="D9D9D9" w:themeColor="background1" w:themeShade="D9"/>
            </w:tcBorders>
          </w:tcPr>
          <w:p w14:paraId="009BBF1A" w14:textId="304D1116" w:rsidR="007C505D" w:rsidRPr="002674BD" w:rsidRDefault="007C505D" w:rsidP="007C505D">
            <w:pPr>
              <w:pStyle w:val="TableTextLeft"/>
              <w:jc w:val="both"/>
            </w:pPr>
            <w:r w:rsidRPr="002674BD">
              <w:t>Short Term Rental Accommodation</w:t>
            </w:r>
          </w:p>
        </w:tc>
        <w:tc>
          <w:tcPr>
            <w:tcW w:w="2501" w:type="pct"/>
            <w:tcBorders>
              <w:top w:val="single" w:sz="4" w:space="0" w:color="D9D9D9" w:themeColor="background1" w:themeShade="D9"/>
              <w:bottom w:val="single" w:sz="4" w:space="0" w:color="D9D9D9" w:themeColor="background1" w:themeShade="D9"/>
            </w:tcBorders>
          </w:tcPr>
          <w:p w14:paraId="383BDBC2" w14:textId="77777777" w:rsidR="007C505D" w:rsidRPr="002674BD" w:rsidRDefault="007C505D" w:rsidP="007C505D">
            <w:pPr>
              <w:pStyle w:val="TableTextLeft"/>
              <w:jc w:val="both"/>
            </w:pPr>
            <w:r w:rsidRPr="002674BD">
              <w:t>Unhosted STRA properties in the Perth metropolitan area to have development approval if rented out for more than 90 nights in a 12-month period.</w:t>
            </w:r>
          </w:p>
          <w:p w14:paraId="71FF0835" w14:textId="2FBA2385" w:rsidR="007C505D" w:rsidRPr="002674BD" w:rsidRDefault="007C505D" w:rsidP="007C505D">
            <w:pPr>
              <w:pStyle w:val="TableTextLeft"/>
              <w:jc w:val="both"/>
            </w:pPr>
            <w:r w:rsidRPr="002674BD">
              <w:t xml:space="preserve">A $10,000 incentive for owners of short term rental properties to return them to the long-term rental market. </w:t>
            </w:r>
            <w:r w:rsidR="008B42B8" w:rsidRPr="002674BD">
              <w:t xml:space="preserve">Now extended until to 30 June 2025. </w:t>
            </w:r>
          </w:p>
        </w:tc>
        <w:tc>
          <w:tcPr>
            <w:tcW w:w="1405" w:type="pct"/>
            <w:tcBorders>
              <w:top w:val="single" w:sz="4" w:space="0" w:color="D9D9D9" w:themeColor="background1" w:themeShade="D9"/>
              <w:bottom w:val="single" w:sz="4" w:space="0" w:color="D9D9D9" w:themeColor="background1" w:themeShade="D9"/>
            </w:tcBorders>
          </w:tcPr>
          <w:p w14:paraId="5FEAC932" w14:textId="78961151" w:rsidR="007C505D" w:rsidRPr="002674BD" w:rsidRDefault="007C505D" w:rsidP="007C505D">
            <w:pPr>
              <w:pStyle w:val="TableTextLeft"/>
              <w:jc w:val="both"/>
            </w:pPr>
            <w:hyperlink r:id="rId40" w:history="1">
              <w:r w:rsidRPr="002674BD">
                <w:rPr>
                  <w:rStyle w:val="Hyperlink"/>
                </w:rPr>
                <w:t>Short-Term Rental Accommodation Initiatives | Western Australian Government (www.wa.gov.au)</w:t>
              </w:r>
            </w:hyperlink>
          </w:p>
        </w:tc>
      </w:tr>
      <w:tr w:rsidR="0017069E" w:rsidRPr="002674BD" w14:paraId="7B1C8F5C" w14:textId="77777777" w:rsidTr="00B40689">
        <w:trPr>
          <w:trHeight w:val="270"/>
        </w:trPr>
        <w:tc>
          <w:tcPr>
            <w:tcW w:w="1094" w:type="pct"/>
            <w:tcBorders>
              <w:top w:val="single" w:sz="4" w:space="0" w:color="D9D9D9" w:themeColor="background1" w:themeShade="D9"/>
              <w:bottom w:val="single" w:sz="4" w:space="0" w:color="D9D9D9" w:themeColor="background1" w:themeShade="D9"/>
            </w:tcBorders>
            <w:shd w:val="clear" w:color="auto" w:fill="FFFFFF" w:themeFill="background1"/>
          </w:tcPr>
          <w:p w14:paraId="53DB54AF" w14:textId="545B0D77" w:rsidR="0017069E" w:rsidRPr="002674BD" w:rsidRDefault="0017069E" w:rsidP="007C505D">
            <w:pPr>
              <w:pStyle w:val="TableTextLeft"/>
              <w:jc w:val="both"/>
            </w:pPr>
            <w:r w:rsidRPr="002674BD">
              <w:t>Vacant Property Rental Incentive Scheme</w:t>
            </w:r>
          </w:p>
        </w:tc>
        <w:tc>
          <w:tcPr>
            <w:tcW w:w="2501" w:type="pct"/>
            <w:tcBorders>
              <w:top w:val="single" w:sz="4" w:space="0" w:color="D9D9D9" w:themeColor="background1" w:themeShade="D9"/>
              <w:bottom w:val="single" w:sz="4" w:space="0" w:color="D9D9D9" w:themeColor="background1" w:themeShade="D9"/>
            </w:tcBorders>
            <w:shd w:val="clear" w:color="auto" w:fill="FFFFFF" w:themeFill="background1"/>
          </w:tcPr>
          <w:p w14:paraId="204C947E" w14:textId="48D4FDD7" w:rsidR="0017069E" w:rsidRPr="002674BD" w:rsidRDefault="0017069E" w:rsidP="007C505D">
            <w:pPr>
              <w:pStyle w:val="TableTextLeft"/>
              <w:jc w:val="both"/>
            </w:pPr>
            <w:r w:rsidRPr="002674BD">
              <w:t xml:space="preserve">The Vacant Property Rental Incentive Scheme offers a $5,000 grant to owners of vacant residential properties in Western Australia, Christmas Island, or Cocos Keeling Islands, to transfer their property to the long-term rental market for at least 12 months to support people seeking a rental home. As at 3 November 2024 a total of 97 properties have utilised the scheme. </w:t>
            </w:r>
          </w:p>
        </w:tc>
        <w:tc>
          <w:tcPr>
            <w:tcW w:w="1405" w:type="pct"/>
            <w:tcBorders>
              <w:top w:val="single" w:sz="4" w:space="0" w:color="D9D9D9" w:themeColor="background1" w:themeShade="D9"/>
              <w:bottom w:val="single" w:sz="4" w:space="0" w:color="D9D9D9" w:themeColor="background1" w:themeShade="D9"/>
            </w:tcBorders>
            <w:shd w:val="clear" w:color="auto" w:fill="FFFFFF" w:themeFill="background1"/>
          </w:tcPr>
          <w:p w14:paraId="34E97439" w14:textId="462DED9F" w:rsidR="0017069E" w:rsidRPr="002674BD" w:rsidRDefault="008534EE" w:rsidP="007C505D">
            <w:pPr>
              <w:pStyle w:val="TableTextLeft"/>
              <w:jc w:val="both"/>
            </w:pPr>
            <w:hyperlink r:id="rId41" w:history="1">
              <w:r w:rsidRPr="002674BD">
                <w:rPr>
                  <w:rStyle w:val="Hyperlink"/>
                </w:rPr>
                <w:t>Vacant Property Rental Incentive Scheme | Western Australian Government (www.wa.gov.au)</w:t>
              </w:r>
            </w:hyperlink>
          </w:p>
        </w:tc>
      </w:tr>
      <w:tr w:rsidR="0017069E" w:rsidRPr="002674BD" w14:paraId="421CF9A9" w14:textId="77777777" w:rsidTr="00B40689">
        <w:trPr>
          <w:trHeight w:val="270"/>
        </w:trPr>
        <w:tc>
          <w:tcPr>
            <w:tcW w:w="1094" w:type="pct"/>
            <w:tcBorders>
              <w:top w:val="single" w:sz="4" w:space="0" w:color="D9D9D9" w:themeColor="background1" w:themeShade="D9"/>
              <w:bottom w:val="single" w:sz="4" w:space="0" w:color="D9D9D9" w:themeColor="background1" w:themeShade="D9"/>
            </w:tcBorders>
            <w:shd w:val="clear" w:color="auto" w:fill="FFFFFF" w:themeFill="background1"/>
          </w:tcPr>
          <w:p w14:paraId="2F0CF1E0" w14:textId="1E699A7A" w:rsidR="0017069E" w:rsidRPr="002674BD" w:rsidRDefault="0017069E" w:rsidP="007C505D">
            <w:pPr>
              <w:pStyle w:val="TableTextLeft"/>
              <w:jc w:val="both"/>
            </w:pPr>
            <w:r w:rsidRPr="002674BD">
              <w:t>New Builders Support Facility</w:t>
            </w:r>
          </w:p>
        </w:tc>
        <w:tc>
          <w:tcPr>
            <w:tcW w:w="2501" w:type="pct"/>
            <w:tcBorders>
              <w:top w:val="single" w:sz="4" w:space="0" w:color="D9D9D9" w:themeColor="background1" w:themeShade="D9"/>
              <w:bottom w:val="single" w:sz="4" w:space="0" w:color="D9D9D9" w:themeColor="background1" w:themeShade="D9"/>
            </w:tcBorders>
            <w:shd w:val="clear" w:color="auto" w:fill="FFFFFF" w:themeFill="background1"/>
          </w:tcPr>
          <w:p w14:paraId="1EA7E75C" w14:textId="7CBD8933" w:rsidR="0017069E" w:rsidRPr="002674BD" w:rsidRDefault="0017069E" w:rsidP="0017069E">
            <w:pPr>
              <w:pStyle w:val="TableTextLeft"/>
              <w:jc w:val="both"/>
            </w:pPr>
            <w:r w:rsidRPr="002674BD">
              <w:t xml:space="preserve"> A New Builders Support Facility round 3 opened to help more Western Australians move into their homes sooner. Program provides cashflow support for builders to complete delayed housing projects. Additional $5 million in support available on top of the initial $10 million allocation. Support provided for 150 homes to date, with 65 now complete. </w:t>
            </w:r>
          </w:p>
        </w:tc>
        <w:tc>
          <w:tcPr>
            <w:tcW w:w="1405" w:type="pct"/>
            <w:tcBorders>
              <w:top w:val="single" w:sz="4" w:space="0" w:color="D9D9D9" w:themeColor="background1" w:themeShade="D9"/>
              <w:bottom w:val="single" w:sz="4" w:space="0" w:color="D9D9D9" w:themeColor="background1" w:themeShade="D9"/>
            </w:tcBorders>
            <w:shd w:val="clear" w:color="auto" w:fill="FFFFFF" w:themeFill="background1"/>
          </w:tcPr>
          <w:p w14:paraId="2A6364C1" w14:textId="77F10205" w:rsidR="0017069E" w:rsidRPr="002674BD" w:rsidRDefault="008534EE" w:rsidP="007C505D">
            <w:pPr>
              <w:pStyle w:val="TableTextLeft"/>
              <w:jc w:val="both"/>
            </w:pPr>
            <w:hyperlink r:id="rId42" w:history="1">
              <w:r w:rsidRPr="002674BD">
                <w:rPr>
                  <w:rStyle w:val="Hyperlink"/>
                </w:rPr>
                <w:t>Builders' Support Facility | Western Australian Government (www.wa.gov.au)</w:t>
              </w:r>
            </w:hyperlink>
          </w:p>
        </w:tc>
      </w:tr>
      <w:tr w:rsidR="007C505D" w:rsidRPr="002674BD" w14:paraId="5B19D80E" w14:textId="77777777" w:rsidTr="008534EE">
        <w:trPr>
          <w:trHeight w:val="270"/>
        </w:trPr>
        <w:tc>
          <w:tcPr>
            <w:tcW w:w="1094" w:type="pct"/>
            <w:tcBorders>
              <w:top w:val="single" w:sz="4" w:space="0" w:color="D9D9D9" w:themeColor="background1" w:themeShade="D9"/>
            </w:tcBorders>
          </w:tcPr>
          <w:p w14:paraId="34D0B4F0" w14:textId="77777777" w:rsidR="007C505D" w:rsidRPr="002674BD" w:rsidRDefault="007C505D" w:rsidP="007C505D">
            <w:pPr>
              <w:pStyle w:val="TableTextLeft"/>
              <w:jc w:val="both"/>
            </w:pPr>
          </w:p>
        </w:tc>
        <w:tc>
          <w:tcPr>
            <w:tcW w:w="2501" w:type="pct"/>
            <w:tcBorders>
              <w:top w:val="single" w:sz="4" w:space="0" w:color="D9D9D9" w:themeColor="background1" w:themeShade="D9"/>
            </w:tcBorders>
          </w:tcPr>
          <w:p w14:paraId="45BA3121" w14:textId="77777777" w:rsidR="007C505D" w:rsidRPr="002674BD" w:rsidRDefault="007C505D" w:rsidP="007C505D">
            <w:pPr>
              <w:pStyle w:val="TableTextLeft"/>
              <w:jc w:val="both"/>
            </w:pPr>
          </w:p>
        </w:tc>
        <w:tc>
          <w:tcPr>
            <w:tcW w:w="1405" w:type="pct"/>
            <w:tcBorders>
              <w:top w:val="single" w:sz="4" w:space="0" w:color="D9D9D9" w:themeColor="background1" w:themeShade="D9"/>
            </w:tcBorders>
          </w:tcPr>
          <w:p w14:paraId="12FBA5F1" w14:textId="77777777" w:rsidR="007C505D" w:rsidRPr="002674BD" w:rsidRDefault="007C505D" w:rsidP="007C505D">
            <w:pPr>
              <w:pStyle w:val="TableTextLeft"/>
              <w:jc w:val="both"/>
            </w:pPr>
          </w:p>
        </w:tc>
      </w:tr>
    </w:tbl>
    <w:p w14:paraId="1CCE3832" w14:textId="129A813C" w:rsidR="00763A1F" w:rsidRPr="002674BD" w:rsidRDefault="00763A1F" w:rsidP="007E2D0E">
      <w:pPr>
        <w:jc w:val="both"/>
        <w:rPr>
          <w:rFonts w:eastAsia="Calibri"/>
          <w:lang w:eastAsia="en-US"/>
        </w:rPr>
      </w:pPr>
      <w:r w:rsidRPr="002674BD">
        <w:rPr>
          <w:rFonts w:eastAsia="Calibri"/>
          <w:lang w:eastAsia="en-US"/>
        </w:rPr>
        <w:t xml:space="preserve">Further details on METRONET and the Housing Diversity Pipeline </w:t>
      </w:r>
      <w:r w:rsidR="009A56C4" w:rsidRPr="002674BD">
        <w:rPr>
          <w:rFonts w:eastAsia="Calibri"/>
          <w:lang w:eastAsia="en-US"/>
        </w:rPr>
        <w:t>are</w:t>
      </w:r>
      <w:r w:rsidRPr="002674BD">
        <w:rPr>
          <w:rFonts w:eastAsia="Calibri"/>
          <w:lang w:eastAsia="en-US"/>
        </w:rPr>
        <w:t xml:space="preserve"> included in Measures 5.</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rsidRPr="002674BD" w14:paraId="02EC24DA" w14:textId="77777777" w:rsidTr="003074FE">
        <w:tc>
          <w:tcPr>
            <w:tcW w:w="5000" w:type="pct"/>
            <w:shd w:val="clear" w:color="auto" w:fill="CEDBE6" w:themeFill="background2"/>
            <w:hideMark/>
          </w:tcPr>
          <w:p w14:paraId="439BCCD8" w14:textId="1B38D646" w:rsidR="005455D8" w:rsidRPr="002674BD" w:rsidRDefault="00DC4C13" w:rsidP="007E2D0E">
            <w:pPr>
              <w:pStyle w:val="Heading1"/>
              <w:jc w:val="both"/>
              <w:rPr>
                <w:lang w:eastAsia="en-US"/>
              </w:rPr>
            </w:pPr>
            <w:r w:rsidRPr="002674BD">
              <w:rPr>
                <w:bCs/>
              </w:rPr>
              <w:lastRenderedPageBreak/>
              <w:br w:type="page"/>
            </w:r>
            <w:bookmarkStart w:id="38" w:name="_Toc168064966"/>
            <w:bookmarkStart w:id="39" w:name="_Toc168065277"/>
            <w:bookmarkStart w:id="40" w:name="_Toc191366150"/>
            <w:r w:rsidR="005455D8" w:rsidRPr="002674BD">
              <w:rPr>
                <w:lang w:eastAsia="en-US"/>
              </w:rPr>
              <w:t>Measure 5</w:t>
            </w:r>
            <w:bookmarkEnd w:id="38"/>
            <w:bookmarkEnd w:id="39"/>
            <w:bookmarkEnd w:id="40"/>
          </w:p>
          <w:p w14:paraId="0E08CEA4" w14:textId="0759C2B4" w:rsidR="005455D8" w:rsidRPr="002674BD" w:rsidRDefault="005455D8" w:rsidP="007E2D0E">
            <w:pPr>
              <w:pStyle w:val="Boxdoubledot"/>
              <w:numPr>
                <w:ilvl w:val="0"/>
                <w:numId w:val="0"/>
              </w:numPr>
              <w:jc w:val="both"/>
            </w:pPr>
            <w:r w:rsidRPr="002674BD">
              <w:rPr>
                <w:rFonts w:eastAsia="Times New Roman"/>
                <w:color w:val="000000" w:themeColor="text1"/>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10E822B2" w14:textId="6D70E968" w:rsidR="00D631C2" w:rsidRPr="002674BD" w:rsidRDefault="00D631C2" w:rsidP="007E2D0E">
      <w:pPr>
        <w:pStyle w:val="Heading2"/>
        <w:jc w:val="both"/>
      </w:pPr>
      <w:bookmarkStart w:id="41" w:name="_Toc160799706"/>
      <w:bookmarkStart w:id="42" w:name="_Toc168064968"/>
      <w:bookmarkStart w:id="43" w:name="_Toc168065279"/>
      <w:bookmarkStart w:id="44" w:name="_Toc191366151"/>
      <w:r w:rsidRPr="002674BD">
        <w:t>Zoning, planning and other amendments to support dense</w:t>
      </w:r>
      <w:r w:rsidR="00D86444" w:rsidRPr="002674BD">
        <w:t>, well</w:t>
      </w:r>
      <w:r w:rsidR="00FD4103" w:rsidRPr="002674BD">
        <w:t>-</w:t>
      </w:r>
      <w:r w:rsidR="00D86444" w:rsidRPr="002674BD">
        <w:t>located</w:t>
      </w:r>
      <w:r w:rsidRPr="002674BD">
        <w:t xml:space="preserve"> housing</w:t>
      </w:r>
      <w:bookmarkEnd w:id="41"/>
      <w:bookmarkEnd w:id="42"/>
      <w:bookmarkEnd w:id="43"/>
      <w:bookmarkEnd w:id="44"/>
      <w:r w:rsidRPr="002674BD">
        <w:t xml:space="preserve"> </w:t>
      </w:r>
    </w:p>
    <w:p w14:paraId="2C1FADBC" w14:textId="77777777" w:rsidR="003C2672" w:rsidRPr="002674BD" w:rsidRDefault="003C2672" w:rsidP="007E2D0E">
      <w:pPr>
        <w:spacing w:after="0"/>
        <w:jc w:val="both"/>
        <w:rPr>
          <w:rFonts w:ascii="Calibri Light" w:hAnsi="Calibri Light" w:cs="Arial"/>
          <w:b/>
          <w:kern w:val="32"/>
          <w:sz w:val="28"/>
          <w:szCs w:val="26"/>
        </w:rPr>
      </w:pPr>
      <w:bookmarkStart w:id="45" w:name="_Toc160799707"/>
      <w:bookmarkStart w:id="46" w:name="_Toc168064969"/>
      <w:bookmarkStart w:id="47" w:name="_Toc168065280"/>
      <w:r w:rsidRPr="002674BD">
        <w:rPr>
          <w:rFonts w:ascii="Calibri Light" w:hAnsi="Calibri Light" w:cs="Arial"/>
          <w:b/>
          <w:kern w:val="32"/>
          <w:sz w:val="28"/>
          <w:szCs w:val="26"/>
        </w:rPr>
        <w:t xml:space="preserve">Planning and Development Amendment Act 2023 </w:t>
      </w:r>
    </w:p>
    <w:p w14:paraId="5658CB81" w14:textId="47A5BFAD" w:rsidR="003C2672" w:rsidRPr="002674BD" w:rsidRDefault="003C2672" w:rsidP="007E2D0E">
      <w:pPr>
        <w:spacing w:before="0"/>
        <w:jc w:val="both"/>
        <w:rPr>
          <w:i/>
          <w:iCs/>
        </w:rPr>
      </w:pPr>
      <w:r w:rsidRPr="002674BD">
        <w:rPr>
          <w:i/>
          <w:iCs/>
        </w:rPr>
        <w:t xml:space="preserve">Announced and approved in November 2023, operational </w:t>
      </w:r>
      <w:r w:rsidR="003B422C" w:rsidRPr="002674BD">
        <w:rPr>
          <w:i/>
          <w:iCs/>
        </w:rPr>
        <w:t>from 1 March and 1 July</w:t>
      </w:r>
      <w:r w:rsidRPr="002674BD">
        <w:rPr>
          <w:i/>
          <w:iCs/>
        </w:rPr>
        <w:t xml:space="preserve"> 2024</w:t>
      </w:r>
    </w:p>
    <w:p w14:paraId="2783F546" w14:textId="77777777" w:rsidR="003C2672" w:rsidRPr="002674BD" w:rsidRDefault="003C2672" w:rsidP="007E2D0E">
      <w:pPr>
        <w:jc w:val="both"/>
      </w:pPr>
      <w:r w:rsidRPr="002674BD">
        <w:t xml:space="preserve">Various reforms were introduced through legislative and regulatory change, including: </w:t>
      </w:r>
    </w:p>
    <w:p w14:paraId="0C653701" w14:textId="77777777" w:rsidR="003C2672" w:rsidRPr="002674BD" w:rsidRDefault="003C2672" w:rsidP="007E2D0E">
      <w:pPr>
        <w:pStyle w:val="Bullet"/>
        <w:jc w:val="both"/>
      </w:pPr>
      <w:r w:rsidRPr="002674BD">
        <w:t>single House/Ancillary accommodation approvals exemptions</w:t>
      </w:r>
    </w:p>
    <w:p w14:paraId="21FBDA29" w14:textId="77777777" w:rsidR="003C2672" w:rsidRPr="002674BD" w:rsidRDefault="003C2672" w:rsidP="007E2D0E">
      <w:pPr>
        <w:pStyle w:val="Bullet"/>
        <w:jc w:val="both"/>
      </w:pPr>
      <w:r w:rsidRPr="002674BD">
        <w:t>permanent Significant Development Pathway</w:t>
      </w:r>
    </w:p>
    <w:p w14:paraId="55ED2498" w14:textId="77777777" w:rsidR="003C2672" w:rsidRPr="002674BD" w:rsidRDefault="003C2672" w:rsidP="007E2D0E">
      <w:pPr>
        <w:pStyle w:val="Bullet"/>
        <w:jc w:val="both"/>
      </w:pPr>
      <w:r w:rsidRPr="002674BD">
        <w:t>development Assessment Panel Reforms</w:t>
      </w:r>
    </w:p>
    <w:p w14:paraId="05A1C2EC" w14:textId="77777777" w:rsidR="003C2672" w:rsidRPr="002674BD" w:rsidRDefault="003C2672" w:rsidP="007E2D0E">
      <w:pPr>
        <w:pStyle w:val="Bullet"/>
        <w:jc w:val="both"/>
      </w:pPr>
      <w:r w:rsidRPr="002674BD">
        <w:t>Western Australian Planning Commission Reforms.</w:t>
      </w:r>
    </w:p>
    <w:p w14:paraId="29BF9A33" w14:textId="77777777" w:rsidR="003C2672" w:rsidRPr="002674BD" w:rsidRDefault="003C2672" w:rsidP="007E2D0E">
      <w:pPr>
        <w:jc w:val="both"/>
      </w:pPr>
      <w:r w:rsidRPr="002674BD">
        <w:t>There will be greater options available for applicants to choose the preferred assessment pathway to better suit their purpose and project.</w:t>
      </w:r>
    </w:p>
    <w:p w14:paraId="368B4E6D" w14:textId="77777777" w:rsidR="003C2672" w:rsidRPr="002674BD" w:rsidRDefault="003C2672" w:rsidP="007E2D0E">
      <w:pPr>
        <w:jc w:val="both"/>
      </w:pPr>
      <w:r w:rsidRPr="002674BD">
        <w:t>These reforms will improve efficiencies in planning processes and decision making to assist with the delivery of housing and other critical infrastructure, reduce unnecessary red tape and.  streamline planning processes.</w:t>
      </w:r>
    </w:p>
    <w:p w14:paraId="194C7268" w14:textId="77777777" w:rsidR="003C2672" w:rsidRPr="002674BD" w:rsidRDefault="003C2672" w:rsidP="007E2D0E">
      <w:pPr>
        <w:jc w:val="both"/>
      </w:pPr>
      <w:r w:rsidRPr="002674BD">
        <w:t>Further detail is provided in Measure 3.</w:t>
      </w:r>
    </w:p>
    <w:p w14:paraId="0CD5E58D" w14:textId="12F17651" w:rsidR="009E5489" w:rsidRPr="002674BD" w:rsidRDefault="009E5489" w:rsidP="007E2D0E">
      <w:pPr>
        <w:pStyle w:val="Heading4"/>
        <w:spacing w:after="0"/>
        <w:jc w:val="both"/>
      </w:pPr>
      <w:bookmarkStart w:id="48" w:name="_Hlk161338422"/>
      <w:r w:rsidRPr="002674BD">
        <w:t xml:space="preserve">Region Scheme Amendments </w:t>
      </w:r>
      <w:r w:rsidR="007B0BFD" w:rsidRPr="002674BD">
        <w:t>–</w:t>
      </w:r>
      <w:r w:rsidRPr="002674BD">
        <w:t xml:space="preserve"> Metropolitan</w:t>
      </w:r>
      <w:r w:rsidR="007B0BFD" w:rsidRPr="002674BD">
        <w:t xml:space="preserve"> and Greater Bunbury</w:t>
      </w:r>
    </w:p>
    <w:p w14:paraId="20B042E2" w14:textId="2D689E92" w:rsidR="00CC57FB" w:rsidRPr="002674BD" w:rsidRDefault="00CC57FB" w:rsidP="007E2D0E">
      <w:pPr>
        <w:spacing w:before="0" w:after="200"/>
        <w:jc w:val="both"/>
        <w:rPr>
          <w:i/>
          <w:iCs/>
          <w:color w:val="2683C6" w:themeColor="accent6"/>
        </w:rPr>
      </w:pPr>
      <w:r w:rsidRPr="002674BD">
        <w:rPr>
          <w:i/>
          <w:iCs/>
          <w:color w:val="2683C6" w:themeColor="accent6"/>
        </w:rPr>
        <w:t>Update</w:t>
      </w:r>
    </w:p>
    <w:p w14:paraId="62362753" w14:textId="4B7F8B63" w:rsidR="0079237E" w:rsidRPr="002674BD" w:rsidRDefault="0079237E" w:rsidP="0079237E">
      <w:pPr>
        <w:jc w:val="both"/>
      </w:pPr>
      <w:r w:rsidRPr="002674BD">
        <w:t>Gazetted Metropolitan Region Scheme rezonings from 1 March 2024 to December 2024 have rezoned an estimate of 130 (hectares) of land to Urban and rezoned an estimate of 30 (hectares) to Urban Deferred. Key Metropolitan and Greater Bunbury Region Scheme Amendments</w:t>
      </w:r>
      <w:r w:rsidR="00896926" w:rsidRPr="002674BD">
        <w:t xml:space="preserve"> include</w:t>
      </w:r>
      <w:r w:rsidRPr="002674BD">
        <w:t xml:space="preserve">:  </w:t>
      </w:r>
    </w:p>
    <w:p w14:paraId="6E08476F" w14:textId="0A4D73A3" w:rsidR="007B0BFD" w:rsidRPr="002674BD" w:rsidRDefault="007B0BFD" w:rsidP="007E2D0E">
      <w:pPr>
        <w:jc w:val="both"/>
        <w:rPr>
          <w:b/>
          <w:bCs/>
        </w:rPr>
      </w:pPr>
      <w:r w:rsidRPr="002674BD">
        <w:rPr>
          <w:b/>
          <w:bCs/>
        </w:rPr>
        <w:t>GBRS amendment 0069/57 (Treend</w:t>
      </w:r>
      <w:r w:rsidR="000D7C3B" w:rsidRPr="002674BD">
        <w:rPr>
          <w:b/>
          <w:bCs/>
        </w:rPr>
        <w:t>ale</w:t>
      </w:r>
      <w:r w:rsidRPr="002674BD">
        <w:rPr>
          <w:b/>
          <w:bCs/>
        </w:rPr>
        <w:t xml:space="preserve"> East Urban Expansion Area</w:t>
      </w:r>
      <w:r w:rsidR="0079237E" w:rsidRPr="002674BD">
        <w:rPr>
          <w:b/>
          <w:bCs/>
        </w:rPr>
        <w:t>)</w:t>
      </w:r>
    </w:p>
    <w:p w14:paraId="676608BC" w14:textId="4C75B03A" w:rsidR="007B0BFD" w:rsidRPr="002674BD" w:rsidRDefault="007B0BFD" w:rsidP="007E2D0E">
      <w:pPr>
        <w:jc w:val="both"/>
      </w:pPr>
      <w:r w:rsidRPr="002674BD">
        <w:t xml:space="preserve">Transfer approximately 188.5 hectares from the Rural zone to the Urban Deferred zone in order to facilitate future urban development. </w:t>
      </w:r>
    </w:p>
    <w:p w14:paraId="564684A0" w14:textId="1544088A" w:rsidR="00902D34" w:rsidRPr="002674BD" w:rsidRDefault="00902D34" w:rsidP="007E2D0E">
      <w:pPr>
        <w:jc w:val="both"/>
        <w:rPr>
          <w:b/>
          <w:bCs/>
        </w:rPr>
      </w:pPr>
      <w:r w:rsidRPr="002674BD">
        <w:rPr>
          <w:b/>
          <w:bCs/>
        </w:rPr>
        <w:lastRenderedPageBreak/>
        <w:t>MRS amendment 1408/57 (Forrestdale Townsite East)</w:t>
      </w:r>
    </w:p>
    <w:p w14:paraId="5EDE5DFA" w14:textId="02ADD7FD" w:rsidR="00902D34" w:rsidRPr="002674BD" w:rsidRDefault="00902D34" w:rsidP="00902D34">
      <w:pPr>
        <w:jc w:val="both"/>
      </w:pPr>
      <w:r w:rsidRPr="002674BD">
        <w:t>Transfer approximately 56.37 ha in Forrestdale from the Rural zone to the Urban and Urban Deferred zones and Primary Regional Roads and Parks and Recreation reservations. The proposed amendment will facilitate the future residential development of the site with Public Open Space and conservation areas. It also provides for future road widening.</w:t>
      </w:r>
    </w:p>
    <w:p w14:paraId="3C562FF5" w14:textId="64DAD173" w:rsidR="007C217B" w:rsidRPr="002674BD" w:rsidRDefault="007C217B" w:rsidP="007E2D0E">
      <w:pPr>
        <w:jc w:val="both"/>
        <w:rPr>
          <w:b/>
          <w:bCs/>
        </w:rPr>
      </w:pPr>
      <w:r w:rsidRPr="002674BD">
        <w:rPr>
          <w:b/>
          <w:bCs/>
        </w:rPr>
        <w:t>MRS amendment 1433/27</w:t>
      </w:r>
      <w:r w:rsidR="00902D34" w:rsidRPr="002674BD">
        <w:rPr>
          <w:b/>
          <w:bCs/>
        </w:rPr>
        <w:t xml:space="preserve"> (</w:t>
      </w:r>
      <w:r w:rsidRPr="002674BD">
        <w:rPr>
          <w:b/>
          <w:bCs/>
        </w:rPr>
        <w:t>Part Lot 202 Skeet Road and Part Lots 600 – 602 Balannup Road, Harrisdale</w:t>
      </w:r>
      <w:r w:rsidR="00902D34" w:rsidRPr="002674BD">
        <w:rPr>
          <w:b/>
          <w:bCs/>
        </w:rPr>
        <w:t>)</w:t>
      </w:r>
    </w:p>
    <w:p w14:paraId="43A5FAD0" w14:textId="405CE3C7" w:rsidR="007C217B" w:rsidRPr="002674BD" w:rsidRDefault="007C217B" w:rsidP="007E2D0E">
      <w:pPr>
        <w:jc w:val="both"/>
      </w:pPr>
      <w:r w:rsidRPr="002674BD">
        <w:t>T</w:t>
      </w:r>
      <w:r w:rsidRPr="002674BD">
        <w:rPr>
          <w:rFonts w:hint="cs"/>
        </w:rPr>
        <w:t>ransfer approximately 1.74 hectares of land within part of Lot 202 Skeet Road and parts of Lots 600, 601 and 602 Balannup Road in Harrisdale from the Urban Deferred zone to the Urban Zone</w:t>
      </w:r>
      <w:r w:rsidR="00902D34" w:rsidRPr="002674BD">
        <w:t>.</w:t>
      </w:r>
    </w:p>
    <w:p w14:paraId="09DE8C77" w14:textId="129895FC" w:rsidR="00774741" w:rsidRPr="002674BD" w:rsidRDefault="00774741" w:rsidP="007E2D0E">
      <w:pPr>
        <w:jc w:val="both"/>
        <w:rPr>
          <w:b/>
          <w:bCs/>
        </w:rPr>
      </w:pPr>
      <w:r w:rsidRPr="002674BD">
        <w:rPr>
          <w:b/>
          <w:bCs/>
        </w:rPr>
        <w:t xml:space="preserve">MRS amendment 1419 </w:t>
      </w:r>
      <w:r w:rsidR="00902D34" w:rsidRPr="002674BD">
        <w:rPr>
          <w:b/>
          <w:bCs/>
        </w:rPr>
        <w:t>(</w:t>
      </w:r>
      <w:r w:rsidRPr="002674BD">
        <w:rPr>
          <w:b/>
          <w:bCs/>
        </w:rPr>
        <w:t>Woodvale Drive and Ancestor Retreat, Woodvale</w:t>
      </w:r>
      <w:r w:rsidR="00902D34" w:rsidRPr="002674BD">
        <w:rPr>
          <w:b/>
          <w:bCs/>
        </w:rPr>
        <w:t>)</w:t>
      </w:r>
    </w:p>
    <w:p w14:paraId="0C287E0F" w14:textId="11B1F06B" w:rsidR="00774741" w:rsidRPr="002674BD" w:rsidRDefault="00774741" w:rsidP="007E2D0E">
      <w:pPr>
        <w:jc w:val="both"/>
      </w:pPr>
      <w:r w:rsidRPr="002674BD">
        <w:t xml:space="preserve">Transfer approximately </w:t>
      </w:r>
      <w:r w:rsidR="007C217B" w:rsidRPr="002674BD">
        <w:t>4.64 hectares within Lot 900 Wanneroo Road, Lot 26 Woodvale Drive, Lot 803 Ancestor Retreat, and the road reserve for Woodvale Drive from the Rural zone to the Urban zone.</w:t>
      </w:r>
    </w:p>
    <w:p w14:paraId="74813164" w14:textId="5EEDB881" w:rsidR="006E435A" w:rsidRPr="002674BD" w:rsidRDefault="006E435A" w:rsidP="007E2D0E">
      <w:pPr>
        <w:jc w:val="both"/>
        <w:rPr>
          <w:b/>
          <w:bCs/>
        </w:rPr>
      </w:pPr>
      <w:r w:rsidRPr="002674BD">
        <w:rPr>
          <w:b/>
          <w:bCs/>
        </w:rPr>
        <w:t xml:space="preserve">MRS amendment 1400/41 </w:t>
      </w:r>
      <w:r w:rsidR="00902D34" w:rsidRPr="002674BD">
        <w:rPr>
          <w:b/>
          <w:bCs/>
        </w:rPr>
        <w:t>(</w:t>
      </w:r>
      <w:r w:rsidRPr="002674BD">
        <w:rPr>
          <w:b/>
          <w:bCs/>
        </w:rPr>
        <w:t>North Fremantle Urban Precinct</w:t>
      </w:r>
      <w:r w:rsidR="00902D34" w:rsidRPr="002674BD">
        <w:rPr>
          <w:b/>
          <w:bCs/>
        </w:rPr>
        <w:t>)</w:t>
      </w:r>
    </w:p>
    <w:p w14:paraId="5BEF0204" w14:textId="1BC3BAEB" w:rsidR="006E435A" w:rsidRPr="002674BD" w:rsidRDefault="006E435A" w:rsidP="006E435A">
      <w:pPr>
        <w:jc w:val="both"/>
        <w:rPr>
          <w:b/>
          <w:bCs/>
        </w:rPr>
      </w:pPr>
      <w:r w:rsidRPr="002674BD">
        <w:t>Transfer approximately 23.95 ha in North Fremantle from the Industrial zone to the Urban Deferred zone and Parks and Recreation reservation. The intent of the amendment is to facilitate redevelopment of the land for primarily mixed-use purposes with areas of public open space.</w:t>
      </w:r>
    </w:p>
    <w:p w14:paraId="45602688" w14:textId="0D286878" w:rsidR="00C14C77" w:rsidRPr="002674BD" w:rsidRDefault="00C14C77" w:rsidP="007E2D0E">
      <w:pPr>
        <w:jc w:val="both"/>
        <w:rPr>
          <w:b/>
          <w:bCs/>
        </w:rPr>
      </w:pPr>
      <w:r w:rsidRPr="002674BD">
        <w:rPr>
          <w:b/>
          <w:bCs/>
        </w:rPr>
        <w:t xml:space="preserve">MRS amendment 1404/41 </w:t>
      </w:r>
      <w:r w:rsidR="00902D34" w:rsidRPr="002674BD">
        <w:rPr>
          <w:b/>
          <w:bCs/>
        </w:rPr>
        <w:t xml:space="preserve">- </w:t>
      </w:r>
      <w:r w:rsidRPr="002674BD">
        <w:rPr>
          <w:b/>
          <w:bCs/>
        </w:rPr>
        <w:t>Roe 8 Remainder and Roe 9 (removal of Primary Regional Roads (PPR) reservation)</w:t>
      </w:r>
    </w:p>
    <w:p w14:paraId="04ACE090" w14:textId="7EDF09CB" w:rsidR="00C14C77" w:rsidRPr="002674BD" w:rsidRDefault="006E435A" w:rsidP="00C14C77">
      <w:pPr>
        <w:jc w:val="both"/>
      </w:pPr>
      <w:r w:rsidRPr="002674BD">
        <w:t>Transfer</w:t>
      </w:r>
      <w:r w:rsidR="00C14C77" w:rsidRPr="002674BD">
        <w:t xml:space="preserve"> approximately 58.01 ha being portions of the PRR reservation and some nearby Urban zoned land to the Parks and Recreation reservation. Other portions of the PRR reservation are proposed to be transferred to the Urban zone.</w:t>
      </w:r>
    </w:p>
    <w:p w14:paraId="7964C012" w14:textId="53F8CFA6" w:rsidR="00C14C77" w:rsidRPr="002674BD" w:rsidRDefault="00C14C77" w:rsidP="007E2D0E">
      <w:pPr>
        <w:jc w:val="both"/>
        <w:rPr>
          <w:b/>
          <w:bCs/>
        </w:rPr>
      </w:pPr>
      <w:r w:rsidRPr="002674BD">
        <w:rPr>
          <w:b/>
          <w:bCs/>
        </w:rPr>
        <w:t xml:space="preserve">MRS amendment 1414 </w:t>
      </w:r>
      <w:r w:rsidR="00902D34" w:rsidRPr="002674BD">
        <w:rPr>
          <w:b/>
          <w:bCs/>
        </w:rPr>
        <w:t>(</w:t>
      </w:r>
      <w:r w:rsidRPr="002674BD">
        <w:rPr>
          <w:b/>
          <w:bCs/>
        </w:rPr>
        <w:t>Leederville Parade Road Rationalisation</w:t>
      </w:r>
      <w:r w:rsidR="00902D34" w:rsidRPr="002674BD">
        <w:rPr>
          <w:b/>
          <w:bCs/>
        </w:rPr>
        <w:t>)</w:t>
      </w:r>
    </w:p>
    <w:p w14:paraId="12D520E1" w14:textId="66B1052E" w:rsidR="00C14C77" w:rsidRPr="002674BD" w:rsidRDefault="00C14C77" w:rsidP="007E2D0E">
      <w:pPr>
        <w:jc w:val="both"/>
      </w:pPr>
      <w:r w:rsidRPr="002674BD">
        <w:t>Transfer 1,368.95 m</w:t>
      </w:r>
      <w:r w:rsidRPr="002674BD">
        <w:rPr>
          <w:vertAlign w:val="superscript"/>
        </w:rPr>
        <w:t>2</w:t>
      </w:r>
      <w:r w:rsidRPr="002674BD">
        <w:t xml:space="preserve"> of land in Leederville from the Primary Regional Roads reservation to the Urban zone.</w:t>
      </w:r>
    </w:p>
    <w:p w14:paraId="58AC1613" w14:textId="0B3E8AF0" w:rsidR="004840DB" w:rsidRPr="002674BD" w:rsidRDefault="004840DB" w:rsidP="007E2D0E">
      <w:pPr>
        <w:jc w:val="both"/>
        <w:rPr>
          <w:b/>
          <w:bCs/>
        </w:rPr>
      </w:pPr>
      <w:r w:rsidRPr="002674BD">
        <w:rPr>
          <w:b/>
          <w:bCs/>
        </w:rPr>
        <w:t>MRS amendment 1405/57 (South Mandogalup Urban Precinct):</w:t>
      </w:r>
    </w:p>
    <w:p w14:paraId="5CD7C558" w14:textId="4150A1AD" w:rsidR="004840DB" w:rsidRPr="002674BD" w:rsidRDefault="004840DB" w:rsidP="007E2D0E">
      <w:pPr>
        <w:jc w:val="both"/>
      </w:pPr>
      <w:r w:rsidRPr="002674BD">
        <w:t>Transfer approximately 27.8 ha of land in the Mandogalup locality from the Rural zone to the Urban zone. The amendment will allow for the residential development of the subject land, following a local scheme amendment, structure planning and subdivision approval.</w:t>
      </w:r>
    </w:p>
    <w:p w14:paraId="1DF2C9DF" w14:textId="0EEE29E8" w:rsidR="004C3808" w:rsidRPr="002674BD" w:rsidRDefault="00910BCC" w:rsidP="007E2D0E">
      <w:pPr>
        <w:jc w:val="both"/>
        <w:rPr>
          <w:rStyle w:val="Strong"/>
        </w:rPr>
      </w:pPr>
      <w:r w:rsidRPr="002674BD">
        <w:rPr>
          <w:rStyle w:val="Strong"/>
        </w:rPr>
        <w:t>MRS amendment 1424/27 (Part Lots 877 and 878 Stakehill Road, Karnup)</w:t>
      </w:r>
      <w:r w:rsidR="00CC57FB" w:rsidRPr="002674BD">
        <w:rPr>
          <w:rStyle w:val="Strong"/>
        </w:rPr>
        <w:t>:</w:t>
      </w:r>
    </w:p>
    <w:p w14:paraId="0873786C" w14:textId="4CAF1E8C" w:rsidR="00910BCC" w:rsidRPr="002674BD" w:rsidRDefault="00910BCC" w:rsidP="007E2D0E">
      <w:pPr>
        <w:jc w:val="both"/>
      </w:pPr>
      <w:r w:rsidRPr="002674BD">
        <w:t>Transfer approximately 39.7 ha of land within Lots 877 and 878 Stakehill Road, Karnup from the Urban Deferred zone to the Urban zone.</w:t>
      </w:r>
    </w:p>
    <w:p w14:paraId="376CBCCE" w14:textId="15FA654A" w:rsidR="00E1072D" w:rsidRPr="002674BD" w:rsidRDefault="0071096D" w:rsidP="007E2D0E">
      <w:pPr>
        <w:jc w:val="both"/>
        <w:rPr>
          <w:b/>
          <w:bCs/>
        </w:rPr>
      </w:pPr>
      <w:r w:rsidRPr="002674BD">
        <w:rPr>
          <w:b/>
          <w:bCs/>
        </w:rPr>
        <w:t>MRS amendment 1410 (Part Lot 96 Starflower Road, Henley Brook)</w:t>
      </w:r>
      <w:r w:rsidR="00C11A05" w:rsidRPr="002674BD">
        <w:rPr>
          <w:b/>
          <w:bCs/>
        </w:rPr>
        <w:t>:</w:t>
      </w:r>
    </w:p>
    <w:p w14:paraId="0135E9A2" w14:textId="18A1B969" w:rsidR="00E1072D" w:rsidRPr="002674BD" w:rsidRDefault="00E1072D" w:rsidP="007E2D0E">
      <w:pPr>
        <w:jc w:val="both"/>
      </w:pPr>
      <w:r w:rsidRPr="002674BD">
        <w:t xml:space="preserve">Transfer approximately 3.78 </w:t>
      </w:r>
      <w:r w:rsidR="009E4132" w:rsidRPr="002674BD">
        <w:t xml:space="preserve">(ha) </w:t>
      </w:r>
      <w:r w:rsidRPr="002674BD">
        <w:t xml:space="preserve">of land within Lot 96 Starflower Road, Henley Brook from the Public Purposes – Special Uses reservation to the Urban zone. The proposed Urban zoning will facilitate </w:t>
      </w:r>
      <w:r w:rsidRPr="002674BD">
        <w:lastRenderedPageBreak/>
        <w:t>further planning and development of the subject land for residential and related land uses, along with adjacent Urban zoned land to the east.</w:t>
      </w:r>
    </w:p>
    <w:p w14:paraId="25B3B121" w14:textId="5EFA0C17" w:rsidR="00594539" w:rsidRPr="002674BD" w:rsidRDefault="00594539" w:rsidP="007E2D0E">
      <w:pPr>
        <w:jc w:val="both"/>
        <w:rPr>
          <w:b/>
          <w:bCs/>
        </w:rPr>
      </w:pPr>
      <w:r w:rsidRPr="002674BD">
        <w:rPr>
          <w:b/>
          <w:bCs/>
        </w:rPr>
        <w:t>MRS amendment 1407/57 (Hamilton Street, Cannington):</w:t>
      </w:r>
    </w:p>
    <w:p w14:paraId="5CA101AF" w14:textId="36CFD22C" w:rsidR="001F6388" w:rsidRPr="002674BD" w:rsidRDefault="001F6388" w:rsidP="007E2D0E">
      <w:pPr>
        <w:jc w:val="both"/>
      </w:pPr>
      <w:r w:rsidRPr="002674BD">
        <w:t>Transfer approximately 3,800 m</w:t>
      </w:r>
      <w:r w:rsidRPr="002674BD">
        <w:rPr>
          <w:vertAlign w:val="superscript"/>
        </w:rPr>
        <w:t>2</w:t>
      </w:r>
      <w:r w:rsidRPr="002674BD">
        <w:t xml:space="preserve"> of land from Other Regional Roads (ORR) reservation to the Urban zone. The proposed Urban zoning will facilitate</w:t>
      </w:r>
      <w:r w:rsidR="001B3151" w:rsidRPr="002674BD">
        <w:t xml:space="preserve"> </w:t>
      </w:r>
      <w:r w:rsidRPr="002674BD">
        <w:t xml:space="preserve">the Department of Communities </w:t>
      </w:r>
      <w:r w:rsidR="001B3151" w:rsidRPr="002674BD">
        <w:t>proposal</w:t>
      </w:r>
      <w:r w:rsidRPr="002674BD">
        <w:t xml:space="preserve"> to construct an Aboriginal short-stay accommodation facility on land within a portion of the amendment area and adjacent to it</w:t>
      </w:r>
      <w:r w:rsidR="00594539" w:rsidRPr="002674BD">
        <w:t>.</w:t>
      </w:r>
    </w:p>
    <w:p w14:paraId="04D404CE" w14:textId="0251FA0F" w:rsidR="009E5489" w:rsidRPr="002674BD" w:rsidRDefault="009E5489" w:rsidP="007E2D0E">
      <w:pPr>
        <w:jc w:val="both"/>
        <w:rPr>
          <w:rStyle w:val="Strong"/>
        </w:rPr>
      </w:pPr>
      <w:r w:rsidRPr="002674BD">
        <w:rPr>
          <w:rStyle w:val="Strong"/>
        </w:rPr>
        <w:t xml:space="preserve">MRS Amendment 1399/57 (Hay Road, Ascot): </w:t>
      </w:r>
    </w:p>
    <w:p w14:paraId="54C8F740" w14:textId="77777777" w:rsidR="009E5489" w:rsidRPr="002674BD" w:rsidRDefault="009E5489" w:rsidP="007E2D0E">
      <w:pPr>
        <w:jc w:val="both"/>
      </w:pPr>
      <w:r w:rsidRPr="002674BD">
        <w:t>Transfer approximately 1.53 ha of land in Ascot (5 km from the Perth CBD) from the Parks and Recreation reservation to the Urban zone under the Metropolitan Region Scheme (MRS). The local planning scheme was amended concurrently to align with the MRS. Provides for redevelopment of surplus parks and recreation land for housing and associated uses.</w:t>
      </w:r>
    </w:p>
    <w:p w14:paraId="01BA6DAB" w14:textId="77777777" w:rsidR="009E5489" w:rsidRPr="002674BD" w:rsidRDefault="009E5489" w:rsidP="007E2D0E">
      <w:pPr>
        <w:jc w:val="both"/>
        <w:rPr>
          <w:rStyle w:val="Strong"/>
        </w:rPr>
      </w:pPr>
      <w:r w:rsidRPr="002674BD">
        <w:rPr>
          <w:rStyle w:val="Strong"/>
        </w:rPr>
        <w:t>MRS Amendment 1401/57 (former Challenger TAFE site):</w:t>
      </w:r>
    </w:p>
    <w:p w14:paraId="680DE268" w14:textId="77777777" w:rsidR="009E5489" w:rsidRPr="002674BD" w:rsidRDefault="009E5489" w:rsidP="007E2D0E">
      <w:pPr>
        <w:jc w:val="both"/>
      </w:pPr>
      <w:r w:rsidRPr="002674BD">
        <w:t>Transfer approximately 4.36 ha in Beaconsfield (3 km east of Fremantle) from the Public Purposes - Technical School reservation to the Urban zone under the MRS. The amendment enables the redevelopment of the TAFE site which ceased operating in 2017.</w:t>
      </w:r>
    </w:p>
    <w:bookmarkEnd w:id="48"/>
    <w:p w14:paraId="77B38CD7" w14:textId="0AB11EC3" w:rsidR="009E5489" w:rsidRPr="002674BD" w:rsidRDefault="009E5489" w:rsidP="007E2D0E">
      <w:pPr>
        <w:spacing w:after="0"/>
        <w:jc w:val="both"/>
        <w:rPr>
          <w:rFonts w:ascii="Calibri Light" w:hAnsi="Calibri Light" w:cs="Arial"/>
          <w:b/>
          <w:kern w:val="32"/>
          <w:sz w:val="28"/>
          <w:szCs w:val="26"/>
        </w:rPr>
      </w:pPr>
      <w:r w:rsidRPr="002674BD">
        <w:rPr>
          <w:rFonts w:ascii="Calibri Light" w:hAnsi="Calibri Light" w:cs="Arial"/>
          <w:b/>
          <w:kern w:val="32"/>
          <w:sz w:val="28"/>
          <w:szCs w:val="26"/>
        </w:rPr>
        <w:t xml:space="preserve">METRONET </w:t>
      </w:r>
    </w:p>
    <w:p w14:paraId="3E2F1BE0" w14:textId="173B99A4" w:rsidR="009E5489" w:rsidRPr="002674BD" w:rsidRDefault="00214442" w:rsidP="007E2D0E">
      <w:pPr>
        <w:spacing w:before="0"/>
        <w:jc w:val="both"/>
        <w:rPr>
          <w:i/>
          <w:iCs/>
        </w:rPr>
      </w:pPr>
      <w:r w:rsidRPr="002674BD">
        <w:rPr>
          <w:i/>
          <w:iCs/>
          <w:color w:val="0070C0"/>
        </w:rPr>
        <w:t xml:space="preserve">Update: </w:t>
      </w:r>
      <w:r w:rsidR="009E5489" w:rsidRPr="002674BD">
        <w:rPr>
          <w:i/>
          <w:iCs/>
        </w:rPr>
        <w:t>Progressing since 2017</w:t>
      </w:r>
    </w:p>
    <w:p w14:paraId="304D3F4F" w14:textId="20E89415" w:rsidR="009E5489" w:rsidRPr="002674BD" w:rsidRDefault="009E5489" w:rsidP="007E2D0E">
      <w:pPr>
        <w:jc w:val="both"/>
        <w:rPr>
          <w:szCs w:val="22"/>
        </w:rPr>
      </w:pPr>
      <w:r w:rsidRPr="002674BD">
        <w:t xml:space="preserve">METRONET is the largest integrated transport and land use program ever delivered in Perth. Investment in rail will act as the catalyst for land use change in over 8,000 ha of land within walkable catchments around METRONET stations. METRONET rail infrastructure and stations have been designed and delivered to use government land efficiently and create new development opportunities on Government landholdings within walking distance of the station. These precincts present an opportunity to deliver new housing within well-situated locations across the Perth and Peel </w:t>
      </w:r>
      <w:r w:rsidRPr="002674BD">
        <w:rPr>
          <w:szCs w:val="22"/>
        </w:rPr>
        <w:t>region.</w:t>
      </w:r>
      <w:r w:rsidR="00EC6840" w:rsidRPr="002674BD">
        <w:rPr>
          <w:szCs w:val="22"/>
        </w:rPr>
        <w:t xml:space="preserve"> On 8 December 2024 the METRONET Ellenbrook Line opened and includes five new stations: Morley, Noranda, Ballajura, Whiteman Park, and Ellenbrook. </w:t>
      </w:r>
    </w:p>
    <w:p w14:paraId="667C2D73" w14:textId="2E46502D" w:rsidR="00BB46C8" w:rsidRPr="002674BD" w:rsidRDefault="009E5489" w:rsidP="007E2D0E">
      <w:pPr>
        <w:jc w:val="both"/>
        <w:rPr>
          <w:szCs w:val="22"/>
        </w:rPr>
      </w:pPr>
      <w:r w:rsidRPr="002674BD">
        <w:rPr>
          <w:szCs w:val="22"/>
        </w:rPr>
        <w:t xml:space="preserve">This work continues as the project progresses, with the State leading precinct planning. </w:t>
      </w:r>
      <w:r w:rsidR="00BB46C8" w:rsidRPr="002674BD">
        <w:rPr>
          <w:szCs w:val="22"/>
        </w:rPr>
        <w:t>METRONET station precincts provide the opportunity to deliver new housing opportunities for all West Australians. Working across State and local governments, key precincts are being planned to provide new infrastructure, amenity and services to communities and establish a pipeline of housing development options in a mix of tenures, including social and affordable housing, for public and private investment.</w:t>
      </w:r>
    </w:p>
    <w:p w14:paraId="44E88612" w14:textId="0F597807" w:rsidR="00BB46C8" w:rsidRPr="002674BD" w:rsidRDefault="00BB46C8" w:rsidP="007E2D0E">
      <w:pPr>
        <w:pStyle w:val="BoxText"/>
        <w:spacing w:after="0"/>
        <w:jc w:val="both"/>
        <w:rPr>
          <w:sz w:val="22"/>
          <w:szCs w:val="22"/>
        </w:rPr>
      </w:pPr>
      <w:r w:rsidRPr="002674BD">
        <w:rPr>
          <w:sz w:val="22"/>
          <w:szCs w:val="22"/>
        </w:rPr>
        <w:t xml:space="preserve">To support the delivery of housing, work is underway to identify and prioritise suitable State-owned land in METRONET station precincts and other well-located areas. The identified sites will have the potential to provide for social and affordable housing, mixed with other new housing types where applicable. Being within station precincts, the sites will be within walking distance of high-quality public transport </w:t>
      </w:r>
      <w:r w:rsidR="000C28C3" w:rsidRPr="002674BD">
        <w:rPr>
          <w:sz w:val="22"/>
          <w:szCs w:val="22"/>
        </w:rPr>
        <w:t>infrastructure and</w:t>
      </w:r>
      <w:r w:rsidRPr="002674BD">
        <w:rPr>
          <w:sz w:val="22"/>
          <w:szCs w:val="22"/>
        </w:rPr>
        <w:t xml:space="preserve"> provide a foundation for </w:t>
      </w:r>
      <w:r w:rsidR="00EB35E8" w:rsidRPr="002674BD">
        <w:rPr>
          <w:sz w:val="22"/>
          <w:szCs w:val="22"/>
        </w:rPr>
        <w:t>transit-oriented</w:t>
      </w:r>
      <w:r w:rsidRPr="002674BD">
        <w:rPr>
          <w:sz w:val="22"/>
          <w:szCs w:val="22"/>
        </w:rPr>
        <w:t xml:space="preserve"> development with medium to high-density housing that both maximises the benefits of the public transport investment and other National, State and/or local government investments in these precincts, such as the Ellenbrook Leisure Centre</w:t>
      </w:r>
      <w:r w:rsidR="00EC6840" w:rsidRPr="002674BD">
        <w:rPr>
          <w:sz w:val="22"/>
          <w:szCs w:val="22"/>
        </w:rPr>
        <w:t xml:space="preserve"> (approved by WAPC in February 2025).</w:t>
      </w:r>
    </w:p>
    <w:p w14:paraId="618919CE" w14:textId="2798D756" w:rsidR="009A2F23" w:rsidRPr="002674BD" w:rsidRDefault="00BB46C8" w:rsidP="007E2D0E">
      <w:pPr>
        <w:pStyle w:val="BoxText"/>
        <w:spacing w:after="0"/>
        <w:jc w:val="both"/>
        <w:rPr>
          <w:sz w:val="22"/>
          <w:szCs w:val="22"/>
        </w:rPr>
      </w:pPr>
      <w:r w:rsidRPr="002674BD">
        <w:rPr>
          <w:sz w:val="22"/>
          <w:szCs w:val="22"/>
        </w:rPr>
        <w:lastRenderedPageBreak/>
        <w:t xml:space="preserve">Precinct planning is being led by the Department of Planning, Lands and Heritage on several METRONET precincts to establish the planning frameworks for streamlined delivery of housing and transit-oriented development across the network. These include </w:t>
      </w:r>
      <w:r w:rsidR="00017CA2" w:rsidRPr="002674BD">
        <w:rPr>
          <w:sz w:val="22"/>
          <w:szCs w:val="22"/>
        </w:rPr>
        <w:t>Ballajura</w:t>
      </w:r>
      <w:r w:rsidRPr="002674BD">
        <w:rPr>
          <w:sz w:val="22"/>
          <w:szCs w:val="22"/>
        </w:rPr>
        <w:t xml:space="preserve">, Bennett Springs East and Karnup, with Concept Master Plans also completed in Whiteman Park and Morley. </w:t>
      </w:r>
      <w:r w:rsidR="00214442" w:rsidRPr="002674BD">
        <w:rPr>
          <w:sz w:val="22"/>
          <w:szCs w:val="22"/>
        </w:rPr>
        <w:t>The Department of Planning, Lands and Heritage utilises a number of planning tools to establish development ready planning frameworks with streamlined approval processes including Precinct Structure Plans, Master Plans, Planning Control Areas, Improvement Plans and Schemes and the Significant Development Pathway.</w:t>
      </w:r>
    </w:p>
    <w:p w14:paraId="3E6E82A6" w14:textId="77777777" w:rsidR="00214442" w:rsidRPr="002674BD" w:rsidRDefault="00214442" w:rsidP="007E2D0E">
      <w:pPr>
        <w:spacing w:before="0" w:after="0"/>
        <w:jc w:val="both"/>
        <w:rPr>
          <w:i/>
          <w:iCs/>
        </w:rPr>
      </w:pPr>
    </w:p>
    <w:p w14:paraId="0FAE22AB" w14:textId="77777777" w:rsidR="00EC6840" w:rsidRPr="002674BD" w:rsidRDefault="00214442" w:rsidP="007E2D0E">
      <w:pPr>
        <w:spacing w:before="0" w:after="0"/>
        <w:jc w:val="both"/>
      </w:pPr>
      <w:r w:rsidRPr="002674BD">
        <w:t>In this regard, t</w:t>
      </w:r>
      <w:r w:rsidR="009A2F23" w:rsidRPr="002674BD">
        <w:t xml:space="preserve">he Karnup Station Precinct Structure Plan and associated scheme amendment </w:t>
      </w:r>
      <w:r w:rsidR="00EC6840" w:rsidRPr="002674BD">
        <w:t xml:space="preserve">was </w:t>
      </w:r>
      <w:r w:rsidR="009A2F23" w:rsidRPr="002674BD">
        <w:t xml:space="preserve"> publicly advertised </w:t>
      </w:r>
      <w:r w:rsidR="00EC6840" w:rsidRPr="002674BD">
        <w:t>in 2024</w:t>
      </w:r>
      <w:r w:rsidR="009A2F23" w:rsidRPr="002674BD">
        <w:t>. This Precinct provides for up to 800 new homes and a town centre within walking distance of this future station. Delivery of the Karnup Station is subject to a future investment decision of Government.</w:t>
      </w:r>
      <w:r w:rsidR="00F021D6" w:rsidRPr="002674BD">
        <w:t xml:space="preserve"> </w:t>
      </w:r>
    </w:p>
    <w:p w14:paraId="655156F5" w14:textId="77777777" w:rsidR="00EC6840" w:rsidRPr="002674BD" w:rsidRDefault="00EC6840" w:rsidP="007E2D0E">
      <w:pPr>
        <w:spacing w:before="0" w:after="0"/>
        <w:jc w:val="both"/>
      </w:pPr>
    </w:p>
    <w:p w14:paraId="0C9FD8F0" w14:textId="1453F03A" w:rsidR="00EC6840" w:rsidRPr="002674BD" w:rsidRDefault="00F021D6" w:rsidP="007E2D0E">
      <w:pPr>
        <w:spacing w:before="0" w:after="0"/>
        <w:jc w:val="both"/>
      </w:pPr>
      <w:r w:rsidRPr="002674BD">
        <w:t xml:space="preserve">The </w:t>
      </w:r>
      <w:r w:rsidR="00017CA2" w:rsidRPr="002674BD">
        <w:t>Ballajura</w:t>
      </w:r>
      <w:r w:rsidR="009A2F23" w:rsidRPr="002674BD">
        <w:t xml:space="preserve"> Station Precinct Structure Plan and Improvement Scheme provides for a new town centre and up to 1400 new dwellings within walking distance of the new </w:t>
      </w:r>
      <w:r w:rsidR="00017CA2" w:rsidRPr="002674BD">
        <w:t>Ballajura</w:t>
      </w:r>
      <w:r w:rsidR="009A2F23" w:rsidRPr="002674BD">
        <w:t xml:space="preserve"> Station. In August 2024, the planning documents </w:t>
      </w:r>
      <w:r w:rsidR="00EC6840" w:rsidRPr="002674BD">
        <w:t xml:space="preserve">were </w:t>
      </w:r>
      <w:r w:rsidR="009A2F23" w:rsidRPr="002674BD">
        <w:t xml:space="preserve">referred to the WA Environmental Protection Authority and Commonwealth Department of Climate Change, Environment, Energy and Water. </w:t>
      </w:r>
      <w:r w:rsidR="00EC6840" w:rsidRPr="002674BD">
        <w:t xml:space="preserve">The Ballajura Station Precinct Improvement Scheme No. 1 is currently out for public comment </w:t>
      </w:r>
      <w:r w:rsidR="00EB35E8" w:rsidRPr="002674BD">
        <w:t>until</w:t>
      </w:r>
      <w:r w:rsidR="00EC6840" w:rsidRPr="002674BD">
        <w:t xml:space="preserve"> 9 April 2025.</w:t>
      </w:r>
    </w:p>
    <w:p w14:paraId="52CAB721" w14:textId="77777777" w:rsidR="00EC6840" w:rsidRPr="002674BD" w:rsidRDefault="00EC6840" w:rsidP="007E2D0E">
      <w:pPr>
        <w:spacing w:before="0" w:after="0"/>
        <w:jc w:val="both"/>
      </w:pPr>
    </w:p>
    <w:p w14:paraId="276C2C98" w14:textId="710C2E84" w:rsidR="00BB46C8" w:rsidRPr="002674BD" w:rsidRDefault="00BB46C8" w:rsidP="000D7C3B">
      <w:pPr>
        <w:pStyle w:val="BoxText"/>
        <w:spacing w:before="0" w:after="0"/>
        <w:jc w:val="both"/>
        <w:rPr>
          <w:sz w:val="22"/>
          <w:szCs w:val="22"/>
        </w:rPr>
      </w:pPr>
      <w:r w:rsidRPr="002674BD">
        <w:rPr>
          <w:sz w:val="22"/>
          <w:szCs w:val="22"/>
        </w:rPr>
        <w:t>Other METRONET precincts are being delivered by DevelopmentWA, with Redevelopment Areas and Schemes in place to establish new planning frameworks and provide for efficient determination of proposals.</w:t>
      </w:r>
    </w:p>
    <w:p w14:paraId="7BF784B4" w14:textId="77777777" w:rsidR="00BB46C8" w:rsidRPr="002674BD" w:rsidRDefault="00BB46C8" w:rsidP="007E2D0E">
      <w:pPr>
        <w:pStyle w:val="BoxText"/>
        <w:spacing w:after="0"/>
        <w:jc w:val="both"/>
        <w:rPr>
          <w:sz w:val="22"/>
          <w:szCs w:val="22"/>
        </w:rPr>
      </w:pPr>
      <w:r w:rsidRPr="002674BD">
        <w:rPr>
          <w:sz w:val="22"/>
          <w:szCs w:val="22"/>
        </w:rPr>
        <w:t xml:space="preserve">The Department and DevelopmentWA are also working with the Infrastructure Development Fund, Market Led Proposals and Housing Diversity Pipeline initiatives to identify further opportunities for de-constraining land for housing and development by both public and private sector. </w:t>
      </w:r>
    </w:p>
    <w:p w14:paraId="61AAE426" w14:textId="77777777" w:rsidR="00BB46C8" w:rsidRPr="002674BD" w:rsidRDefault="00BB46C8" w:rsidP="007E2D0E">
      <w:pPr>
        <w:pStyle w:val="BoxText"/>
        <w:spacing w:after="0"/>
        <w:jc w:val="both"/>
        <w:rPr>
          <w:sz w:val="22"/>
          <w:szCs w:val="22"/>
        </w:rPr>
      </w:pPr>
      <w:r w:rsidRPr="002674BD">
        <w:rPr>
          <w:sz w:val="22"/>
          <w:szCs w:val="22"/>
        </w:rPr>
        <w:t>METRONET precinct planning works and initiatives to support housing supply have been in preparation prior the 16 August 2023. While METRONET precinct site identification and prioritisation is underway, these opportunities have not been endorsed by the WA Government at this stage.</w:t>
      </w:r>
    </w:p>
    <w:p w14:paraId="0920EEC8" w14:textId="73FF8242" w:rsidR="00BB46C8" w:rsidRPr="002674BD" w:rsidRDefault="00BB46C8" w:rsidP="007E2D0E">
      <w:pPr>
        <w:jc w:val="both"/>
      </w:pPr>
      <w:r w:rsidRPr="002674BD">
        <w:rPr>
          <w:szCs w:val="22"/>
        </w:rPr>
        <w:t xml:space="preserve">Further information at: </w:t>
      </w:r>
      <w:hyperlink r:id="rId43" w:history="1">
        <w:r w:rsidRPr="002674BD">
          <w:rPr>
            <w:rStyle w:val="Hyperlink"/>
            <w:szCs w:val="22"/>
          </w:rPr>
          <w:t>METRONET Delivering Station Precincts Brochure.pdf</w:t>
        </w:r>
      </w:hyperlink>
    </w:p>
    <w:p w14:paraId="0CC4A477" w14:textId="6B1749C4" w:rsidR="009E5489" w:rsidRPr="002674BD" w:rsidRDefault="009E5489" w:rsidP="007E2D0E">
      <w:pPr>
        <w:pStyle w:val="Heading4"/>
        <w:spacing w:before="0" w:after="0"/>
        <w:jc w:val="both"/>
      </w:pPr>
      <w:r w:rsidRPr="002674BD">
        <w:t>Housing Diversity Pipeline (2022)</w:t>
      </w:r>
    </w:p>
    <w:p w14:paraId="7775CE26" w14:textId="3E43512B" w:rsidR="004840DB" w:rsidRPr="002674BD" w:rsidRDefault="004840DB" w:rsidP="007E2D0E">
      <w:pPr>
        <w:spacing w:before="0"/>
        <w:jc w:val="both"/>
        <w:rPr>
          <w:i/>
          <w:iCs/>
          <w:color w:val="0070C0"/>
        </w:rPr>
      </w:pPr>
      <w:r w:rsidRPr="002674BD">
        <w:rPr>
          <w:i/>
          <w:iCs/>
          <w:color w:val="0070C0"/>
        </w:rPr>
        <w:t>Update</w:t>
      </w:r>
    </w:p>
    <w:p w14:paraId="6E0221CE" w14:textId="7DF702C2" w:rsidR="00B955E2" w:rsidRPr="002674BD" w:rsidRDefault="00B955E2" w:rsidP="007E2D0E">
      <w:pPr>
        <w:pStyle w:val="BoxText"/>
        <w:jc w:val="both"/>
        <w:rPr>
          <w:sz w:val="22"/>
          <w:szCs w:val="22"/>
        </w:rPr>
      </w:pPr>
      <w:r w:rsidRPr="002674BD">
        <w:rPr>
          <w:sz w:val="22"/>
          <w:szCs w:val="22"/>
        </w:rPr>
        <w:t xml:space="preserve">The WA Government is progressing a range of reforms and policy initiatives that are accelerating housing supply, including the delivery of </w:t>
      </w:r>
      <w:r w:rsidR="00017CA2" w:rsidRPr="002674BD">
        <w:rPr>
          <w:sz w:val="22"/>
          <w:szCs w:val="22"/>
        </w:rPr>
        <w:t>5</w:t>
      </w:r>
      <w:r w:rsidRPr="002674BD">
        <w:rPr>
          <w:sz w:val="22"/>
          <w:szCs w:val="22"/>
        </w:rPr>
        <w:t>,000 new social homes in four years through a record investment of $</w:t>
      </w:r>
      <w:r w:rsidR="00017CA2" w:rsidRPr="002674BD">
        <w:rPr>
          <w:sz w:val="22"/>
          <w:szCs w:val="22"/>
        </w:rPr>
        <w:t>3.2</w:t>
      </w:r>
      <w:r w:rsidRPr="002674BD">
        <w:rPr>
          <w:sz w:val="22"/>
          <w:szCs w:val="22"/>
        </w:rPr>
        <w:t xml:space="preserve"> billion. The pilot Housing Diversity Pipeline (HDP), a key component of this program, seeks innovative solutions and proposals from the private sector to address the current critical shortage of social housing and housing availability by releasing underutilised and surplus government landholdings to the market.</w:t>
      </w:r>
    </w:p>
    <w:p w14:paraId="62D7C3C2" w14:textId="6FC6C9D7" w:rsidR="00B955E2" w:rsidRPr="002674BD" w:rsidRDefault="00B955E2" w:rsidP="007E2D0E">
      <w:pPr>
        <w:pStyle w:val="BoxText"/>
        <w:jc w:val="both"/>
        <w:rPr>
          <w:sz w:val="22"/>
          <w:szCs w:val="22"/>
        </w:rPr>
      </w:pPr>
      <w:r w:rsidRPr="002674BD">
        <w:rPr>
          <w:sz w:val="22"/>
          <w:szCs w:val="22"/>
        </w:rPr>
        <w:t>The pilot HDP identifies surplus government landholdings to determine their suitability for residential development, and prioritises these outcomes over alternative uses. The delivery of well-located density accommodation is a key program consideration, including the prioritisation of infill and transit-oriented developments.</w:t>
      </w:r>
      <w:r w:rsidR="000D7C3B" w:rsidRPr="002674BD">
        <w:rPr>
          <w:sz w:val="22"/>
          <w:szCs w:val="22"/>
        </w:rPr>
        <w:t xml:space="preserve"> An expression of interest process closed in October 2024 seeking responses from developers identifying State-owned land and proposing to deliver residential lots or housing in the short-medium term. Evaluation of responses and negotiation of land sales is underway.</w:t>
      </w:r>
    </w:p>
    <w:p w14:paraId="6EB725F2" w14:textId="0E2554D1" w:rsidR="00902D34" w:rsidRPr="002674BD" w:rsidRDefault="00902D34" w:rsidP="00902D34">
      <w:pPr>
        <w:pStyle w:val="BoxText"/>
        <w:jc w:val="both"/>
        <w:rPr>
          <w:sz w:val="22"/>
          <w:szCs w:val="22"/>
        </w:rPr>
      </w:pPr>
      <w:r w:rsidRPr="002674BD">
        <w:rPr>
          <w:sz w:val="22"/>
          <w:szCs w:val="22"/>
        </w:rPr>
        <w:lastRenderedPageBreak/>
        <w:t xml:space="preserve">HDP Round Two, </w:t>
      </w:r>
      <w:r w:rsidR="00D36B1E" w:rsidRPr="002674BD">
        <w:rPr>
          <w:sz w:val="22"/>
          <w:szCs w:val="22"/>
        </w:rPr>
        <w:t xml:space="preserve">will </w:t>
      </w:r>
      <w:r w:rsidRPr="002674BD">
        <w:rPr>
          <w:sz w:val="22"/>
          <w:szCs w:val="22"/>
        </w:rPr>
        <w:t xml:space="preserve">leverage the knowledge and expertise of the development industry to identify and then develop the most suitable land to bring new housing supply to market in the quickest possible way. Round Two Request for Expressions of Interest </w:t>
      </w:r>
      <w:r w:rsidR="00D36B1E" w:rsidRPr="002674BD">
        <w:rPr>
          <w:sz w:val="22"/>
          <w:szCs w:val="22"/>
        </w:rPr>
        <w:t>closed on</w:t>
      </w:r>
      <w:r w:rsidRPr="002674BD">
        <w:rPr>
          <w:sz w:val="22"/>
          <w:szCs w:val="22"/>
        </w:rPr>
        <w:t xml:space="preserve"> 21 October 2024. </w:t>
      </w:r>
    </w:p>
    <w:p w14:paraId="0A7DE749" w14:textId="77777777" w:rsidR="00B955E2" w:rsidRPr="002674BD" w:rsidRDefault="00B955E2" w:rsidP="007E2D0E">
      <w:pPr>
        <w:pStyle w:val="BoxText"/>
        <w:jc w:val="both"/>
        <w:rPr>
          <w:sz w:val="22"/>
          <w:szCs w:val="22"/>
        </w:rPr>
      </w:pPr>
      <w:r w:rsidRPr="002674BD">
        <w:rPr>
          <w:sz w:val="22"/>
          <w:szCs w:val="22"/>
        </w:rPr>
        <w:t>Under the HDP, suitable sites are de-constrained and taken to market with minimal prescription with a view to partnering with industry and delivering mixed-tenure developments including social housing.</w:t>
      </w:r>
    </w:p>
    <w:p w14:paraId="1B1E8E06" w14:textId="6D2406DE" w:rsidR="00B955E2" w:rsidRPr="002674BD" w:rsidRDefault="00B955E2" w:rsidP="007E2D0E">
      <w:pPr>
        <w:pStyle w:val="BoxText"/>
        <w:spacing w:after="0"/>
        <w:jc w:val="both"/>
        <w:rPr>
          <w:sz w:val="22"/>
          <w:szCs w:val="22"/>
        </w:rPr>
      </w:pPr>
      <w:r w:rsidRPr="002674BD">
        <w:rPr>
          <w:sz w:val="22"/>
          <w:szCs w:val="22"/>
        </w:rPr>
        <w:t>Some key examples of HDP projects current underway include:</w:t>
      </w:r>
    </w:p>
    <w:p w14:paraId="2047F6ED" w14:textId="290815DA" w:rsidR="00F31CE1" w:rsidRPr="002674BD" w:rsidRDefault="00F31CE1" w:rsidP="007E2D0E">
      <w:pPr>
        <w:pStyle w:val="BoxText"/>
        <w:spacing w:after="0"/>
        <w:jc w:val="both"/>
        <w:rPr>
          <w:rStyle w:val="Strong"/>
          <w:sz w:val="22"/>
          <w:szCs w:val="22"/>
        </w:rPr>
      </w:pPr>
      <w:r w:rsidRPr="002674BD">
        <w:rPr>
          <w:rStyle w:val="Strong"/>
          <w:sz w:val="22"/>
          <w:szCs w:val="22"/>
        </w:rPr>
        <w:t xml:space="preserve">Brown Street, Busselton </w:t>
      </w:r>
    </w:p>
    <w:p w14:paraId="0F32CA64" w14:textId="236B6776" w:rsidR="00900391" w:rsidRPr="002674BD" w:rsidRDefault="00900391" w:rsidP="007E2D0E">
      <w:pPr>
        <w:pStyle w:val="BoxText"/>
        <w:spacing w:after="0"/>
        <w:jc w:val="both"/>
        <w:rPr>
          <w:sz w:val="22"/>
          <w:szCs w:val="22"/>
        </w:rPr>
      </w:pPr>
      <w:r w:rsidRPr="002674BD">
        <w:rPr>
          <w:sz w:val="22"/>
          <w:szCs w:val="22"/>
        </w:rPr>
        <w:t>The 2,034</w:t>
      </w:r>
      <w:r w:rsidR="00EB35E8" w:rsidRPr="002674BD">
        <w:rPr>
          <w:sz w:val="22"/>
          <w:szCs w:val="22"/>
        </w:rPr>
        <w:t>m</w:t>
      </w:r>
      <w:r w:rsidR="00EB35E8" w:rsidRPr="002674BD">
        <w:rPr>
          <w:sz w:val="22"/>
          <w:szCs w:val="22"/>
          <w:vertAlign w:val="superscript"/>
        </w:rPr>
        <w:t>2</w:t>
      </w:r>
      <w:r w:rsidRPr="002674BD">
        <w:rPr>
          <w:sz w:val="22"/>
          <w:szCs w:val="22"/>
        </w:rPr>
        <w:t xml:space="preserve"> development site is part of the Housing Diversity Pipeline, to maximise the potential of lazy government land to bolster social and affordable housing.</w:t>
      </w:r>
    </w:p>
    <w:p w14:paraId="75456778" w14:textId="7913F15B" w:rsidR="00F31CE1" w:rsidRPr="002674BD" w:rsidRDefault="00900391" w:rsidP="007E2D0E">
      <w:pPr>
        <w:pStyle w:val="BoxText"/>
        <w:spacing w:after="0"/>
        <w:jc w:val="both"/>
        <w:rPr>
          <w:sz w:val="22"/>
          <w:szCs w:val="22"/>
        </w:rPr>
      </w:pPr>
      <w:r w:rsidRPr="002674BD">
        <w:rPr>
          <w:sz w:val="22"/>
          <w:szCs w:val="22"/>
        </w:rPr>
        <w:t xml:space="preserve">In November 2024 a </w:t>
      </w:r>
      <w:r w:rsidR="000B1408" w:rsidRPr="002674BD">
        <w:rPr>
          <w:sz w:val="22"/>
          <w:szCs w:val="22"/>
        </w:rPr>
        <w:t>p</w:t>
      </w:r>
      <w:r w:rsidRPr="002674BD">
        <w:rPr>
          <w:sz w:val="22"/>
          <w:szCs w:val="22"/>
        </w:rPr>
        <w:t>roponent was announced to construct and operate the planned 30-dwelling community housing development (mix of 16 social and 14 affordable houses) in Busselton. The development application was lodged in November 2024.</w:t>
      </w:r>
    </w:p>
    <w:p w14:paraId="034E01D6" w14:textId="0A3D85DF" w:rsidR="00F31CE1" w:rsidRPr="002674BD" w:rsidRDefault="00F31CE1" w:rsidP="007E2D0E">
      <w:pPr>
        <w:pStyle w:val="BoxText"/>
        <w:spacing w:after="0"/>
        <w:jc w:val="both"/>
        <w:rPr>
          <w:rStyle w:val="Strong"/>
          <w:sz w:val="22"/>
          <w:szCs w:val="22"/>
        </w:rPr>
      </w:pPr>
      <w:r w:rsidRPr="002674BD">
        <w:rPr>
          <w:sz w:val="22"/>
          <w:szCs w:val="22"/>
        </w:rPr>
        <w:t xml:space="preserve">Further information on this project is available at </w:t>
      </w:r>
      <w:hyperlink r:id="rId44" w:history="1">
        <w:r w:rsidRPr="002674BD">
          <w:rPr>
            <w:rStyle w:val="Hyperlink"/>
            <w:sz w:val="22"/>
            <w:szCs w:val="22"/>
          </w:rPr>
          <w:t>Social and affordable housing boost in Busselton | Western Australian Government</w:t>
        </w:r>
      </w:hyperlink>
      <w:r w:rsidRPr="002674BD">
        <w:rPr>
          <w:sz w:val="22"/>
          <w:szCs w:val="22"/>
        </w:rPr>
        <w:t>.</w:t>
      </w:r>
    </w:p>
    <w:p w14:paraId="79C02156" w14:textId="1A35E2BC" w:rsidR="00902D34" w:rsidRPr="002674BD" w:rsidRDefault="00902D34" w:rsidP="007E2D0E">
      <w:pPr>
        <w:pStyle w:val="BoxText"/>
        <w:spacing w:after="0"/>
        <w:jc w:val="both"/>
        <w:rPr>
          <w:rStyle w:val="Strong"/>
          <w:sz w:val="22"/>
          <w:szCs w:val="22"/>
        </w:rPr>
      </w:pPr>
      <w:r w:rsidRPr="002674BD">
        <w:rPr>
          <w:rStyle w:val="Strong"/>
          <w:sz w:val="22"/>
          <w:szCs w:val="22"/>
        </w:rPr>
        <w:t>Tulloch Way, Canning Vale</w:t>
      </w:r>
    </w:p>
    <w:p w14:paraId="51F55DEE" w14:textId="2D8ACA61" w:rsidR="00D73044" w:rsidRPr="002674BD" w:rsidRDefault="00D73044" w:rsidP="00D73044">
      <w:pPr>
        <w:pStyle w:val="BoxText"/>
        <w:spacing w:after="0"/>
        <w:jc w:val="both"/>
        <w:rPr>
          <w:sz w:val="22"/>
          <w:szCs w:val="22"/>
        </w:rPr>
      </w:pPr>
      <w:r w:rsidRPr="002674BD">
        <w:rPr>
          <w:sz w:val="22"/>
          <w:szCs w:val="22"/>
        </w:rPr>
        <w:t xml:space="preserve">The </w:t>
      </w:r>
      <w:r w:rsidRPr="002674BD">
        <w:rPr>
          <w:rFonts w:hint="cs"/>
          <w:sz w:val="22"/>
          <w:szCs w:val="22"/>
        </w:rPr>
        <w:t xml:space="preserve">Department of Communities is progressing </w:t>
      </w:r>
      <w:r w:rsidRPr="002674BD">
        <w:rPr>
          <w:sz w:val="22"/>
          <w:szCs w:val="22"/>
        </w:rPr>
        <w:t xml:space="preserve">a </w:t>
      </w:r>
      <w:r w:rsidRPr="002674BD">
        <w:rPr>
          <w:rFonts w:hint="cs"/>
          <w:sz w:val="22"/>
          <w:szCs w:val="22"/>
        </w:rPr>
        <w:t xml:space="preserve">project </w:t>
      </w:r>
      <w:r w:rsidRPr="002674BD">
        <w:rPr>
          <w:sz w:val="22"/>
          <w:szCs w:val="22"/>
        </w:rPr>
        <w:t>to deliver</w:t>
      </w:r>
      <w:r w:rsidRPr="002674BD">
        <w:rPr>
          <w:rFonts w:hint="cs"/>
          <w:sz w:val="22"/>
          <w:szCs w:val="22"/>
        </w:rPr>
        <w:t xml:space="preserve"> a mix of one, two and three-bedroom social and affordable rental homes </w:t>
      </w:r>
      <w:r w:rsidRPr="002674BD">
        <w:rPr>
          <w:sz w:val="22"/>
          <w:szCs w:val="22"/>
        </w:rPr>
        <w:t xml:space="preserve">on </w:t>
      </w:r>
      <w:r w:rsidRPr="002674BD">
        <w:rPr>
          <w:rFonts w:hint="cs"/>
          <w:sz w:val="22"/>
          <w:szCs w:val="22"/>
        </w:rPr>
        <w:t>8,500m</w:t>
      </w:r>
      <w:r w:rsidRPr="002674BD">
        <w:rPr>
          <w:rFonts w:hint="cs"/>
          <w:sz w:val="22"/>
          <w:szCs w:val="22"/>
          <w:vertAlign w:val="superscript"/>
        </w:rPr>
        <w:t>2</w:t>
      </w:r>
      <w:r w:rsidRPr="002674BD">
        <w:rPr>
          <w:rFonts w:hint="cs"/>
          <w:sz w:val="22"/>
          <w:szCs w:val="22"/>
        </w:rPr>
        <w:t xml:space="preserve"> of State-owned land</w:t>
      </w:r>
      <w:r w:rsidRPr="002674BD">
        <w:rPr>
          <w:sz w:val="22"/>
          <w:szCs w:val="22"/>
        </w:rPr>
        <w:t xml:space="preserve"> </w:t>
      </w:r>
      <w:r w:rsidRPr="002674BD">
        <w:rPr>
          <w:rFonts w:hint="cs"/>
          <w:sz w:val="22"/>
          <w:szCs w:val="22"/>
        </w:rPr>
        <w:t>in Canning Vale</w:t>
      </w:r>
      <w:r w:rsidRPr="002674BD">
        <w:rPr>
          <w:sz w:val="22"/>
          <w:szCs w:val="22"/>
        </w:rPr>
        <w:t xml:space="preserve"> and </w:t>
      </w:r>
      <w:r w:rsidRPr="002674BD">
        <w:rPr>
          <w:rFonts w:hint="cs"/>
          <w:sz w:val="22"/>
          <w:szCs w:val="22"/>
        </w:rPr>
        <w:t xml:space="preserve">leveraging </w:t>
      </w:r>
      <w:r w:rsidRPr="002674BD">
        <w:rPr>
          <w:sz w:val="22"/>
          <w:szCs w:val="22"/>
        </w:rPr>
        <w:t xml:space="preserve">on </w:t>
      </w:r>
      <w:r w:rsidRPr="002674BD">
        <w:rPr>
          <w:rFonts w:hint="cs"/>
          <w:sz w:val="22"/>
          <w:szCs w:val="22"/>
        </w:rPr>
        <w:t>new METRONET infrastructure</w:t>
      </w:r>
      <w:r w:rsidRPr="002674BD">
        <w:rPr>
          <w:sz w:val="22"/>
          <w:szCs w:val="22"/>
        </w:rPr>
        <w:t xml:space="preserve">. </w:t>
      </w:r>
    </w:p>
    <w:p w14:paraId="20590D95" w14:textId="6A6EFC5A" w:rsidR="00902D34" w:rsidRPr="002674BD" w:rsidRDefault="00D73044" w:rsidP="007E2D0E">
      <w:pPr>
        <w:pStyle w:val="BoxText"/>
        <w:spacing w:after="0"/>
        <w:jc w:val="both"/>
        <w:rPr>
          <w:sz w:val="22"/>
        </w:rPr>
      </w:pPr>
      <w:r w:rsidRPr="002674BD">
        <w:rPr>
          <w:rFonts w:hint="cs"/>
          <w:sz w:val="22"/>
          <w:szCs w:val="22"/>
        </w:rPr>
        <w:t>A Development Application to construct 49 new homes was lodged on 9 October 2024. The 18 townhouses and 31 apartments will be built to silver level Liveable Housing Australia standard.</w:t>
      </w:r>
    </w:p>
    <w:p w14:paraId="6B8EECD4" w14:textId="696C858A" w:rsidR="00902D34" w:rsidRPr="002674BD" w:rsidRDefault="00902D34" w:rsidP="007E2D0E">
      <w:pPr>
        <w:pStyle w:val="BoxText"/>
        <w:spacing w:after="0"/>
        <w:jc w:val="both"/>
        <w:rPr>
          <w:rStyle w:val="Strong"/>
          <w:sz w:val="22"/>
          <w:szCs w:val="22"/>
        </w:rPr>
      </w:pPr>
      <w:r w:rsidRPr="002674BD">
        <w:rPr>
          <w:rStyle w:val="Strong"/>
          <w:sz w:val="22"/>
          <w:szCs w:val="22"/>
        </w:rPr>
        <w:t>Northwood Street, Narrogin</w:t>
      </w:r>
    </w:p>
    <w:p w14:paraId="3600832F" w14:textId="69E91823" w:rsidR="00902D34" w:rsidRPr="002674BD" w:rsidRDefault="00C13724" w:rsidP="007E2D0E">
      <w:pPr>
        <w:pStyle w:val="BoxText"/>
        <w:spacing w:after="0"/>
        <w:jc w:val="both"/>
        <w:rPr>
          <w:rStyle w:val="Strong"/>
          <w:b w:val="0"/>
          <w:bCs w:val="0"/>
          <w:sz w:val="22"/>
          <w:szCs w:val="22"/>
        </w:rPr>
      </w:pPr>
      <w:r w:rsidRPr="002674BD">
        <w:rPr>
          <w:rStyle w:val="Strong"/>
          <w:b w:val="0"/>
          <w:bCs w:val="0"/>
          <w:sz w:val="22"/>
          <w:szCs w:val="22"/>
        </w:rPr>
        <w:t>The Crown land on Northwood Street, Narrogin will be sold at a discounted price to the Shire of Narrogin to deliver housing options and boost the availability of affordable housing within the community.</w:t>
      </w:r>
    </w:p>
    <w:p w14:paraId="7E3B3FFC" w14:textId="18045867" w:rsidR="00B955E2" w:rsidRPr="002674BD" w:rsidRDefault="00B955E2" w:rsidP="007E2D0E">
      <w:pPr>
        <w:pStyle w:val="BoxText"/>
        <w:spacing w:after="0"/>
        <w:jc w:val="both"/>
        <w:rPr>
          <w:rStyle w:val="Strong"/>
          <w:sz w:val="22"/>
          <w:szCs w:val="22"/>
        </w:rPr>
      </w:pPr>
      <w:r w:rsidRPr="002674BD">
        <w:rPr>
          <w:rStyle w:val="Strong"/>
          <w:sz w:val="22"/>
          <w:szCs w:val="22"/>
        </w:rPr>
        <w:t>Pier Street, Perth</w:t>
      </w:r>
    </w:p>
    <w:p w14:paraId="4212B583" w14:textId="7267245B" w:rsidR="00B955E2" w:rsidRPr="002674BD" w:rsidRDefault="00B955E2" w:rsidP="007E2D0E">
      <w:pPr>
        <w:pStyle w:val="BoxText"/>
        <w:jc w:val="both"/>
        <w:rPr>
          <w:sz w:val="22"/>
          <w:szCs w:val="22"/>
        </w:rPr>
      </w:pPr>
      <w:r w:rsidRPr="002674BD">
        <w:rPr>
          <w:sz w:val="22"/>
          <w:szCs w:val="22"/>
        </w:rPr>
        <w:t>Development application</w:t>
      </w:r>
      <w:r w:rsidR="006B762A" w:rsidRPr="002674BD">
        <w:rPr>
          <w:sz w:val="22"/>
          <w:szCs w:val="22"/>
        </w:rPr>
        <w:t xml:space="preserve"> for housing redevelopment </w:t>
      </w:r>
      <w:r w:rsidR="002C1E2E" w:rsidRPr="002674BD">
        <w:rPr>
          <w:sz w:val="22"/>
          <w:szCs w:val="22"/>
        </w:rPr>
        <w:t xml:space="preserve">was </w:t>
      </w:r>
      <w:r w:rsidR="006B762A" w:rsidRPr="002674BD">
        <w:rPr>
          <w:sz w:val="22"/>
          <w:szCs w:val="22"/>
        </w:rPr>
        <w:t xml:space="preserve">approved </w:t>
      </w:r>
      <w:r w:rsidR="002C1E2E" w:rsidRPr="002674BD">
        <w:rPr>
          <w:sz w:val="22"/>
          <w:szCs w:val="22"/>
        </w:rPr>
        <w:t xml:space="preserve">in </w:t>
      </w:r>
      <w:r w:rsidR="006B762A" w:rsidRPr="002674BD">
        <w:rPr>
          <w:sz w:val="22"/>
          <w:szCs w:val="22"/>
        </w:rPr>
        <w:t>April 2024</w:t>
      </w:r>
      <w:r w:rsidR="00D36B1E" w:rsidRPr="002674BD">
        <w:rPr>
          <w:sz w:val="22"/>
          <w:szCs w:val="22"/>
        </w:rPr>
        <w:t xml:space="preserve"> and construction has commenced.</w:t>
      </w:r>
    </w:p>
    <w:p w14:paraId="62CA2BF1" w14:textId="77777777" w:rsidR="00B955E2" w:rsidRPr="002674BD" w:rsidRDefault="00B955E2" w:rsidP="007E2D0E">
      <w:pPr>
        <w:pStyle w:val="BoxText"/>
        <w:jc w:val="both"/>
        <w:rPr>
          <w:sz w:val="22"/>
          <w:szCs w:val="22"/>
        </w:rPr>
      </w:pPr>
      <w:r w:rsidRPr="002674BD">
        <w:rPr>
          <w:sz w:val="22"/>
          <w:szCs w:val="22"/>
        </w:rPr>
        <w:t xml:space="preserve">The project is planned to deliver approximately 200 new apartments, including a mix of social housing and affordable rentals through a Build-to-Rent model. </w:t>
      </w:r>
    </w:p>
    <w:p w14:paraId="0104B617" w14:textId="77777777" w:rsidR="00B955E2" w:rsidRPr="002674BD" w:rsidRDefault="00B955E2" w:rsidP="007E2D0E">
      <w:pPr>
        <w:pStyle w:val="BoxText"/>
        <w:jc w:val="both"/>
        <w:rPr>
          <w:rStyle w:val="Hyperlink"/>
          <w:color w:val="auto"/>
          <w:sz w:val="22"/>
          <w:szCs w:val="22"/>
        </w:rPr>
      </w:pPr>
      <w:r w:rsidRPr="002674BD">
        <w:rPr>
          <w:sz w:val="22"/>
          <w:szCs w:val="22"/>
        </w:rPr>
        <w:t xml:space="preserve">Further information on this project is available at, </w:t>
      </w:r>
      <w:hyperlink r:id="rId45" w:history="1">
        <w:r w:rsidRPr="002674BD">
          <w:rPr>
            <w:rStyle w:val="Hyperlink"/>
            <w:sz w:val="22"/>
            <w:szCs w:val="22"/>
          </w:rPr>
          <w:t>Pier St - Overview - DevelopmentWA - Shaping our State's future</w:t>
        </w:r>
      </w:hyperlink>
      <w:r w:rsidRPr="002674BD">
        <w:rPr>
          <w:rStyle w:val="Hyperlink"/>
          <w:color w:val="auto"/>
          <w:sz w:val="22"/>
          <w:szCs w:val="22"/>
        </w:rPr>
        <w:t xml:space="preserve"> and </w:t>
      </w:r>
      <w:hyperlink r:id="rId46" w:history="1">
        <w:r w:rsidRPr="002674BD">
          <w:rPr>
            <w:rStyle w:val="Hyperlink"/>
            <w:sz w:val="22"/>
            <w:szCs w:val="22"/>
          </w:rPr>
          <w:t>https://www.wa.gov.au/government/media-statements/Cook-Labor-Government/Development-application-for-major-build-to-rent-project-in-CBD-20240118</w:t>
        </w:r>
      </w:hyperlink>
    </w:p>
    <w:p w14:paraId="2CCA354C" w14:textId="77777777" w:rsidR="00B955E2" w:rsidRPr="002674BD" w:rsidRDefault="00B955E2" w:rsidP="007E2D0E">
      <w:pPr>
        <w:pStyle w:val="BoxText"/>
        <w:jc w:val="both"/>
        <w:rPr>
          <w:rStyle w:val="Strong"/>
          <w:sz w:val="22"/>
          <w:szCs w:val="22"/>
        </w:rPr>
      </w:pPr>
      <w:r w:rsidRPr="002674BD">
        <w:rPr>
          <w:rStyle w:val="Strong"/>
          <w:sz w:val="22"/>
          <w:szCs w:val="22"/>
        </w:rPr>
        <w:t>Smith Street, Highgate</w:t>
      </w:r>
    </w:p>
    <w:p w14:paraId="646B6D24" w14:textId="13AC0F1F" w:rsidR="00B955E2" w:rsidRPr="002674BD" w:rsidRDefault="00B955E2" w:rsidP="007E2D0E">
      <w:pPr>
        <w:pStyle w:val="BoxText"/>
        <w:jc w:val="both"/>
        <w:rPr>
          <w:sz w:val="22"/>
          <w:szCs w:val="22"/>
        </w:rPr>
      </w:pPr>
      <w:r w:rsidRPr="002674BD">
        <w:rPr>
          <w:sz w:val="22"/>
          <w:szCs w:val="22"/>
        </w:rPr>
        <w:t>Housing redevelopment of former public housing sit</w:t>
      </w:r>
      <w:r w:rsidR="00403FC0" w:rsidRPr="002674BD">
        <w:rPr>
          <w:sz w:val="22"/>
          <w:szCs w:val="22"/>
        </w:rPr>
        <w:t xml:space="preserve">e. </w:t>
      </w:r>
      <w:r w:rsidR="00F11D73" w:rsidRPr="002674BD">
        <w:rPr>
          <w:sz w:val="22"/>
          <w:szCs w:val="22"/>
        </w:rPr>
        <w:t>A c</w:t>
      </w:r>
      <w:r w:rsidR="00403FC0" w:rsidRPr="002674BD">
        <w:rPr>
          <w:sz w:val="22"/>
          <w:szCs w:val="22"/>
        </w:rPr>
        <w:t>ontractor has been awarded</w:t>
      </w:r>
      <w:r w:rsidR="00F11D73" w:rsidRPr="002674BD">
        <w:rPr>
          <w:sz w:val="22"/>
          <w:szCs w:val="22"/>
        </w:rPr>
        <w:t xml:space="preserve"> for</w:t>
      </w:r>
      <w:r w:rsidR="00403FC0" w:rsidRPr="002674BD">
        <w:rPr>
          <w:sz w:val="22"/>
          <w:szCs w:val="22"/>
        </w:rPr>
        <w:t xml:space="preserve"> demolition </w:t>
      </w:r>
      <w:r w:rsidR="00C30EC1" w:rsidRPr="002674BD">
        <w:rPr>
          <w:sz w:val="22"/>
          <w:szCs w:val="22"/>
        </w:rPr>
        <w:t xml:space="preserve">of the existing buildings </w:t>
      </w:r>
      <w:r w:rsidR="00F11D73" w:rsidRPr="002674BD">
        <w:rPr>
          <w:sz w:val="22"/>
          <w:szCs w:val="22"/>
        </w:rPr>
        <w:t xml:space="preserve">and preparation of </w:t>
      </w:r>
      <w:r w:rsidR="00403FC0" w:rsidRPr="002674BD">
        <w:rPr>
          <w:sz w:val="22"/>
          <w:szCs w:val="22"/>
        </w:rPr>
        <w:t>the site for redevelopment.</w:t>
      </w:r>
      <w:r w:rsidR="00F866B1" w:rsidRPr="002674BD">
        <w:rPr>
          <w:sz w:val="22"/>
          <w:szCs w:val="22"/>
        </w:rPr>
        <w:t xml:space="preserve"> </w:t>
      </w:r>
    </w:p>
    <w:p w14:paraId="0846DCD4" w14:textId="435E21B7" w:rsidR="00B955E2" w:rsidRPr="002674BD" w:rsidRDefault="00D73044" w:rsidP="007E2D0E">
      <w:pPr>
        <w:pStyle w:val="BoxText"/>
        <w:jc w:val="both"/>
        <w:rPr>
          <w:sz w:val="22"/>
          <w:szCs w:val="22"/>
        </w:rPr>
      </w:pPr>
      <w:r w:rsidRPr="002674BD">
        <w:rPr>
          <w:sz w:val="22"/>
          <w:szCs w:val="22"/>
        </w:rPr>
        <w:t xml:space="preserve">The </w:t>
      </w:r>
      <w:r w:rsidR="007535DB" w:rsidRPr="002674BD">
        <w:rPr>
          <w:sz w:val="22"/>
          <w:szCs w:val="22"/>
        </w:rPr>
        <w:t xml:space="preserve">Development application </w:t>
      </w:r>
      <w:r w:rsidRPr="002674BD">
        <w:rPr>
          <w:sz w:val="22"/>
          <w:szCs w:val="22"/>
        </w:rPr>
        <w:t>for 109 apartments  across a four-storey development</w:t>
      </w:r>
      <w:r w:rsidR="00247949" w:rsidRPr="002674BD">
        <w:rPr>
          <w:sz w:val="22"/>
          <w:szCs w:val="22"/>
        </w:rPr>
        <w:t xml:space="preserve"> (</w:t>
      </w:r>
      <w:r w:rsidRPr="002674BD">
        <w:rPr>
          <w:sz w:val="22"/>
          <w:szCs w:val="22"/>
        </w:rPr>
        <w:t>mix of one and two-bedroom social, affordable and specialist disability rental units</w:t>
      </w:r>
      <w:r w:rsidR="00247949" w:rsidRPr="002674BD">
        <w:rPr>
          <w:sz w:val="22"/>
          <w:szCs w:val="22"/>
        </w:rPr>
        <w:t>)</w:t>
      </w:r>
      <w:r w:rsidRPr="002674BD">
        <w:rPr>
          <w:sz w:val="22"/>
          <w:szCs w:val="22"/>
        </w:rPr>
        <w:t xml:space="preserve"> was approved in November 2024.</w:t>
      </w:r>
    </w:p>
    <w:p w14:paraId="21926B9D" w14:textId="77777777" w:rsidR="00B955E2" w:rsidRPr="002674BD" w:rsidRDefault="00B955E2" w:rsidP="007E2D0E">
      <w:pPr>
        <w:pStyle w:val="BoxText"/>
        <w:jc w:val="both"/>
        <w:rPr>
          <w:sz w:val="22"/>
          <w:szCs w:val="22"/>
        </w:rPr>
      </w:pPr>
      <w:r w:rsidRPr="002674BD">
        <w:rPr>
          <w:sz w:val="22"/>
          <w:szCs w:val="22"/>
        </w:rPr>
        <w:t xml:space="preserve">Further information on this project is available at, </w:t>
      </w:r>
      <w:hyperlink r:id="rId47" w:history="1">
        <w:r w:rsidRPr="002674BD">
          <w:rPr>
            <w:rStyle w:val="Hyperlink"/>
            <w:sz w:val="22"/>
            <w:szCs w:val="22"/>
          </w:rPr>
          <w:t>Smith Street Build-to-Rent Project (www.wa.gov.au)</w:t>
        </w:r>
      </w:hyperlink>
    </w:p>
    <w:p w14:paraId="28174521" w14:textId="77777777" w:rsidR="00487F17" w:rsidRPr="002674BD" w:rsidRDefault="00487F17" w:rsidP="007E2D0E">
      <w:pPr>
        <w:pStyle w:val="BoxText"/>
        <w:jc w:val="both"/>
        <w:rPr>
          <w:rStyle w:val="Strong"/>
          <w:sz w:val="22"/>
          <w:szCs w:val="22"/>
        </w:rPr>
      </w:pPr>
    </w:p>
    <w:p w14:paraId="7DC48ACE" w14:textId="77777777" w:rsidR="00487F17" w:rsidRPr="002674BD" w:rsidRDefault="00487F17" w:rsidP="007E2D0E">
      <w:pPr>
        <w:pStyle w:val="BoxText"/>
        <w:jc w:val="both"/>
        <w:rPr>
          <w:rStyle w:val="Strong"/>
          <w:sz w:val="22"/>
          <w:szCs w:val="22"/>
        </w:rPr>
      </w:pPr>
    </w:p>
    <w:p w14:paraId="09371B2A" w14:textId="783754FE" w:rsidR="00B955E2" w:rsidRPr="002674BD" w:rsidRDefault="00B955E2" w:rsidP="007E2D0E">
      <w:pPr>
        <w:pStyle w:val="BoxText"/>
        <w:jc w:val="both"/>
        <w:rPr>
          <w:rStyle w:val="Strong"/>
          <w:sz w:val="22"/>
          <w:szCs w:val="22"/>
        </w:rPr>
      </w:pPr>
      <w:r w:rsidRPr="002674BD">
        <w:rPr>
          <w:rStyle w:val="Strong"/>
          <w:sz w:val="22"/>
          <w:szCs w:val="22"/>
        </w:rPr>
        <w:lastRenderedPageBreak/>
        <w:t>Court Place, Subiaco</w:t>
      </w:r>
    </w:p>
    <w:p w14:paraId="2219C56B" w14:textId="77777777" w:rsidR="00B955E2" w:rsidRPr="002674BD" w:rsidRDefault="00B955E2" w:rsidP="007E2D0E">
      <w:pPr>
        <w:pStyle w:val="BoxText"/>
        <w:jc w:val="both"/>
        <w:rPr>
          <w:sz w:val="22"/>
          <w:szCs w:val="22"/>
        </w:rPr>
      </w:pPr>
      <w:r w:rsidRPr="002674BD">
        <w:rPr>
          <w:sz w:val="22"/>
          <w:szCs w:val="22"/>
        </w:rPr>
        <w:t>Expressions of interest sought to deliver new integrated residential project as part of the broader Subiaco East redevelopment.</w:t>
      </w:r>
    </w:p>
    <w:p w14:paraId="51B76553" w14:textId="309013C6" w:rsidR="00B955E2" w:rsidRPr="002674BD" w:rsidRDefault="00B955E2" w:rsidP="007E2D0E">
      <w:pPr>
        <w:pStyle w:val="BoxText"/>
        <w:jc w:val="both"/>
        <w:rPr>
          <w:sz w:val="22"/>
          <w:szCs w:val="22"/>
        </w:rPr>
      </w:pPr>
      <w:r w:rsidRPr="002674BD">
        <w:rPr>
          <w:sz w:val="22"/>
          <w:szCs w:val="22"/>
        </w:rPr>
        <w:t>Expected to deliver up to 350 dwellings (with approximately 42 per cent of this to be social housing)</w:t>
      </w:r>
      <w:r w:rsidR="00D73044" w:rsidRPr="002674BD">
        <w:rPr>
          <w:sz w:val="22"/>
          <w:szCs w:val="22"/>
        </w:rPr>
        <w:t>. Demolition works to remove 58 vacant and no longer fit for purpose public housing dwellings has been completed. Currently the timeline for development will be established once a successful developer is announced in 2025.</w:t>
      </w:r>
    </w:p>
    <w:p w14:paraId="03B6F7A0" w14:textId="77777777" w:rsidR="00B955E2" w:rsidRPr="002674BD" w:rsidRDefault="00B955E2" w:rsidP="007E2D0E">
      <w:pPr>
        <w:pStyle w:val="BoxText"/>
        <w:jc w:val="both"/>
        <w:rPr>
          <w:sz w:val="22"/>
          <w:szCs w:val="22"/>
        </w:rPr>
      </w:pPr>
      <w:r w:rsidRPr="002674BD">
        <w:rPr>
          <w:sz w:val="22"/>
          <w:szCs w:val="22"/>
        </w:rPr>
        <w:t xml:space="preserve">Further information on this project is available at, </w:t>
      </w:r>
      <w:hyperlink r:id="rId48" w:history="1">
        <w:r w:rsidRPr="002674BD">
          <w:rPr>
            <w:rStyle w:val="Hyperlink"/>
            <w:sz w:val="22"/>
            <w:szCs w:val="22"/>
          </w:rPr>
          <w:t>Expressions of Interest launched for new Subi East housing project | Western Australian Government (www.wa.gov.au).</w:t>
        </w:r>
      </w:hyperlink>
      <w:r w:rsidRPr="002674BD">
        <w:rPr>
          <w:sz w:val="22"/>
          <w:szCs w:val="22"/>
        </w:rPr>
        <w:t xml:space="preserve"> </w:t>
      </w:r>
    </w:p>
    <w:p w14:paraId="7FEC9B6D" w14:textId="77777777" w:rsidR="009E5489" w:rsidRPr="002674BD" w:rsidRDefault="009E5489" w:rsidP="007E2D0E">
      <w:pPr>
        <w:spacing w:after="0"/>
        <w:jc w:val="both"/>
        <w:rPr>
          <w:szCs w:val="22"/>
        </w:rPr>
      </w:pPr>
      <w:r w:rsidRPr="002674BD">
        <w:rPr>
          <w:szCs w:val="22"/>
        </w:rPr>
        <w:t>See also:</w:t>
      </w:r>
    </w:p>
    <w:p w14:paraId="3313A70D" w14:textId="77777777" w:rsidR="009E5489" w:rsidRPr="002674BD" w:rsidRDefault="009E5489" w:rsidP="009A56C4">
      <w:pPr>
        <w:spacing w:before="0"/>
        <w:ind w:left="720"/>
        <w:rPr>
          <w:rStyle w:val="Hyperlink"/>
          <w:rFonts w:eastAsiaTheme="minorHAnsi"/>
          <w:szCs w:val="22"/>
        </w:rPr>
      </w:pPr>
      <w:hyperlink r:id="rId49" w:history="1">
        <w:r w:rsidRPr="002674BD">
          <w:rPr>
            <w:rStyle w:val="Hyperlink"/>
            <w:rFonts w:eastAsiaTheme="minorHAnsi"/>
            <w:szCs w:val="22"/>
          </w:rPr>
          <w:t xml:space="preserve">Housing Diversity </w:t>
        </w:r>
        <w:r w:rsidRPr="002674BD">
          <w:rPr>
            <w:rStyle w:val="Hyperlink"/>
            <w:szCs w:val="22"/>
          </w:rPr>
          <w:t>Pipeline</w:t>
        </w:r>
        <w:r w:rsidRPr="002674BD">
          <w:rPr>
            <w:rStyle w:val="Hyperlink"/>
            <w:rFonts w:eastAsiaTheme="minorHAnsi"/>
            <w:szCs w:val="22"/>
          </w:rPr>
          <w:t xml:space="preserve"> (www.wa.gov.au)</w:t>
        </w:r>
      </w:hyperlink>
      <w:r w:rsidRPr="002674BD">
        <w:rPr>
          <w:rStyle w:val="Hyperlink"/>
          <w:rFonts w:eastAsiaTheme="minorHAnsi"/>
          <w:szCs w:val="22"/>
        </w:rPr>
        <w:br/>
      </w:r>
      <w:hyperlink r:id="rId50" w:history="1">
        <w:r w:rsidRPr="002674BD">
          <w:rPr>
            <w:rStyle w:val="Hyperlink"/>
            <w:rFonts w:eastAsiaTheme="minorHAnsi"/>
            <w:szCs w:val="22"/>
          </w:rPr>
          <w:t>Housing Diversity Pipeline to boost social housing and support jobs - DevelopmentWA - Shaping our State's future</w:t>
        </w:r>
      </w:hyperlink>
      <w:r w:rsidRPr="002674BD">
        <w:rPr>
          <w:rStyle w:val="Hyperlink"/>
          <w:rFonts w:eastAsiaTheme="minorHAnsi"/>
          <w:szCs w:val="22"/>
        </w:rPr>
        <w:br/>
      </w:r>
      <w:hyperlink r:id="rId51" w:history="1">
        <w:r w:rsidRPr="002674BD">
          <w:rPr>
            <w:rStyle w:val="Hyperlink"/>
            <w:rFonts w:eastAsiaTheme="minorHAnsi"/>
            <w:szCs w:val="22"/>
          </w:rPr>
          <w:t>Land released to build housing diversity | PS News</w:t>
        </w:r>
      </w:hyperlink>
    </w:p>
    <w:p w14:paraId="13FC5A58" w14:textId="77777777" w:rsidR="009E5489" w:rsidRPr="002674BD" w:rsidRDefault="009E5489" w:rsidP="008534EE">
      <w:pPr>
        <w:pStyle w:val="Heading4"/>
        <w:spacing w:after="0"/>
        <w:jc w:val="both"/>
      </w:pPr>
      <w:r w:rsidRPr="002674BD">
        <w:t>Infrastructure Development Fund (2023)</w:t>
      </w:r>
    </w:p>
    <w:p w14:paraId="2FB165B1" w14:textId="4B3A4C7E" w:rsidR="008534EE" w:rsidRPr="002674BD" w:rsidRDefault="008534EE" w:rsidP="008534EE">
      <w:pPr>
        <w:spacing w:before="0"/>
        <w:jc w:val="both"/>
        <w:rPr>
          <w:i/>
          <w:iCs/>
          <w:color w:val="0070C0"/>
        </w:rPr>
      </w:pPr>
      <w:r w:rsidRPr="002674BD">
        <w:rPr>
          <w:i/>
          <w:iCs/>
          <w:color w:val="0070C0"/>
        </w:rPr>
        <w:t>Update</w:t>
      </w:r>
    </w:p>
    <w:p w14:paraId="3CF1E256" w14:textId="01EAD4CF" w:rsidR="009E5489" w:rsidRPr="002674BD" w:rsidRDefault="009E5489" w:rsidP="007E2D0E">
      <w:pPr>
        <w:jc w:val="both"/>
      </w:pPr>
      <w:r w:rsidRPr="002674BD">
        <w:t xml:space="preserve">The WA Government established the Infrastructure Development Fund, allocating $80 million equally between metropolitan and regional projects, with applications open for 18 months, until 6 September 2024, unless the funding is fully allocated earlier. The Infrastructure Development Fund includes three funding programs: </w:t>
      </w:r>
    </w:p>
    <w:p w14:paraId="2684C181" w14:textId="77777777" w:rsidR="009E5489" w:rsidRPr="002674BD" w:rsidRDefault="009E5489" w:rsidP="007E2D0E">
      <w:pPr>
        <w:spacing w:before="0" w:after="0"/>
        <w:jc w:val="both"/>
      </w:pPr>
      <w:r w:rsidRPr="002674BD">
        <w:t>•</w:t>
      </w:r>
      <w:r w:rsidRPr="002674BD">
        <w:tab/>
        <w:t>targeted Apartment Rebate;</w:t>
      </w:r>
    </w:p>
    <w:p w14:paraId="4E00378C" w14:textId="77777777" w:rsidR="009E5489" w:rsidRPr="002674BD" w:rsidRDefault="009E5489" w:rsidP="007E2D0E">
      <w:pPr>
        <w:spacing w:before="0" w:after="0"/>
        <w:jc w:val="both"/>
      </w:pPr>
      <w:r w:rsidRPr="002674BD">
        <w:t>•</w:t>
      </w:r>
      <w:r w:rsidRPr="002674BD">
        <w:tab/>
        <w:t>unlocking Infill Precincts; and</w:t>
      </w:r>
    </w:p>
    <w:p w14:paraId="795FCCD9" w14:textId="77777777" w:rsidR="009E5489" w:rsidRPr="002674BD" w:rsidRDefault="009E5489" w:rsidP="007E2D0E">
      <w:pPr>
        <w:spacing w:before="0" w:after="0"/>
        <w:jc w:val="both"/>
      </w:pPr>
      <w:r w:rsidRPr="002674BD">
        <w:t>•</w:t>
      </w:r>
      <w:r w:rsidRPr="002674BD">
        <w:tab/>
        <w:t>unlocking Regional Worker Accommodation opportunities.</w:t>
      </w:r>
    </w:p>
    <w:p w14:paraId="6B429C9C" w14:textId="64BF0E34" w:rsidR="009E5489" w:rsidRPr="002674BD" w:rsidRDefault="009E5489" w:rsidP="007E2D0E">
      <w:pPr>
        <w:jc w:val="both"/>
      </w:pPr>
      <w:r w:rsidRPr="002674BD">
        <w:t>The first two funding programs support Metropolitan Central Urban Infill Projects, and METRONET station precincts. Funding through these programs is contingent on development receiving funding to commence construction within two years of approval and be completed within four years.</w:t>
      </w:r>
      <w:r w:rsidR="00C13724" w:rsidRPr="002674BD">
        <w:t xml:space="preserve"> The third funding stream aims to address infrastructure constraints in the water, wastewater and electricity network at a precinct or strategic site scale impacting the delivery of accommodation for key workers and community housing in regional areas.</w:t>
      </w:r>
      <w:r w:rsidR="0017069E" w:rsidRPr="002674BD">
        <w:t xml:space="preserve"> Applications for the third stream closed on 6 September 2024. </w:t>
      </w:r>
    </w:p>
    <w:p w14:paraId="6F0DD308" w14:textId="2ACC2F4B" w:rsidR="000D7C3B" w:rsidRPr="002674BD" w:rsidRDefault="00C1398A" w:rsidP="000D7C3B">
      <w:pPr>
        <w:jc w:val="both"/>
      </w:pPr>
      <w:r w:rsidRPr="002674BD">
        <w:t xml:space="preserve">As </w:t>
      </w:r>
      <w:r w:rsidR="00247949" w:rsidRPr="002674BD">
        <w:t>of</w:t>
      </w:r>
      <w:r w:rsidRPr="002674BD">
        <w:t xml:space="preserve"> 28 February 2025, the State Government has committed a total of $49.19 million to 96 apartment development projects approved under Stream 1: Targeted Apartment Rebate. </w:t>
      </w:r>
      <w:r w:rsidR="000D7C3B" w:rsidRPr="002674BD">
        <w:t>Together, the 96 approved projects are anticipated to deliver over 6,780 multiple dwellings across the Perth metropolitan region. Of the 96 approved projects, construction has been completed on one project, delivering 93 multiple dwellings in Mount Pleasant. A further 38 approved projects have commenced works on site or commenced construction. Together, they will deliver over 2,490 multiple dwellings.</w:t>
      </w:r>
    </w:p>
    <w:p w14:paraId="487030F8" w14:textId="32545BA1" w:rsidR="00487F17" w:rsidRPr="002674BD" w:rsidRDefault="000D7C3B" w:rsidP="007E2D0E">
      <w:pPr>
        <w:jc w:val="both"/>
      </w:pPr>
      <w:r w:rsidRPr="002674BD">
        <w:t xml:space="preserve">As </w:t>
      </w:r>
      <w:r w:rsidR="00247949" w:rsidRPr="002674BD">
        <w:t>of</w:t>
      </w:r>
      <w:r w:rsidRPr="002674BD">
        <w:t xml:space="preserve"> 28 February 2025, the State Government has committed a total of $2.37 million to four proposals approved under Stream 2: Unlocking Infill Precincts (Stream 2). The funds committed will deliver water, wastewater and electricity infrastructure upgrades to three medium to high density infill precincts in Nedlands, High Wycombe, Midland and Fremantle.</w:t>
      </w:r>
      <w:r w:rsidR="00487F17" w:rsidRPr="002674BD">
        <w:t xml:space="preserve"> </w:t>
      </w:r>
    </w:p>
    <w:p w14:paraId="072D1023" w14:textId="77777777" w:rsidR="00487F17" w:rsidRPr="002674BD" w:rsidRDefault="00487F17" w:rsidP="007E2D0E">
      <w:pPr>
        <w:jc w:val="both"/>
      </w:pPr>
    </w:p>
    <w:p w14:paraId="6020CCC2" w14:textId="633F1C49" w:rsidR="009E5489" w:rsidRPr="002674BD" w:rsidRDefault="009E5489" w:rsidP="007E2D0E">
      <w:pPr>
        <w:jc w:val="both"/>
      </w:pPr>
      <w:r w:rsidRPr="002674BD">
        <w:lastRenderedPageBreak/>
        <w:t>See for more detail:</w:t>
      </w:r>
    </w:p>
    <w:p w14:paraId="655C0D09" w14:textId="77777777" w:rsidR="009E5489" w:rsidRPr="002674BD" w:rsidRDefault="009E5489" w:rsidP="007E2D0E">
      <w:pPr>
        <w:jc w:val="both"/>
      </w:pPr>
      <w:hyperlink r:id="rId52" w:history="1">
        <w:r w:rsidRPr="002674BD">
          <w:rPr>
            <w:rStyle w:val="Hyperlink"/>
          </w:rPr>
          <w:t>https://www.wa.gov.au/government/media-statements/McGowan-Labor-Government/%2480-million-headworks-fund-to-boost-infill-and-regional-housing-20230222</w:t>
        </w:r>
      </w:hyperlink>
    </w:p>
    <w:p w14:paraId="176CF4F4" w14:textId="77777777" w:rsidR="009E5489" w:rsidRPr="002674BD" w:rsidRDefault="009E5489" w:rsidP="007E2D0E">
      <w:pPr>
        <w:jc w:val="both"/>
      </w:pPr>
      <w:hyperlink r:id="rId53" w:history="1">
        <w:r w:rsidRPr="002674BD">
          <w:rPr>
            <w:rStyle w:val="Hyperlink"/>
          </w:rPr>
          <w:t>https://www.wa.gov.au/organisation/department-of-planning-lands-and-heritage/infrastructure-development-fund</w:t>
        </w:r>
      </w:hyperlink>
    </w:p>
    <w:p w14:paraId="49FDF095" w14:textId="77777777" w:rsidR="009E5489" w:rsidRPr="002674BD" w:rsidRDefault="009E5489" w:rsidP="007E2D0E">
      <w:pPr>
        <w:spacing w:after="0"/>
        <w:jc w:val="both"/>
        <w:rPr>
          <w:rFonts w:ascii="Calibri Light" w:hAnsi="Calibri Light" w:cs="Arial"/>
          <w:b/>
          <w:kern w:val="32"/>
          <w:sz w:val="28"/>
          <w:szCs w:val="26"/>
        </w:rPr>
      </w:pPr>
      <w:r w:rsidRPr="002674BD">
        <w:rPr>
          <w:rFonts w:ascii="Calibri Light" w:hAnsi="Calibri Light" w:cs="Arial"/>
          <w:b/>
          <w:kern w:val="32"/>
          <w:sz w:val="28"/>
          <w:szCs w:val="26"/>
        </w:rPr>
        <w:t>Review of Environmental Legislation and Processes</w:t>
      </w:r>
    </w:p>
    <w:p w14:paraId="2E0369F5" w14:textId="17AFD530" w:rsidR="009E5489" w:rsidRPr="002674BD" w:rsidRDefault="0017069E" w:rsidP="007E2D0E">
      <w:pPr>
        <w:spacing w:before="0"/>
        <w:jc w:val="both"/>
        <w:rPr>
          <w:i/>
          <w:iCs/>
        </w:rPr>
      </w:pPr>
      <w:r w:rsidRPr="002674BD">
        <w:rPr>
          <w:i/>
          <w:iCs/>
          <w:color w:val="0070C0"/>
        </w:rPr>
        <w:t xml:space="preserve">Update </w:t>
      </w:r>
      <w:r w:rsidRPr="002674BD">
        <w:rPr>
          <w:i/>
          <w:iCs/>
        </w:rPr>
        <w:t>Enacted 24 October 2024</w:t>
      </w:r>
    </w:p>
    <w:p w14:paraId="5404B013" w14:textId="77777777" w:rsidR="009E5489" w:rsidRPr="002674BD" w:rsidRDefault="009E5489" w:rsidP="007E2D0E">
      <w:pPr>
        <w:spacing w:before="0"/>
        <w:jc w:val="both"/>
        <w:rPr>
          <w:rStyle w:val="Hyperlink"/>
          <w:color w:val="auto"/>
        </w:rPr>
      </w:pPr>
      <w:r w:rsidRPr="002674BD">
        <w:rPr>
          <w:rStyle w:val="Hyperlink"/>
          <w:color w:val="auto"/>
        </w:rPr>
        <w:t>In December 2023, the Western Australian Government announced a comprehensive review of environmental legislation and processes, with a commitment to creating certainty for projects aimed at job creation while maintaining environmental protection. An investment of $18 million has been allocated to streamline processes, while ensuring strong environmental protection.</w:t>
      </w:r>
      <w:r w:rsidRPr="002674BD">
        <w:rPr>
          <w:rStyle w:val="FootnoteReference"/>
          <w:color w:val="auto"/>
          <w:sz w:val="22"/>
          <w:szCs w:val="22"/>
          <w:vertAlign w:val="superscript"/>
        </w:rPr>
        <w:t xml:space="preserve"> </w:t>
      </w:r>
      <w:r w:rsidRPr="002674BD">
        <w:rPr>
          <w:rStyle w:val="FootnoteReference"/>
          <w:color w:val="auto"/>
          <w:sz w:val="22"/>
          <w:szCs w:val="22"/>
          <w:vertAlign w:val="superscript"/>
        </w:rPr>
        <w:footnoteReference w:id="4"/>
      </w:r>
      <w:r w:rsidRPr="002674BD">
        <w:rPr>
          <w:rStyle w:val="Hyperlink"/>
          <w:color w:val="auto"/>
        </w:rPr>
        <w:t xml:space="preserve"> </w:t>
      </w:r>
    </w:p>
    <w:p w14:paraId="52E39B19" w14:textId="48324DC6" w:rsidR="009E5489" w:rsidRPr="002674BD" w:rsidRDefault="00883C38" w:rsidP="007E2D0E">
      <w:pPr>
        <w:spacing w:before="0"/>
        <w:jc w:val="both"/>
        <w:rPr>
          <w:rStyle w:val="Hyperlink"/>
          <w:color w:val="auto"/>
        </w:rPr>
      </w:pPr>
      <w:r w:rsidRPr="002674BD">
        <w:rPr>
          <w:rStyle w:val="Hyperlink"/>
          <w:color w:val="auto"/>
        </w:rPr>
        <w:t xml:space="preserve">The </w:t>
      </w:r>
      <w:r w:rsidRPr="002674BD">
        <w:rPr>
          <w:rFonts w:hint="cs"/>
          <w:i/>
          <w:iCs/>
          <w:color w:val="auto"/>
        </w:rPr>
        <w:t>Environmental Protection Act Amendment Bill 2024</w:t>
      </w:r>
      <w:r w:rsidRPr="002674BD">
        <w:rPr>
          <w:rFonts w:hint="cs"/>
          <w:color w:val="auto"/>
        </w:rPr>
        <w:t> </w:t>
      </w:r>
      <w:r w:rsidRPr="002674BD">
        <w:rPr>
          <w:color w:val="auto"/>
        </w:rPr>
        <w:t xml:space="preserve"> was enacted o</w:t>
      </w:r>
      <w:r w:rsidRPr="002674BD">
        <w:rPr>
          <w:rStyle w:val="Hyperlink"/>
          <w:color w:val="auto"/>
        </w:rPr>
        <w:t xml:space="preserve">n 24 October 2024 and </w:t>
      </w:r>
      <w:r w:rsidRPr="002674BD">
        <w:rPr>
          <w:color w:val="auto"/>
        </w:rPr>
        <w:t>aims to</w:t>
      </w:r>
      <w:r w:rsidRPr="002674BD">
        <w:rPr>
          <w:rFonts w:hint="cs"/>
          <w:color w:val="auto"/>
        </w:rPr>
        <w:t xml:space="preserve"> speed up approvals while retaining strong environmental protections</w:t>
      </w:r>
      <w:r w:rsidRPr="002674BD">
        <w:rPr>
          <w:color w:val="auto"/>
        </w:rPr>
        <w:t xml:space="preserve">, while also introducing </w:t>
      </w:r>
      <w:r w:rsidRPr="002674BD">
        <w:rPr>
          <w:rFonts w:hint="cs"/>
          <w:color w:val="auto"/>
        </w:rPr>
        <w:t>parallel approvals and Statement of Expectation for the Environmental Protection Author</w:t>
      </w:r>
      <w:r w:rsidRPr="002674BD">
        <w:rPr>
          <w:color w:val="auto"/>
        </w:rPr>
        <w:t xml:space="preserve">ity. </w:t>
      </w:r>
      <w:r w:rsidR="009E5489" w:rsidRPr="002674BD">
        <w:rPr>
          <w:rStyle w:val="Hyperlink"/>
          <w:color w:val="auto"/>
        </w:rPr>
        <w:t>Furthermore, the establishment of a new Coordinator General role aims to expedite priority assessments across Government. This initiative represents a proactive approach to balancing economic development with environmental sustainability in Western Australia.</w:t>
      </w:r>
    </w:p>
    <w:p w14:paraId="7F877D5A" w14:textId="4C37B16C" w:rsidR="00C73BF7" w:rsidRPr="002674BD" w:rsidRDefault="00C73BF7" w:rsidP="007E2D0E">
      <w:pPr>
        <w:spacing w:before="0"/>
        <w:jc w:val="both"/>
        <w:rPr>
          <w:rStyle w:val="Hyperlink"/>
          <w:color w:val="auto"/>
        </w:rPr>
      </w:pPr>
      <w:r w:rsidRPr="002674BD">
        <w:rPr>
          <w:rStyle w:val="Hyperlink"/>
          <w:color w:val="auto"/>
        </w:rPr>
        <w:t xml:space="preserve">Furthermore, as part of </w:t>
      </w:r>
      <w:r w:rsidRPr="002674BD">
        <w:rPr>
          <w:rStyle w:val="Hyperlink"/>
          <w:i/>
          <w:iCs/>
          <w:color w:val="auto"/>
        </w:rPr>
        <w:t>Environmental Protection Amendment Regulations 2024</w:t>
      </w:r>
      <w:r w:rsidRPr="002674BD">
        <w:rPr>
          <w:rStyle w:val="Hyperlink"/>
          <w:color w:val="auto"/>
        </w:rPr>
        <w:t xml:space="preserve"> enacted on 24 January </w:t>
      </w:r>
      <w:r w:rsidR="00934E36" w:rsidRPr="002674BD">
        <w:rPr>
          <w:rStyle w:val="Hyperlink"/>
          <w:color w:val="auto"/>
        </w:rPr>
        <w:t>2024, schemes</w:t>
      </w:r>
      <w:r w:rsidRPr="002674BD">
        <w:rPr>
          <w:rStyle w:val="Hyperlink"/>
          <w:color w:val="auto"/>
        </w:rPr>
        <w:t xml:space="preserve"> that do not impact the environment will no longer need to be referred to the E</w:t>
      </w:r>
      <w:r w:rsidR="00934E36" w:rsidRPr="002674BD">
        <w:rPr>
          <w:rStyle w:val="Hyperlink"/>
          <w:color w:val="auto"/>
        </w:rPr>
        <w:t>nvironmental Protection Authority</w:t>
      </w:r>
      <w:r w:rsidRPr="002674BD">
        <w:rPr>
          <w:rStyle w:val="FootnoteReference"/>
          <w:color w:val="auto"/>
        </w:rPr>
        <w:footnoteReference w:id="5"/>
      </w:r>
      <w:r w:rsidRPr="002674BD">
        <w:rPr>
          <w:rStyle w:val="Hyperlink"/>
          <w:color w:val="auto"/>
        </w:rPr>
        <w:t>.</w:t>
      </w:r>
    </w:p>
    <w:p w14:paraId="1E3F37AA" w14:textId="77777777" w:rsidR="00896926" w:rsidRPr="002674BD" w:rsidRDefault="00896926" w:rsidP="00896926">
      <w:pPr>
        <w:spacing w:after="0"/>
        <w:jc w:val="both"/>
        <w:rPr>
          <w:rFonts w:ascii="Calibri Light" w:hAnsi="Calibri Light" w:cs="Arial"/>
          <w:b/>
          <w:kern w:val="32"/>
          <w:sz w:val="28"/>
          <w:szCs w:val="26"/>
        </w:rPr>
      </w:pPr>
      <w:bookmarkStart w:id="49" w:name="_Toc191366152"/>
      <w:r w:rsidRPr="002674BD">
        <w:rPr>
          <w:rFonts w:ascii="Calibri Light" w:hAnsi="Calibri Light" w:cs="Arial"/>
          <w:b/>
          <w:kern w:val="32"/>
          <w:sz w:val="28"/>
          <w:szCs w:val="26"/>
        </w:rPr>
        <w:t>C</w:t>
      </w:r>
      <w:r w:rsidRPr="002674BD">
        <w:rPr>
          <w:rFonts w:ascii="Calibri Light" w:hAnsi="Calibri Light" w:cs="Arial" w:hint="cs"/>
          <w:b/>
          <w:kern w:val="32"/>
          <w:sz w:val="28"/>
          <w:szCs w:val="26"/>
        </w:rPr>
        <w:t>ommunity-led pilot program</w:t>
      </w:r>
      <w:r w:rsidRPr="002674BD">
        <w:rPr>
          <w:rFonts w:ascii="Calibri Light" w:hAnsi="Calibri Light" w:cs="Arial"/>
          <w:b/>
          <w:kern w:val="32"/>
          <w:sz w:val="28"/>
          <w:szCs w:val="26"/>
        </w:rPr>
        <w:t xml:space="preserve"> to support regional social and public housing</w:t>
      </w:r>
    </w:p>
    <w:p w14:paraId="576B5123" w14:textId="77777777" w:rsidR="00247949" w:rsidRPr="002674BD" w:rsidRDefault="00896926" w:rsidP="00896926">
      <w:pPr>
        <w:jc w:val="both"/>
      </w:pPr>
      <w:r w:rsidRPr="002674BD">
        <w:t xml:space="preserve">A Pilot program to deliver supported accommodation to tackle homelessness in Albany. The Albany In-Reach Supported Accommodation Service will use former holiday homes to provide five units of accommodation for vulnerable individuals, couples and families experiencing, or at risk of experiencing, homelessness in the Great Southern. </w:t>
      </w:r>
    </w:p>
    <w:p w14:paraId="7A47303F" w14:textId="3628D475" w:rsidR="00896926" w:rsidRPr="002674BD" w:rsidRDefault="00896926" w:rsidP="00896926">
      <w:pPr>
        <w:jc w:val="both"/>
      </w:pPr>
      <w:r w:rsidRPr="002674BD">
        <w:t>Further programs have seen:</w:t>
      </w:r>
    </w:p>
    <w:p w14:paraId="1812E9A2" w14:textId="77777777" w:rsidR="00896926" w:rsidRPr="002674BD" w:rsidRDefault="00896926" w:rsidP="00896926">
      <w:pPr>
        <w:pStyle w:val="Bullet"/>
      </w:pPr>
      <w:r w:rsidRPr="002674BD">
        <w:t xml:space="preserve">Completion of eight new social housing homes in the Great Southern. The new two-bedroom modular homes were built to silver Liveable Homes standard by Murray River North and Modularis in their Perth yards and transported to Katanning. </w:t>
      </w:r>
    </w:p>
    <w:p w14:paraId="2899B25C" w14:textId="77777777" w:rsidR="00896926" w:rsidRPr="002674BD" w:rsidRDefault="00896926" w:rsidP="00896926">
      <w:pPr>
        <w:pStyle w:val="Bullet"/>
      </w:pPr>
      <w:r w:rsidRPr="002674BD">
        <w:t>Four new modular tiny homes have been built in Northam for social housing. Prefabrication is undertaken over approximately 12 weeks and the design and construction method means faster construction time, less time on site, waste reduction, design adaptability and a small on-site building footprint that allows for more extensive landscaping.</w:t>
      </w:r>
    </w:p>
    <w:p w14:paraId="779BBCA9" w14:textId="244C7550" w:rsidR="00031062" w:rsidRPr="002674BD" w:rsidRDefault="00793BD9" w:rsidP="007E2D0E">
      <w:pPr>
        <w:pStyle w:val="Heading2"/>
        <w:spacing w:before="240" w:after="0" w:line="340" w:lineRule="exact"/>
        <w:jc w:val="both"/>
      </w:pPr>
      <w:r w:rsidRPr="002674BD">
        <w:lastRenderedPageBreak/>
        <w:t>Reforms to non-planning barriers preventing a diversity of housing</w:t>
      </w:r>
      <w:bookmarkEnd w:id="45"/>
      <w:bookmarkEnd w:id="46"/>
      <w:bookmarkEnd w:id="47"/>
      <w:bookmarkEnd w:id="49"/>
    </w:p>
    <w:p w14:paraId="1126D33D" w14:textId="171077F0" w:rsidR="00E70B5D" w:rsidRPr="002674BD" w:rsidRDefault="00E70B5D" w:rsidP="007E2D0E">
      <w:pPr>
        <w:spacing w:after="0"/>
        <w:jc w:val="both"/>
        <w:rPr>
          <w:rFonts w:ascii="Calibri Light" w:hAnsi="Calibri Light" w:cs="Arial"/>
          <w:b/>
          <w:kern w:val="32"/>
          <w:sz w:val="28"/>
          <w:szCs w:val="26"/>
        </w:rPr>
      </w:pPr>
      <w:r w:rsidRPr="002674BD">
        <w:rPr>
          <w:rFonts w:ascii="Calibri Light" w:hAnsi="Calibri Light" w:cs="Arial"/>
          <w:b/>
          <w:kern w:val="32"/>
          <w:sz w:val="28"/>
          <w:szCs w:val="26"/>
        </w:rPr>
        <w:t xml:space="preserve">Housing Industry Forecasting Group </w:t>
      </w:r>
    </w:p>
    <w:p w14:paraId="198280F6" w14:textId="5DDABFBE" w:rsidR="00E70B5D" w:rsidRPr="002674BD" w:rsidRDefault="00256E1E" w:rsidP="007E2D0E">
      <w:pPr>
        <w:spacing w:before="0"/>
        <w:jc w:val="both"/>
        <w:rPr>
          <w:i/>
          <w:iCs/>
        </w:rPr>
      </w:pPr>
      <w:r w:rsidRPr="002674BD">
        <w:rPr>
          <w:i/>
          <w:iCs/>
        </w:rPr>
        <w:t xml:space="preserve">April 2024 </w:t>
      </w:r>
    </w:p>
    <w:p w14:paraId="3E9A20E1" w14:textId="030E68CD" w:rsidR="00E70B5D" w:rsidRPr="002674BD" w:rsidRDefault="00E70B5D" w:rsidP="007E2D0E">
      <w:pPr>
        <w:jc w:val="both"/>
      </w:pPr>
      <w:r w:rsidRPr="002674BD">
        <w:t xml:space="preserve">The Housing Industry Forecasting Group is a joint industry and government body that provides independent commentary on the housing sector in Western Australia. The most recent report from the Housing Industry Forecasting Group was prepared in </w:t>
      </w:r>
      <w:r w:rsidR="00F87CD4" w:rsidRPr="002674BD">
        <w:t>April 2024</w:t>
      </w:r>
      <w:r w:rsidRPr="002674BD">
        <w:t>. The report provides data to support forecasting for dwelling commencements. The report considers a variety of construction trends, the state of the WA economy, interest rates, household spending, key risks (labour/ materials), demand for dwellings, land supply, rental market, and State and Commonwealth Grants (i.e. First Homer Owner Grant and Homebuilder Grant).</w:t>
      </w:r>
    </w:p>
    <w:p w14:paraId="39EC2477" w14:textId="39F5C6B3" w:rsidR="00E70B5D" w:rsidRPr="002674BD" w:rsidRDefault="00E70B5D" w:rsidP="007E2D0E">
      <w:pPr>
        <w:jc w:val="both"/>
        <w:rPr>
          <w:spacing w:val="-2"/>
        </w:rPr>
      </w:pPr>
      <w:r w:rsidRPr="002674BD">
        <w:rPr>
          <w:spacing w:val="-2"/>
        </w:rPr>
        <w:t xml:space="preserve">At the </w:t>
      </w:r>
      <w:r w:rsidR="00F87CD4" w:rsidRPr="002674BD">
        <w:rPr>
          <w:spacing w:val="-2"/>
        </w:rPr>
        <w:t xml:space="preserve">April </w:t>
      </w:r>
      <w:r w:rsidRPr="002674BD">
        <w:rPr>
          <w:spacing w:val="-2"/>
        </w:rPr>
        <w:t>meeting, the consensus of the Group was that dwelling commencements are likely to remain below the long-term average and well below target levels over the next few years (Table 1).</w:t>
      </w:r>
      <w:r w:rsidRPr="002674BD" w:rsidDel="008B2819">
        <w:rPr>
          <w:spacing w:val="-2"/>
        </w:rPr>
        <w:t xml:space="preserve"> </w:t>
      </w:r>
    </w:p>
    <w:p w14:paraId="7B3287FA" w14:textId="140296CC" w:rsidR="00125706" w:rsidRPr="002674BD" w:rsidRDefault="00125706" w:rsidP="007E2D0E">
      <w:pPr>
        <w:jc w:val="both"/>
        <w:rPr>
          <w:spacing w:val="-2"/>
        </w:rPr>
      </w:pPr>
      <w:r w:rsidRPr="002674BD">
        <w:rPr>
          <w:spacing w:val="-2"/>
        </w:rPr>
        <w:t>The H</w:t>
      </w:r>
      <w:r w:rsidR="00A26A85" w:rsidRPr="002674BD">
        <w:rPr>
          <w:spacing w:val="-2"/>
        </w:rPr>
        <w:t>ousing Industry Forecasting Group</w:t>
      </w:r>
      <w:r w:rsidRPr="002674BD">
        <w:rPr>
          <w:spacing w:val="-2"/>
        </w:rPr>
        <w:t xml:space="preserve"> </w:t>
      </w:r>
      <w:r w:rsidR="007B2D5F" w:rsidRPr="002674BD">
        <w:rPr>
          <w:spacing w:val="-2"/>
        </w:rPr>
        <w:t xml:space="preserve">has </w:t>
      </w:r>
      <w:r w:rsidRPr="002674BD">
        <w:rPr>
          <w:spacing w:val="-2"/>
        </w:rPr>
        <w:t xml:space="preserve">revised its 2023-24, 2024-25 and 2025-26 dwelling commencement forecasts </w:t>
      </w:r>
      <w:r w:rsidR="007B2D5F" w:rsidRPr="002674BD">
        <w:rPr>
          <w:spacing w:val="-2"/>
        </w:rPr>
        <w:t xml:space="preserve">since the </w:t>
      </w:r>
      <w:r w:rsidRPr="002674BD">
        <w:rPr>
          <w:spacing w:val="-2"/>
        </w:rPr>
        <w:t xml:space="preserve">November 2023 forecast. The revision downwards was driven by capacity constraints, manifesting in sluggish completions, and delayed commencements. </w:t>
      </w:r>
    </w:p>
    <w:p w14:paraId="333FC312" w14:textId="1FED60B2" w:rsidR="00E70B5D" w:rsidRPr="002674BD" w:rsidRDefault="00E70B5D" w:rsidP="007E2D0E">
      <w:pPr>
        <w:jc w:val="both"/>
        <w:rPr>
          <w:rStyle w:val="Strong"/>
          <w:rFonts w:eastAsia="Calibri"/>
        </w:rPr>
      </w:pPr>
      <w:r w:rsidRPr="002674BD">
        <w:rPr>
          <w:rStyle w:val="Strong"/>
          <w:rFonts w:eastAsia="Calibri"/>
        </w:rPr>
        <w:t>Table</w:t>
      </w:r>
      <w:r w:rsidR="000C6F69" w:rsidRPr="002674BD">
        <w:rPr>
          <w:rStyle w:val="Strong"/>
          <w:rFonts w:eastAsia="Calibri"/>
        </w:rPr>
        <w:t xml:space="preserve"> 6</w:t>
      </w:r>
      <w:r w:rsidRPr="002674BD">
        <w:rPr>
          <w:rStyle w:val="Strong"/>
          <w:rFonts w:eastAsia="Calibri"/>
        </w:rPr>
        <w:t>: Housing Industry Forecasting Group - Projected dwelling commencements - WA</w:t>
      </w:r>
    </w:p>
    <w:tbl>
      <w:tblPr>
        <w:tblW w:w="5000" w:type="pct"/>
        <w:tblLook w:val="01E0" w:firstRow="1" w:lastRow="1" w:firstColumn="1" w:lastColumn="1" w:noHBand="0" w:noVBand="0"/>
      </w:tblPr>
      <w:tblGrid>
        <w:gridCol w:w="1984"/>
        <w:gridCol w:w="3545"/>
        <w:gridCol w:w="3541"/>
      </w:tblGrid>
      <w:tr w:rsidR="007B2D5F" w:rsidRPr="002674BD" w14:paraId="46A81AF4" w14:textId="221A2B1F" w:rsidTr="007B2D5F">
        <w:trPr>
          <w:tblHeader/>
        </w:trPr>
        <w:tc>
          <w:tcPr>
            <w:tcW w:w="1094" w:type="pct"/>
            <w:shd w:val="clear" w:color="auto" w:fill="E5E5E5"/>
          </w:tcPr>
          <w:p w14:paraId="302B5B36" w14:textId="77777777" w:rsidR="007B2D5F" w:rsidRPr="002674BD" w:rsidRDefault="007B2D5F" w:rsidP="007E2D0E">
            <w:pPr>
              <w:pStyle w:val="TableTextLeft"/>
              <w:jc w:val="both"/>
              <w:rPr>
                <w:b/>
                <w:bCs/>
              </w:rPr>
            </w:pPr>
            <w:r w:rsidRPr="002674BD">
              <w:rPr>
                <w:b/>
                <w:bCs/>
              </w:rPr>
              <w:br w:type="page"/>
              <w:t>Financial Year</w:t>
            </w:r>
          </w:p>
        </w:tc>
        <w:tc>
          <w:tcPr>
            <w:tcW w:w="1954" w:type="pct"/>
            <w:shd w:val="clear" w:color="auto" w:fill="E5E5E5"/>
          </w:tcPr>
          <w:p w14:paraId="0A570003" w14:textId="0E36FDBD" w:rsidR="007B2D5F" w:rsidRPr="002674BD" w:rsidRDefault="007B2D5F" w:rsidP="007E2D0E">
            <w:pPr>
              <w:pStyle w:val="TableTextLeft"/>
              <w:jc w:val="both"/>
              <w:rPr>
                <w:b/>
                <w:bCs/>
              </w:rPr>
            </w:pPr>
            <w:r w:rsidRPr="002674BD">
              <w:rPr>
                <w:b/>
                <w:bCs/>
              </w:rPr>
              <w:t xml:space="preserve">November 2023 Dwelling commencements </w:t>
            </w:r>
          </w:p>
        </w:tc>
        <w:tc>
          <w:tcPr>
            <w:tcW w:w="1952" w:type="pct"/>
            <w:shd w:val="clear" w:color="auto" w:fill="E5E5E5"/>
          </w:tcPr>
          <w:p w14:paraId="60F51A6D" w14:textId="4EB3C9B9" w:rsidR="007B2D5F" w:rsidRPr="002674BD" w:rsidRDefault="007B2D5F" w:rsidP="007E2D0E">
            <w:pPr>
              <w:pStyle w:val="TableTextLeft"/>
              <w:jc w:val="both"/>
              <w:rPr>
                <w:b/>
                <w:bCs/>
              </w:rPr>
            </w:pPr>
            <w:r w:rsidRPr="002674BD">
              <w:rPr>
                <w:b/>
                <w:bCs/>
              </w:rPr>
              <w:t xml:space="preserve">April 2024 Dwelling commencements </w:t>
            </w:r>
          </w:p>
        </w:tc>
      </w:tr>
      <w:tr w:rsidR="007B2D5F" w:rsidRPr="002674BD" w14:paraId="2BE5B501" w14:textId="3603C374" w:rsidTr="007B2D5F">
        <w:tc>
          <w:tcPr>
            <w:tcW w:w="1094" w:type="pct"/>
            <w:vAlign w:val="bottom"/>
          </w:tcPr>
          <w:p w14:paraId="3A1ECE65" w14:textId="77777777" w:rsidR="007B2D5F" w:rsidRPr="002674BD" w:rsidRDefault="007B2D5F" w:rsidP="007E2D0E">
            <w:pPr>
              <w:pStyle w:val="TableTextLeft"/>
              <w:jc w:val="both"/>
            </w:pPr>
            <w:r w:rsidRPr="002674BD">
              <w:rPr>
                <w:rFonts w:ascii="Calibri" w:hAnsi="Calibri" w:cs="Calibri"/>
                <w:color w:val="000000"/>
                <w:szCs w:val="22"/>
              </w:rPr>
              <w:t>2022-23 (actual)</w:t>
            </w:r>
          </w:p>
        </w:tc>
        <w:tc>
          <w:tcPr>
            <w:tcW w:w="1954" w:type="pct"/>
            <w:vAlign w:val="bottom"/>
          </w:tcPr>
          <w:p w14:paraId="4AE0C4AB" w14:textId="77777777" w:rsidR="007B2D5F" w:rsidRPr="002674BD" w:rsidRDefault="007B2D5F" w:rsidP="007E2D0E">
            <w:pPr>
              <w:pStyle w:val="TableTextLeft"/>
              <w:jc w:val="both"/>
            </w:pPr>
            <w:r w:rsidRPr="002674BD">
              <w:rPr>
                <w:rFonts w:ascii="Calibri" w:hAnsi="Calibri" w:cs="Calibri"/>
                <w:color w:val="000000"/>
                <w:szCs w:val="22"/>
              </w:rPr>
              <w:t>14,967</w:t>
            </w:r>
          </w:p>
        </w:tc>
        <w:tc>
          <w:tcPr>
            <w:tcW w:w="1952" w:type="pct"/>
          </w:tcPr>
          <w:p w14:paraId="496E1CA5" w14:textId="68A183AC" w:rsidR="007B2D5F" w:rsidRPr="002674BD" w:rsidRDefault="007B2D5F" w:rsidP="007E2D0E">
            <w:pPr>
              <w:pStyle w:val="TableTextLeft"/>
              <w:jc w:val="both"/>
              <w:rPr>
                <w:rFonts w:ascii="Calibri" w:hAnsi="Calibri" w:cs="Calibri"/>
                <w:color w:val="000000"/>
                <w:szCs w:val="22"/>
              </w:rPr>
            </w:pPr>
            <w:r w:rsidRPr="002674BD">
              <w:rPr>
                <w:rFonts w:ascii="Calibri" w:hAnsi="Calibri" w:cs="Calibri"/>
                <w:color w:val="000000"/>
                <w:szCs w:val="22"/>
              </w:rPr>
              <w:t>14,967</w:t>
            </w:r>
          </w:p>
        </w:tc>
      </w:tr>
      <w:tr w:rsidR="007B2D5F" w:rsidRPr="002674BD" w14:paraId="41594477" w14:textId="204DC82D" w:rsidTr="007B2D5F">
        <w:tc>
          <w:tcPr>
            <w:tcW w:w="1094" w:type="pct"/>
            <w:vAlign w:val="bottom"/>
          </w:tcPr>
          <w:p w14:paraId="265DBBE2" w14:textId="77777777" w:rsidR="007B2D5F" w:rsidRPr="002674BD" w:rsidRDefault="007B2D5F" w:rsidP="007E2D0E">
            <w:pPr>
              <w:pStyle w:val="TableTextLeft"/>
              <w:jc w:val="both"/>
            </w:pPr>
            <w:r w:rsidRPr="002674BD">
              <w:rPr>
                <w:rFonts w:ascii="Calibri" w:hAnsi="Calibri" w:cs="Calibri"/>
                <w:color w:val="000000"/>
                <w:szCs w:val="22"/>
              </w:rPr>
              <w:t>2023-24 (forecast)</w:t>
            </w:r>
          </w:p>
        </w:tc>
        <w:tc>
          <w:tcPr>
            <w:tcW w:w="1954" w:type="pct"/>
            <w:vAlign w:val="bottom"/>
          </w:tcPr>
          <w:p w14:paraId="74FDA2BE" w14:textId="0C6B054E" w:rsidR="007B2D5F" w:rsidRPr="002674BD" w:rsidRDefault="007B2D5F" w:rsidP="007E2D0E">
            <w:pPr>
              <w:pStyle w:val="TableTextLeft"/>
              <w:jc w:val="both"/>
            </w:pPr>
            <w:r w:rsidRPr="002674BD">
              <w:rPr>
                <w:rFonts w:ascii="Calibri" w:hAnsi="Calibri" w:cs="Calibri"/>
                <w:color w:val="000000"/>
                <w:szCs w:val="22"/>
              </w:rPr>
              <w:t>15,500</w:t>
            </w:r>
          </w:p>
        </w:tc>
        <w:tc>
          <w:tcPr>
            <w:tcW w:w="1952" w:type="pct"/>
          </w:tcPr>
          <w:p w14:paraId="63051ED7" w14:textId="22202EFC" w:rsidR="007B2D5F" w:rsidRPr="002674BD" w:rsidRDefault="007B2D5F" w:rsidP="007E2D0E">
            <w:pPr>
              <w:pStyle w:val="TableTextLeft"/>
              <w:jc w:val="both"/>
              <w:rPr>
                <w:rFonts w:ascii="Calibri" w:hAnsi="Calibri" w:cs="Calibri"/>
                <w:color w:val="000000"/>
                <w:szCs w:val="22"/>
              </w:rPr>
            </w:pPr>
            <w:r w:rsidRPr="002674BD">
              <w:rPr>
                <w:rFonts w:ascii="Calibri" w:hAnsi="Calibri" w:cs="Calibri"/>
                <w:color w:val="000000"/>
                <w:szCs w:val="22"/>
              </w:rPr>
              <w:t>14,000</w:t>
            </w:r>
          </w:p>
        </w:tc>
      </w:tr>
      <w:tr w:rsidR="007B2D5F" w:rsidRPr="002674BD" w14:paraId="09924793" w14:textId="567D1CA9" w:rsidTr="007B2D5F">
        <w:tc>
          <w:tcPr>
            <w:tcW w:w="1094" w:type="pct"/>
            <w:vAlign w:val="bottom"/>
          </w:tcPr>
          <w:p w14:paraId="18A4635F" w14:textId="77777777" w:rsidR="007B2D5F" w:rsidRPr="002674BD" w:rsidRDefault="007B2D5F" w:rsidP="007E2D0E">
            <w:pPr>
              <w:pStyle w:val="TableTextLeft"/>
              <w:jc w:val="both"/>
            </w:pPr>
            <w:r w:rsidRPr="002674BD">
              <w:rPr>
                <w:rFonts w:ascii="Calibri" w:hAnsi="Calibri" w:cs="Calibri"/>
                <w:color w:val="000000"/>
                <w:szCs w:val="22"/>
              </w:rPr>
              <w:t>2024-25 (forecast)</w:t>
            </w:r>
          </w:p>
        </w:tc>
        <w:tc>
          <w:tcPr>
            <w:tcW w:w="1954" w:type="pct"/>
            <w:vAlign w:val="bottom"/>
          </w:tcPr>
          <w:p w14:paraId="7584FAB1" w14:textId="49136A30" w:rsidR="007B2D5F" w:rsidRPr="002674BD" w:rsidRDefault="007B2D5F" w:rsidP="007E2D0E">
            <w:pPr>
              <w:pStyle w:val="TableTextLeft"/>
              <w:jc w:val="both"/>
            </w:pPr>
            <w:r w:rsidRPr="002674BD">
              <w:rPr>
                <w:rFonts w:ascii="Calibri" w:hAnsi="Calibri" w:cs="Calibri"/>
                <w:color w:val="000000"/>
                <w:szCs w:val="22"/>
              </w:rPr>
              <w:t>16,000-18,000</w:t>
            </w:r>
          </w:p>
        </w:tc>
        <w:tc>
          <w:tcPr>
            <w:tcW w:w="1952" w:type="pct"/>
          </w:tcPr>
          <w:p w14:paraId="18C15138" w14:textId="4DA9B413" w:rsidR="007B2D5F" w:rsidRPr="002674BD" w:rsidDel="00125706" w:rsidRDefault="007B2D5F" w:rsidP="007E2D0E">
            <w:pPr>
              <w:pStyle w:val="TableTextLeft"/>
              <w:jc w:val="both"/>
              <w:rPr>
                <w:rFonts w:ascii="Calibri" w:hAnsi="Calibri" w:cs="Calibri"/>
                <w:color w:val="000000"/>
                <w:szCs w:val="22"/>
              </w:rPr>
            </w:pPr>
            <w:r w:rsidRPr="002674BD">
              <w:rPr>
                <w:rFonts w:ascii="Calibri" w:hAnsi="Calibri" w:cs="Calibri"/>
                <w:color w:val="000000"/>
                <w:szCs w:val="22"/>
              </w:rPr>
              <w:t>15,000-17,000</w:t>
            </w:r>
          </w:p>
        </w:tc>
      </w:tr>
      <w:tr w:rsidR="007B2D5F" w:rsidRPr="002674BD" w14:paraId="0150FD03" w14:textId="4B55924E" w:rsidTr="007B2D5F">
        <w:tc>
          <w:tcPr>
            <w:tcW w:w="1094" w:type="pct"/>
            <w:vAlign w:val="bottom"/>
          </w:tcPr>
          <w:p w14:paraId="0B5CE430" w14:textId="386D447A" w:rsidR="007B2D5F" w:rsidRPr="002674BD" w:rsidRDefault="007B2D5F" w:rsidP="007E2D0E">
            <w:pPr>
              <w:pStyle w:val="TableTextLeft"/>
              <w:jc w:val="both"/>
              <w:rPr>
                <w:rFonts w:ascii="Calibri" w:hAnsi="Calibri" w:cs="Calibri"/>
                <w:color w:val="000000"/>
                <w:szCs w:val="22"/>
              </w:rPr>
            </w:pPr>
            <w:r w:rsidRPr="002674BD">
              <w:rPr>
                <w:rFonts w:ascii="Calibri" w:hAnsi="Calibri" w:cs="Calibri"/>
                <w:color w:val="000000"/>
                <w:szCs w:val="22"/>
              </w:rPr>
              <w:t>2025-26 (forecast)</w:t>
            </w:r>
          </w:p>
        </w:tc>
        <w:tc>
          <w:tcPr>
            <w:tcW w:w="1954" w:type="pct"/>
            <w:vAlign w:val="bottom"/>
          </w:tcPr>
          <w:p w14:paraId="05AAB792" w14:textId="79B1554E" w:rsidR="007B2D5F" w:rsidRPr="002674BD" w:rsidRDefault="007B2D5F" w:rsidP="007E2D0E">
            <w:pPr>
              <w:pStyle w:val="TableTextLeft"/>
              <w:jc w:val="both"/>
              <w:rPr>
                <w:rFonts w:ascii="Calibri" w:hAnsi="Calibri" w:cs="Calibri"/>
                <w:color w:val="000000"/>
                <w:szCs w:val="22"/>
              </w:rPr>
            </w:pPr>
            <w:r w:rsidRPr="002674BD">
              <w:rPr>
                <w:rFonts w:ascii="Calibri" w:hAnsi="Calibri" w:cs="Calibri"/>
                <w:color w:val="000000"/>
                <w:szCs w:val="22"/>
              </w:rPr>
              <w:t>17,000–19,000</w:t>
            </w:r>
          </w:p>
        </w:tc>
        <w:tc>
          <w:tcPr>
            <w:tcW w:w="1952" w:type="pct"/>
          </w:tcPr>
          <w:p w14:paraId="2CDAA6AF" w14:textId="4AAC2359" w:rsidR="007B2D5F" w:rsidRPr="002674BD" w:rsidDel="00125706" w:rsidRDefault="007B2D5F" w:rsidP="007E2D0E">
            <w:pPr>
              <w:pStyle w:val="TableTextLeft"/>
              <w:jc w:val="both"/>
              <w:rPr>
                <w:rFonts w:ascii="Calibri" w:hAnsi="Calibri" w:cs="Calibri"/>
                <w:color w:val="000000"/>
                <w:szCs w:val="22"/>
              </w:rPr>
            </w:pPr>
            <w:r w:rsidRPr="002674BD">
              <w:rPr>
                <w:rFonts w:ascii="Calibri" w:hAnsi="Calibri" w:cs="Calibri"/>
                <w:color w:val="000000"/>
                <w:szCs w:val="22"/>
              </w:rPr>
              <w:t>16,000-18,000</w:t>
            </w:r>
          </w:p>
        </w:tc>
      </w:tr>
    </w:tbl>
    <w:p w14:paraId="4BD07BD6" w14:textId="76BC6883" w:rsidR="00E70B5D" w:rsidRPr="002674BD" w:rsidRDefault="00E70B5D" w:rsidP="007E2D0E">
      <w:pPr>
        <w:spacing w:before="120"/>
        <w:jc w:val="both"/>
        <w:rPr>
          <w:rFonts w:eastAsia="Calibri"/>
          <w:sz w:val="16"/>
          <w:szCs w:val="16"/>
          <w:lang w:eastAsia="en-US"/>
        </w:rPr>
      </w:pPr>
      <w:r w:rsidRPr="002674BD">
        <w:rPr>
          <w:rFonts w:eastAsia="Calibri"/>
          <w:sz w:val="16"/>
          <w:szCs w:val="16"/>
          <w:lang w:eastAsia="en-US"/>
        </w:rPr>
        <w:t xml:space="preserve">Source: </w:t>
      </w:r>
      <w:hyperlink w:history="1">
        <w:r w:rsidR="00F87CD4" w:rsidRPr="002674BD">
          <w:rPr>
            <w:rStyle w:val="Hyperlink"/>
            <w:sz w:val="16"/>
            <w:szCs w:val="14"/>
          </w:rPr>
          <w:t>Housing Industry Forecasting Group (www.wa.gov.au)</w:t>
        </w:r>
      </w:hyperlink>
    </w:p>
    <w:p w14:paraId="182BABBE" w14:textId="77777777" w:rsidR="00E70B5D" w:rsidRPr="002674BD" w:rsidRDefault="00E70B5D" w:rsidP="007E2D0E">
      <w:pPr>
        <w:pStyle w:val="Heading4"/>
        <w:spacing w:before="0"/>
        <w:jc w:val="both"/>
      </w:pPr>
      <w:r w:rsidRPr="002674BD">
        <w:t>Non-planning initiatives referenced in Measure 4</w:t>
      </w:r>
    </w:p>
    <w:tbl>
      <w:tblPr>
        <w:tblW w:w="5000" w:type="pct"/>
        <w:tblBorders>
          <w:insideH w:val="single" w:sz="4" w:space="0" w:color="F2F2F2" w:themeColor="background1" w:themeShade="F2"/>
        </w:tblBorders>
        <w:tblLook w:val="01E0" w:firstRow="1" w:lastRow="1" w:firstColumn="1" w:lastColumn="1" w:noHBand="0" w:noVBand="0"/>
      </w:tblPr>
      <w:tblGrid>
        <w:gridCol w:w="2694"/>
        <w:gridCol w:w="6376"/>
      </w:tblGrid>
      <w:tr w:rsidR="00E70B5D" w:rsidRPr="002674BD" w14:paraId="37DE66F2" w14:textId="77777777" w:rsidTr="004840DB">
        <w:trPr>
          <w:tblHeader/>
        </w:trPr>
        <w:tc>
          <w:tcPr>
            <w:tcW w:w="1485" w:type="pct"/>
            <w:shd w:val="clear" w:color="auto" w:fill="E5E5E5"/>
          </w:tcPr>
          <w:p w14:paraId="5E685A2F" w14:textId="77777777" w:rsidR="00E70B5D" w:rsidRPr="002674BD" w:rsidRDefault="00E70B5D" w:rsidP="007E2D0E">
            <w:pPr>
              <w:pStyle w:val="TableTextLeft"/>
              <w:jc w:val="both"/>
            </w:pPr>
            <w:r w:rsidRPr="002674BD">
              <w:br w:type="page"/>
              <w:t>Measure 4 initiative</w:t>
            </w:r>
          </w:p>
        </w:tc>
        <w:tc>
          <w:tcPr>
            <w:tcW w:w="3515" w:type="pct"/>
            <w:shd w:val="clear" w:color="auto" w:fill="E5E5E5"/>
          </w:tcPr>
          <w:p w14:paraId="6458A5D2" w14:textId="77777777" w:rsidR="00E70B5D" w:rsidRPr="002674BD" w:rsidRDefault="00E70B5D" w:rsidP="007E2D0E">
            <w:pPr>
              <w:pStyle w:val="TableTextLeft"/>
              <w:jc w:val="both"/>
            </w:pPr>
            <w:r w:rsidRPr="002674BD">
              <w:t>Expected impact on housing diversity</w:t>
            </w:r>
          </w:p>
        </w:tc>
      </w:tr>
      <w:tr w:rsidR="00E70B5D" w:rsidRPr="002674BD" w14:paraId="0D405FD7" w14:textId="77777777" w:rsidTr="004840DB">
        <w:tc>
          <w:tcPr>
            <w:tcW w:w="1485" w:type="pct"/>
          </w:tcPr>
          <w:p w14:paraId="6A201CD7" w14:textId="77777777" w:rsidR="00E70B5D" w:rsidRPr="002674BD" w:rsidRDefault="00E70B5D" w:rsidP="007E2D0E">
            <w:pPr>
              <w:pStyle w:val="TableTextLeft"/>
              <w:jc w:val="both"/>
            </w:pPr>
            <w:r w:rsidRPr="002674BD">
              <w:t>Housing Diversity Pipeline</w:t>
            </w:r>
          </w:p>
        </w:tc>
        <w:tc>
          <w:tcPr>
            <w:tcW w:w="3515" w:type="pct"/>
          </w:tcPr>
          <w:p w14:paraId="6CFF5685" w14:textId="77777777" w:rsidR="00E70B5D" w:rsidRPr="002674BD" w:rsidRDefault="00E70B5D" w:rsidP="007E2D0E">
            <w:pPr>
              <w:pStyle w:val="TableTextLeft"/>
              <w:jc w:val="both"/>
            </w:pPr>
            <w:r w:rsidRPr="002674BD">
              <w:t>Urban Infill.</w:t>
            </w:r>
          </w:p>
          <w:p w14:paraId="1AA7142B" w14:textId="77777777" w:rsidR="00E70B5D" w:rsidRPr="002674BD" w:rsidRDefault="00E70B5D" w:rsidP="007E2D0E">
            <w:pPr>
              <w:pStyle w:val="TableTextLeft"/>
              <w:jc w:val="both"/>
            </w:pPr>
            <w:r w:rsidRPr="002674BD">
              <w:t>Well located.</w:t>
            </w:r>
          </w:p>
          <w:p w14:paraId="16BD862C" w14:textId="77777777" w:rsidR="00E70B5D" w:rsidRPr="002674BD" w:rsidRDefault="00E70B5D" w:rsidP="007E2D0E">
            <w:pPr>
              <w:pStyle w:val="TableTextLeft"/>
              <w:jc w:val="both"/>
            </w:pPr>
            <w:r w:rsidRPr="002674BD">
              <w:t>Diversity of housing.</w:t>
            </w:r>
          </w:p>
          <w:p w14:paraId="7FD10392" w14:textId="77777777" w:rsidR="00E70B5D" w:rsidRPr="002674BD" w:rsidRDefault="00E70B5D" w:rsidP="007E2D0E">
            <w:pPr>
              <w:pStyle w:val="TableTextLeft"/>
              <w:jc w:val="both"/>
            </w:pPr>
            <w:r w:rsidRPr="002674BD">
              <w:t>Social/Affordable housing.</w:t>
            </w:r>
          </w:p>
          <w:p w14:paraId="10830415" w14:textId="77777777" w:rsidR="00E70B5D" w:rsidRPr="002674BD" w:rsidRDefault="00E70B5D" w:rsidP="007E2D0E">
            <w:pPr>
              <w:pStyle w:val="TableTextLeft"/>
              <w:jc w:val="both"/>
            </w:pPr>
            <w:r w:rsidRPr="002674BD">
              <w:t>Identification of surplus government land.</w:t>
            </w:r>
          </w:p>
        </w:tc>
      </w:tr>
      <w:tr w:rsidR="00E70B5D" w:rsidRPr="002674BD" w14:paraId="4003CB5F" w14:textId="77777777" w:rsidTr="004840DB">
        <w:tc>
          <w:tcPr>
            <w:tcW w:w="1485" w:type="pct"/>
          </w:tcPr>
          <w:p w14:paraId="79A97625" w14:textId="77777777" w:rsidR="00E70B5D" w:rsidRPr="002674BD" w:rsidRDefault="00E70B5D" w:rsidP="007E2D0E">
            <w:pPr>
              <w:pStyle w:val="TableTextLeft"/>
              <w:jc w:val="both"/>
            </w:pPr>
            <w:r w:rsidRPr="002674BD">
              <w:t>Infrastructure Development Fund</w:t>
            </w:r>
          </w:p>
        </w:tc>
        <w:tc>
          <w:tcPr>
            <w:tcW w:w="3515" w:type="pct"/>
          </w:tcPr>
          <w:p w14:paraId="75266EBC" w14:textId="77777777" w:rsidR="00E70B5D" w:rsidRPr="002674BD" w:rsidRDefault="00E70B5D" w:rsidP="007E2D0E">
            <w:pPr>
              <w:pStyle w:val="TableTextLeft"/>
              <w:jc w:val="both"/>
            </w:pPr>
            <w:r w:rsidRPr="002674BD">
              <w:t>Metropolitan and Regional Western Australia housing and working opportunities.</w:t>
            </w:r>
          </w:p>
          <w:p w14:paraId="5E7327E4" w14:textId="77777777" w:rsidR="00E70B5D" w:rsidRPr="002674BD" w:rsidRDefault="00E70B5D" w:rsidP="007E2D0E">
            <w:pPr>
              <w:pStyle w:val="TableTextLeft"/>
              <w:jc w:val="both"/>
            </w:pPr>
            <w:r w:rsidRPr="002674BD">
              <w:t>Urban Infill/METRONET.</w:t>
            </w:r>
          </w:p>
          <w:p w14:paraId="02CE50F0" w14:textId="77777777" w:rsidR="00E70B5D" w:rsidRPr="002674BD" w:rsidRDefault="00E70B5D" w:rsidP="007E2D0E">
            <w:pPr>
              <w:pStyle w:val="TableTextLeft"/>
              <w:jc w:val="both"/>
            </w:pPr>
            <w:r w:rsidRPr="002674BD">
              <w:t>Focused on development of apartment projects.</w:t>
            </w:r>
          </w:p>
        </w:tc>
      </w:tr>
      <w:tr w:rsidR="00E70B5D" w:rsidRPr="002674BD" w14:paraId="351F0683" w14:textId="77777777" w:rsidTr="004840DB">
        <w:tc>
          <w:tcPr>
            <w:tcW w:w="1485" w:type="pct"/>
          </w:tcPr>
          <w:p w14:paraId="6C9DE097" w14:textId="77777777" w:rsidR="00E70B5D" w:rsidRPr="002674BD" w:rsidRDefault="00E70B5D" w:rsidP="007E2D0E">
            <w:pPr>
              <w:pStyle w:val="TableTextLeft"/>
              <w:jc w:val="both"/>
            </w:pPr>
            <w:r w:rsidRPr="002674BD">
              <w:t>$55 million commitment to water and wastewater infrastructure</w:t>
            </w:r>
          </w:p>
        </w:tc>
        <w:tc>
          <w:tcPr>
            <w:tcW w:w="3515" w:type="pct"/>
          </w:tcPr>
          <w:p w14:paraId="7FBDF2F8" w14:textId="77777777" w:rsidR="00E70B5D" w:rsidRPr="002674BD" w:rsidRDefault="00E70B5D" w:rsidP="007E2D0E">
            <w:pPr>
              <w:pStyle w:val="TableTextLeft"/>
              <w:jc w:val="both"/>
            </w:pPr>
            <w:r w:rsidRPr="002674BD">
              <w:t>Capacity to service land associated with METRONET and in Metropolitan Central.</w:t>
            </w:r>
          </w:p>
        </w:tc>
      </w:tr>
      <w:tr w:rsidR="00E70B5D" w:rsidRPr="002674BD" w14:paraId="7644C83F" w14:textId="77777777" w:rsidTr="004840DB">
        <w:tc>
          <w:tcPr>
            <w:tcW w:w="1485" w:type="pct"/>
          </w:tcPr>
          <w:p w14:paraId="02499128" w14:textId="77777777" w:rsidR="00E70B5D" w:rsidRPr="002674BD" w:rsidRDefault="00E70B5D" w:rsidP="007E2D0E">
            <w:pPr>
              <w:pStyle w:val="TableTextLeft"/>
              <w:jc w:val="both"/>
            </w:pPr>
            <w:r w:rsidRPr="002674BD">
              <w:t xml:space="preserve">Housing Supply Unit </w:t>
            </w:r>
          </w:p>
        </w:tc>
        <w:tc>
          <w:tcPr>
            <w:tcW w:w="3515" w:type="pct"/>
          </w:tcPr>
          <w:p w14:paraId="5B525C88" w14:textId="77777777" w:rsidR="00E70B5D" w:rsidRPr="002674BD" w:rsidRDefault="00E70B5D" w:rsidP="007E2D0E">
            <w:pPr>
              <w:pStyle w:val="TableTextLeft"/>
              <w:jc w:val="both"/>
            </w:pPr>
            <w:r w:rsidRPr="002674BD">
              <w:t>Report to Residential Lands and Housing Ministerial Oversight Committee.</w:t>
            </w:r>
          </w:p>
          <w:p w14:paraId="01B4C5AC" w14:textId="77777777" w:rsidR="00E70B5D" w:rsidRPr="002674BD" w:rsidRDefault="00E70B5D" w:rsidP="007E2D0E">
            <w:pPr>
              <w:pStyle w:val="TableTextLeft"/>
              <w:jc w:val="both"/>
            </w:pPr>
            <w:r w:rsidRPr="002674BD">
              <w:t>Responsible for economic forecasts.</w:t>
            </w:r>
          </w:p>
          <w:p w14:paraId="0F10100F" w14:textId="77777777" w:rsidR="00E70B5D" w:rsidRPr="002674BD" w:rsidRDefault="00E70B5D" w:rsidP="007E2D0E">
            <w:pPr>
              <w:pStyle w:val="TableTextLeft"/>
              <w:jc w:val="both"/>
            </w:pPr>
            <w:r w:rsidRPr="002674BD">
              <w:t>Working with Commonwealth.</w:t>
            </w:r>
          </w:p>
        </w:tc>
      </w:tr>
      <w:tr w:rsidR="00E70B5D" w:rsidRPr="002674BD" w14:paraId="3024B6A3" w14:textId="77777777" w:rsidTr="004840DB">
        <w:tc>
          <w:tcPr>
            <w:tcW w:w="1485" w:type="pct"/>
          </w:tcPr>
          <w:p w14:paraId="47C2FD97" w14:textId="77777777" w:rsidR="00E70B5D" w:rsidRPr="002674BD" w:rsidRDefault="00E70B5D" w:rsidP="007E2D0E">
            <w:pPr>
              <w:pStyle w:val="TableTextLeft"/>
              <w:jc w:val="both"/>
            </w:pPr>
            <w:r w:rsidRPr="002674BD">
              <w:t>Transfer duty concession for off-the-plan apartments and apartments under construction</w:t>
            </w:r>
          </w:p>
        </w:tc>
        <w:tc>
          <w:tcPr>
            <w:tcW w:w="3515" w:type="pct"/>
          </w:tcPr>
          <w:p w14:paraId="1E87687E" w14:textId="77777777" w:rsidR="00E70B5D" w:rsidRPr="002674BD" w:rsidRDefault="00E70B5D" w:rsidP="007E2D0E">
            <w:pPr>
              <w:pStyle w:val="TableTextLeft"/>
              <w:jc w:val="both"/>
            </w:pPr>
            <w:r w:rsidRPr="002674BD">
              <w:t>Make homeownership more accessible.</w:t>
            </w:r>
          </w:p>
          <w:p w14:paraId="4BC06D0F" w14:textId="77777777" w:rsidR="00E70B5D" w:rsidRPr="002674BD" w:rsidRDefault="00E70B5D" w:rsidP="007E2D0E">
            <w:pPr>
              <w:pStyle w:val="TableTextLeft"/>
              <w:jc w:val="both"/>
            </w:pPr>
            <w:r w:rsidRPr="002674BD">
              <w:t xml:space="preserve">Ensure developments achieve pre-sales to commence construction. </w:t>
            </w:r>
          </w:p>
        </w:tc>
      </w:tr>
      <w:tr w:rsidR="00E70B5D" w:rsidRPr="002674BD" w14:paraId="41BA8416" w14:textId="77777777" w:rsidTr="004840DB">
        <w:trPr>
          <w:trHeight w:val="454"/>
        </w:trPr>
        <w:tc>
          <w:tcPr>
            <w:tcW w:w="1485" w:type="pct"/>
          </w:tcPr>
          <w:p w14:paraId="0B7F4B0F" w14:textId="77777777" w:rsidR="00E70B5D" w:rsidRPr="002674BD" w:rsidRDefault="00E70B5D" w:rsidP="007E2D0E">
            <w:pPr>
              <w:pStyle w:val="TableTextLeft"/>
              <w:jc w:val="both"/>
            </w:pPr>
            <w:r w:rsidRPr="002674BD">
              <w:lastRenderedPageBreak/>
              <w:t>Financial Support for residential builders in WA</w:t>
            </w:r>
          </w:p>
        </w:tc>
        <w:tc>
          <w:tcPr>
            <w:tcW w:w="3515" w:type="pct"/>
          </w:tcPr>
          <w:p w14:paraId="2D6F28A3" w14:textId="77777777" w:rsidR="00E70B5D" w:rsidRPr="002674BD" w:rsidRDefault="00E70B5D" w:rsidP="007E2D0E">
            <w:pPr>
              <w:pStyle w:val="TableTextLeft"/>
              <w:jc w:val="both"/>
            </w:pPr>
            <w:r w:rsidRPr="002674BD">
              <w:t>Prevent further insolvencies.</w:t>
            </w:r>
          </w:p>
          <w:p w14:paraId="1C76B2CF" w14:textId="77777777" w:rsidR="00E70B5D" w:rsidRPr="002674BD" w:rsidRDefault="00E70B5D" w:rsidP="007E2D0E">
            <w:pPr>
              <w:pStyle w:val="TableTextLeft"/>
              <w:jc w:val="both"/>
            </w:pPr>
            <w:r w:rsidRPr="002674BD">
              <w:t>Enable unfinished dwellings to be finished.</w:t>
            </w:r>
          </w:p>
          <w:p w14:paraId="10B66E84" w14:textId="77777777" w:rsidR="00E40B97" w:rsidRPr="002674BD" w:rsidRDefault="00E70B5D" w:rsidP="007E2D0E">
            <w:pPr>
              <w:pStyle w:val="TableTextLeft"/>
              <w:jc w:val="both"/>
            </w:pPr>
            <w:r w:rsidRPr="002674BD">
              <w:t>Create confidence in buyers.</w:t>
            </w:r>
          </w:p>
        </w:tc>
      </w:tr>
      <w:tr w:rsidR="00230337" w:rsidRPr="002674BD" w14:paraId="29B196DA" w14:textId="77777777" w:rsidTr="004840DB">
        <w:trPr>
          <w:trHeight w:val="454"/>
        </w:trPr>
        <w:tc>
          <w:tcPr>
            <w:tcW w:w="1485" w:type="pct"/>
          </w:tcPr>
          <w:p w14:paraId="02031F94" w14:textId="2706FE65" w:rsidR="00230337" w:rsidRPr="002674BD" w:rsidRDefault="00230337" w:rsidP="00230337">
            <w:pPr>
              <w:pStyle w:val="TableTextLeft"/>
              <w:jc w:val="both"/>
            </w:pPr>
            <w:r w:rsidRPr="002674BD">
              <w:t>Keystart loan product</w:t>
            </w:r>
          </w:p>
        </w:tc>
        <w:tc>
          <w:tcPr>
            <w:tcW w:w="3515" w:type="pct"/>
          </w:tcPr>
          <w:p w14:paraId="6EA66707" w14:textId="77777777" w:rsidR="00230337" w:rsidRPr="002674BD" w:rsidRDefault="00EC2543" w:rsidP="00230337">
            <w:pPr>
              <w:pStyle w:val="TableTextLeft"/>
              <w:jc w:val="both"/>
            </w:pPr>
            <w:r w:rsidRPr="002674BD">
              <w:t>Make homeownership more accessible.</w:t>
            </w:r>
          </w:p>
          <w:p w14:paraId="4CDF32ED" w14:textId="04648700" w:rsidR="00EC2543" w:rsidRPr="002674BD" w:rsidRDefault="00EC2543" w:rsidP="00230337">
            <w:pPr>
              <w:pStyle w:val="TableTextLeft"/>
              <w:jc w:val="both"/>
            </w:pPr>
            <w:r w:rsidRPr="002674BD">
              <w:t>Make medium and high-density living more accessible</w:t>
            </w:r>
            <w:r w:rsidR="0022733F" w:rsidRPr="002674BD">
              <w:t>.</w:t>
            </w:r>
          </w:p>
        </w:tc>
      </w:tr>
      <w:tr w:rsidR="00230337" w:rsidRPr="002674BD" w14:paraId="5754E934" w14:textId="77777777" w:rsidTr="004840DB">
        <w:trPr>
          <w:trHeight w:val="454"/>
        </w:trPr>
        <w:tc>
          <w:tcPr>
            <w:tcW w:w="1485" w:type="pct"/>
          </w:tcPr>
          <w:p w14:paraId="4DA4E540" w14:textId="525A1FC3" w:rsidR="00230337" w:rsidRPr="002674BD" w:rsidRDefault="00230337" w:rsidP="00230337">
            <w:pPr>
              <w:pStyle w:val="TableTextLeft"/>
              <w:jc w:val="both"/>
            </w:pPr>
            <w:r w:rsidRPr="002674BD">
              <w:t>Build-to-rent land tax exemption</w:t>
            </w:r>
          </w:p>
        </w:tc>
        <w:tc>
          <w:tcPr>
            <w:tcW w:w="3515" w:type="pct"/>
          </w:tcPr>
          <w:p w14:paraId="2F0FA410" w14:textId="22849291" w:rsidR="001A2D3E" w:rsidRPr="002674BD" w:rsidRDefault="00EC2543" w:rsidP="00230337">
            <w:pPr>
              <w:pStyle w:val="TableTextLeft"/>
              <w:jc w:val="both"/>
            </w:pPr>
            <w:r w:rsidRPr="002674BD">
              <w:t>Reducing barriers to investment</w:t>
            </w:r>
            <w:r w:rsidR="001A2D3E" w:rsidRPr="002674BD">
              <w:t>.</w:t>
            </w:r>
          </w:p>
          <w:p w14:paraId="49FBAE27" w14:textId="3B41B0D9" w:rsidR="00230337" w:rsidRPr="002674BD" w:rsidRDefault="001A2D3E" w:rsidP="00230337">
            <w:pPr>
              <w:pStyle w:val="TableTextLeft"/>
              <w:jc w:val="both"/>
            </w:pPr>
            <w:r w:rsidRPr="002674BD">
              <w:t>I</w:t>
            </w:r>
            <w:r w:rsidR="00EC2543" w:rsidRPr="002674BD">
              <w:t>ncreasing the supply of rental properties.</w:t>
            </w:r>
          </w:p>
        </w:tc>
      </w:tr>
      <w:tr w:rsidR="00230337" w:rsidRPr="002674BD" w14:paraId="7C8E0F56" w14:textId="77777777" w:rsidTr="004840DB">
        <w:trPr>
          <w:trHeight w:val="454"/>
        </w:trPr>
        <w:tc>
          <w:tcPr>
            <w:tcW w:w="1485" w:type="pct"/>
          </w:tcPr>
          <w:p w14:paraId="3FED1791" w14:textId="0DA94464" w:rsidR="00230337" w:rsidRPr="002674BD" w:rsidRDefault="00230337" w:rsidP="00230337">
            <w:pPr>
              <w:pStyle w:val="TableTextLeft"/>
              <w:jc w:val="both"/>
            </w:pPr>
            <w:r w:rsidRPr="002674BD">
              <w:t xml:space="preserve">Call for Submission for Social Housing </w:t>
            </w:r>
          </w:p>
        </w:tc>
        <w:tc>
          <w:tcPr>
            <w:tcW w:w="3515" w:type="pct"/>
          </w:tcPr>
          <w:p w14:paraId="36DFA2A2" w14:textId="47EDAB41" w:rsidR="00230337" w:rsidRPr="002674BD" w:rsidRDefault="00EC2543" w:rsidP="00230337">
            <w:pPr>
              <w:pStyle w:val="TableTextLeft"/>
              <w:jc w:val="both"/>
            </w:pPr>
            <w:r w:rsidRPr="002674BD">
              <w:t>Increa</w:t>
            </w:r>
            <w:r w:rsidR="0022733F" w:rsidRPr="002674BD">
              <w:t xml:space="preserve">se </w:t>
            </w:r>
            <w:r w:rsidRPr="002674BD">
              <w:t>supply and diversity of social housing</w:t>
            </w:r>
            <w:r w:rsidR="0022733F" w:rsidRPr="002674BD">
              <w:t>.</w:t>
            </w:r>
          </w:p>
          <w:p w14:paraId="03CFBBDA" w14:textId="51014623" w:rsidR="00934E36" w:rsidRPr="002674BD" w:rsidRDefault="00934E36" w:rsidP="00230337">
            <w:pPr>
              <w:pStyle w:val="TableTextLeft"/>
              <w:jc w:val="both"/>
            </w:pPr>
            <w:r w:rsidRPr="002674BD">
              <w:t xml:space="preserve">Refurbish existing social housing stock to extend </w:t>
            </w:r>
            <w:r w:rsidR="007C505D" w:rsidRPr="002674BD">
              <w:t>its</w:t>
            </w:r>
            <w:r w:rsidRPr="002674BD">
              <w:t xml:space="preserve"> useful life.</w:t>
            </w:r>
          </w:p>
          <w:p w14:paraId="05ADEDF2" w14:textId="28754B8A" w:rsidR="0022733F" w:rsidRPr="002674BD" w:rsidRDefault="0022733F" w:rsidP="00230337">
            <w:pPr>
              <w:pStyle w:val="TableTextLeft"/>
              <w:jc w:val="both"/>
            </w:pPr>
          </w:p>
        </w:tc>
      </w:tr>
      <w:tr w:rsidR="00230337" w:rsidRPr="002674BD" w14:paraId="096E6725" w14:textId="77777777" w:rsidTr="004840DB">
        <w:trPr>
          <w:trHeight w:val="454"/>
        </w:trPr>
        <w:tc>
          <w:tcPr>
            <w:tcW w:w="1485" w:type="pct"/>
          </w:tcPr>
          <w:p w14:paraId="0BD5C86A" w14:textId="31B16A2D" w:rsidR="00230337" w:rsidRPr="002674BD" w:rsidRDefault="00230337" w:rsidP="00230337">
            <w:pPr>
              <w:pStyle w:val="TableTextLeft"/>
              <w:jc w:val="both"/>
            </w:pPr>
            <w:r w:rsidRPr="002674BD">
              <w:t>Community Housing Prequalification Scheme</w:t>
            </w:r>
          </w:p>
        </w:tc>
        <w:tc>
          <w:tcPr>
            <w:tcW w:w="3515" w:type="pct"/>
          </w:tcPr>
          <w:p w14:paraId="4D667118" w14:textId="7B1E6409" w:rsidR="001A2D3E" w:rsidRPr="002674BD" w:rsidRDefault="001A2D3E" w:rsidP="00230337">
            <w:pPr>
              <w:pStyle w:val="TableTextLeft"/>
              <w:jc w:val="both"/>
            </w:pPr>
            <w:r w:rsidRPr="002674BD">
              <w:t>Efficient, effective and flexible procurement.</w:t>
            </w:r>
          </w:p>
          <w:p w14:paraId="237638D1" w14:textId="4AD9B8D4" w:rsidR="00230337" w:rsidRPr="002674BD" w:rsidRDefault="0022733F" w:rsidP="00230337">
            <w:pPr>
              <w:pStyle w:val="TableTextLeft"/>
              <w:jc w:val="both"/>
            </w:pPr>
            <w:r w:rsidRPr="002674BD">
              <w:t>S</w:t>
            </w:r>
            <w:r w:rsidR="001A2D3E" w:rsidRPr="002674BD">
              <w:t>ocial and affordable housing.</w:t>
            </w:r>
          </w:p>
        </w:tc>
      </w:tr>
      <w:tr w:rsidR="00230337" w:rsidRPr="002674BD" w14:paraId="3AF3410C" w14:textId="77777777" w:rsidTr="004840DB">
        <w:trPr>
          <w:trHeight w:val="454"/>
        </w:trPr>
        <w:tc>
          <w:tcPr>
            <w:tcW w:w="1485" w:type="pct"/>
          </w:tcPr>
          <w:p w14:paraId="6B77B946" w14:textId="7E42FC83" w:rsidR="00230337" w:rsidRPr="002674BD" w:rsidRDefault="00230337" w:rsidP="00230337">
            <w:pPr>
              <w:pStyle w:val="TableTextLeft"/>
              <w:jc w:val="both"/>
            </w:pPr>
            <w:r w:rsidRPr="002674BD">
              <w:t>State-wide Housing Construction and Refurbishment Builders Panel</w:t>
            </w:r>
          </w:p>
        </w:tc>
        <w:tc>
          <w:tcPr>
            <w:tcW w:w="3515" w:type="pct"/>
          </w:tcPr>
          <w:p w14:paraId="6B0BB387" w14:textId="40DCFB72" w:rsidR="00230337" w:rsidRPr="002674BD" w:rsidRDefault="0022733F" w:rsidP="00230337">
            <w:pPr>
              <w:pStyle w:val="TableTextLeft"/>
              <w:jc w:val="both"/>
            </w:pPr>
            <w:r w:rsidRPr="002674BD">
              <w:t>Cuts red tape for development of</w:t>
            </w:r>
            <w:r w:rsidR="001A2D3E" w:rsidRPr="002674BD">
              <w:t xml:space="preserve"> social housing</w:t>
            </w:r>
            <w:r w:rsidRPr="002674BD">
              <w:t>.</w:t>
            </w:r>
          </w:p>
        </w:tc>
      </w:tr>
      <w:tr w:rsidR="00230337" w:rsidRPr="002674BD" w14:paraId="501D257A" w14:textId="77777777" w:rsidTr="004840DB">
        <w:trPr>
          <w:trHeight w:val="454"/>
        </w:trPr>
        <w:tc>
          <w:tcPr>
            <w:tcW w:w="1485" w:type="pct"/>
          </w:tcPr>
          <w:p w14:paraId="21133EB4" w14:textId="6ADE2852" w:rsidR="00230337" w:rsidRPr="002674BD" w:rsidRDefault="00230337" w:rsidP="00230337">
            <w:pPr>
              <w:pStyle w:val="TableTextLeft"/>
              <w:jc w:val="both"/>
            </w:pPr>
            <w:r w:rsidRPr="002674BD">
              <w:t>Regional land booster program</w:t>
            </w:r>
          </w:p>
        </w:tc>
        <w:tc>
          <w:tcPr>
            <w:tcW w:w="3515" w:type="pct"/>
          </w:tcPr>
          <w:p w14:paraId="7A5954F5" w14:textId="3B1BD361" w:rsidR="00230337" w:rsidRPr="002674BD" w:rsidRDefault="0022733F" w:rsidP="00230337">
            <w:pPr>
              <w:pStyle w:val="TableTextLeft"/>
              <w:jc w:val="both"/>
            </w:pPr>
            <w:r w:rsidRPr="002674BD">
              <w:t>Supply of development ready land in</w:t>
            </w:r>
            <w:r w:rsidR="001A2D3E" w:rsidRPr="002674BD">
              <w:t xml:space="preserve"> regional towns</w:t>
            </w:r>
            <w:r w:rsidRPr="002674BD">
              <w:t xml:space="preserve">. </w:t>
            </w:r>
          </w:p>
        </w:tc>
      </w:tr>
      <w:tr w:rsidR="00DC21EE" w:rsidRPr="002674BD" w14:paraId="63B41C47" w14:textId="77777777" w:rsidTr="004840DB">
        <w:trPr>
          <w:trHeight w:val="454"/>
        </w:trPr>
        <w:tc>
          <w:tcPr>
            <w:tcW w:w="1485" w:type="pct"/>
          </w:tcPr>
          <w:p w14:paraId="0E446D44" w14:textId="401BF875" w:rsidR="00DC21EE" w:rsidRPr="002674BD" w:rsidRDefault="00DC21EE" w:rsidP="00230337">
            <w:pPr>
              <w:pStyle w:val="TableTextLeft"/>
              <w:jc w:val="both"/>
            </w:pPr>
            <w:r w:rsidRPr="002674BD">
              <w:t>Short Term Rental Accommodation</w:t>
            </w:r>
          </w:p>
        </w:tc>
        <w:tc>
          <w:tcPr>
            <w:tcW w:w="3515" w:type="pct"/>
          </w:tcPr>
          <w:p w14:paraId="72207EF9" w14:textId="458206CB" w:rsidR="00DC21EE" w:rsidRPr="002674BD" w:rsidRDefault="00C1398A" w:rsidP="00230337">
            <w:pPr>
              <w:pStyle w:val="TableTextLeft"/>
              <w:jc w:val="both"/>
            </w:pPr>
            <w:r w:rsidRPr="002674BD">
              <w:t>As of November 2024, 332</w:t>
            </w:r>
            <w:r w:rsidR="00934E36" w:rsidRPr="002674BD">
              <w:t xml:space="preserve"> properties have been added to the </w:t>
            </w:r>
            <w:r w:rsidR="007C505D" w:rsidRPr="002674BD">
              <w:t>long-term</w:t>
            </w:r>
            <w:r w:rsidR="00934E36" w:rsidRPr="002674BD">
              <w:t xml:space="preserve"> rental market. </w:t>
            </w:r>
          </w:p>
        </w:tc>
      </w:tr>
      <w:tr w:rsidR="008534EE" w:rsidRPr="002674BD" w14:paraId="318E0B57" w14:textId="77777777" w:rsidTr="004840DB">
        <w:trPr>
          <w:trHeight w:val="454"/>
        </w:trPr>
        <w:tc>
          <w:tcPr>
            <w:tcW w:w="1485" w:type="pct"/>
          </w:tcPr>
          <w:p w14:paraId="2282F993" w14:textId="05C50FFB" w:rsidR="008534EE" w:rsidRPr="002674BD" w:rsidRDefault="008534EE" w:rsidP="00230337">
            <w:pPr>
              <w:pStyle w:val="TableTextLeft"/>
              <w:jc w:val="both"/>
            </w:pPr>
            <w:r w:rsidRPr="002674BD">
              <w:t>Vacant Property Rental Incentive Scheme</w:t>
            </w:r>
          </w:p>
        </w:tc>
        <w:tc>
          <w:tcPr>
            <w:tcW w:w="3515" w:type="pct"/>
          </w:tcPr>
          <w:p w14:paraId="15AD39C6" w14:textId="787E5F6D" w:rsidR="008534EE" w:rsidRPr="002674BD" w:rsidRDefault="008534EE" w:rsidP="00230337">
            <w:pPr>
              <w:pStyle w:val="TableTextLeft"/>
              <w:jc w:val="both"/>
            </w:pPr>
            <w:r w:rsidRPr="002674BD">
              <w:t xml:space="preserve">So far </w:t>
            </w:r>
            <w:r w:rsidR="00B40689" w:rsidRPr="002674BD">
              <w:t xml:space="preserve">97 properties have been added to the long term rental market. </w:t>
            </w:r>
          </w:p>
        </w:tc>
      </w:tr>
      <w:tr w:rsidR="00230337" w:rsidRPr="002674BD" w14:paraId="3F21B00D" w14:textId="77777777" w:rsidTr="004840DB">
        <w:trPr>
          <w:trHeight w:val="454"/>
        </w:trPr>
        <w:tc>
          <w:tcPr>
            <w:tcW w:w="1485" w:type="pct"/>
          </w:tcPr>
          <w:p w14:paraId="3A9F050B" w14:textId="77777777" w:rsidR="00230337" w:rsidRPr="002674BD" w:rsidRDefault="00230337" w:rsidP="00230337">
            <w:pPr>
              <w:pStyle w:val="TableTextLeft"/>
              <w:jc w:val="both"/>
            </w:pPr>
          </w:p>
        </w:tc>
        <w:tc>
          <w:tcPr>
            <w:tcW w:w="3515" w:type="pct"/>
          </w:tcPr>
          <w:p w14:paraId="019152CA" w14:textId="77777777" w:rsidR="00230337" w:rsidRPr="002674BD" w:rsidRDefault="00230337" w:rsidP="00230337">
            <w:pPr>
              <w:pStyle w:val="TableTextLeft"/>
              <w:jc w:val="both"/>
            </w:pPr>
          </w:p>
        </w:tc>
      </w:tr>
    </w:tbl>
    <w:p w14:paraId="12E025DA" w14:textId="77777777" w:rsidR="002D6EDC" w:rsidRPr="002674BD" w:rsidRDefault="002D6EDC" w:rsidP="007E2D0E">
      <w:pPr>
        <w:spacing w:before="0" w:after="0"/>
        <w:jc w:val="both"/>
      </w:pPr>
    </w:p>
    <w:p w14:paraId="4C3A6C8C" w14:textId="77777777" w:rsidR="0022733F" w:rsidRPr="002674BD" w:rsidRDefault="0022733F">
      <w:bookmarkStart w:id="50" w:name="_Toc168064971"/>
      <w:bookmarkStart w:id="51" w:name="_Toc168065282"/>
      <w:r w:rsidRPr="002674BD">
        <w:rPr>
          <w:b/>
        </w:rP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rsidRPr="002674BD" w14:paraId="621B1C54" w14:textId="77777777" w:rsidTr="003074FE">
        <w:tc>
          <w:tcPr>
            <w:tcW w:w="5000" w:type="pct"/>
            <w:shd w:val="clear" w:color="auto" w:fill="CEDBE6" w:themeFill="background2"/>
            <w:hideMark/>
          </w:tcPr>
          <w:p w14:paraId="66CAA1DD" w14:textId="3F201109" w:rsidR="00440B1E" w:rsidRPr="002674BD" w:rsidRDefault="00C40C8B" w:rsidP="007E2D0E">
            <w:pPr>
              <w:pStyle w:val="Heading1"/>
              <w:jc w:val="both"/>
              <w:rPr>
                <w:lang w:eastAsia="en-US"/>
              </w:rPr>
            </w:pPr>
            <w:bookmarkStart w:id="52" w:name="_Toc191366153"/>
            <w:r w:rsidRPr="002674BD">
              <w:rPr>
                <w:lang w:eastAsia="en-US"/>
              </w:rPr>
              <w:lastRenderedPageBreak/>
              <w:t>Measure 6</w:t>
            </w:r>
            <w:bookmarkEnd w:id="50"/>
            <w:bookmarkEnd w:id="51"/>
            <w:bookmarkEnd w:id="52"/>
          </w:p>
          <w:p w14:paraId="2378888C" w14:textId="51A1C17B" w:rsidR="00440B1E" w:rsidRPr="002674BD" w:rsidRDefault="000D779E" w:rsidP="007E2D0E">
            <w:pPr>
              <w:pStyle w:val="Boxdoubledot"/>
              <w:numPr>
                <w:ilvl w:val="0"/>
                <w:numId w:val="0"/>
              </w:numPr>
              <w:jc w:val="both"/>
            </w:pPr>
            <w:r w:rsidRPr="002674BD">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1CD829AE" w14:textId="6BAB21AB" w:rsidR="00C550AE" w:rsidRPr="002674BD" w:rsidRDefault="00B3354D" w:rsidP="007E2D0E">
      <w:pPr>
        <w:pStyle w:val="Heading2"/>
        <w:jc w:val="both"/>
      </w:pPr>
      <w:bookmarkStart w:id="53" w:name="_Toc191366154"/>
      <w:bookmarkStart w:id="54" w:name="_Toc168064973"/>
      <w:bookmarkStart w:id="55" w:name="_Toc168065284"/>
      <w:bookmarkStart w:id="56" w:name="_Toc160799710"/>
      <w:r w:rsidRPr="002674BD">
        <w:t>Identifying b</w:t>
      </w:r>
      <w:r w:rsidR="00D737A4" w:rsidRPr="002674BD">
        <w:t xml:space="preserve">arriers </w:t>
      </w:r>
      <w:r w:rsidR="007210B4" w:rsidRPr="002674BD">
        <w:t>in</w:t>
      </w:r>
      <w:r w:rsidR="006E4A0D" w:rsidRPr="002674BD">
        <w:t xml:space="preserve"> </w:t>
      </w:r>
      <w:r w:rsidRPr="002674BD">
        <w:t>development approval</w:t>
      </w:r>
      <w:r w:rsidR="004C5A05" w:rsidRPr="002674BD">
        <w:t>s</w:t>
      </w:r>
      <w:bookmarkEnd w:id="53"/>
    </w:p>
    <w:p w14:paraId="24931AC9" w14:textId="2D7EC2EC" w:rsidR="00A76481" w:rsidRPr="002674BD" w:rsidRDefault="006D64C9" w:rsidP="009D157D">
      <w:pPr>
        <w:pStyle w:val="Heading3"/>
        <w:spacing w:before="0" w:after="0"/>
        <w:jc w:val="both"/>
      </w:pPr>
      <w:bookmarkStart w:id="57" w:name="_Toc191366155"/>
      <w:r w:rsidRPr="002674BD">
        <w:t>Key b</w:t>
      </w:r>
      <w:r w:rsidR="00B3354D" w:rsidRPr="002674BD">
        <w:t>arriers to the timely issuing of development approvals</w:t>
      </w:r>
      <w:r w:rsidR="001F3479" w:rsidRPr="002674BD">
        <w:t xml:space="preserve"> and b</w:t>
      </w:r>
      <w:r w:rsidR="00B3354D" w:rsidRPr="002674BD">
        <w:t xml:space="preserve">arriers </w:t>
      </w:r>
      <w:r w:rsidR="001D1815" w:rsidRPr="002674BD">
        <w:t xml:space="preserve">to delivering housing where </w:t>
      </w:r>
      <w:r w:rsidR="00A76481" w:rsidRPr="002674BD">
        <w:t>development approvals have been granted</w:t>
      </w:r>
      <w:bookmarkEnd w:id="57"/>
    </w:p>
    <w:p w14:paraId="368A2FDE" w14:textId="134A8D93" w:rsidR="009D157D" w:rsidRPr="002674BD" w:rsidRDefault="004840DB" w:rsidP="00EE3C2D">
      <w:pPr>
        <w:spacing w:before="0"/>
        <w:jc w:val="both"/>
        <w:rPr>
          <w:i/>
          <w:iCs/>
          <w:color w:val="2683C6" w:themeColor="accent6"/>
        </w:rPr>
      </w:pPr>
      <w:r w:rsidRPr="002674BD">
        <w:rPr>
          <w:i/>
          <w:iCs/>
          <w:color w:val="2683C6" w:themeColor="accent6"/>
        </w:rPr>
        <w:t>Update</w:t>
      </w:r>
    </w:p>
    <w:p w14:paraId="5C71334F" w14:textId="49E02221" w:rsidR="00E650D4" w:rsidRPr="002674BD" w:rsidRDefault="00E650D4" w:rsidP="00EE3C2D">
      <w:pPr>
        <w:spacing w:before="0"/>
        <w:jc w:val="both"/>
        <w:rPr>
          <w:i/>
          <w:iCs/>
          <w:color w:val="2683C6" w:themeColor="accent6"/>
        </w:rPr>
      </w:pPr>
      <w:r w:rsidRPr="002674BD">
        <w:t>Survey responses from landowners, developers, and industry feedback highlight</w:t>
      </w:r>
      <w:r w:rsidR="009A56C4" w:rsidRPr="002674BD">
        <w:t>ed</w:t>
      </w:r>
      <w:r w:rsidRPr="002674BD">
        <w:t xml:space="preserve"> that barriers to issuing approvals and delivering housing primarily include access to finance, service infrastructure capacity, and costs associated with necessary upgrades. </w:t>
      </w:r>
    </w:p>
    <w:p w14:paraId="0D77BAC4" w14:textId="47A723A5" w:rsidR="009D157D" w:rsidRPr="002674BD" w:rsidRDefault="00E650D4" w:rsidP="00ED58A6">
      <w:pPr>
        <w:spacing w:after="0"/>
        <w:jc w:val="both"/>
      </w:pPr>
      <w:r w:rsidRPr="002674BD">
        <w:t xml:space="preserve">In Western Australia, most barriers to housing delivery are not planning related and include broader issues such as economic conditions, labour availability, material availability and cost, consumer confidence due to collapsed residential building companies, lengthy construction timeframes, infrastructure pipeline and developer willingness/ability to release land. </w:t>
      </w:r>
      <w:bookmarkStart w:id="58" w:name="_Toc191366156"/>
    </w:p>
    <w:p w14:paraId="4CAF3A36" w14:textId="68682A80" w:rsidR="009A5642" w:rsidRPr="002674BD" w:rsidRDefault="00AA64C4" w:rsidP="007E2D0E">
      <w:pPr>
        <w:pStyle w:val="Heading2"/>
        <w:jc w:val="both"/>
      </w:pPr>
      <w:r w:rsidRPr="002674BD">
        <w:t>R</w:t>
      </w:r>
      <w:r w:rsidR="00733A5E" w:rsidRPr="002674BD">
        <w:t>eform</w:t>
      </w:r>
      <w:bookmarkEnd w:id="54"/>
      <w:bookmarkEnd w:id="55"/>
      <w:r w:rsidR="00A02A1C" w:rsidRPr="002674BD">
        <w:t>s</w:t>
      </w:r>
      <w:r w:rsidRPr="002674BD">
        <w:t xml:space="preserve"> to development approvals</w:t>
      </w:r>
      <w:bookmarkEnd w:id="58"/>
    </w:p>
    <w:p w14:paraId="73A53312" w14:textId="77777777" w:rsidR="003C1BAF" w:rsidRPr="002674BD" w:rsidRDefault="003C1BAF" w:rsidP="007E2D0E">
      <w:pPr>
        <w:pStyle w:val="Heading3"/>
        <w:jc w:val="both"/>
      </w:pPr>
      <w:bookmarkStart w:id="59" w:name="_Toc191366157"/>
      <w:r w:rsidRPr="002674BD">
        <w:t>Social Housing | Affordable Housing | Community Housing</w:t>
      </w:r>
      <w:bookmarkEnd w:id="59"/>
    </w:p>
    <w:p w14:paraId="5058C49F" w14:textId="77777777" w:rsidR="001C730E" w:rsidRPr="002674BD" w:rsidRDefault="001C730E" w:rsidP="007E2D0E">
      <w:pPr>
        <w:pStyle w:val="Heading4"/>
        <w:jc w:val="both"/>
      </w:pPr>
      <w:r w:rsidRPr="002674BD">
        <w:t xml:space="preserve">Single House/Ancillary Accommodation Exemptions </w:t>
      </w:r>
    </w:p>
    <w:p w14:paraId="05B6673D" w14:textId="2F11AC76" w:rsidR="000E16CF" w:rsidRPr="002674BD" w:rsidRDefault="000E16CF" w:rsidP="007E2D0E">
      <w:pPr>
        <w:spacing w:before="0"/>
        <w:jc w:val="both"/>
        <w:rPr>
          <w:rFonts w:ascii="Calibri Light" w:hAnsi="Calibri Light" w:cs="Arial"/>
          <w:b/>
          <w:kern w:val="32"/>
          <w:sz w:val="28"/>
          <w:szCs w:val="26"/>
        </w:rPr>
      </w:pPr>
      <w:r w:rsidRPr="002674BD">
        <w:rPr>
          <w:i/>
          <w:iCs/>
        </w:rPr>
        <w:t>Enacted. Commenced 10 April 2024 (ancillary accommodation) and 1 July 2024 (single house)</w:t>
      </w:r>
    </w:p>
    <w:p w14:paraId="787BEF3C" w14:textId="638ED0AA" w:rsidR="001C730E" w:rsidRPr="002674BD" w:rsidRDefault="001C730E" w:rsidP="007E2D0E">
      <w:pPr>
        <w:jc w:val="both"/>
      </w:pPr>
      <w:r w:rsidRPr="002674BD">
        <w:t xml:space="preserve">See Measure 3. </w:t>
      </w:r>
    </w:p>
    <w:p w14:paraId="4595CB14" w14:textId="77777777" w:rsidR="001C730E" w:rsidRPr="002674BD" w:rsidRDefault="001C730E" w:rsidP="007E2D0E">
      <w:pPr>
        <w:pStyle w:val="Heading4"/>
        <w:jc w:val="both"/>
        <w:rPr>
          <w:i/>
          <w:iCs/>
        </w:rPr>
      </w:pPr>
      <w:r w:rsidRPr="002674BD">
        <w:rPr>
          <w:i/>
          <w:iCs/>
        </w:rPr>
        <w:t>Planning and Development Amendment Act 2023</w:t>
      </w:r>
    </w:p>
    <w:p w14:paraId="1E9CA8E4" w14:textId="77777777" w:rsidR="001C730E" w:rsidRPr="002674BD" w:rsidRDefault="001C730E" w:rsidP="007E2D0E">
      <w:pPr>
        <w:spacing w:before="0" w:after="160" w:line="256" w:lineRule="auto"/>
        <w:jc w:val="both"/>
      </w:pPr>
      <w:r w:rsidRPr="002674BD">
        <w:t xml:space="preserve">Requires CEO or authorised person in local government to determine single house development applications and cannot be considered by Council. Consideration of proposals will be undertaken by planning professionals. </w:t>
      </w:r>
    </w:p>
    <w:p w14:paraId="7B07F882" w14:textId="77777777" w:rsidR="001C730E" w:rsidRPr="002674BD" w:rsidRDefault="001C730E" w:rsidP="007E2D0E">
      <w:pPr>
        <w:spacing w:before="0" w:after="160" w:line="256" w:lineRule="auto"/>
        <w:jc w:val="both"/>
      </w:pPr>
      <w:r w:rsidRPr="002674BD">
        <w:t xml:space="preserve">Social Housing | Affordable Housing | Community Housing </w:t>
      </w:r>
    </w:p>
    <w:p w14:paraId="7BD59094" w14:textId="7D1AD0BC" w:rsidR="001C730E" w:rsidRPr="002674BD" w:rsidRDefault="001C730E" w:rsidP="007E2D0E">
      <w:pPr>
        <w:pStyle w:val="Heading4"/>
        <w:jc w:val="both"/>
      </w:pPr>
      <w:r w:rsidRPr="002674BD">
        <w:lastRenderedPageBreak/>
        <w:t xml:space="preserve">Development Assessment Panel Reforms </w:t>
      </w:r>
    </w:p>
    <w:p w14:paraId="357E698E" w14:textId="4D84D8AA" w:rsidR="000E16CF" w:rsidRPr="002674BD" w:rsidRDefault="000E16CF" w:rsidP="007E2D0E">
      <w:pPr>
        <w:spacing w:before="0"/>
        <w:jc w:val="both"/>
        <w:rPr>
          <w:i/>
          <w:iCs/>
        </w:rPr>
      </w:pPr>
      <w:r w:rsidRPr="002674BD">
        <w:rPr>
          <w:i/>
          <w:iCs/>
        </w:rPr>
        <w:t xml:space="preserve">Enacted. Commenced 1 March 2024.  </w:t>
      </w:r>
    </w:p>
    <w:p w14:paraId="7EA04918" w14:textId="1B25F5F4" w:rsidR="00031F11" w:rsidRPr="002674BD" w:rsidRDefault="00031F11" w:rsidP="007E2D0E">
      <w:pPr>
        <w:jc w:val="both"/>
      </w:pPr>
      <w:r w:rsidRPr="002674BD">
        <w:t xml:space="preserve">The Development Assessment Panel (DAPS) reforms create an opt-in pathway for any development over $2 million (including group and multiple </w:t>
      </w:r>
      <w:r w:rsidR="009A56C4" w:rsidRPr="002674BD">
        <w:t>dwellings but</w:t>
      </w:r>
      <w:r w:rsidRPr="002674BD">
        <w:t xml:space="preserve"> excluding single houses and ancillary structures). The WA Government is providing all community housing projects with the ability to opt into the DAPS pathway regardless of the scale and value of the project.</w:t>
      </w:r>
    </w:p>
    <w:p w14:paraId="04FEAC58" w14:textId="77777777" w:rsidR="001C730E" w:rsidRPr="002674BD" w:rsidRDefault="001C730E" w:rsidP="007E2D0E">
      <w:pPr>
        <w:spacing w:before="0" w:after="160" w:line="256" w:lineRule="auto"/>
        <w:jc w:val="both"/>
      </w:pPr>
      <w:r w:rsidRPr="002674BD">
        <w:t xml:space="preserve">Community Housing </w:t>
      </w:r>
    </w:p>
    <w:p w14:paraId="39266ECE" w14:textId="54E21E6A" w:rsidR="001C730E" w:rsidRPr="002674BD" w:rsidRDefault="001C730E" w:rsidP="007E2D0E">
      <w:pPr>
        <w:pStyle w:val="Heading4"/>
        <w:jc w:val="both"/>
      </w:pPr>
      <w:r w:rsidRPr="002674BD">
        <w:t xml:space="preserve">Permanent Significant </w:t>
      </w:r>
      <w:r w:rsidR="00DA2613" w:rsidRPr="002674BD">
        <w:t>Development pathway</w:t>
      </w:r>
      <w:r w:rsidRPr="002674BD">
        <w:t xml:space="preserve"> </w:t>
      </w:r>
    </w:p>
    <w:p w14:paraId="49F92FF4" w14:textId="65EB873D" w:rsidR="000E16CF" w:rsidRPr="002674BD" w:rsidRDefault="000E16CF" w:rsidP="007E2D0E">
      <w:pPr>
        <w:spacing w:before="0"/>
        <w:jc w:val="both"/>
        <w:rPr>
          <w:rFonts w:ascii="Calibri Light" w:hAnsi="Calibri Light" w:cs="Arial"/>
          <w:b/>
          <w:kern w:val="32"/>
          <w:sz w:val="28"/>
          <w:szCs w:val="26"/>
        </w:rPr>
      </w:pPr>
      <w:r w:rsidRPr="002674BD">
        <w:rPr>
          <w:i/>
          <w:iCs/>
        </w:rPr>
        <w:t xml:space="preserve">Enacted. Commenced 1 March 2024. </w:t>
      </w:r>
    </w:p>
    <w:p w14:paraId="1275AF94" w14:textId="656E8903" w:rsidR="001C730E" w:rsidRPr="002674BD" w:rsidRDefault="001C730E" w:rsidP="007E2D0E">
      <w:pPr>
        <w:spacing w:before="0" w:after="160" w:line="256" w:lineRule="auto"/>
        <w:jc w:val="both"/>
      </w:pPr>
      <w:r w:rsidRPr="002674BD">
        <w:t xml:space="preserve">Delivered through the </w:t>
      </w:r>
      <w:r w:rsidRPr="002674BD">
        <w:rPr>
          <w:i/>
        </w:rPr>
        <w:t>Planning and Development Amendment Act 2023</w:t>
      </w:r>
      <w:r w:rsidRPr="002674BD">
        <w:t xml:space="preserve"> and associated regulations. This pathway enables development projects that meet specified Metropolitan and regional criteria (currently monetary value only) to opt to have the Western Australian Planning Commission determine the application in lieu of a local government or Development Assessment Panel. Ability to request the Premier to authorise the lodgement of an application considered to raise an issue of State or Regional importance that does not meet the specified criteria.</w:t>
      </w:r>
    </w:p>
    <w:p w14:paraId="40FCE83A" w14:textId="230ED244" w:rsidR="003C1BAF" w:rsidRPr="002674BD" w:rsidRDefault="003C1BAF" w:rsidP="007E2D0E">
      <w:pPr>
        <w:spacing w:before="0" w:after="160" w:line="256" w:lineRule="auto"/>
        <w:jc w:val="both"/>
      </w:pPr>
      <w:r w:rsidRPr="002674BD">
        <w:t>Social Housing | Affordable Housing | Community Housing</w:t>
      </w:r>
    </w:p>
    <w:p w14:paraId="7C413F31" w14:textId="3DCFFEA2" w:rsidR="007E4764" w:rsidRPr="002674BD" w:rsidRDefault="007E4764" w:rsidP="00404E45">
      <w:pPr>
        <w:pStyle w:val="Heading3"/>
        <w:spacing w:after="0"/>
        <w:jc w:val="both"/>
      </w:pPr>
      <w:bookmarkStart w:id="60" w:name="_Toc191366158"/>
      <w:r w:rsidRPr="002674BD">
        <w:t>Reforms to social and affordable housing approval pathways</w:t>
      </w:r>
      <w:bookmarkEnd w:id="60"/>
    </w:p>
    <w:p w14:paraId="19E80365" w14:textId="77777777" w:rsidR="0017069E" w:rsidRPr="002674BD" w:rsidRDefault="0017069E" w:rsidP="00404E45">
      <w:pPr>
        <w:spacing w:before="0"/>
        <w:jc w:val="both"/>
        <w:rPr>
          <w:i/>
          <w:iCs/>
          <w:color w:val="0070C0"/>
        </w:rPr>
      </w:pPr>
      <w:r w:rsidRPr="002674BD">
        <w:rPr>
          <w:i/>
          <w:iCs/>
          <w:color w:val="0070C0"/>
        </w:rPr>
        <w:t xml:space="preserve">Update </w:t>
      </w:r>
    </w:p>
    <w:p w14:paraId="1499E76C" w14:textId="01BF107C" w:rsidR="003C1BAF" w:rsidRPr="002674BD" w:rsidRDefault="003C1BAF" w:rsidP="007E2D0E">
      <w:pPr>
        <w:jc w:val="both"/>
      </w:pPr>
      <w:r w:rsidRPr="002674BD">
        <w:t>Refer to Measure 6 - Reforms to development approval pathways.</w:t>
      </w:r>
    </w:p>
    <w:p w14:paraId="6F4FCA1C" w14:textId="77777777" w:rsidR="003C1BAF" w:rsidRPr="002674BD" w:rsidRDefault="003C1BAF" w:rsidP="007E2D0E">
      <w:pPr>
        <w:jc w:val="both"/>
      </w:pPr>
      <w:r w:rsidRPr="002674BD">
        <w:t>Regulatory reforms to ensure public works are determined by the Western Australian Planning Commission and the applicant can choose the most appropriate assessment pathway for social and affordable housing projects for all non-public work.</w:t>
      </w:r>
    </w:p>
    <w:p w14:paraId="630996FF" w14:textId="77777777" w:rsidR="003C1BAF" w:rsidRPr="002674BD" w:rsidRDefault="003C1BAF" w:rsidP="007E2D0E">
      <w:pPr>
        <w:jc w:val="both"/>
      </w:pPr>
      <w:r w:rsidRPr="002674BD">
        <w:t>Expansion of delegation from the Western Australian Planning Commission to the Housing Authority (Department of Communities) to determine applications for social/public where approval is required under the Metropolitan Region Scheme.</w:t>
      </w:r>
    </w:p>
    <w:p w14:paraId="63BC3FB6" w14:textId="5F399B00" w:rsidR="0017069E" w:rsidRPr="002674BD" w:rsidRDefault="0017069E" w:rsidP="007E2D0E">
      <w:pPr>
        <w:jc w:val="both"/>
      </w:pPr>
      <w:r w:rsidRPr="002674BD">
        <w:t xml:space="preserve">Future changes which come into effect on 30 May 2025 will enable </w:t>
      </w:r>
      <w:r w:rsidRPr="002674BD">
        <w:rPr>
          <w:rFonts w:hint="cs"/>
        </w:rPr>
        <w:t>apartment developments of any value, in targeted locations that include a minimum of five per cent social or affordable housing to be eligible for the Significant Development Pathway.</w:t>
      </w:r>
    </w:p>
    <w:p w14:paraId="6C8CBF7B" w14:textId="23641488" w:rsidR="00307B77" w:rsidRPr="002674BD" w:rsidRDefault="00307B77" w:rsidP="00404E45">
      <w:pPr>
        <w:pStyle w:val="Heading3"/>
        <w:spacing w:after="0"/>
        <w:jc w:val="both"/>
      </w:pPr>
      <w:bookmarkStart w:id="61" w:name="_Toc191366159"/>
      <w:r w:rsidRPr="002674BD">
        <w:t xml:space="preserve">Reforms </w:t>
      </w:r>
      <w:r w:rsidR="00503B7E" w:rsidRPr="002674BD">
        <w:t>address</w:t>
      </w:r>
      <w:r w:rsidR="007E4764" w:rsidRPr="002674BD">
        <w:t>ing</w:t>
      </w:r>
      <w:r w:rsidR="00503B7E" w:rsidRPr="002674BD">
        <w:t xml:space="preserve"> barriers to the </w:t>
      </w:r>
      <w:r w:rsidR="007E4764" w:rsidRPr="002674BD">
        <w:t>timely issuing of development approvals</w:t>
      </w:r>
      <w:bookmarkEnd w:id="61"/>
    </w:p>
    <w:p w14:paraId="4534E919" w14:textId="77777777" w:rsidR="00EF10E4" w:rsidRPr="002674BD" w:rsidRDefault="00EF10E4" w:rsidP="00404E45">
      <w:pPr>
        <w:spacing w:before="0"/>
        <w:jc w:val="both"/>
        <w:rPr>
          <w:i/>
          <w:iCs/>
          <w:color w:val="0070C0"/>
        </w:rPr>
      </w:pPr>
      <w:r w:rsidRPr="002674BD">
        <w:rPr>
          <w:i/>
          <w:iCs/>
          <w:color w:val="0070C0"/>
        </w:rPr>
        <w:t xml:space="preserve">Update </w:t>
      </w:r>
    </w:p>
    <w:p w14:paraId="74536E92" w14:textId="77777777" w:rsidR="003C1BAF" w:rsidRPr="002674BD" w:rsidRDefault="003C1BAF" w:rsidP="007E2D0E">
      <w:pPr>
        <w:jc w:val="both"/>
      </w:pPr>
      <w:r w:rsidRPr="002674BD">
        <w:t>Significant work has already been undertaken to streamline approvals through reforms listed in Measures 4 and 5.</w:t>
      </w:r>
    </w:p>
    <w:p w14:paraId="3FC5BD3E" w14:textId="77777777" w:rsidR="003C1BAF" w:rsidRPr="002674BD" w:rsidRDefault="003C1BAF" w:rsidP="007E2D0E">
      <w:pPr>
        <w:jc w:val="both"/>
      </w:pPr>
      <w:r w:rsidRPr="002674BD">
        <w:lastRenderedPageBreak/>
        <w:t>Statutory timeframes of 60 days (90 days where public consultation is required) for determining development applications and exemptions from requiring approval for most single houses (subject to meeting R-Code requirements) have been in place since at least 2005 through local planning schemes.</w:t>
      </w:r>
    </w:p>
    <w:p w14:paraId="5174647F" w14:textId="505B7746" w:rsidR="003C1BAF" w:rsidRPr="002674BD" w:rsidRDefault="003C1BAF" w:rsidP="007E2D0E">
      <w:pPr>
        <w:jc w:val="both"/>
      </w:pPr>
      <w:r w:rsidRPr="002674BD">
        <w:t xml:space="preserve">While some local governments report voluntarily on the performance of planning matters in annual reports, this is not a mandatory requirement. Monitoring of systems allows them to be scrutinised and managed; consequently, there are persistent industry calls for the collection and publication of information on local government performance in undertaking statutory planning functions. Improved reporting on planning matters is a component of the WA Governments planning reform </w:t>
      </w:r>
      <w:r w:rsidR="00143B8B" w:rsidRPr="002674BD">
        <w:t>agenda.</w:t>
      </w:r>
    </w:p>
    <w:p w14:paraId="798EF363" w14:textId="5625AA82" w:rsidR="00307B77" w:rsidRPr="002674BD" w:rsidRDefault="00733A5E" w:rsidP="00404E45">
      <w:pPr>
        <w:pStyle w:val="Heading3"/>
        <w:spacing w:after="0"/>
        <w:jc w:val="both"/>
      </w:pPr>
      <w:bookmarkStart w:id="62" w:name="_Toc168064974"/>
      <w:bookmarkStart w:id="63" w:name="_Toc168065285"/>
      <w:bookmarkStart w:id="64" w:name="_Toc191366240"/>
      <w:r w:rsidRPr="002674BD">
        <w:t xml:space="preserve">Planning reforms to address </w:t>
      </w:r>
      <w:r w:rsidR="00BF251F" w:rsidRPr="002674BD">
        <w:t>e</w:t>
      </w:r>
      <w:r w:rsidR="00B037A9" w:rsidRPr="002674BD">
        <w:t>xisting development approvals which have not been acted upon</w:t>
      </w:r>
      <w:bookmarkStart w:id="65" w:name="_Toc168064975"/>
      <w:bookmarkStart w:id="66" w:name="_Toc168065286"/>
      <w:bookmarkEnd w:id="56"/>
      <w:bookmarkEnd w:id="62"/>
      <w:bookmarkEnd w:id="63"/>
      <w:bookmarkEnd w:id="64"/>
    </w:p>
    <w:p w14:paraId="1611B05F" w14:textId="77777777" w:rsidR="00E650D4" w:rsidRPr="002674BD" w:rsidRDefault="00E650D4" w:rsidP="007E2D0E">
      <w:pPr>
        <w:spacing w:after="0" w:line="244" w:lineRule="auto"/>
        <w:jc w:val="both"/>
      </w:pPr>
      <w:r w:rsidRPr="002674BD">
        <w:t xml:space="preserve">In Western Australia, the majority of development assessments are undertaken by local government. Understanding the key barriers to implementing development approvals largely comes from feedback provided by local government and the development industry. Every three years the Department of Planning, Lands and Heritage surveys landowners and developers to better understand how the development industry views future land and dwelling developments. They are encouraged to provide specific information about their projects, including development type, expected dwelling yields, staging and issues affecting project delivery. </w:t>
      </w:r>
    </w:p>
    <w:p w14:paraId="3FA7E47C" w14:textId="3B14F4CB" w:rsidR="00E650D4" w:rsidRPr="002674BD" w:rsidRDefault="00E650D4" w:rsidP="007E2D0E">
      <w:pPr>
        <w:spacing w:after="0" w:line="244" w:lineRule="auto"/>
        <w:jc w:val="both"/>
      </w:pPr>
      <w:r w:rsidRPr="002674BD">
        <w:t xml:space="preserve">Survey responses and industry feedback suggest that constraints include access to finance and the availability of service infrastructure, including the capacity of existing infrastructure; and costs and material supplies related to upgrades that are required to deliver the project. Housing is primarily delivered through large residential estates in the outer suburbs (limited infrastructure networks are available and are therefore </w:t>
      </w:r>
      <w:r w:rsidR="00143B8B" w:rsidRPr="002674BD">
        <w:t>required to</w:t>
      </w:r>
      <w:r w:rsidRPr="002674BD">
        <w:t xml:space="preserve"> be extended) or intensive infill in older areas (limited capacity therefore upgrades are required).</w:t>
      </w:r>
    </w:p>
    <w:p w14:paraId="6EE4F67D" w14:textId="33259C34" w:rsidR="008F0FD0" w:rsidRPr="002674BD" w:rsidRDefault="003B20DD" w:rsidP="00404E45">
      <w:pPr>
        <w:spacing w:after="0" w:line="244" w:lineRule="auto"/>
        <w:jc w:val="both"/>
      </w:pPr>
      <w:r w:rsidRPr="002674BD">
        <w:t>Furthermore,</w:t>
      </w:r>
      <w:r w:rsidR="00E318C4" w:rsidRPr="002674BD">
        <w:t xml:space="preserve"> </w:t>
      </w:r>
      <w:r w:rsidRPr="002674BD">
        <w:t>t</w:t>
      </w:r>
      <w:r w:rsidR="008F0FD0" w:rsidRPr="002674BD">
        <w:t xml:space="preserve">o address this, the WA Government has several </w:t>
      </w:r>
      <w:r w:rsidR="00E650D4" w:rsidRPr="002674BD">
        <w:t xml:space="preserve">(non-planning) </w:t>
      </w:r>
      <w:r w:rsidR="008F0FD0" w:rsidRPr="002674BD">
        <w:t>initiatives commenced during 2022</w:t>
      </w:r>
      <w:r w:rsidR="00E318C4" w:rsidRPr="002674BD">
        <w:t xml:space="preserve"> to 202</w:t>
      </w:r>
      <w:r w:rsidR="00C1398A" w:rsidRPr="002674BD">
        <w:t>5</w:t>
      </w:r>
      <w:r w:rsidR="008F0FD0" w:rsidRPr="002674BD">
        <w:t xml:space="preserve"> including: Housing Diversity Pipeline, Infrastructure Development Fund ($80m), Social Housing Unit, Water and Wastewater Infrastructure Investment ($55m), Transfer duty concession for off-the-plan apartments and apartments under construction, and financial support for residential builders.  These Government initiatives are delivered through the Departments of Treasury; Finance; Planning, Lands and Heritage; Communities and Development WA.</w:t>
      </w:r>
      <w:r w:rsidR="0017069E" w:rsidRPr="002674BD">
        <w:t xml:space="preserve"> Further the extended builders support facility aims to provide financial assistance to residential building businesses to complete homes that have been under construction for more than two years. </w:t>
      </w:r>
    </w:p>
    <w:p w14:paraId="53BE3E62" w14:textId="55562099" w:rsidR="003C1BAF" w:rsidRPr="002674BD" w:rsidRDefault="003C1BAF" w:rsidP="007E2D0E">
      <w:pPr>
        <w:jc w:val="both"/>
      </w:pPr>
      <w:r w:rsidRPr="002674BD">
        <w:t xml:space="preserve">Also see Measure </w:t>
      </w:r>
      <w:r w:rsidR="008F0FD0" w:rsidRPr="002674BD">
        <w:t xml:space="preserve">4 and </w:t>
      </w:r>
      <w:r w:rsidRPr="002674BD">
        <w:t xml:space="preserve">5 and the </w:t>
      </w:r>
      <w:hyperlink w:history="1">
        <w:r w:rsidRPr="002674BD">
          <w:rPr>
            <w:rStyle w:val="Hyperlink"/>
          </w:rPr>
          <w:t xml:space="preserve">Housing Industry Forecasting Group (HIFG) </w:t>
        </w:r>
        <w:r w:rsidR="00E318C4" w:rsidRPr="002674BD">
          <w:rPr>
            <w:rStyle w:val="Hyperlink"/>
          </w:rPr>
          <w:t>–</w:t>
        </w:r>
        <w:r w:rsidRPr="002674BD">
          <w:rPr>
            <w:rStyle w:val="Hyperlink"/>
          </w:rPr>
          <w:t xml:space="preserve"> </w:t>
        </w:r>
        <w:r w:rsidR="00E318C4" w:rsidRPr="002674BD">
          <w:rPr>
            <w:rStyle w:val="Hyperlink"/>
          </w:rPr>
          <w:t>April 2024</w:t>
        </w:r>
        <w:r w:rsidRPr="002674BD">
          <w:rPr>
            <w:rStyle w:val="Hyperlink"/>
          </w:rPr>
          <w:t xml:space="preserve"> Update</w:t>
        </w:r>
      </w:hyperlink>
    </w:p>
    <w:p w14:paraId="680D0217" w14:textId="5BDA7022" w:rsidR="00992C64" w:rsidRPr="002674BD" w:rsidRDefault="000E16CF" w:rsidP="007E2D0E">
      <w:pPr>
        <w:pStyle w:val="Heading3"/>
        <w:jc w:val="both"/>
      </w:pPr>
      <w:bookmarkStart w:id="67" w:name="_Toc160799716"/>
      <w:bookmarkStart w:id="68" w:name="_Toc168064978"/>
      <w:bookmarkStart w:id="69" w:name="_Toc168065289"/>
      <w:bookmarkStart w:id="70" w:name="_Toc191366241"/>
      <w:bookmarkEnd w:id="65"/>
      <w:bookmarkEnd w:id="66"/>
      <w:r w:rsidRPr="002674BD">
        <w:lastRenderedPageBreak/>
        <w:t>Western Australia’s</w:t>
      </w:r>
      <w:r w:rsidR="008553D7" w:rsidRPr="002674BD">
        <w:t xml:space="preserve"> position on </w:t>
      </w:r>
      <w:r w:rsidR="00A02A1C" w:rsidRPr="002674BD">
        <w:t>p</w:t>
      </w:r>
      <w:r w:rsidR="00151FA7" w:rsidRPr="002674BD">
        <w:t>lanning and inclusionary zoning reforms to support permanent affordable, social and other specialist housing in developments</w:t>
      </w:r>
      <w:r w:rsidR="00151FA7" w:rsidRPr="002674BD">
        <w:rPr>
          <w:rStyle w:val="FootnoteReference"/>
        </w:rPr>
        <w:footnoteReference w:id="6"/>
      </w:r>
      <w:bookmarkEnd w:id="67"/>
      <w:bookmarkEnd w:id="68"/>
      <w:bookmarkEnd w:id="69"/>
      <w:bookmarkEnd w:id="70"/>
    </w:p>
    <w:p w14:paraId="617306D5" w14:textId="173A444B" w:rsidR="003C1BAF" w:rsidRPr="002674BD" w:rsidRDefault="003C1BAF" w:rsidP="007E2D0E">
      <w:pPr>
        <w:spacing w:after="160" w:line="256" w:lineRule="auto"/>
        <w:jc w:val="both"/>
      </w:pPr>
      <w:r w:rsidRPr="002674BD">
        <w:t xml:space="preserve">The WA Government is progressing with work on the Development of Bonus Incentives for Social and Affordable Housing. </w:t>
      </w:r>
    </w:p>
    <w:p w14:paraId="14D9F459" w14:textId="77777777" w:rsidR="003C1BAF" w:rsidRPr="002674BD" w:rsidRDefault="003C1BAF" w:rsidP="007E2D0E">
      <w:pPr>
        <w:spacing w:before="0" w:after="160" w:line="256" w:lineRule="auto"/>
        <w:jc w:val="both"/>
      </w:pPr>
      <w:r w:rsidRPr="002674BD">
        <w:t xml:space="preserve">The intent is to boost social housing and affordable housing supply in private developments at targeted locations. The aim is to deliver a minimum of 5 per cent social and affordable housing through larger scale, private projects, in the inner city and medium to high density areas, including those close to METRONET stations. Development bonuses will need to be commensurate with the type and amount of social and affordable housing being delivered in a private development. </w:t>
      </w:r>
    </w:p>
    <w:p w14:paraId="087FB215" w14:textId="77777777" w:rsidR="003C1BAF" w:rsidRPr="002674BD" w:rsidRDefault="003C1BAF" w:rsidP="007E2D0E">
      <w:pPr>
        <w:spacing w:before="0" w:after="160" w:line="256" w:lineRule="auto"/>
        <w:jc w:val="both"/>
      </w:pPr>
      <w:r w:rsidRPr="002674BD">
        <w:t>A net increase of social housing on-site will also be required. The delivery mechanism is regulatory change and supporting guidance.</w:t>
      </w:r>
    </w:p>
    <w:p w14:paraId="516BB507" w14:textId="25DF8880" w:rsidR="003C1BAF" w:rsidRPr="002674BD" w:rsidRDefault="003C1BAF" w:rsidP="007E2D0E">
      <w:pPr>
        <w:jc w:val="both"/>
      </w:pPr>
      <w:r w:rsidRPr="002674BD">
        <w:t xml:space="preserve">Redevelopment schemes under the </w:t>
      </w:r>
      <w:r w:rsidRPr="002674BD">
        <w:rPr>
          <w:i/>
          <w:iCs/>
        </w:rPr>
        <w:t>Metropolitan Redevelopment Authority Act 2011</w:t>
      </w:r>
      <w:r w:rsidRPr="002674BD">
        <w:t xml:space="preserve"> already include requirements for diverse and affordable housing (minimum 12% in development over a certain scale).</w:t>
      </w:r>
    </w:p>
    <w:p w14:paraId="77AAF617" w14:textId="77777777" w:rsidR="00ED5E65" w:rsidRPr="002674BD" w:rsidRDefault="00ED5E65" w:rsidP="007E2D0E">
      <w:pPr>
        <w:pStyle w:val="Heading2"/>
        <w:jc w:val="both"/>
      </w:pPr>
      <w:bookmarkStart w:id="71" w:name="_Toc160799713"/>
      <w:bookmarkStart w:id="72" w:name="_Toc168064977"/>
      <w:bookmarkStart w:id="73" w:name="_Toc168065288"/>
      <w:bookmarkStart w:id="74" w:name="_Toc191366242"/>
      <w:r w:rsidRPr="002674BD">
        <w:t>Initiatives to share planning data and improve visibility of factors affecting housing delivery</w:t>
      </w:r>
      <w:bookmarkEnd w:id="71"/>
      <w:bookmarkEnd w:id="72"/>
      <w:bookmarkEnd w:id="73"/>
      <w:bookmarkEnd w:id="74"/>
    </w:p>
    <w:p w14:paraId="05999F94" w14:textId="77777777" w:rsidR="003C1BAF" w:rsidRPr="002674BD" w:rsidRDefault="003C1BAF" w:rsidP="007E2D0E">
      <w:pPr>
        <w:jc w:val="both"/>
      </w:pPr>
      <w:r w:rsidRPr="002674BD">
        <w:t>The Department of Planning, Lands and Heritage supports data sharing practices between Government agencies and the public under the Framework of the Department’s Data Strategy. Improving data sharing promotes efficiencies in planning processes and the coordination of land supply and infrastructure delivery. The Department monitors land and housing supply on behalf of the Western Australian Planning Commission through the Urban Development Program (UDP).</w:t>
      </w:r>
    </w:p>
    <w:p w14:paraId="718BAFDB" w14:textId="77777777" w:rsidR="003C1BAF" w:rsidRPr="002674BD" w:rsidRDefault="003C1BAF" w:rsidP="007E2D0E">
      <w:pPr>
        <w:jc w:val="both"/>
      </w:pPr>
      <w:r w:rsidRPr="002674BD">
        <w:t>UDP research and analysis data is shared through a variety of means including:</w:t>
      </w:r>
    </w:p>
    <w:p w14:paraId="16E647A6" w14:textId="1FFEB4DA" w:rsidR="003C1BAF" w:rsidRPr="002674BD" w:rsidRDefault="003C1BAF" w:rsidP="007E2D0E">
      <w:pPr>
        <w:pStyle w:val="ListParagraph"/>
        <w:numPr>
          <w:ilvl w:val="0"/>
          <w:numId w:val="32"/>
        </w:numPr>
        <w:jc w:val="both"/>
      </w:pPr>
      <w:r w:rsidRPr="002674BD">
        <w:t>written reports and tabular data published on the Department of Planning, Lands and Heritage website;</w:t>
      </w:r>
    </w:p>
    <w:p w14:paraId="1B5772DD" w14:textId="77777777" w:rsidR="003C1BAF" w:rsidRPr="002674BD" w:rsidRDefault="003C1BAF" w:rsidP="007E2D0E">
      <w:pPr>
        <w:pStyle w:val="ListParagraph"/>
        <w:numPr>
          <w:ilvl w:val="0"/>
          <w:numId w:val="32"/>
        </w:numPr>
        <w:jc w:val="both"/>
      </w:pPr>
      <w:r w:rsidRPr="002674BD">
        <w:t xml:space="preserve">interactive maps available through the PlanWA spatial viewer; </w:t>
      </w:r>
    </w:p>
    <w:p w14:paraId="04DE4DAC" w14:textId="77777777" w:rsidR="003C1BAF" w:rsidRPr="002674BD" w:rsidRDefault="003C1BAF" w:rsidP="007E2D0E">
      <w:pPr>
        <w:pStyle w:val="ListParagraph"/>
        <w:numPr>
          <w:ilvl w:val="0"/>
          <w:numId w:val="32"/>
        </w:numPr>
        <w:jc w:val="both"/>
      </w:pPr>
      <w:r w:rsidRPr="002674BD">
        <w:t>spatial datasets are available for download from the SpatialWA website; and</w:t>
      </w:r>
    </w:p>
    <w:p w14:paraId="5F567A9A" w14:textId="77777777" w:rsidR="003C1BAF" w:rsidRPr="002674BD" w:rsidRDefault="003C1BAF" w:rsidP="007E2D0E">
      <w:pPr>
        <w:pStyle w:val="ListParagraph"/>
        <w:numPr>
          <w:ilvl w:val="0"/>
          <w:numId w:val="32"/>
        </w:numPr>
        <w:jc w:val="both"/>
      </w:pPr>
      <w:r w:rsidRPr="002674BD">
        <w:t>reporting on the Department of Planning, Lands and Heritage's KPI performance at the Department is annually.</w:t>
      </w:r>
    </w:p>
    <w:p w14:paraId="13AA4BDA" w14:textId="77777777" w:rsidR="003C1BAF" w:rsidRPr="002674BD" w:rsidRDefault="003C1BAF" w:rsidP="007E2D0E">
      <w:pPr>
        <w:jc w:val="both"/>
      </w:pPr>
      <w:r w:rsidRPr="002674BD">
        <w:t xml:space="preserve"> There is an opportunity for increased data sharing between states and territories. It is noted that the annual Australian Bureau of Statics convention allows for discussion and knowledge sharing regarding demographic matters. The WA Government is open to considering opportunities for capturing, reporting on data and exploring data sharing arrangements in the future. </w:t>
      </w:r>
    </w:p>
    <w:p w14:paraId="77BF0691" w14:textId="77777777" w:rsidR="00D23B2A" w:rsidRPr="002674BD" w:rsidRDefault="00D23B2A" w:rsidP="007E2D0E">
      <w:pPr>
        <w:jc w:val="both"/>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D23B2A" w:rsidRPr="002674BD" w14:paraId="07C24A9F" w14:textId="77777777" w:rsidTr="00FB7B77">
        <w:tc>
          <w:tcPr>
            <w:tcW w:w="5000" w:type="pct"/>
            <w:shd w:val="clear" w:color="auto" w:fill="CEDBE6" w:themeFill="background2"/>
            <w:hideMark/>
          </w:tcPr>
          <w:p w14:paraId="4EEAC7C5" w14:textId="77777777" w:rsidR="00D23B2A" w:rsidRPr="002674BD" w:rsidRDefault="00D23B2A" w:rsidP="00D23B2A">
            <w:pPr>
              <w:keepNext/>
              <w:spacing w:before="600" w:after="120" w:line="460" w:lineRule="exact"/>
              <w:outlineLvl w:val="0"/>
              <w:rPr>
                <w:rFonts w:asciiTheme="majorHAnsi" w:hAnsiTheme="majorHAnsi" w:cs="Arial"/>
                <w:b/>
                <w:kern w:val="32"/>
                <w:sz w:val="56"/>
                <w:szCs w:val="36"/>
                <w:lang w:eastAsia="en-US"/>
              </w:rPr>
            </w:pPr>
            <w:bookmarkStart w:id="75" w:name="_Toc164690922"/>
            <w:bookmarkStart w:id="76" w:name="_Toc191366243"/>
            <w:r w:rsidRPr="002674BD">
              <w:rPr>
                <w:rFonts w:asciiTheme="majorHAnsi" w:hAnsiTheme="majorHAnsi" w:cs="Arial"/>
                <w:b/>
                <w:kern w:val="32"/>
                <w:sz w:val="56"/>
                <w:szCs w:val="36"/>
                <w:lang w:eastAsia="en-US"/>
              </w:rPr>
              <w:t>Measure 10</w:t>
            </w:r>
            <w:bookmarkEnd w:id="75"/>
            <w:bookmarkEnd w:id="76"/>
          </w:p>
          <w:p w14:paraId="1FFEA9BC" w14:textId="77777777" w:rsidR="00D23B2A" w:rsidRPr="002674BD" w:rsidRDefault="00D23B2A" w:rsidP="00D23B2A">
            <w:pPr>
              <w:spacing w:before="120" w:after="120"/>
              <w:rPr>
                <w:sz w:val="20"/>
              </w:rPr>
            </w:pPr>
            <w:r w:rsidRPr="002674BD">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43B56784" w14:textId="77777777" w:rsidR="00D23B2A" w:rsidRPr="002674BD" w:rsidRDefault="00D23B2A" w:rsidP="00D23B2A">
      <w:pPr>
        <w:keepNext/>
        <w:spacing w:before="360" w:after="120" w:line="460" w:lineRule="exact"/>
        <w:outlineLvl w:val="1"/>
        <w:rPr>
          <w:rFonts w:asciiTheme="majorHAnsi" w:hAnsiTheme="majorHAnsi" w:cs="Arial"/>
          <w:iCs/>
          <w:color w:val="336699" w:themeColor="text2"/>
          <w:kern w:val="32"/>
          <w:sz w:val="36"/>
          <w:szCs w:val="28"/>
        </w:rPr>
      </w:pPr>
      <w:bookmarkStart w:id="77" w:name="_Toc164690923"/>
      <w:bookmarkStart w:id="78" w:name="_Toc191366244"/>
      <w:bookmarkStart w:id="79" w:name="_Toc160799719"/>
      <w:r w:rsidRPr="002674BD">
        <w:rPr>
          <w:rFonts w:asciiTheme="majorHAnsi" w:hAnsiTheme="majorHAnsi" w:cs="Arial"/>
          <w:iCs/>
          <w:color w:val="336699" w:themeColor="text2"/>
          <w:kern w:val="32"/>
          <w:sz w:val="36"/>
          <w:szCs w:val="28"/>
        </w:rPr>
        <w:t>Well located government land suitable for housing</w:t>
      </w:r>
      <w:bookmarkEnd w:id="77"/>
      <w:bookmarkEnd w:id="78"/>
    </w:p>
    <w:p w14:paraId="2150FDCF" w14:textId="7F804AB6" w:rsidR="00D23B2A" w:rsidRPr="002674BD" w:rsidRDefault="00A11CC7" w:rsidP="00D23B2A">
      <w:r w:rsidRPr="002674BD">
        <w:t>T</w:t>
      </w:r>
      <w:r w:rsidR="00D23B2A" w:rsidRPr="002674BD">
        <w:t>he Western Australian Government's Housing Diversity Pipeline (HDP) focuses on identifying surplus government land suitable for residential development, prioritising this over other uses. Central to the program is delivering medium and high-density housing, with a strong emphasis on infill and transit-oriented developments.</w:t>
      </w:r>
    </w:p>
    <w:p w14:paraId="3B25B349" w14:textId="77777777" w:rsidR="00D23B2A" w:rsidRPr="002674BD" w:rsidRDefault="00D23B2A" w:rsidP="00D23B2A">
      <w:r w:rsidRPr="002674BD">
        <w:t>Further detail is provided in Measure 10 case study 2.</w:t>
      </w:r>
    </w:p>
    <w:p w14:paraId="305BBD21" w14:textId="62F552A8" w:rsidR="00D23B2A" w:rsidRPr="002674BD" w:rsidRDefault="00D23B2A" w:rsidP="00D23B2A">
      <w:pPr>
        <w:keepNext/>
        <w:spacing w:before="360" w:after="120" w:line="460" w:lineRule="exact"/>
        <w:outlineLvl w:val="1"/>
        <w:rPr>
          <w:rFonts w:asciiTheme="majorHAnsi" w:hAnsiTheme="majorHAnsi" w:cs="Arial"/>
          <w:iCs/>
          <w:color w:val="336699" w:themeColor="text2"/>
          <w:kern w:val="32"/>
          <w:sz w:val="36"/>
          <w:szCs w:val="28"/>
        </w:rPr>
      </w:pPr>
      <w:bookmarkStart w:id="80" w:name="_Toc164690924"/>
      <w:bookmarkStart w:id="81" w:name="_Toc191366245"/>
      <w:r w:rsidRPr="002674BD">
        <w:rPr>
          <w:rFonts w:asciiTheme="majorHAnsi" w:hAnsiTheme="majorHAnsi" w:cs="Arial"/>
          <w:iCs/>
          <w:color w:val="336699" w:themeColor="text2"/>
          <w:kern w:val="32"/>
          <w:sz w:val="36"/>
          <w:szCs w:val="28"/>
        </w:rPr>
        <w:t>Best practice examples</w:t>
      </w:r>
      <w:bookmarkEnd w:id="79"/>
      <w:bookmarkEnd w:id="80"/>
      <w:bookmarkEnd w:id="81"/>
    </w:p>
    <w:tbl>
      <w:tblPr>
        <w:tblW w:w="5000" w:type="pct"/>
        <w:shd w:val="clear" w:color="auto" w:fill="D4EAF3" w:themeFill="accent1" w:themeFillTint="33"/>
        <w:tblCellMar>
          <w:top w:w="284" w:type="dxa"/>
          <w:left w:w="284" w:type="dxa"/>
          <w:bottom w:w="284" w:type="dxa"/>
          <w:right w:w="284" w:type="dxa"/>
        </w:tblCellMar>
        <w:tblLook w:val="0600" w:firstRow="0" w:lastRow="0" w:firstColumn="0" w:lastColumn="0" w:noHBand="1" w:noVBand="1"/>
      </w:tblPr>
      <w:tblGrid>
        <w:gridCol w:w="9070"/>
      </w:tblGrid>
      <w:tr w:rsidR="00D23B2A" w:rsidRPr="002674BD" w14:paraId="7D64863C" w14:textId="77777777" w:rsidTr="00FB7B77">
        <w:tc>
          <w:tcPr>
            <w:tcW w:w="5000" w:type="pct"/>
            <w:shd w:val="clear" w:color="auto" w:fill="D4EAF3" w:themeFill="accent1" w:themeFillTint="33"/>
            <w:hideMark/>
          </w:tcPr>
          <w:p w14:paraId="4A736B03" w14:textId="77777777" w:rsidR="00D23B2A" w:rsidRPr="002674BD" w:rsidRDefault="00D23B2A" w:rsidP="00D23B2A">
            <w:pPr>
              <w:rPr>
                <w:color w:val="2683C6" w:themeColor="accent6"/>
                <w:sz w:val="32"/>
                <w:szCs w:val="30"/>
              </w:rPr>
            </w:pPr>
            <w:bookmarkStart w:id="82" w:name="_Toc160803709"/>
            <w:r w:rsidRPr="002674BD">
              <w:rPr>
                <w:color w:val="2683C6" w:themeColor="accent6"/>
                <w:sz w:val="32"/>
                <w:szCs w:val="30"/>
              </w:rPr>
              <w:t xml:space="preserve">Case Study 1- </w:t>
            </w:r>
            <w:bookmarkEnd w:id="82"/>
            <w:r w:rsidRPr="002674BD">
              <w:rPr>
                <w:color w:val="2683C6" w:themeColor="accent6"/>
                <w:sz w:val="32"/>
                <w:szCs w:val="30"/>
              </w:rPr>
              <w:t>METRONET</w:t>
            </w:r>
          </w:p>
          <w:p w14:paraId="5888D8B3" w14:textId="77777777" w:rsidR="00C1398A" w:rsidRPr="002674BD" w:rsidRDefault="00C1398A" w:rsidP="00C1398A">
            <w:pPr>
              <w:jc w:val="both"/>
              <w:rPr>
                <w:szCs w:val="22"/>
              </w:rPr>
            </w:pPr>
            <w:r w:rsidRPr="002674BD">
              <w:t xml:space="preserve">METRONET is the largest integrated transport and land use program ever delivered in Perth. Investment in rail will act as the catalyst for land use change in over 8,000 ha of land within walkable catchments around METRONET stations. METRONET rail infrastructure and stations have been designed and delivered to use government land efficiently and create new development opportunities on Government landholdings within walking distance of the station. These precincts present an opportunity to deliver new housing within well-situated locations across the Perth and Peel </w:t>
            </w:r>
            <w:r w:rsidRPr="002674BD">
              <w:rPr>
                <w:szCs w:val="22"/>
              </w:rPr>
              <w:t>region. On 8 December 2024 the METRONET Ellenbrook Line opened and includes five new stations: Morley, Noranda, Ballajura, Whiteman Park, and Ellenbrook. </w:t>
            </w:r>
          </w:p>
          <w:p w14:paraId="14EE222C" w14:textId="77777777" w:rsidR="00C1398A" w:rsidRPr="002674BD" w:rsidRDefault="00C1398A" w:rsidP="00C1398A">
            <w:pPr>
              <w:jc w:val="both"/>
              <w:rPr>
                <w:szCs w:val="22"/>
              </w:rPr>
            </w:pPr>
            <w:r w:rsidRPr="002674BD">
              <w:rPr>
                <w:szCs w:val="22"/>
              </w:rPr>
              <w:t>This work continues as the project progresses, with the State leading precinct planning. METRONET station precincts provide the opportunity to deliver new housing opportunities for all West Australians. Working across State and local governments, key precincts are being planned to provide new infrastructure, amenity and services to communities and establish a pipeline of housing development options in a mix of tenures, including social and affordable housing, for public and private investment.</w:t>
            </w:r>
          </w:p>
          <w:p w14:paraId="0EA1AEFB" w14:textId="77777777" w:rsidR="00C1398A" w:rsidRPr="002674BD" w:rsidRDefault="00C1398A" w:rsidP="00C1398A">
            <w:pPr>
              <w:pStyle w:val="BoxText"/>
              <w:spacing w:after="0"/>
              <w:jc w:val="both"/>
              <w:rPr>
                <w:sz w:val="22"/>
                <w:szCs w:val="22"/>
              </w:rPr>
            </w:pPr>
            <w:r w:rsidRPr="002674BD">
              <w:rPr>
                <w:sz w:val="22"/>
                <w:szCs w:val="22"/>
              </w:rPr>
              <w:t xml:space="preserve">To support the delivery of housing, work is underway to identify and prioritise suitable State-owned land in METRONET station precincts and other well-located areas. The identified sites will have the potential to provide for social and affordable housing, mixed with other new </w:t>
            </w:r>
            <w:r w:rsidRPr="002674BD">
              <w:rPr>
                <w:sz w:val="22"/>
                <w:szCs w:val="22"/>
              </w:rPr>
              <w:lastRenderedPageBreak/>
              <w:t>housing types where applicable. Being within station precincts, the sites will be within walking distance of high-quality public transport infrastructure and provide a foundation for transit oriented development with medium to high-density housing that both maximises the benefits of the public transport investment and other National, State and/or local government investments in these precincts, such as the Ellenbrook Leisure Centre (approved by WAPC in February 2025).</w:t>
            </w:r>
          </w:p>
          <w:p w14:paraId="6BC2811D" w14:textId="77777777" w:rsidR="00C1398A" w:rsidRPr="002674BD" w:rsidRDefault="00C1398A" w:rsidP="00C1398A">
            <w:pPr>
              <w:pStyle w:val="BoxText"/>
              <w:spacing w:after="0"/>
              <w:jc w:val="both"/>
              <w:rPr>
                <w:sz w:val="22"/>
                <w:szCs w:val="22"/>
              </w:rPr>
            </w:pPr>
            <w:r w:rsidRPr="002674BD">
              <w:rPr>
                <w:sz w:val="22"/>
                <w:szCs w:val="22"/>
              </w:rPr>
              <w:t>Precinct planning is being led by the Department of Planning, Lands and Heritage on several METRONET precincts to establish the planning frameworks for streamlined delivery of housing and transit-oriented development across the network. These include Ballajura, Bennett Springs East and Karnup, with Concept Master Plans also completed in Whiteman Park and Morley. The Department of Planning, Lands and Heritage utilises a number of planning tools to establish development ready planning frameworks with streamlined approval processes including Precinct Structure Plans, Master Plans, Planning Control Areas, Improvement Plans and Schemes and the Significant Development Pathway.</w:t>
            </w:r>
          </w:p>
          <w:p w14:paraId="1FE01CA4" w14:textId="77777777" w:rsidR="00C1398A" w:rsidRPr="002674BD" w:rsidRDefault="00C1398A" w:rsidP="00C1398A">
            <w:pPr>
              <w:spacing w:before="0" w:after="0"/>
              <w:jc w:val="both"/>
              <w:rPr>
                <w:i/>
                <w:iCs/>
              </w:rPr>
            </w:pPr>
          </w:p>
          <w:p w14:paraId="73B770A7" w14:textId="77777777" w:rsidR="00C1398A" w:rsidRPr="002674BD" w:rsidRDefault="00C1398A" w:rsidP="00C1398A">
            <w:pPr>
              <w:spacing w:before="0" w:after="0"/>
              <w:jc w:val="both"/>
            </w:pPr>
            <w:r w:rsidRPr="002674BD">
              <w:t xml:space="preserve">In this regard, the Karnup Station Precinct Structure Plan and associated scheme amendment was  publicly advertised in 2024. This Precinct provides for up to 800 new homes and a town centre within walking distance of this future station. Delivery of the Karnup Station is subject to a future investment decision of Government. </w:t>
            </w:r>
          </w:p>
          <w:p w14:paraId="5F69B5E5" w14:textId="77777777" w:rsidR="00C1398A" w:rsidRPr="002674BD" w:rsidRDefault="00C1398A" w:rsidP="00C1398A">
            <w:pPr>
              <w:spacing w:before="0" w:after="0"/>
              <w:jc w:val="both"/>
            </w:pPr>
          </w:p>
          <w:p w14:paraId="7573FC83" w14:textId="77777777" w:rsidR="00C1398A" w:rsidRPr="002674BD" w:rsidRDefault="00C1398A" w:rsidP="00C1398A">
            <w:pPr>
              <w:spacing w:before="0" w:after="0"/>
              <w:jc w:val="both"/>
            </w:pPr>
            <w:r w:rsidRPr="002674BD">
              <w:t>The Ballajura Station Precinct Structure Plan and Improvement Scheme provides for a new town centre and up to 1400 new dwellings within walking distance of the new Ballajura Station. In August 2024, the planning documents were referred to the WA Environmental Protection Authority and Commonwealth Department of Climate Change, Environment, Energy and Water. The Ballajura Station Precinct Improvement Scheme No. 1 is currently out for public comment from 9 January 2025 to 9 April 2025.</w:t>
            </w:r>
          </w:p>
          <w:p w14:paraId="7DAB241F" w14:textId="77777777" w:rsidR="00C1398A" w:rsidRPr="002674BD" w:rsidRDefault="00C1398A" w:rsidP="00C1398A">
            <w:pPr>
              <w:spacing w:before="0" w:after="0"/>
              <w:jc w:val="both"/>
            </w:pPr>
          </w:p>
          <w:p w14:paraId="2995C741" w14:textId="77777777" w:rsidR="00C1398A" w:rsidRPr="002674BD" w:rsidRDefault="00C1398A" w:rsidP="00C1398A">
            <w:pPr>
              <w:pStyle w:val="BoxText"/>
              <w:spacing w:before="0" w:after="0"/>
              <w:jc w:val="both"/>
              <w:rPr>
                <w:sz w:val="22"/>
                <w:szCs w:val="22"/>
              </w:rPr>
            </w:pPr>
            <w:r w:rsidRPr="002674BD">
              <w:rPr>
                <w:sz w:val="22"/>
                <w:szCs w:val="22"/>
              </w:rPr>
              <w:t>Other METRONET precincts are being delivered by DevelopmentWA, with Redevelopment Areas and Schemes in place to establish new planning frameworks and provide for efficient determination of proposals.</w:t>
            </w:r>
          </w:p>
          <w:p w14:paraId="7209C42E" w14:textId="77777777" w:rsidR="00C1398A" w:rsidRPr="002674BD" w:rsidRDefault="00C1398A" w:rsidP="00C1398A">
            <w:pPr>
              <w:pStyle w:val="BoxText"/>
              <w:spacing w:after="0"/>
              <w:jc w:val="both"/>
              <w:rPr>
                <w:sz w:val="22"/>
                <w:szCs w:val="22"/>
              </w:rPr>
            </w:pPr>
            <w:r w:rsidRPr="002674BD">
              <w:rPr>
                <w:sz w:val="22"/>
                <w:szCs w:val="22"/>
              </w:rPr>
              <w:t xml:space="preserve">The Department and DevelopmentWA are also working with the Infrastructure Development Fund, Market Led Proposals and Housing Diversity Pipeline initiatives to identify further opportunities for de-constraining land for housing and development by both public and private sector. </w:t>
            </w:r>
          </w:p>
          <w:p w14:paraId="7BB8020F" w14:textId="77777777" w:rsidR="00C1398A" w:rsidRPr="002674BD" w:rsidRDefault="00C1398A" w:rsidP="00C1398A">
            <w:pPr>
              <w:pStyle w:val="BoxText"/>
              <w:spacing w:after="0"/>
              <w:jc w:val="both"/>
              <w:rPr>
                <w:sz w:val="22"/>
                <w:szCs w:val="22"/>
              </w:rPr>
            </w:pPr>
            <w:r w:rsidRPr="002674BD">
              <w:rPr>
                <w:sz w:val="22"/>
                <w:szCs w:val="22"/>
              </w:rPr>
              <w:t>METRONET precinct planning works and initiatives to support housing supply have been in preparation prior the 16 August 2023. While METRONET precinct site identification and prioritisation is underway, these opportunities have not been endorsed by the WA Government at this stage.</w:t>
            </w:r>
          </w:p>
          <w:p w14:paraId="5D33E246" w14:textId="77777777" w:rsidR="00C1398A" w:rsidRPr="002674BD" w:rsidRDefault="00C1398A" w:rsidP="00C1398A">
            <w:pPr>
              <w:jc w:val="both"/>
            </w:pPr>
            <w:r w:rsidRPr="002674BD">
              <w:rPr>
                <w:szCs w:val="22"/>
              </w:rPr>
              <w:t xml:space="preserve">Further information at: </w:t>
            </w:r>
            <w:hyperlink r:id="rId54" w:history="1">
              <w:r w:rsidRPr="002674BD">
                <w:rPr>
                  <w:rStyle w:val="Hyperlink"/>
                  <w:szCs w:val="22"/>
                </w:rPr>
                <w:t>METRONET Delivering Station Precincts Brochure.pdf</w:t>
              </w:r>
            </w:hyperlink>
          </w:p>
          <w:p w14:paraId="0B70B1E0" w14:textId="5AC2D10F" w:rsidR="00D23B2A" w:rsidRPr="002674BD" w:rsidRDefault="00D23B2A" w:rsidP="00D23B2A">
            <w:pPr>
              <w:spacing w:before="120" w:after="0"/>
              <w:rPr>
                <w:sz w:val="20"/>
              </w:rPr>
            </w:pPr>
          </w:p>
        </w:tc>
      </w:tr>
    </w:tbl>
    <w:p w14:paraId="147E9DEA" w14:textId="77777777" w:rsidR="00D23B2A" w:rsidRPr="002674BD" w:rsidRDefault="00D23B2A" w:rsidP="00D23B2A"/>
    <w:tbl>
      <w:tblPr>
        <w:tblW w:w="5000" w:type="pct"/>
        <w:shd w:val="clear" w:color="auto" w:fill="D4EAF3" w:themeFill="accent1" w:themeFillTint="33"/>
        <w:tblCellMar>
          <w:top w:w="284" w:type="dxa"/>
          <w:left w:w="284" w:type="dxa"/>
          <w:bottom w:w="284" w:type="dxa"/>
          <w:right w:w="284" w:type="dxa"/>
        </w:tblCellMar>
        <w:tblLook w:val="0600" w:firstRow="0" w:lastRow="0" w:firstColumn="0" w:lastColumn="0" w:noHBand="1" w:noVBand="1"/>
      </w:tblPr>
      <w:tblGrid>
        <w:gridCol w:w="9070"/>
      </w:tblGrid>
      <w:tr w:rsidR="00D23B2A" w:rsidRPr="00D23B2A" w14:paraId="1F843FD5" w14:textId="77777777" w:rsidTr="00FB7B77">
        <w:tc>
          <w:tcPr>
            <w:tcW w:w="5000" w:type="pct"/>
            <w:shd w:val="clear" w:color="auto" w:fill="D4EAF3" w:themeFill="accent1" w:themeFillTint="33"/>
          </w:tcPr>
          <w:p w14:paraId="587CE60F" w14:textId="77777777" w:rsidR="00D23B2A" w:rsidRPr="002674BD" w:rsidRDefault="00D23B2A" w:rsidP="00D23B2A">
            <w:pPr>
              <w:rPr>
                <w:color w:val="2683C6" w:themeColor="accent6"/>
                <w:sz w:val="32"/>
                <w:szCs w:val="30"/>
              </w:rPr>
            </w:pPr>
            <w:r w:rsidRPr="002674BD">
              <w:rPr>
                <w:color w:val="2683C6" w:themeColor="accent6"/>
                <w:sz w:val="32"/>
                <w:szCs w:val="30"/>
              </w:rPr>
              <w:lastRenderedPageBreak/>
              <w:t>Case Study 2 – Housing Diversity Pipeline</w:t>
            </w:r>
          </w:p>
          <w:p w14:paraId="5E3A0591" w14:textId="77777777" w:rsidR="00C1398A" w:rsidRPr="002674BD" w:rsidRDefault="00C1398A" w:rsidP="00C1398A">
            <w:pPr>
              <w:pStyle w:val="BoxText"/>
              <w:jc w:val="both"/>
              <w:rPr>
                <w:sz w:val="22"/>
                <w:szCs w:val="22"/>
              </w:rPr>
            </w:pPr>
            <w:r w:rsidRPr="002674BD">
              <w:rPr>
                <w:sz w:val="22"/>
                <w:szCs w:val="22"/>
              </w:rPr>
              <w:t>The WA Government is progressing a range of reforms and policy initiatives that are accelerating housing supply, including the delivery of 5,000 new social homes in four years through a record investment of $3.2 billion. The pilot Housing Diversity Pipeline (HDP), a key component of this program, seeks innovative solutions and proposals from the private sector to address the current critical shortage of social housing and housing availability by releasing underutilised and surplus government landholdings to the market.</w:t>
            </w:r>
          </w:p>
          <w:p w14:paraId="72F4794B" w14:textId="77777777" w:rsidR="00C1398A" w:rsidRPr="002674BD" w:rsidRDefault="00C1398A" w:rsidP="00C1398A">
            <w:pPr>
              <w:pStyle w:val="BoxText"/>
              <w:jc w:val="both"/>
              <w:rPr>
                <w:sz w:val="22"/>
                <w:szCs w:val="22"/>
              </w:rPr>
            </w:pPr>
            <w:r w:rsidRPr="002674BD">
              <w:rPr>
                <w:sz w:val="22"/>
                <w:szCs w:val="22"/>
              </w:rPr>
              <w:t>The pilot HDP identifies surplus government landholdings to determine their suitability for residential development, and prioritises these outcomes over alternative uses. The delivery of well-located density accommodation is a key program consideration, including the prioritisation of infill and transit-oriented developments. An expression of interest process closed in October 2024 seeking responses from developers identifying State-owned land and proposing to deliver residential lots or housing in the short-medium term. Evaluation of responses and negotiation of land sales is underway.</w:t>
            </w:r>
          </w:p>
          <w:p w14:paraId="27DE287C" w14:textId="77777777" w:rsidR="00C1398A" w:rsidRPr="002674BD" w:rsidRDefault="00C1398A" w:rsidP="00C1398A">
            <w:pPr>
              <w:pStyle w:val="BoxText"/>
              <w:jc w:val="both"/>
              <w:rPr>
                <w:sz w:val="22"/>
                <w:szCs w:val="22"/>
              </w:rPr>
            </w:pPr>
            <w:r w:rsidRPr="002674BD">
              <w:rPr>
                <w:sz w:val="22"/>
                <w:szCs w:val="22"/>
              </w:rPr>
              <w:t xml:space="preserve">HDP Round Two, will leverage the knowledge and expertise of the development industry to identify and then develop the most suitable land to bring new housing supply to market in the quickest possible way. Round Two Request for Expressions of Interest closed on 21 October 2024. </w:t>
            </w:r>
          </w:p>
          <w:p w14:paraId="10C3E8CD" w14:textId="77777777" w:rsidR="00C1398A" w:rsidRPr="002674BD" w:rsidRDefault="00C1398A" w:rsidP="00C1398A">
            <w:pPr>
              <w:pStyle w:val="BoxText"/>
              <w:jc w:val="both"/>
              <w:rPr>
                <w:sz w:val="22"/>
                <w:szCs w:val="22"/>
              </w:rPr>
            </w:pPr>
            <w:r w:rsidRPr="002674BD">
              <w:rPr>
                <w:sz w:val="22"/>
                <w:szCs w:val="22"/>
              </w:rPr>
              <w:t>Under the HDP, suitable sites are de-constrained and taken to market with minimal prescription with a view to partnering with industry and delivering mixed-tenure developments including social housing.</w:t>
            </w:r>
          </w:p>
          <w:p w14:paraId="46C6CC73" w14:textId="77777777" w:rsidR="00C1398A" w:rsidRPr="002674BD" w:rsidRDefault="00C1398A" w:rsidP="00C1398A">
            <w:pPr>
              <w:pStyle w:val="BoxText"/>
              <w:spacing w:after="0"/>
              <w:jc w:val="both"/>
              <w:rPr>
                <w:rStyle w:val="Strong"/>
                <w:sz w:val="22"/>
              </w:rPr>
            </w:pPr>
            <w:r w:rsidRPr="002674BD">
              <w:rPr>
                <w:rStyle w:val="Strong"/>
                <w:sz w:val="22"/>
              </w:rPr>
              <w:t>State and Commonwealth Partnership</w:t>
            </w:r>
          </w:p>
          <w:p w14:paraId="539E38A9" w14:textId="77777777" w:rsidR="00C1398A" w:rsidRPr="002674BD" w:rsidRDefault="00C1398A" w:rsidP="00572BB7">
            <w:pPr>
              <w:pStyle w:val="BoxText"/>
              <w:jc w:val="both"/>
              <w:rPr>
                <w:sz w:val="22"/>
                <w:szCs w:val="22"/>
              </w:rPr>
            </w:pPr>
            <w:r w:rsidRPr="002674BD">
              <w:rPr>
                <w:sz w:val="22"/>
                <w:szCs w:val="22"/>
              </w:rPr>
              <w:t xml:space="preserve">A </w:t>
            </w:r>
            <w:r w:rsidRPr="002674BD">
              <w:rPr>
                <w:rFonts w:hint="cs"/>
                <w:sz w:val="22"/>
                <w:szCs w:val="22"/>
              </w:rPr>
              <w:t xml:space="preserve">new investment partnership between the </w:t>
            </w:r>
            <w:r w:rsidRPr="002674BD">
              <w:rPr>
                <w:sz w:val="22"/>
                <w:szCs w:val="22"/>
              </w:rPr>
              <w:t>Australian Government and State Government</w:t>
            </w:r>
            <w:r w:rsidRPr="002674BD">
              <w:rPr>
                <w:rFonts w:hint="cs"/>
                <w:sz w:val="22"/>
                <w:szCs w:val="22"/>
              </w:rPr>
              <w:t xml:space="preserve"> will deliver </w:t>
            </w:r>
            <w:r w:rsidRPr="002674BD">
              <w:rPr>
                <w:sz w:val="22"/>
                <w:szCs w:val="22"/>
              </w:rPr>
              <w:t>21 new social and affordable housing projects to deliver almost</w:t>
            </w:r>
            <w:r w:rsidRPr="002674BD">
              <w:rPr>
                <w:rFonts w:hint="cs"/>
                <w:sz w:val="22"/>
                <w:szCs w:val="22"/>
              </w:rPr>
              <w:t xml:space="preserve"> 1,800 social and affordable homes </w:t>
            </w:r>
            <w:r w:rsidRPr="002674BD">
              <w:rPr>
                <w:sz w:val="22"/>
                <w:szCs w:val="22"/>
              </w:rPr>
              <w:t>within Western Australia. The State Government will make initial investments of land and capital, with dwellings to be sold to Community Housing Providers (CHP) to own and manage. The Commonwealth will contribute funds through the Housing Australia Future Fund Facility and the National Housing Accord Facility.</w:t>
            </w:r>
          </w:p>
          <w:p w14:paraId="77F07FE9" w14:textId="77777777" w:rsidR="00C1398A" w:rsidRPr="002674BD" w:rsidRDefault="00C1398A" w:rsidP="00572BB7">
            <w:pPr>
              <w:pStyle w:val="BoxText"/>
              <w:jc w:val="both"/>
              <w:rPr>
                <w:sz w:val="22"/>
                <w:szCs w:val="22"/>
              </w:rPr>
            </w:pPr>
            <w:r w:rsidRPr="002674BD">
              <w:rPr>
                <w:sz w:val="22"/>
                <w:szCs w:val="22"/>
              </w:rPr>
              <w:t>Some other key examples of HDP projects current underway include:</w:t>
            </w:r>
          </w:p>
          <w:p w14:paraId="606809A6" w14:textId="77777777" w:rsidR="00C1398A" w:rsidRPr="002674BD" w:rsidRDefault="00C1398A" w:rsidP="00C1398A">
            <w:pPr>
              <w:pStyle w:val="BoxText"/>
              <w:spacing w:after="0"/>
              <w:jc w:val="both"/>
              <w:rPr>
                <w:rStyle w:val="Strong"/>
                <w:sz w:val="22"/>
                <w:szCs w:val="22"/>
              </w:rPr>
            </w:pPr>
            <w:r w:rsidRPr="002674BD">
              <w:rPr>
                <w:rStyle w:val="Strong"/>
                <w:sz w:val="22"/>
                <w:szCs w:val="22"/>
              </w:rPr>
              <w:t xml:space="preserve">Brown Street, Busselton </w:t>
            </w:r>
          </w:p>
          <w:p w14:paraId="124716D3" w14:textId="77777777" w:rsidR="00C1398A" w:rsidRPr="002674BD" w:rsidRDefault="00C1398A" w:rsidP="00C1398A">
            <w:pPr>
              <w:pStyle w:val="BoxText"/>
              <w:spacing w:after="0"/>
              <w:jc w:val="both"/>
              <w:rPr>
                <w:sz w:val="22"/>
                <w:szCs w:val="22"/>
              </w:rPr>
            </w:pPr>
            <w:r w:rsidRPr="002674BD">
              <w:rPr>
                <w:sz w:val="22"/>
                <w:szCs w:val="22"/>
              </w:rPr>
              <w:t>The 2,034 square metre development site is part of the Housing Diversity Pipeline, to maximise the potential of lazy government land to bolster social and affordable housing.</w:t>
            </w:r>
          </w:p>
          <w:p w14:paraId="4C43573F" w14:textId="77777777" w:rsidR="00C1398A" w:rsidRPr="002674BD" w:rsidRDefault="00C1398A" w:rsidP="00C1398A">
            <w:pPr>
              <w:pStyle w:val="BoxText"/>
              <w:spacing w:after="0"/>
              <w:jc w:val="both"/>
              <w:rPr>
                <w:sz w:val="22"/>
                <w:szCs w:val="22"/>
              </w:rPr>
            </w:pPr>
            <w:r w:rsidRPr="002674BD">
              <w:rPr>
                <w:sz w:val="22"/>
                <w:szCs w:val="22"/>
              </w:rPr>
              <w:t>In November 2024 a Proponent was announced to construct and operate the planned 30-dwelling community housing development (mix of 16 social and 14 affordable houses) in Busselton. The development application was lodged in November 2024.</w:t>
            </w:r>
          </w:p>
          <w:p w14:paraId="4E76E760" w14:textId="77777777" w:rsidR="00C1398A" w:rsidRPr="002674BD" w:rsidRDefault="00C1398A" w:rsidP="00C1398A">
            <w:pPr>
              <w:pStyle w:val="BoxText"/>
              <w:spacing w:after="0"/>
              <w:jc w:val="both"/>
              <w:rPr>
                <w:rStyle w:val="Strong"/>
                <w:sz w:val="22"/>
                <w:szCs w:val="22"/>
              </w:rPr>
            </w:pPr>
            <w:r w:rsidRPr="002674BD">
              <w:rPr>
                <w:sz w:val="22"/>
                <w:szCs w:val="22"/>
              </w:rPr>
              <w:t xml:space="preserve">Further information on this project is available at </w:t>
            </w:r>
            <w:hyperlink r:id="rId55" w:history="1">
              <w:r w:rsidRPr="002674BD">
                <w:rPr>
                  <w:rStyle w:val="Hyperlink"/>
                  <w:sz w:val="22"/>
                  <w:szCs w:val="22"/>
                </w:rPr>
                <w:t>Social and affordable housing boost in Busselton | Western Australian Government</w:t>
              </w:r>
            </w:hyperlink>
            <w:r w:rsidRPr="002674BD">
              <w:rPr>
                <w:sz w:val="22"/>
                <w:szCs w:val="22"/>
              </w:rPr>
              <w:t>.</w:t>
            </w:r>
          </w:p>
          <w:p w14:paraId="42971F66" w14:textId="77777777" w:rsidR="00C1398A" w:rsidRPr="002674BD" w:rsidRDefault="00C1398A" w:rsidP="00C1398A">
            <w:pPr>
              <w:pStyle w:val="BoxText"/>
              <w:spacing w:after="0"/>
              <w:jc w:val="both"/>
              <w:rPr>
                <w:rStyle w:val="Strong"/>
                <w:sz w:val="22"/>
                <w:szCs w:val="22"/>
              </w:rPr>
            </w:pPr>
            <w:r w:rsidRPr="002674BD">
              <w:rPr>
                <w:rStyle w:val="Strong"/>
                <w:sz w:val="22"/>
                <w:szCs w:val="22"/>
              </w:rPr>
              <w:t>Tulloch Way, Canning Vale</w:t>
            </w:r>
          </w:p>
          <w:p w14:paraId="3A9C5782" w14:textId="77777777" w:rsidR="00C1398A" w:rsidRPr="002674BD" w:rsidRDefault="00C1398A" w:rsidP="00C1398A">
            <w:pPr>
              <w:pStyle w:val="BoxText"/>
              <w:spacing w:after="0"/>
              <w:jc w:val="both"/>
              <w:rPr>
                <w:szCs w:val="22"/>
              </w:rPr>
            </w:pPr>
            <w:r w:rsidRPr="002674BD">
              <w:rPr>
                <w:szCs w:val="22"/>
              </w:rPr>
              <w:t xml:space="preserve">The </w:t>
            </w:r>
            <w:r w:rsidRPr="002674BD">
              <w:rPr>
                <w:rFonts w:hint="cs"/>
                <w:szCs w:val="22"/>
              </w:rPr>
              <w:t xml:space="preserve">Department of Communities is progressing </w:t>
            </w:r>
            <w:r w:rsidRPr="002674BD">
              <w:rPr>
                <w:szCs w:val="22"/>
              </w:rPr>
              <w:t xml:space="preserve">a </w:t>
            </w:r>
            <w:r w:rsidRPr="002674BD">
              <w:rPr>
                <w:rFonts w:hint="cs"/>
                <w:szCs w:val="22"/>
              </w:rPr>
              <w:t xml:space="preserve">project </w:t>
            </w:r>
            <w:r w:rsidRPr="002674BD">
              <w:rPr>
                <w:szCs w:val="22"/>
              </w:rPr>
              <w:t>to deliver</w:t>
            </w:r>
            <w:r w:rsidRPr="002674BD">
              <w:rPr>
                <w:rFonts w:hint="cs"/>
                <w:szCs w:val="22"/>
              </w:rPr>
              <w:t xml:space="preserve"> a mix of one, two and three-bedroom social and affordable rental homes </w:t>
            </w:r>
            <w:r w:rsidRPr="002674BD">
              <w:rPr>
                <w:szCs w:val="22"/>
              </w:rPr>
              <w:t xml:space="preserve">on </w:t>
            </w:r>
            <w:r w:rsidRPr="002674BD">
              <w:rPr>
                <w:rFonts w:hint="cs"/>
                <w:szCs w:val="22"/>
              </w:rPr>
              <w:t>8,500m2 of State-owned land</w:t>
            </w:r>
            <w:r w:rsidRPr="002674BD">
              <w:rPr>
                <w:szCs w:val="22"/>
              </w:rPr>
              <w:t xml:space="preserve"> </w:t>
            </w:r>
            <w:r w:rsidRPr="002674BD">
              <w:rPr>
                <w:rFonts w:hint="cs"/>
                <w:szCs w:val="22"/>
              </w:rPr>
              <w:t>in Canning Vale</w:t>
            </w:r>
            <w:r w:rsidRPr="002674BD">
              <w:rPr>
                <w:szCs w:val="22"/>
              </w:rPr>
              <w:t xml:space="preserve"> and </w:t>
            </w:r>
            <w:r w:rsidRPr="002674BD">
              <w:rPr>
                <w:rFonts w:hint="cs"/>
                <w:szCs w:val="22"/>
              </w:rPr>
              <w:t xml:space="preserve">leveraging </w:t>
            </w:r>
            <w:r w:rsidRPr="002674BD">
              <w:rPr>
                <w:szCs w:val="22"/>
              </w:rPr>
              <w:t xml:space="preserve">on </w:t>
            </w:r>
            <w:r w:rsidRPr="002674BD">
              <w:rPr>
                <w:rFonts w:hint="cs"/>
                <w:szCs w:val="22"/>
              </w:rPr>
              <w:t>new METRONET infrastructure</w:t>
            </w:r>
            <w:r w:rsidRPr="002674BD">
              <w:rPr>
                <w:szCs w:val="22"/>
              </w:rPr>
              <w:t xml:space="preserve">. </w:t>
            </w:r>
          </w:p>
          <w:p w14:paraId="1AD5ECB2" w14:textId="77777777" w:rsidR="00C1398A" w:rsidRPr="002674BD" w:rsidRDefault="00C1398A" w:rsidP="00C1398A">
            <w:pPr>
              <w:pStyle w:val="BoxText"/>
              <w:spacing w:after="0"/>
              <w:jc w:val="both"/>
              <w:rPr>
                <w:rStyle w:val="Strong"/>
                <w:b w:val="0"/>
                <w:bCs w:val="0"/>
                <w:szCs w:val="22"/>
              </w:rPr>
            </w:pPr>
            <w:r w:rsidRPr="002674BD">
              <w:rPr>
                <w:rFonts w:hint="cs"/>
                <w:szCs w:val="22"/>
              </w:rPr>
              <w:lastRenderedPageBreak/>
              <w:t>A Development Application to construct 49 new homes was lodged on 9 October 2024. The 18 townhouses and 31 apartments will be built to silver level Liveable Housing Australia standard.</w:t>
            </w:r>
          </w:p>
          <w:p w14:paraId="1BE633AB" w14:textId="77777777" w:rsidR="00C1398A" w:rsidRPr="002674BD" w:rsidRDefault="00C1398A" w:rsidP="00C1398A">
            <w:pPr>
              <w:pStyle w:val="BoxText"/>
              <w:spacing w:after="0"/>
              <w:jc w:val="both"/>
              <w:rPr>
                <w:rStyle w:val="Strong"/>
                <w:sz w:val="22"/>
                <w:szCs w:val="22"/>
              </w:rPr>
            </w:pPr>
            <w:r w:rsidRPr="002674BD">
              <w:rPr>
                <w:rStyle w:val="Strong"/>
                <w:sz w:val="22"/>
                <w:szCs w:val="22"/>
              </w:rPr>
              <w:t>Northwood Street, Narrogin</w:t>
            </w:r>
          </w:p>
          <w:p w14:paraId="6958FA24" w14:textId="77777777" w:rsidR="00C1398A" w:rsidRPr="002674BD" w:rsidRDefault="00C1398A" w:rsidP="00C1398A">
            <w:pPr>
              <w:pStyle w:val="BoxText"/>
              <w:spacing w:after="0"/>
              <w:jc w:val="both"/>
              <w:rPr>
                <w:rStyle w:val="Strong"/>
                <w:b w:val="0"/>
                <w:bCs w:val="0"/>
                <w:sz w:val="22"/>
                <w:szCs w:val="22"/>
              </w:rPr>
            </w:pPr>
            <w:r w:rsidRPr="002674BD">
              <w:rPr>
                <w:rStyle w:val="Strong"/>
                <w:b w:val="0"/>
                <w:bCs w:val="0"/>
                <w:sz w:val="22"/>
                <w:szCs w:val="22"/>
              </w:rPr>
              <w:t>The Crown land on Northwood Street, Narrogin will be sold at a discounted price to the Shire of Narrogin to deliver housing options and boost the availability of affordable housing within the community.</w:t>
            </w:r>
          </w:p>
          <w:p w14:paraId="15811AD0" w14:textId="77777777" w:rsidR="00C1398A" w:rsidRPr="002674BD" w:rsidRDefault="00C1398A" w:rsidP="00C1398A">
            <w:pPr>
              <w:pStyle w:val="BoxText"/>
              <w:spacing w:after="0"/>
              <w:jc w:val="both"/>
              <w:rPr>
                <w:rStyle w:val="Strong"/>
                <w:sz w:val="22"/>
                <w:szCs w:val="22"/>
              </w:rPr>
            </w:pPr>
            <w:r w:rsidRPr="002674BD">
              <w:rPr>
                <w:rStyle w:val="Strong"/>
                <w:sz w:val="22"/>
                <w:szCs w:val="22"/>
              </w:rPr>
              <w:t>Pier Street, Perth</w:t>
            </w:r>
          </w:p>
          <w:p w14:paraId="14EE47FA" w14:textId="77777777" w:rsidR="00C1398A" w:rsidRPr="002674BD" w:rsidRDefault="00C1398A" w:rsidP="00C1398A">
            <w:pPr>
              <w:pStyle w:val="BoxText"/>
              <w:jc w:val="both"/>
              <w:rPr>
                <w:sz w:val="22"/>
                <w:szCs w:val="22"/>
              </w:rPr>
            </w:pPr>
            <w:r w:rsidRPr="002674BD">
              <w:rPr>
                <w:sz w:val="22"/>
                <w:szCs w:val="22"/>
              </w:rPr>
              <w:t>Development application for housing redevelopment was approved in April 2024 and construction has commenced.</w:t>
            </w:r>
          </w:p>
          <w:p w14:paraId="144BEDF5" w14:textId="77777777" w:rsidR="00C1398A" w:rsidRPr="002674BD" w:rsidRDefault="00C1398A" w:rsidP="00C1398A">
            <w:pPr>
              <w:pStyle w:val="BoxText"/>
              <w:jc w:val="both"/>
              <w:rPr>
                <w:sz w:val="22"/>
                <w:szCs w:val="22"/>
              </w:rPr>
            </w:pPr>
            <w:r w:rsidRPr="002674BD">
              <w:rPr>
                <w:sz w:val="22"/>
                <w:szCs w:val="22"/>
              </w:rPr>
              <w:t xml:space="preserve">The project is planned to deliver approximately 200 new apartments, including a mix of social housing and affordable rentals through a Build-to-Rent model. </w:t>
            </w:r>
          </w:p>
          <w:p w14:paraId="3FF482F5" w14:textId="77777777" w:rsidR="00C1398A" w:rsidRPr="002674BD" w:rsidRDefault="00C1398A" w:rsidP="00C1398A">
            <w:pPr>
              <w:pStyle w:val="BoxText"/>
              <w:jc w:val="both"/>
              <w:rPr>
                <w:rStyle w:val="Hyperlink"/>
                <w:color w:val="auto"/>
                <w:sz w:val="22"/>
                <w:szCs w:val="22"/>
              </w:rPr>
            </w:pPr>
            <w:r w:rsidRPr="002674BD">
              <w:rPr>
                <w:sz w:val="22"/>
                <w:szCs w:val="22"/>
              </w:rPr>
              <w:t xml:space="preserve">Further information on this project is available at, </w:t>
            </w:r>
            <w:hyperlink r:id="rId56" w:history="1">
              <w:r w:rsidRPr="002674BD">
                <w:rPr>
                  <w:rStyle w:val="Hyperlink"/>
                  <w:sz w:val="22"/>
                  <w:szCs w:val="22"/>
                </w:rPr>
                <w:t>Pier St - Overview - DevelopmentWA - Shaping our State's future</w:t>
              </w:r>
            </w:hyperlink>
            <w:r w:rsidRPr="002674BD">
              <w:rPr>
                <w:rStyle w:val="Hyperlink"/>
                <w:color w:val="auto"/>
                <w:sz w:val="22"/>
                <w:szCs w:val="22"/>
              </w:rPr>
              <w:t xml:space="preserve"> and </w:t>
            </w:r>
            <w:hyperlink r:id="rId57" w:history="1">
              <w:r w:rsidRPr="002674BD">
                <w:rPr>
                  <w:rStyle w:val="Hyperlink"/>
                  <w:sz w:val="22"/>
                  <w:szCs w:val="22"/>
                </w:rPr>
                <w:t>https://www.wa.gov.au/government/media-statements/Cook-Labor-Government/Development-application-for-major-build-to-rent-project-in-CBD-20240118</w:t>
              </w:r>
            </w:hyperlink>
          </w:p>
          <w:p w14:paraId="2250B843" w14:textId="77777777" w:rsidR="00C1398A" w:rsidRPr="002674BD" w:rsidRDefault="00C1398A" w:rsidP="00C1398A">
            <w:pPr>
              <w:pStyle w:val="BoxText"/>
              <w:jc w:val="both"/>
              <w:rPr>
                <w:rStyle w:val="Strong"/>
                <w:sz w:val="22"/>
                <w:szCs w:val="22"/>
              </w:rPr>
            </w:pPr>
            <w:r w:rsidRPr="002674BD">
              <w:rPr>
                <w:rStyle w:val="Strong"/>
                <w:sz w:val="22"/>
                <w:szCs w:val="22"/>
              </w:rPr>
              <w:t>Smith Street, Highgate</w:t>
            </w:r>
          </w:p>
          <w:p w14:paraId="0DB9B238" w14:textId="77777777" w:rsidR="00C1398A" w:rsidRPr="002674BD" w:rsidRDefault="00C1398A" w:rsidP="00C1398A">
            <w:pPr>
              <w:pStyle w:val="BoxText"/>
              <w:jc w:val="both"/>
              <w:rPr>
                <w:sz w:val="22"/>
                <w:szCs w:val="22"/>
              </w:rPr>
            </w:pPr>
            <w:r w:rsidRPr="002674BD">
              <w:rPr>
                <w:sz w:val="22"/>
                <w:szCs w:val="22"/>
              </w:rPr>
              <w:t xml:space="preserve">Housing redevelopment of former public housing site. A contractor has been awarded for demolition of the existing buildings and preparation of the site for redevelopment. </w:t>
            </w:r>
          </w:p>
          <w:p w14:paraId="27F6B396" w14:textId="77777777" w:rsidR="00C1398A" w:rsidRPr="002674BD" w:rsidRDefault="00C1398A" w:rsidP="00C1398A">
            <w:pPr>
              <w:pStyle w:val="BoxText"/>
              <w:jc w:val="both"/>
              <w:rPr>
                <w:sz w:val="22"/>
                <w:szCs w:val="22"/>
              </w:rPr>
            </w:pPr>
            <w:r w:rsidRPr="002674BD">
              <w:rPr>
                <w:sz w:val="22"/>
                <w:szCs w:val="22"/>
              </w:rPr>
              <w:t>The Development application for 109 apartments  across a four-storey development, in a mix of one and two-bedroom social, affordable and specialist disability rental units was approved in November 2024.</w:t>
            </w:r>
          </w:p>
          <w:p w14:paraId="3E543F89" w14:textId="77777777" w:rsidR="00C1398A" w:rsidRPr="002674BD" w:rsidRDefault="00C1398A" w:rsidP="00C1398A">
            <w:pPr>
              <w:pStyle w:val="BoxText"/>
              <w:jc w:val="both"/>
              <w:rPr>
                <w:sz w:val="22"/>
                <w:szCs w:val="22"/>
              </w:rPr>
            </w:pPr>
            <w:r w:rsidRPr="002674BD">
              <w:rPr>
                <w:sz w:val="22"/>
                <w:szCs w:val="22"/>
              </w:rPr>
              <w:t xml:space="preserve">Further information on this project is available at, </w:t>
            </w:r>
            <w:hyperlink r:id="rId58" w:history="1">
              <w:r w:rsidRPr="002674BD">
                <w:rPr>
                  <w:rStyle w:val="Hyperlink"/>
                  <w:sz w:val="22"/>
                  <w:szCs w:val="22"/>
                </w:rPr>
                <w:t>Smith Street Build-to-Rent Project (www.wa.gov.au)</w:t>
              </w:r>
            </w:hyperlink>
          </w:p>
          <w:p w14:paraId="41162D88" w14:textId="77777777" w:rsidR="00C1398A" w:rsidRPr="002674BD" w:rsidRDefault="00C1398A" w:rsidP="00C1398A">
            <w:pPr>
              <w:pStyle w:val="BoxText"/>
              <w:jc w:val="both"/>
              <w:rPr>
                <w:rStyle w:val="Strong"/>
                <w:sz w:val="22"/>
                <w:szCs w:val="22"/>
              </w:rPr>
            </w:pPr>
            <w:r w:rsidRPr="002674BD">
              <w:rPr>
                <w:rStyle w:val="Strong"/>
                <w:sz w:val="22"/>
                <w:szCs w:val="22"/>
              </w:rPr>
              <w:t>Court Place, Subiaco</w:t>
            </w:r>
          </w:p>
          <w:p w14:paraId="0ADD8E2E" w14:textId="77777777" w:rsidR="00C1398A" w:rsidRPr="002674BD" w:rsidRDefault="00C1398A" w:rsidP="00C1398A">
            <w:pPr>
              <w:pStyle w:val="BoxText"/>
              <w:jc w:val="both"/>
              <w:rPr>
                <w:sz w:val="22"/>
                <w:szCs w:val="22"/>
              </w:rPr>
            </w:pPr>
            <w:r w:rsidRPr="002674BD">
              <w:rPr>
                <w:sz w:val="22"/>
                <w:szCs w:val="22"/>
              </w:rPr>
              <w:t>Expressions of interest sought to deliver new integrated residential project as part of the broader Subiaco East redevelopment.</w:t>
            </w:r>
          </w:p>
          <w:p w14:paraId="70A43108" w14:textId="77777777" w:rsidR="00C1398A" w:rsidRPr="002674BD" w:rsidRDefault="00C1398A" w:rsidP="00C1398A">
            <w:pPr>
              <w:pStyle w:val="BoxText"/>
              <w:jc w:val="both"/>
              <w:rPr>
                <w:sz w:val="22"/>
                <w:szCs w:val="22"/>
              </w:rPr>
            </w:pPr>
            <w:r w:rsidRPr="002674BD">
              <w:rPr>
                <w:sz w:val="22"/>
                <w:szCs w:val="22"/>
              </w:rPr>
              <w:t>Expected to deliver up to 350 dwellings (with approximately 42 per cent of this to be social housing). Demolition works to remove 58 vacant and no longer fit for purpose public housing dwellings has been completed. Currently the timeline for development will be established once a successful developer is announced in 2025.</w:t>
            </w:r>
          </w:p>
          <w:p w14:paraId="65F9F431" w14:textId="77777777" w:rsidR="00C1398A" w:rsidRPr="002674BD" w:rsidRDefault="00C1398A" w:rsidP="00C1398A">
            <w:pPr>
              <w:pStyle w:val="BoxText"/>
              <w:jc w:val="both"/>
              <w:rPr>
                <w:sz w:val="22"/>
                <w:szCs w:val="22"/>
              </w:rPr>
            </w:pPr>
            <w:r w:rsidRPr="002674BD">
              <w:rPr>
                <w:sz w:val="22"/>
                <w:szCs w:val="22"/>
              </w:rPr>
              <w:t xml:space="preserve">Further information on this project is available at, </w:t>
            </w:r>
            <w:hyperlink r:id="rId59" w:history="1">
              <w:r w:rsidRPr="002674BD">
                <w:rPr>
                  <w:rStyle w:val="Hyperlink"/>
                  <w:sz w:val="22"/>
                  <w:szCs w:val="22"/>
                </w:rPr>
                <w:t>Expressions of Interest launched for new Subi East housing project | Western Australian Government (www.wa.gov.au).</w:t>
              </w:r>
            </w:hyperlink>
            <w:r w:rsidRPr="002674BD">
              <w:rPr>
                <w:sz w:val="22"/>
                <w:szCs w:val="22"/>
              </w:rPr>
              <w:t xml:space="preserve"> </w:t>
            </w:r>
          </w:p>
          <w:p w14:paraId="4119F868" w14:textId="77777777" w:rsidR="00C1398A" w:rsidRPr="002674BD" w:rsidRDefault="00C1398A" w:rsidP="00C1398A">
            <w:pPr>
              <w:spacing w:after="0"/>
              <w:jc w:val="both"/>
              <w:rPr>
                <w:szCs w:val="22"/>
              </w:rPr>
            </w:pPr>
            <w:r w:rsidRPr="002674BD">
              <w:rPr>
                <w:szCs w:val="22"/>
              </w:rPr>
              <w:t>See also:</w:t>
            </w:r>
          </w:p>
          <w:p w14:paraId="780DD53D" w14:textId="56B931DC" w:rsidR="00D23B2A" w:rsidRPr="002674BD" w:rsidRDefault="00D23B2A" w:rsidP="00D23B2A">
            <w:pPr>
              <w:spacing w:before="120" w:after="120"/>
              <w:rPr>
                <w:b/>
                <w:bCs/>
                <w:sz w:val="20"/>
              </w:rPr>
            </w:pPr>
            <w:r w:rsidRPr="002674BD">
              <w:rPr>
                <w:b/>
                <w:bCs/>
                <w:sz w:val="20"/>
              </w:rPr>
              <w:t>Housing Diversity Pipeline - Background Information:</w:t>
            </w:r>
          </w:p>
          <w:p w14:paraId="45BA8E0E" w14:textId="77777777" w:rsidR="00D23B2A" w:rsidRPr="002674BD" w:rsidRDefault="00D23B2A" w:rsidP="00D23B2A">
            <w:pPr>
              <w:spacing w:before="120" w:after="120"/>
              <w:rPr>
                <w:color w:val="3A6FAF"/>
                <w:sz w:val="20"/>
              </w:rPr>
            </w:pPr>
            <w:hyperlink r:id="rId60" w:history="1">
              <w:r w:rsidRPr="002674BD">
                <w:rPr>
                  <w:color w:val="3A6FAF"/>
                  <w:sz w:val="20"/>
                </w:rPr>
                <w:t>Housing Diversity Pipeline (www.wa.gov.au)</w:t>
              </w:r>
            </w:hyperlink>
          </w:p>
          <w:p w14:paraId="20E88388" w14:textId="77777777" w:rsidR="00D23B2A" w:rsidRPr="002674BD" w:rsidRDefault="00D23B2A" w:rsidP="00D23B2A">
            <w:pPr>
              <w:spacing w:before="120" w:after="120"/>
              <w:rPr>
                <w:color w:val="3A6FAF"/>
                <w:sz w:val="20"/>
              </w:rPr>
            </w:pPr>
            <w:hyperlink r:id="rId61" w:history="1">
              <w:r w:rsidRPr="002674BD">
                <w:rPr>
                  <w:color w:val="3A6FAF"/>
                  <w:sz w:val="20"/>
                </w:rPr>
                <w:t>Housing Diversity Pipeline to boost social housing and support jobs - DevelopmentWA - Shaping our State's future</w:t>
              </w:r>
            </w:hyperlink>
          </w:p>
          <w:p w14:paraId="130AC716" w14:textId="77777777" w:rsidR="00D23B2A" w:rsidRPr="00D23B2A" w:rsidRDefault="00D23B2A" w:rsidP="00D23B2A">
            <w:pPr>
              <w:spacing w:before="120" w:after="0"/>
              <w:rPr>
                <w:sz w:val="20"/>
              </w:rPr>
            </w:pPr>
            <w:hyperlink r:id="rId62" w:history="1">
              <w:r w:rsidRPr="002674BD">
                <w:rPr>
                  <w:color w:val="3A6FAF"/>
                  <w:sz w:val="20"/>
                </w:rPr>
                <w:t>Land released to build housing diversity | PS News</w:t>
              </w:r>
            </w:hyperlink>
          </w:p>
        </w:tc>
      </w:tr>
      <w:bookmarkEnd w:id="0"/>
    </w:tbl>
    <w:p w14:paraId="7626C0A2" w14:textId="77777777" w:rsidR="00F5234B" w:rsidRPr="00F5234B" w:rsidRDefault="00F5234B" w:rsidP="007E2D0E">
      <w:pPr>
        <w:jc w:val="both"/>
      </w:pPr>
    </w:p>
    <w:sectPr w:rsidR="00F5234B" w:rsidRPr="00F5234B" w:rsidSect="009C5401">
      <w:headerReference w:type="even" r:id="rId63"/>
      <w:headerReference w:type="default" r:id="rId64"/>
      <w:footerReference w:type="default" r:id="rId65"/>
      <w:headerReference w:type="first" r:id="rId66"/>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8857" w14:textId="77777777" w:rsidR="00657B6B" w:rsidRDefault="00657B6B">
      <w:pPr>
        <w:spacing w:before="0" w:after="0"/>
      </w:pPr>
      <w:r>
        <w:separator/>
      </w:r>
    </w:p>
  </w:endnote>
  <w:endnote w:type="continuationSeparator" w:id="0">
    <w:p w14:paraId="33D86B85" w14:textId="77777777" w:rsidR="00657B6B" w:rsidRDefault="00657B6B">
      <w:pPr>
        <w:spacing w:before="0" w:after="0"/>
      </w:pPr>
      <w:r>
        <w:continuationSeparator/>
      </w:r>
    </w:p>
  </w:endnote>
  <w:endnote w:type="continuationNotice" w:id="1">
    <w:p w14:paraId="21B69C50" w14:textId="77777777" w:rsidR="00657B6B" w:rsidRDefault="00657B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auto"/>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3F55" w14:textId="41D735C9" w:rsidR="00630F8D" w:rsidRPr="001515FD" w:rsidRDefault="00630F8D" w:rsidP="00AB738A">
    <w:pPr>
      <w:pStyle w:val="FooterOd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64D" w14:textId="7575F6CD" w:rsidR="004852FC" w:rsidRPr="001515FD" w:rsidRDefault="00CD473B" w:rsidP="00AB738A">
    <w:pPr>
      <w:pStyle w:val="FooterOdd"/>
    </w:pPr>
    <w:fldSimple w:instr="STYLEREF  &quot;Heading 1&quot;  \* MERGEFORMAT">
      <w:r w:rsidR="00B9080D">
        <w:rPr>
          <w:noProof/>
        </w:rPr>
        <w:t>Measure 5</w:t>
      </w:r>
    </w:fldSimple>
    <w:r w:rsidR="004852FC">
      <w:t xml:space="preserve"> | </w:t>
    </w:r>
    <w:r w:rsidR="004852FC">
      <w:fldChar w:fldCharType="begin"/>
    </w:r>
    <w:r w:rsidR="004852FC">
      <w:instrText xml:space="preserve"> PAGE   \* MERGEFORMAT </w:instrText>
    </w:r>
    <w:r w:rsidR="004852FC">
      <w:fldChar w:fldCharType="separate"/>
    </w:r>
    <w:r w:rsidR="004852FC">
      <w:t>1</w:t>
    </w:r>
    <w:r w:rsidR="004852F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D5C9" w14:textId="77777777" w:rsidR="00657B6B" w:rsidRPr="00ED5A20" w:rsidRDefault="00657B6B" w:rsidP="000F6233">
      <w:pPr>
        <w:rPr>
          <w:color w:val="58B6C0" w:themeColor="accent2"/>
        </w:rPr>
      </w:pPr>
      <w:r w:rsidRPr="00ED5A20">
        <w:rPr>
          <w:color w:val="58B6C0" w:themeColor="accent2"/>
        </w:rPr>
        <w:separator/>
      </w:r>
    </w:p>
  </w:footnote>
  <w:footnote w:type="continuationSeparator" w:id="0">
    <w:p w14:paraId="06475992" w14:textId="77777777" w:rsidR="00657B6B" w:rsidRPr="00B737EB" w:rsidRDefault="00657B6B">
      <w:pPr>
        <w:spacing w:before="0" w:after="0"/>
        <w:rPr>
          <w:color w:val="3494BA" w:themeColor="accent1"/>
        </w:rPr>
      </w:pPr>
      <w:r w:rsidRPr="00B737EB">
        <w:rPr>
          <w:color w:val="3494BA" w:themeColor="accent1"/>
        </w:rPr>
        <w:continuationSeparator/>
      </w:r>
    </w:p>
  </w:footnote>
  <w:footnote w:type="continuationNotice" w:id="1">
    <w:p w14:paraId="1A3A0070" w14:textId="77777777" w:rsidR="00657B6B" w:rsidRDefault="00657B6B">
      <w:pPr>
        <w:spacing w:before="0" w:after="0"/>
      </w:pPr>
    </w:p>
  </w:footnote>
  <w:footnote w:id="2">
    <w:p w14:paraId="450EF1F7" w14:textId="77777777" w:rsidR="00FD1C6D" w:rsidRDefault="00FD1C6D" w:rsidP="00FD1C6D">
      <w:pPr>
        <w:pStyle w:val="FootnoteText"/>
      </w:pPr>
      <w:r>
        <w:rPr>
          <w:rStyle w:val="FootnoteReference"/>
        </w:rPr>
        <w:footnoteRef/>
      </w:r>
      <w:r>
        <w:t xml:space="preserve"> </w:t>
      </w:r>
      <w:r w:rsidRPr="0003556D">
        <w:t>https://www.wa.gov.au/government/publications/perth-and-peel-35-million-frameworks</w:t>
      </w:r>
    </w:p>
  </w:footnote>
  <w:footnote w:id="3">
    <w:p w14:paraId="34F56E12" w14:textId="2B00BEAF" w:rsidR="00A07CC6" w:rsidRDefault="00A07CC6" w:rsidP="00A07CC6">
      <w:pPr>
        <w:pStyle w:val="FootnoteText"/>
      </w:pPr>
      <w:r>
        <w:rPr>
          <w:rStyle w:val="FootnoteReference"/>
        </w:rPr>
        <w:footnoteRef/>
      </w:r>
      <w:r>
        <w:t xml:space="preserve"> </w:t>
      </w:r>
      <w:r w:rsidRPr="00300DB4">
        <w:t>For the purpose of this report it is assumed that development ready means land with infrastructure that is ready to sell and/or construct</w:t>
      </w:r>
    </w:p>
  </w:footnote>
  <w:footnote w:id="4">
    <w:p w14:paraId="4550D9AE" w14:textId="77777777" w:rsidR="009E5489" w:rsidRDefault="009E5489" w:rsidP="009E5489">
      <w:pPr>
        <w:pStyle w:val="FootnoteText"/>
      </w:pPr>
      <w:r>
        <w:rPr>
          <w:rStyle w:val="FootnoteReference"/>
        </w:rPr>
        <w:footnoteRef/>
      </w:r>
      <w:r>
        <w:t xml:space="preserve"> </w:t>
      </w:r>
      <w:hyperlink r:id="rId1" w:anchor=":~:text=The%20Cook%20Government%20will%20overhaul,while%20protecting%20WA%27s%20unique%20environment." w:history="1">
        <w:r w:rsidRPr="00A12F13">
          <w:rPr>
            <w:rStyle w:val="Hyperlink"/>
          </w:rPr>
          <w:t>Overhaul of approvals system to unlock jobs, investment | wa.gov.au</w:t>
        </w:r>
      </w:hyperlink>
    </w:p>
  </w:footnote>
  <w:footnote w:id="5">
    <w:p w14:paraId="490F8D5E" w14:textId="4DE432C0" w:rsidR="00C73BF7" w:rsidRDefault="00C73BF7">
      <w:pPr>
        <w:pStyle w:val="FootnoteText"/>
      </w:pPr>
      <w:r>
        <w:rPr>
          <w:rStyle w:val="FootnoteReference"/>
        </w:rPr>
        <w:footnoteRef/>
      </w:r>
      <w:r>
        <w:t xml:space="preserve"> </w:t>
      </w:r>
      <w:hyperlink r:id="rId2" w:history="1">
        <w:r>
          <w:rPr>
            <w:rStyle w:val="Hyperlink"/>
          </w:rPr>
          <w:t>Change to planning scheme referrals to benefit EPA, local governments and proponents (www.wa.gov.au)</w:t>
        </w:r>
      </w:hyperlink>
    </w:p>
  </w:footnote>
  <w:footnote w:id="6">
    <w:p w14:paraId="74C4DA23" w14:textId="77777777" w:rsidR="00151FA7" w:rsidRDefault="00151FA7" w:rsidP="00151FA7">
      <w:pPr>
        <w:pStyle w:val="FootnoteText"/>
      </w:pPr>
      <w:r>
        <w:rPr>
          <w:rStyle w:val="FootnoteReference"/>
        </w:rPr>
        <w:footnoteRef/>
      </w:r>
      <w:r>
        <w:t xml:space="preserve"> W</w:t>
      </w:r>
      <w:r w:rsidRPr="000854ED">
        <w:t>here appropriate and where such zoning and planning does not add to construction costs e.g., through the use of incentives such as density bonuses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7E55" w14:textId="3B9EECCA" w:rsidR="000B4310" w:rsidRDefault="000B4310">
    <w:pPr>
      <w:pStyle w:val="Header"/>
    </w:pPr>
    <w:r>
      <w:rPr>
        <w:noProof/>
      </w:rPr>
      <mc:AlternateContent>
        <mc:Choice Requires="wps">
          <w:drawing>
            <wp:anchor distT="0" distB="0" distL="0" distR="0" simplePos="0" relativeHeight="251659264" behindDoc="0" locked="0" layoutInCell="1" allowOverlap="1" wp14:anchorId="5AEEE868" wp14:editId="3BAAE81D">
              <wp:simplePos x="901065" y="450850"/>
              <wp:positionH relativeFrom="column">
                <wp:align>center</wp:align>
              </wp:positionH>
              <wp:positionV relativeFrom="paragraph">
                <wp:posOffset>635</wp:posOffset>
              </wp:positionV>
              <wp:extent cx="443865" cy="443865"/>
              <wp:effectExtent l="0" t="0" r="16510"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E2F66" w14:textId="61BD482D" w:rsidR="000B4310" w:rsidRPr="000B4310" w:rsidRDefault="000B4310">
                          <w:pPr>
                            <w:rPr>
                              <w:rFonts w:ascii="Calibri" w:eastAsia="Calibri" w:hAnsi="Calibri" w:cs="Calibri"/>
                              <w:color w:val="000000"/>
                              <w:sz w:val="20"/>
                            </w:rPr>
                          </w:pPr>
                          <w:r w:rsidRPr="000B4310">
                            <w:rPr>
                              <w:rFonts w:ascii="Calibri" w:eastAsia="Calibri" w:hAnsi="Calibri" w:cs="Calibri"/>
                              <w:color w:val="00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EEE868" id="_x0000_t202" coordsize="21600,21600" o:spt="202" path="m,l,21600r21600,l21600,xe">
              <v:stroke joinstyle="miter"/>
              <v:path gradientshapeok="t" o:connecttype="rect"/>
            </v:shapetype>
            <v:shape id="Text Box 2" o:spid="_x0000_s1026" type="#_x0000_t202" alt="OFFI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88E2F66" w14:textId="61BD482D" w:rsidR="000B4310" w:rsidRPr="000B4310" w:rsidRDefault="000B4310">
                    <w:pPr>
                      <w:rPr>
                        <w:rFonts w:ascii="Calibri" w:eastAsia="Calibri" w:hAnsi="Calibri" w:cs="Calibri"/>
                        <w:color w:val="000000"/>
                        <w:sz w:val="20"/>
                      </w:rPr>
                    </w:pPr>
                    <w:r w:rsidRPr="000B4310">
                      <w:rPr>
                        <w:rFonts w:ascii="Calibri" w:eastAsia="Calibri" w:hAnsi="Calibri" w:cs="Calibri"/>
                        <w:color w:val="000000"/>
                        <w:sz w:val="20"/>
                      </w:rPr>
                      <w:t>OFFICIAL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BEBE" w14:textId="230152D0" w:rsidR="000B4310" w:rsidRDefault="000B4310">
    <w:pPr>
      <w:pStyle w:val="Header"/>
    </w:pPr>
    <w:r>
      <w:rPr>
        <w:noProof/>
      </w:rPr>
      <mc:AlternateContent>
        <mc:Choice Requires="wps">
          <w:drawing>
            <wp:anchor distT="0" distB="0" distL="0" distR="0" simplePos="0" relativeHeight="251666432" behindDoc="0" locked="0" layoutInCell="1" allowOverlap="1" wp14:anchorId="04D2C91D" wp14:editId="26FA97BD">
              <wp:simplePos x="635" y="635"/>
              <wp:positionH relativeFrom="column">
                <wp:align>center</wp:align>
              </wp:positionH>
              <wp:positionV relativeFrom="paragraph">
                <wp:posOffset>635</wp:posOffset>
              </wp:positionV>
              <wp:extent cx="443865" cy="443865"/>
              <wp:effectExtent l="0" t="0" r="16510" b="16510"/>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2E6F94" w14:textId="7DACBCF1" w:rsidR="000B4310" w:rsidRPr="000B4310" w:rsidRDefault="000B4310">
                          <w:pPr>
                            <w:rPr>
                              <w:rFonts w:ascii="Calibri" w:eastAsia="Calibri" w:hAnsi="Calibri" w:cs="Calibri"/>
                              <w:color w:val="000000"/>
                              <w:sz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D2C91D" id="_x0000_t202" coordsize="21600,21600" o:spt="202" path="m,l,21600r21600,l21600,xe">
              <v:stroke joinstyle="miter"/>
              <v:path gradientshapeok="t" o:connecttype="rect"/>
            </v:shapetype>
            <v:shape id="Text Box 10" o:spid="_x0000_s1034" type="#_x0000_t202" alt="OFFICI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512E6F94" w14:textId="7DACBCF1" w:rsidR="000B4310" w:rsidRPr="000B4310" w:rsidRDefault="000B4310">
                    <w:pPr>
                      <w:rPr>
                        <w:rFonts w:ascii="Calibri" w:eastAsia="Calibri" w:hAnsi="Calibri" w:cs="Calibri"/>
                        <w:color w:val="000000"/>
                        <w:sz w:val="20"/>
                      </w:rPr>
                    </w:pP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387F" w14:textId="2A0A25D8" w:rsidR="000B4310" w:rsidRDefault="000B4310">
    <w:pPr>
      <w:pStyle w:val="Header"/>
    </w:pPr>
    <w:r>
      <w:rPr>
        <w:noProof/>
      </w:rPr>
      <mc:AlternateContent>
        <mc:Choice Requires="wps">
          <w:drawing>
            <wp:anchor distT="0" distB="0" distL="0" distR="0" simplePos="0" relativeHeight="251664384" behindDoc="0" locked="0" layoutInCell="1" allowOverlap="1" wp14:anchorId="625A9646" wp14:editId="09686A74">
              <wp:simplePos x="635" y="635"/>
              <wp:positionH relativeFrom="column">
                <wp:align>center</wp:align>
              </wp:positionH>
              <wp:positionV relativeFrom="paragraph">
                <wp:posOffset>635</wp:posOffset>
              </wp:positionV>
              <wp:extent cx="443865" cy="443865"/>
              <wp:effectExtent l="0" t="0" r="16510" b="1651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9DAEA5" w14:textId="0C41A19F" w:rsidR="000B4310" w:rsidRPr="000B4310" w:rsidRDefault="000B4310">
                          <w:pPr>
                            <w:rPr>
                              <w:rFonts w:ascii="Calibri" w:eastAsia="Calibri" w:hAnsi="Calibri" w:cs="Calibri"/>
                              <w:color w:val="000000"/>
                              <w:sz w:val="20"/>
                            </w:rPr>
                          </w:pPr>
                          <w:r w:rsidRPr="000B4310">
                            <w:rPr>
                              <w:rFonts w:ascii="Calibri" w:eastAsia="Calibri" w:hAnsi="Calibri" w:cs="Calibri"/>
                              <w:color w:val="00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5A9646" id="_x0000_t202" coordsize="21600,21600" o:spt="202" path="m,l,21600r21600,l21600,xe">
              <v:stroke joinstyle="miter"/>
              <v:path gradientshapeok="t" o:connecttype="rect"/>
            </v:shapetype>
            <v:shape id="Text Box 8" o:spid="_x0000_s1035" type="#_x0000_t202" alt="OFFICIAL"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109DAEA5" w14:textId="0C41A19F" w:rsidR="000B4310" w:rsidRPr="000B4310" w:rsidRDefault="000B4310">
                    <w:pPr>
                      <w:rPr>
                        <w:rFonts w:ascii="Calibri" w:eastAsia="Calibri" w:hAnsi="Calibri" w:cs="Calibri"/>
                        <w:color w:val="000000"/>
                        <w:sz w:val="20"/>
                      </w:rPr>
                    </w:pPr>
                    <w:r w:rsidRPr="000B4310">
                      <w:rPr>
                        <w:rFonts w:ascii="Calibri" w:eastAsia="Calibri" w:hAnsi="Calibri" w:cs="Calibri"/>
                        <w:color w:val="000000"/>
                        <w:sz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5C87" w14:textId="1D527A22" w:rsidR="000B4310" w:rsidRDefault="000B4310">
    <w:pPr>
      <w:pStyle w:val="Header"/>
    </w:pPr>
    <w:r>
      <w:rPr>
        <w:noProof/>
      </w:rPr>
      <mc:AlternateContent>
        <mc:Choice Requires="wps">
          <w:drawing>
            <wp:anchor distT="0" distB="0" distL="0" distR="0" simplePos="0" relativeHeight="251660288" behindDoc="0" locked="0" layoutInCell="1" allowOverlap="1" wp14:anchorId="002437C2" wp14:editId="32D9176A">
              <wp:simplePos x="904875" y="44767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FE547" w14:textId="41DB95A2" w:rsidR="000B4310" w:rsidRPr="000B4310" w:rsidRDefault="000B4310">
                          <w:pPr>
                            <w:rPr>
                              <w:rFonts w:ascii="Calibri" w:eastAsia="Calibri" w:hAnsi="Calibri" w:cs="Calibri"/>
                              <w:color w:val="000000"/>
                              <w:sz w:val="20"/>
                            </w:rPr>
                          </w:pPr>
                          <w:r w:rsidRPr="000B4310">
                            <w:rPr>
                              <w:rFonts w:ascii="Calibri" w:eastAsia="Calibri" w:hAnsi="Calibri" w:cs="Calibri"/>
                              <w:color w:val="00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2437C2" id="_x0000_t202" coordsize="21600,21600" o:spt="202" path="m,l,21600r21600,l21600,xe">
              <v:stroke joinstyle="miter"/>
              <v:path gradientshapeok="t" o:connecttype="rect"/>
            </v:shapetype>
            <v:shape id="Text Box 3" o:spid="_x0000_s1027" type="#_x0000_t202" alt="OFFI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90FE547" w14:textId="41DB95A2" w:rsidR="000B4310" w:rsidRPr="000B4310" w:rsidRDefault="000B4310">
                    <w:pPr>
                      <w:rPr>
                        <w:rFonts w:ascii="Calibri" w:eastAsia="Calibri" w:hAnsi="Calibri" w:cs="Calibri"/>
                        <w:color w:val="000000"/>
                        <w:sz w:val="20"/>
                      </w:rPr>
                    </w:pPr>
                    <w:r w:rsidRPr="000B4310">
                      <w:rPr>
                        <w:rFonts w:ascii="Calibri" w:eastAsia="Calibri" w:hAnsi="Calibri" w:cs="Calibri"/>
                        <w:color w:val="000000"/>
                        <w:sz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1BA9" w14:textId="109BAA93" w:rsidR="000B4310" w:rsidRDefault="00B8282C">
    <w:pPr>
      <w:pStyle w:val="Header"/>
    </w:pPr>
    <w:r>
      <w:rPr>
        <w:noProof/>
      </w:rPr>
      <w:drawing>
        <wp:inline distT="0" distB="0" distL="0" distR="0" wp14:anchorId="3EEB8CB0" wp14:editId="7E769870">
          <wp:extent cx="2641600" cy="812800"/>
          <wp:effectExtent l="0" t="0" r="0" b="0"/>
          <wp:docPr id="1138474579" name="Picture 11" descr="Government of Wester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74579" name="Picture 11" descr="Government of Western Australia logo"/>
                  <pic:cNvPicPr/>
                </pic:nvPicPr>
                <pic:blipFill>
                  <a:blip r:embed="rId1">
                    <a:extLst>
                      <a:ext uri="{28A0092B-C50C-407E-A947-70E740481C1C}">
                        <a14:useLocalDpi xmlns:a14="http://schemas.microsoft.com/office/drawing/2010/main" val="0"/>
                      </a:ext>
                    </a:extLst>
                  </a:blip>
                  <a:stretch>
                    <a:fillRect/>
                  </a:stretch>
                </pic:blipFill>
                <pic:spPr>
                  <a:xfrm>
                    <a:off x="0" y="0"/>
                    <a:ext cx="2641600" cy="812800"/>
                  </a:xfrm>
                  <a:prstGeom prst="rect">
                    <a:avLst/>
                  </a:prstGeom>
                </pic:spPr>
              </pic:pic>
            </a:graphicData>
          </a:graphic>
        </wp:inline>
      </w:drawing>
    </w:r>
    <w:r w:rsidR="000B4310">
      <w:rPr>
        <w:noProof/>
      </w:rPr>
      <mc:AlternateContent>
        <mc:Choice Requires="wps">
          <w:drawing>
            <wp:anchor distT="0" distB="0" distL="0" distR="0" simplePos="0" relativeHeight="251658240" behindDoc="0" locked="0" layoutInCell="1" allowOverlap="1" wp14:anchorId="7BAF30B7" wp14:editId="598EF57A">
              <wp:simplePos x="904875" y="447675"/>
              <wp:positionH relativeFrom="column">
                <wp:align>center</wp:align>
              </wp:positionH>
              <wp:positionV relativeFrom="paragraph">
                <wp:posOffset>635</wp:posOffset>
              </wp:positionV>
              <wp:extent cx="443865" cy="443865"/>
              <wp:effectExtent l="0" t="0" r="16510"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F010B0" w14:textId="7670D870" w:rsidR="000B4310" w:rsidRPr="000B4310" w:rsidRDefault="000B4310">
                          <w:pPr>
                            <w:rPr>
                              <w:rFonts w:ascii="Calibri" w:eastAsia="Calibri" w:hAnsi="Calibri" w:cs="Calibri"/>
                              <w:color w:val="000000"/>
                              <w:sz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AF30B7" id="_x0000_t202" coordsize="21600,21600" o:spt="202" path="m,l,21600r21600,l21600,xe">
              <v:stroke joinstyle="miter"/>
              <v:path gradientshapeok="t" o:connecttype="rect"/>
            </v:shapetype>
            <v:shape id="Text Box 1" o:spid="_x0000_s1028" type="#_x0000_t202" alt="OFFI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1F010B0" w14:textId="7670D870" w:rsidR="000B4310" w:rsidRPr="000B4310" w:rsidRDefault="000B4310">
                    <w:pPr>
                      <w:rPr>
                        <w:rFonts w:ascii="Calibri" w:eastAsia="Calibri" w:hAnsi="Calibri" w:cs="Calibri"/>
                        <w:color w:val="000000"/>
                        <w:sz w:val="20"/>
                      </w:rPr>
                    </w:pP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F74B" w14:textId="77777777" w:rsidR="005D65E8" w:rsidRDefault="005D65E8">
    <w:pPr>
      <w:pStyle w:val="Header"/>
    </w:pPr>
    <w:r>
      <w:rPr>
        <w:noProof/>
      </w:rPr>
      <mc:AlternateContent>
        <mc:Choice Requires="wps">
          <w:drawing>
            <wp:anchor distT="0" distB="0" distL="0" distR="0" simplePos="0" relativeHeight="251669504" behindDoc="0" locked="0" layoutInCell="1" allowOverlap="1" wp14:anchorId="6626C941" wp14:editId="7903AC69">
              <wp:simplePos x="635" y="635"/>
              <wp:positionH relativeFrom="column">
                <wp:align>center</wp:align>
              </wp:positionH>
              <wp:positionV relativeFrom="paragraph">
                <wp:posOffset>635</wp:posOffset>
              </wp:positionV>
              <wp:extent cx="443865" cy="443865"/>
              <wp:effectExtent l="0" t="0" r="13335" b="16510"/>
              <wp:wrapSquare wrapText="bothSides"/>
              <wp:docPr id="11" name="Text Box 1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D2770" w14:textId="77777777" w:rsidR="005D65E8" w:rsidRPr="00430731" w:rsidRDefault="005D65E8">
                          <w:pPr>
                            <w:rPr>
                              <w:rFonts w:ascii="Calibri" w:eastAsia="Calibri" w:hAnsi="Calibri" w:cs="Calibri"/>
                              <w:color w:val="FF0000"/>
                              <w:sz w:val="20"/>
                            </w:rPr>
                          </w:pPr>
                          <w:r w:rsidRPr="00430731">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26C941" id="_x0000_t202" coordsize="21600,21600" o:spt="202" path="m,l,21600r21600,l21600,xe">
              <v:stroke joinstyle="miter"/>
              <v:path gradientshapeok="t" o:connecttype="rect"/>
            </v:shapetype>
            <v:shape id="Text Box 11" o:spid="_x0000_s1029" type="#_x0000_t202" alt="OFFICIAL - Sensitive"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77D2770" w14:textId="77777777" w:rsidR="005D65E8" w:rsidRPr="00430731" w:rsidRDefault="005D65E8">
                    <w:pPr>
                      <w:rPr>
                        <w:rFonts w:ascii="Calibri" w:eastAsia="Calibri" w:hAnsi="Calibri" w:cs="Calibri"/>
                        <w:color w:val="FF0000"/>
                        <w:sz w:val="20"/>
                      </w:rPr>
                    </w:pPr>
                    <w:r w:rsidRPr="00430731">
                      <w:rPr>
                        <w:rFonts w:ascii="Calibri" w:eastAsia="Calibri" w:hAnsi="Calibri" w:cs="Calibri"/>
                        <w:color w:val="FF0000"/>
                        <w:sz w:val="20"/>
                      </w:rPr>
                      <w:t>OFFICIAL - Sensitive</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4FD0" w14:textId="77777777" w:rsidR="005D65E8" w:rsidRDefault="005D65E8">
    <w:pPr>
      <w:pStyle w:val="Header"/>
    </w:pPr>
    <w:r>
      <w:rPr>
        <w:noProof/>
      </w:rPr>
      <mc:AlternateContent>
        <mc:Choice Requires="wps">
          <w:drawing>
            <wp:anchor distT="0" distB="0" distL="0" distR="0" simplePos="0" relativeHeight="251668480" behindDoc="0" locked="0" layoutInCell="1" allowOverlap="1" wp14:anchorId="1CFA2445" wp14:editId="2731785E">
              <wp:simplePos x="0" y="0"/>
              <wp:positionH relativeFrom="column">
                <wp:posOffset>2366645</wp:posOffset>
              </wp:positionH>
              <wp:positionV relativeFrom="paragraph">
                <wp:posOffset>-2540</wp:posOffset>
              </wp:positionV>
              <wp:extent cx="1724025" cy="443865"/>
              <wp:effectExtent l="0" t="0" r="9525" b="16510"/>
              <wp:wrapSquare wrapText="bothSides"/>
              <wp:docPr id="12" name="Text Box 12" descr="OFFICIAL - Sensitive"/>
              <wp:cNvGraphicFramePr/>
              <a:graphic xmlns:a="http://schemas.openxmlformats.org/drawingml/2006/main">
                <a:graphicData uri="http://schemas.microsoft.com/office/word/2010/wordprocessingShape">
                  <wps:wsp>
                    <wps:cNvSpPr txBox="1"/>
                    <wps:spPr>
                      <a:xfrm>
                        <a:off x="0" y="0"/>
                        <a:ext cx="1724025" cy="443865"/>
                      </a:xfrm>
                      <a:prstGeom prst="rect">
                        <a:avLst/>
                      </a:prstGeom>
                      <a:noFill/>
                      <a:ln>
                        <a:noFill/>
                      </a:ln>
                    </wps:spPr>
                    <wps:txbx>
                      <w:txbxContent>
                        <w:p w14:paraId="2DA8C711" w14:textId="2FE385AA" w:rsidR="005D65E8" w:rsidRPr="00430731" w:rsidRDefault="005D65E8">
                          <w:pPr>
                            <w:rPr>
                              <w:rFonts w:ascii="Calibri" w:eastAsia="Calibri" w:hAnsi="Calibri" w:cs="Calibri"/>
                              <w:color w:val="FF0000"/>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CFA2445" id="_x0000_t202" coordsize="21600,21600" o:spt="202" path="m,l,21600r21600,l21600,xe">
              <v:stroke joinstyle="miter"/>
              <v:path gradientshapeok="t" o:connecttype="rect"/>
            </v:shapetype>
            <v:shape id="Text Box 12" o:spid="_x0000_s1030" type="#_x0000_t202" alt="OFFICIAL - Sensitive" style="position:absolute;left:0;text-align:left;margin-left:186.35pt;margin-top:-.2pt;width:135.75pt;height:34.95pt;z-index:25166848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" filled="f" stroked="f">
              <v:textbox style="mso-fit-shape-to-text:t" inset="0,0,0,0">
                <w:txbxContent>
                  <w:p w14:paraId="2DA8C711" w14:textId="2FE385AA" w:rsidR="005D65E8" w:rsidRPr="00430731" w:rsidRDefault="005D65E8">
                    <w:pPr>
                      <w:rPr>
                        <w:rFonts w:ascii="Calibri" w:eastAsia="Calibri" w:hAnsi="Calibri" w:cs="Calibri"/>
                        <w:color w:val="FF0000"/>
                        <w:sz w:val="20"/>
                      </w:rPr>
                    </w:pP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DB9A" w14:textId="73EBFEA5" w:rsidR="000B4310" w:rsidRDefault="000B4310">
    <w:pPr>
      <w:pStyle w:val="Header"/>
    </w:pPr>
    <w:r>
      <w:rPr>
        <w:noProof/>
      </w:rPr>
      <mc:AlternateContent>
        <mc:Choice Requires="wps">
          <w:drawing>
            <wp:anchor distT="0" distB="0" distL="0" distR="0" simplePos="0" relativeHeight="251662336" behindDoc="0" locked="0" layoutInCell="1" allowOverlap="1" wp14:anchorId="3F94F774" wp14:editId="6E0D58E2">
              <wp:simplePos x="901065" y="450850"/>
              <wp:positionH relativeFrom="column">
                <wp:align>center</wp:align>
              </wp:positionH>
              <wp:positionV relativeFrom="paragraph">
                <wp:posOffset>635</wp:posOffset>
              </wp:positionV>
              <wp:extent cx="443865" cy="443865"/>
              <wp:effectExtent l="0" t="0" r="16510" b="1651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6436B1" w14:textId="0D93094F" w:rsidR="000B4310" w:rsidRPr="000B4310" w:rsidRDefault="000B4310">
                          <w:pPr>
                            <w:rPr>
                              <w:rFonts w:ascii="Calibri" w:eastAsia="Calibri" w:hAnsi="Calibri" w:cs="Calibri"/>
                              <w:color w:val="000000"/>
                              <w:sz w:val="20"/>
                            </w:rPr>
                          </w:pPr>
                          <w:r w:rsidRPr="000B4310">
                            <w:rPr>
                              <w:rFonts w:ascii="Calibri" w:eastAsia="Calibri" w:hAnsi="Calibri" w:cs="Calibri"/>
                              <w:color w:val="00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94F774" id="_x0000_t202" coordsize="21600,21600" o:spt="202" path="m,l,21600r21600,l21600,xe">
              <v:stroke joinstyle="miter"/>
              <v:path gradientshapeok="t" o:connecttype="rect"/>
            </v:shapetype>
            <v:shape id="Text Box 6" o:spid="_x0000_s1031" type="#_x0000_t202" alt="OFFI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66436B1" w14:textId="0D93094F" w:rsidR="000B4310" w:rsidRPr="000B4310" w:rsidRDefault="000B4310">
                    <w:pPr>
                      <w:rPr>
                        <w:rFonts w:ascii="Calibri" w:eastAsia="Calibri" w:hAnsi="Calibri" w:cs="Calibri"/>
                        <w:color w:val="000000"/>
                        <w:sz w:val="20"/>
                      </w:rPr>
                    </w:pPr>
                    <w:r w:rsidRPr="000B4310">
                      <w:rPr>
                        <w:rFonts w:ascii="Calibri" w:eastAsia="Calibri" w:hAnsi="Calibri" w:cs="Calibri"/>
                        <w:color w:val="000000"/>
                        <w:sz w:val="20"/>
                      </w:rPr>
                      <w:t>OFFICIAL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FEF9" w14:textId="78E3A513" w:rsidR="000B4310" w:rsidRDefault="000B4310">
    <w:pPr>
      <w:pStyle w:val="Header"/>
    </w:pPr>
    <w:r>
      <w:rPr>
        <w:noProof/>
      </w:rPr>
      <mc:AlternateContent>
        <mc:Choice Requires="wps">
          <w:drawing>
            <wp:anchor distT="0" distB="0" distL="0" distR="0" simplePos="0" relativeHeight="251663360" behindDoc="0" locked="0" layoutInCell="1" allowOverlap="1" wp14:anchorId="5040D352" wp14:editId="71F5814F">
              <wp:simplePos x="904875" y="44767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9D823B" w14:textId="14BAD127" w:rsidR="000B4310" w:rsidRPr="000B4310" w:rsidRDefault="000B4310">
                          <w:pPr>
                            <w:rPr>
                              <w:rFonts w:ascii="Calibri" w:eastAsia="Calibri" w:hAnsi="Calibri" w:cs="Calibri"/>
                              <w:color w:val="000000"/>
                              <w:sz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40D352" id="_x0000_t202" coordsize="21600,21600" o:spt="202" path="m,l,21600r21600,l21600,xe">
              <v:stroke joinstyle="miter"/>
              <v:path gradientshapeok="t" o:connecttype="rect"/>
            </v:shapetype>
            <v:shape id="Text Box 7" o:spid="_x0000_s1032" type="#_x0000_t202" alt="OFFI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99D823B" w14:textId="14BAD127" w:rsidR="000B4310" w:rsidRPr="000B4310" w:rsidRDefault="000B4310">
                    <w:pPr>
                      <w:rPr>
                        <w:rFonts w:ascii="Calibri" w:eastAsia="Calibri" w:hAnsi="Calibri" w:cs="Calibri"/>
                        <w:color w:val="000000"/>
                        <w:sz w:val="20"/>
                      </w:rPr>
                    </w:pP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D6DE" w14:textId="4B309707" w:rsidR="000B4310" w:rsidRDefault="000B4310">
    <w:pPr>
      <w:pStyle w:val="Header"/>
    </w:pPr>
    <w:r>
      <w:rPr>
        <w:noProof/>
      </w:rPr>
      <mc:AlternateContent>
        <mc:Choice Requires="wps">
          <w:drawing>
            <wp:anchor distT="0" distB="0" distL="0" distR="0" simplePos="0" relativeHeight="251661312" behindDoc="0" locked="0" layoutInCell="1" allowOverlap="1" wp14:anchorId="221ED265" wp14:editId="27CCF57E">
              <wp:simplePos x="635" y="635"/>
              <wp:positionH relativeFrom="column">
                <wp:align>center</wp:align>
              </wp:positionH>
              <wp:positionV relativeFrom="paragraph">
                <wp:posOffset>635</wp:posOffset>
              </wp:positionV>
              <wp:extent cx="443865" cy="443865"/>
              <wp:effectExtent l="0" t="0" r="16510" b="1651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CB08A" w14:textId="491D9678" w:rsidR="000B4310" w:rsidRPr="000B4310" w:rsidRDefault="000B4310">
                          <w:pPr>
                            <w:rPr>
                              <w:rFonts w:ascii="Calibri" w:eastAsia="Calibri" w:hAnsi="Calibri" w:cs="Calibri"/>
                              <w:color w:val="000000"/>
                              <w:sz w:val="20"/>
                            </w:rPr>
                          </w:pPr>
                          <w:r w:rsidRPr="000B4310">
                            <w:rPr>
                              <w:rFonts w:ascii="Calibri" w:eastAsia="Calibri" w:hAnsi="Calibri" w:cs="Calibri"/>
                              <w:color w:val="00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1ED265" id="_x0000_t202" coordsize="21600,21600" o:spt="202" path="m,l,21600r21600,l21600,xe">
              <v:stroke joinstyle="miter"/>
              <v:path gradientshapeok="t" o:connecttype="rect"/>
            </v:shapetype>
            <v:shape id="Text Box 5" o:spid="_x0000_s1033" type="#_x0000_t202" alt="OFFI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704CB08A" w14:textId="491D9678" w:rsidR="000B4310" w:rsidRPr="000B4310" w:rsidRDefault="000B4310">
                    <w:pPr>
                      <w:rPr>
                        <w:rFonts w:ascii="Calibri" w:eastAsia="Calibri" w:hAnsi="Calibri" w:cs="Calibri"/>
                        <w:color w:val="000000"/>
                        <w:sz w:val="20"/>
                      </w:rPr>
                    </w:pPr>
                    <w:r w:rsidRPr="000B4310">
                      <w:rPr>
                        <w:rFonts w:ascii="Calibri" w:eastAsia="Calibri" w:hAnsi="Calibri" w:cs="Calibri"/>
                        <w:color w:val="000000"/>
                        <w:sz w:val="20"/>
                      </w:rPr>
                      <w:t>OFFICIAL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4025" w14:textId="6265E5BA" w:rsidR="000B4310" w:rsidRDefault="000B4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EB0"/>
    <w:multiLevelType w:val="multilevel"/>
    <w:tmpl w:val="B9A4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A87CAA"/>
    <w:multiLevelType w:val="hybridMultilevel"/>
    <w:tmpl w:val="D512B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1F5752"/>
    <w:multiLevelType w:val="hybridMultilevel"/>
    <w:tmpl w:val="FF980214"/>
    <w:lvl w:ilvl="0" w:tplc="C302D9A4">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A569A"/>
    <w:multiLevelType w:val="hybridMultilevel"/>
    <w:tmpl w:val="F9E682C2"/>
    <w:lvl w:ilvl="0" w:tplc="19427198">
      <w:start w:val="1"/>
      <w:numFmt w:val="bullet"/>
      <w:lvlText w:val=""/>
      <w:lvlJc w:val="left"/>
      <w:pPr>
        <w:ind w:left="360" w:hanging="360"/>
      </w:pPr>
      <w:rPr>
        <w:rFonts w:ascii="Symbol" w:hAnsi="Symbol" w:hint="default"/>
      </w:rPr>
    </w:lvl>
    <w:lvl w:ilvl="1" w:tplc="56BE282A">
      <w:start w:val="1"/>
      <w:numFmt w:val="bullet"/>
      <w:lvlText w:val="o"/>
      <w:lvlJc w:val="left"/>
      <w:pPr>
        <w:ind w:left="1080" w:hanging="360"/>
      </w:pPr>
      <w:rPr>
        <w:rFonts w:ascii="Courier New" w:hAnsi="Courier New" w:hint="default"/>
      </w:rPr>
    </w:lvl>
    <w:lvl w:ilvl="2" w:tplc="1A8253B2">
      <w:start w:val="1"/>
      <w:numFmt w:val="bullet"/>
      <w:lvlText w:val=""/>
      <w:lvlJc w:val="left"/>
      <w:pPr>
        <w:ind w:left="1800" w:hanging="360"/>
      </w:pPr>
      <w:rPr>
        <w:rFonts w:ascii="Wingdings" w:hAnsi="Wingdings" w:hint="default"/>
      </w:rPr>
    </w:lvl>
    <w:lvl w:ilvl="3" w:tplc="23DADC7E">
      <w:start w:val="1"/>
      <w:numFmt w:val="bullet"/>
      <w:lvlText w:val=""/>
      <w:lvlJc w:val="left"/>
      <w:pPr>
        <w:ind w:left="2520" w:hanging="360"/>
      </w:pPr>
      <w:rPr>
        <w:rFonts w:ascii="Symbol" w:hAnsi="Symbol" w:hint="default"/>
      </w:rPr>
    </w:lvl>
    <w:lvl w:ilvl="4" w:tplc="58AC2D86">
      <w:start w:val="1"/>
      <w:numFmt w:val="bullet"/>
      <w:lvlText w:val="o"/>
      <w:lvlJc w:val="left"/>
      <w:pPr>
        <w:ind w:left="3240" w:hanging="360"/>
      </w:pPr>
      <w:rPr>
        <w:rFonts w:ascii="Courier New" w:hAnsi="Courier New" w:hint="default"/>
      </w:rPr>
    </w:lvl>
    <w:lvl w:ilvl="5" w:tplc="B7409E58">
      <w:start w:val="1"/>
      <w:numFmt w:val="bullet"/>
      <w:lvlText w:val=""/>
      <w:lvlJc w:val="left"/>
      <w:pPr>
        <w:ind w:left="3960" w:hanging="360"/>
      </w:pPr>
      <w:rPr>
        <w:rFonts w:ascii="Wingdings" w:hAnsi="Wingdings" w:hint="default"/>
      </w:rPr>
    </w:lvl>
    <w:lvl w:ilvl="6" w:tplc="223A5F6A">
      <w:start w:val="1"/>
      <w:numFmt w:val="bullet"/>
      <w:lvlText w:val=""/>
      <w:lvlJc w:val="left"/>
      <w:pPr>
        <w:ind w:left="4680" w:hanging="360"/>
      </w:pPr>
      <w:rPr>
        <w:rFonts w:ascii="Symbol" w:hAnsi="Symbol" w:hint="default"/>
      </w:rPr>
    </w:lvl>
    <w:lvl w:ilvl="7" w:tplc="EAB6CB5A">
      <w:start w:val="1"/>
      <w:numFmt w:val="bullet"/>
      <w:lvlText w:val="o"/>
      <w:lvlJc w:val="left"/>
      <w:pPr>
        <w:ind w:left="5400" w:hanging="360"/>
      </w:pPr>
      <w:rPr>
        <w:rFonts w:ascii="Courier New" w:hAnsi="Courier New" w:hint="default"/>
      </w:rPr>
    </w:lvl>
    <w:lvl w:ilvl="8" w:tplc="D5883B14">
      <w:start w:val="1"/>
      <w:numFmt w:val="bullet"/>
      <w:lvlText w:val=""/>
      <w:lvlJc w:val="left"/>
      <w:pPr>
        <w:ind w:left="6120" w:hanging="360"/>
      </w:pPr>
      <w:rPr>
        <w:rFonts w:ascii="Wingdings" w:hAnsi="Wingding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B92434"/>
    <w:multiLevelType w:val="hybridMultilevel"/>
    <w:tmpl w:val="1D42C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3" w15:restartNumberingAfterBreak="0">
    <w:nsid w:val="318E50B7"/>
    <w:multiLevelType w:val="hybridMultilevel"/>
    <w:tmpl w:val="7ECCE1E2"/>
    <w:lvl w:ilvl="0" w:tplc="7ABCD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9D0D38"/>
    <w:multiLevelType w:val="hybridMultilevel"/>
    <w:tmpl w:val="CCE60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F64A75"/>
    <w:multiLevelType w:val="hybridMultilevel"/>
    <w:tmpl w:val="64569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F10A1"/>
    <w:multiLevelType w:val="hybridMultilevel"/>
    <w:tmpl w:val="227C3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69047A"/>
    <w:multiLevelType w:val="hybridMultilevel"/>
    <w:tmpl w:val="B8623EC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7F469B1"/>
    <w:multiLevelType w:val="multilevel"/>
    <w:tmpl w:val="ED1A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6"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766B02"/>
    <w:multiLevelType w:val="hybridMultilevel"/>
    <w:tmpl w:val="D854CED0"/>
    <w:lvl w:ilvl="0" w:tplc="750A7E9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D93B41"/>
    <w:multiLevelType w:val="hybridMultilevel"/>
    <w:tmpl w:val="D4FC5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9E81922"/>
    <w:multiLevelType w:val="hybridMultilevel"/>
    <w:tmpl w:val="C540B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6B5224"/>
    <w:multiLevelType w:val="multilevel"/>
    <w:tmpl w:val="E43679D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3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3"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220681611">
    <w:abstractNumId w:val="12"/>
  </w:num>
  <w:num w:numId="2" w16cid:durableId="1685739143">
    <w:abstractNumId w:val="1"/>
  </w:num>
  <w:num w:numId="3" w16cid:durableId="861474588">
    <w:abstractNumId w:val="17"/>
  </w:num>
  <w:num w:numId="4" w16cid:durableId="271397741">
    <w:abstractNumId w:val="4"/>
  </w:num>
  <w:num w:numId="5" w16cid:durableId="1470901287">
    <w:abstractNumId w:val="5"/>
  </w:num>
  <w:num w:numId="6" w16cid:durableId="2119138107">
    <w:abstractNumId w:val="22"/>
  </w:num>
  <w:num w:numId="7" w16cid:durableId="950282541">
    <w:abstractNumId w:val="1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46120097">
    <w:abstractNumId w:val="6"/>
  </w:num>
  <w:num w:numId="9" w16cid:durableId="615674835">
    <w:abstractNumId w:val="2"/>
  </w:num>
  <w:num w:numId="10" w16cid:durableId="881282868">
    <w:abstractNumId w:val="10"/>
  </w:num>
  <w:num w:numId="11" w16cid:durableId="1949387226">
    <w:abstractNumId w:val="32"/>
  </w:num>
  <w:num w:numId="12" w16cid:durableId="4135909">
    <w:abstractNumId w:val="22"/>
  </w:num>
  <w:num w:numId="13" w16cid:durableId="356853384">
    <w:abstractNumId w:val="33"/>
  </w:num>
  <w:num w:numId="14" w16cid:durableId="1844123404">
    <w:abstractNumId w:val="21"/>
  </w:num>
  <w:num w:numId="15" w16cid:durableId="1722091022">
    <w:abstractNumId w:val="9"/>
  </w:num>
  <w:num w:numId="16" w16cid:durableId="1315376873">
    <w:abstractNumId w:val="26"/>
  </w:num>
  <w:num w:numId="17" w16cid:durableId="913970941">
    <w:abstractNumId w:val="16"/>
  </w:num>
  <w:num w:numId="18" w16cid:durableId="18179195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4456487">
    <w:abstractNumId w:val="31"/>
  </w:num>
  <w:num w:numId="20" w16cid:durableId="232593177">
    <w:abstractNumId w:val="15"/>
  </w:num>
  <w:num w:numId="21" w16cid:durableId="1564753543">
    <w:abstractNumId w:val="23"/>
  </w:num>
  <w:num w:numId="22" w16cid:durableId="286280902">
    <w:abstractNumId w:val="25"/>
  </w:num>
  <w:num w:numId="23" w16cid:durableId="2143884546">
    <w:abstractNumId w:val="7"/>
  </w:num>
  <w:num w:numId="24" w16cid:durableId="1017999954">
    <w:abstractNumId w:val="31"/>
  </w:num>
  <w:num w:numId="25" w16cid:durableId="2146463622">
    <w:abstractNumId w:val="14"/>
  </w:num>
  <w:num w:numId="26" w16cid:durableId="1265991599">
    <w:abstractNumId w:val="8"/>
  </w:num>
  <w:num w:numId="27" w16cid:durableId="42991833">
    <w:abstractNumId w:val="25"/>
  </w:num>
  <w:num w:numId="28" w16cid:durableId="561987685">
    <w:abstractNumId w:val="25"/>
  </w:num>
  <w:num w:numId="29" w16cid:durableId="1257712984">
    <w:abstractNumId w:val="3"/>
  </w:num>
  <w:num w:numId="30" w16cid:durableId="1483306460">
    <w:abstractNumId w:val="31"/>
  </w:num>
  <w:num w:numId="31" w16cid:durableId="1232420693">
    <w:abstractNumId w:val="27"/>
  </w:num>
  <w:num w:numId="32" w16cid:durableId="1911423473">
    <w:abstractNumId w:val="20"/>
  </w:num>
  <w:num w:numId="33" w16cid:durableId="2106263887">
    <w:abstractNumId w:val="18"/>
  </w:num>
  <w:num w:numId="34" w16cid:durableId="1778137815">
    <w:abstractNumId w:val="28"/>
  </w:num>
  <w:num w:numId="35" w16cid:durableId="233707671">
    <w:abstractNumId w:val="11"/>
  </w:num>
  <w:num w:numId="36" w16cid:durableId="2021197399">
    <w:abstractNumId w:val="19"/>
  </w:num>
  <w:num w:numId="37" w16cid:durableId="563763365">
    <w:abstractNumId w:val="13"/>
  </w:num>
  <w:num w:numId="38" w16cid:durableId="1718771855">
    <w:abstractNumId w:val="0"/>
  </w:num>
  <w:num w:numId="39" w16cid:durableId="2127455942">
    <w:abstractNumId w:val="30"/>
  </w:num>
  <w:num w:numId="40" w16cid:durableId="14419938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23C3"/>
    <w:rsid w:val="0000438A"/>
    <w:rsid w:val="00004F21"/>
    <w:rsid w:val="00004F32"/>
    <w:rsid w:val="00011725"/>
    <w:rsid w:val="0001232C"/>
    <w:rsid w:val="00012C62"/>
    <w:rsid w:val="0001396A"/>
    <w:rsid w:val="00014621"/>
    <w:rsid w:val="00015324"/>
    <w:rsid w:val="000162FE"/>
    <w:rsid w:val="00016C4B"/>
    <w:rsid w:val="00016DA2"/>
    <w:rsid w:val="00017823"/>
    <w:rsid w:val="00017CA2"/>
    <w:rsid w:val="00020D3F"/>
    <w:rsid w:val="00020FB8"/>
    <w:rsid w:val="000242DF"/>
    <w:rsid w:val="0002544D"/>
    <w:rsid w:val="00026E04"/>
    <w:rsid w:val="00027D9C"/>
    <w:rsid w:val="000304EA"/>
    <w:rsid w:val="00031062"/>
    <w:rsid w:val="00031F11"/>
    <w:rsid w:val="00033C79"/>
    <w:rsid w:val="0003540B"/>
    <w:rsid w:val="0003556D"/>
    <w:rsid w:val="00035824"/>
    <w:rsid w:val="000358E9"/>
    <w:rsid w:val="00036788"/>
    <w:rsid w:val="000413D7"/>
    <w:rsid w:val="000419B1"/>
    <w:rsid w:val="0004274D"/>
    <w:rsid w:val="000428D6"/>
    <w:rsid w:val="00042CE5"/>
    <w:rsid w:val="00043348"/>
    <w:rsid w:val="00043F29"/>
    <w:rsid w:val="0004483F"/>
    <w:rsid w:val="00046CB4"/>
    <w:rsid w:val="00046EC2"/>
    <w:rsid w:val="000478E4"/>
    <w:rsid w:val="000507C5"/>
    <w:rsid w:val="0005138B"/>
    <w:rsid w:val="000522B7"/>
    <w:rsid w:val="00053118"/>
    <w:rsid w:val="00053717"/>
    <w:rsid w:val="00056880"/>
    <w:rsid w:val="00060044"/>
    <w:rsid w:val="000611EC"/>
    <w:rsid w:val="00062837"/>
    <w:rsid w:val="00062FAC"/>
    <w:rsid w:val="0006312C"/>
    <w:rsid w:val="00064C99"/>
    <w:rsid w:val="0006630A"/>
    <w:rsid w:val="000675D1"/>
    <w:rsid w:val="00072C37"/>
    <w:rsid w:val="00073521"/>
    <w:rsid w:val="00073722"/>
    <w:rsid w:val="00074168"/>
    <w:rsid w:val="000746A6"/>
    <w:rsid w:val="000775DE"/>
    <w:rsid w:val="000776E2"/>
    <w:rsid w:val="00080725"/>
    <w:rsid w:val="00080A67"/>
    <w:rsid w:val="00082B86"/>
    <w:rsid w:val="00083555"/>
    <w:rsid w:val="00084959"/>
    <w:rsid w:val="00084C8C"/>
    <w:rsid w:val="00087228"/>
    <w:rsid w:val="00087C51"/>
    <w:rsid w:val="00087FAF"/>
    <w:rsid w:val="0009484D"/>
    <w:rsid w:val="00095355"/>
    <w:rsid w:val="000A21A6"/>
    <w:rsid w:val="000A2758"/>
    <w:rsid w:val="000A2885"/>
    <w:rsid w:val="000A3675"/>
    <w:rsid w:val="000A536D"/>
    <w:rsid w:val="000A5876"/>
    <w:rsid w:val="000B03B1"/>
    <w:rsid w:val="000B093F"/>
    <w:rsid w:val="000B12C0"/>
    <w:rsid w:val="000B1408"/>
    <w:rsid w:val="000B279F"/>
    <w:rsid w:val="000B302A"/>
    <w:rsid w:val="000B4310"/>
    <w:rsid w:val="000B7426"/>
    <w:rsid w:val="000B7B56"/>
    <w:rsid w:val="000C0053"/>
    <w:rsid w:val="000C0442"/>
    <w:rsid w:val="000C28C3"/>
    <w:rsid w:val="000C2C20"/>
    <w:rsid w:val="000C5467"/>
    <w:rsid w:val="000C571D"/>
    <w:rsid w:val="000C5F40"/>
    <w:rsid w:val="000C6F69"/>
    <w:rsid w:val="000D097D"/>
    <w:rsid w:val="000D1959"/>
    <w:rsid w:val="000D2B73"/>
    <w:rsid w:val="000D5A89"/>
    <w:rsid w:val="000D691E"/>
    <w:rsid w:val="000D779E"/>
    <w:rsid w:val="000D7C3B"/>
    <w:rsid w:val="000E0B74"/>
    <w:rsid w:val="000E13B0"/>
    <w:rsid w:val="000E16CF"/>
    <w:rsid w:val="000E19B7"/>
    <w:rsid w:val="000E20A0"/>
    <w:rsid w:val="000E4C54"/>
    <w:rsid w:val="000E5E83"/>
    <w:rsid w:val="000E6467"/>
    <w:rsid w:val="000E66C3"/>
    <w:rsid w:val="000E727D"/>
    <w:rsid w:val="000E7901"/>
    <w:rsid w:val="000F0B32"/>
    <w:rsid w:val="000F15F8"/>
    <w:rsid w:val="000F19AB"/>
    <w:rsid w:val="000F20CF"/>
    <w:rsid w:val="000F2789"/>
    <w:rsid w:val="000F28E9"/>
    <w:rsid w:val="000F4E25"/>
    <w:rsid w:val="000F53A4"/>
    <w:rsid w:val="000F6233"/>
    <w:rsid w:val="00104E2F"/>
    <w:rsid w:val="00104E45"/>
    <w:rsid w:val="00105D28"/>
    <w:rsid w:val="00106A3B"/>
    <w:rsid w:val="001076F0"/>
    <w:rsid w:val="001079BC"/>
    <w:rsid w:val="001103FA"/>
    <w:rsid w:val="00112F64"/>
    <w:rsid w:val="001139C9"/>
    <w:rsid w:val="00114642"/>
    <w:rsid w:val="001171BE"/>
    <w:rsid w:val="00120259"/>
    <w:rsid w:val="00120C3E"/>
    <w:rsid w:val="00121859"/>
    <w:rsid w:val="00122B07"/>
    <w:rsid w:val="00125531"/>
    <w:rsid w:val="00125706"/>
    <w:rsid w:val="00126071"/>
    <w:rsid w:val="001260FC"/>
    <w:rsid w:val="0013175E"/>
    <w:rsid w:val="00131DC3"/>
    <w:rsid w:val="00132E48"/>
    <w:rsid w:val="00133999"/>
    <w:rsid w:val="00135B3C"/>
    <w:rsid w:val="00135D7A"/>
    <w:rsid w:val="00135E4C"/>
    <w:rsid w:val="00136016"/>
    <w:rsid w:val="0013681B"/>
    <w:rsid w:val="001373F5"/>
    <w:rsid w:val="00137B0A"/>
    <w:rsid w:val="00142E9A"/>
    <w:rsid w:val="00143B8B"/>
    <w:rsid w:val="00145F89"/>
    <w:rsid w:val="00150070"/>
    <w:rsid w:val="0015007C"/>
    <w:rsid w:val="001515FD"/>
    <w:rsid w:val="00151FA7"/>
    <w:rsid w:val="001532A9"/>
    <w:rsid w:val="00153D5D"/>
    <w:rsid w:val="00154B85"/>
    <w:rsid w:val="001550FE"/>
    <w:rsid w:val="00155AE8"/>
    <w:rsid w:val="00156507"/>
    <w:rsid w:val="001574C0"/>
    <w:rsid w:val="0016058E"/>
    <w:rsid w:val="001606CF"/>
    <w:rsid w:val="00160A3B"/>
    <w:rsid w:val="0016128D"/>
    <w:rsid w:val="00163252"/>
    <w:rsid w:val="00164599"/>
    <w:rsid w:val="001658FB"/>
    <w:rsid w:val="00165C2A"/>
    <w:rsid w:val="0016646F"/>
    <w:rsid w:val="00166D35"/>
    <w:rsid w:val="0016780C"/>
    <w:rsid w:val="0017069E"/>
    <w:rsid w:val="0017089D"/>
    <w:rsid w:val="001708FD"/>
    <w:rsid w:val="00170D8F"/>
    <w:rsid w:val="0017239C"/>
    <w:rsid w:val="0017389A"/>
    <w:rsid w:val="00173D4A"/>
    <w:rsid w:val="00174B5D"/>
    <w:rsid w:val="0017562F"/>
    <w:rsid w:val="001758EA"/>
    <w:rsid w:val="00176C84"/>
    <w:rsid w:val="00180111"/>
    <w:rsid w:val="00180145"/>
    <w:rsid w:val="001805A8"/>
    <w:rsid w:val="00180748"/>
    <w:rsid w:val="00180A8A"/>
    <w:rsid w:val="00180E16"/>
    <w:rsid w:val="0018175D"/>
    <w:rsid w:val="00181AC0"/>
    <w:rsid w:val="001821BA"/>
    <w:rsid w:val="00182437"/>
    <w:rsid w:val="00182FE0"/>
    <w:rsid w:val="00183AF2"/>
    <w:rsid w:val="0018585F"/>
    <w:rsid w:val="0018766F"/>
    <w:rsid w:val="001876DA"/>
    <w:rsid w:val="0019101A"/>
    <w:rsid w:val="00191CFE"/>
    <w:rsid w:val="00195C8E"/>
    <w:rsid w:val="00195CBF"/>
    <w:rsid w:val="00196730"/>
    <w:rsid w:val="001972D2"/>
    <w:rsid w:val="001A032D"/>
    <w:rsid w:val="001A2968"/>
    <w:rsid w:val="001A2D3E"/>
    <w:rsid w:val="001A333F"/>
    <w:rsid w:val="001A3E33"/>
    <w:rsid w:val="001A4F1F"/>
    <w:rsid w:val="001A6CF7"/>
    <w:rsid w:val="001B0524"/>
    <w:rsid w:val="001B1807"/>
    <w:rsid w:val="001B1C64"/>
    <w:rsid w:val="001B3151"/>
    <w:rsid w:val="001B393C"/>
    <w:rsid w:val="001B4CE4"/>
    <w:rsid w:val="001B6634"/>
    <w:rsid w:val="001C1147"/>
    <w:rsid w:val="001C11F0"/>
    <w:rsid w:val="001C1E3A"/>
    <w:rsid w:val="001C22C9"/>
    <w:rsid w:val="001C2D12"/>
    <w:rsid w:val="001C358D"/>
    <w:rsid w:val="001C3A25"/>
    <w:rsid w:val="001C3C0B"/>
    <w:rsid w:val="001C40A0"/>
    <w:rsid w:val="001C4D01"/>
    <w:rsid w:val="001C6861"/>
    <w:rsid w:val="001C730E"/>
    <w:rsid w:val="001C762E"/>
    <w:rsid w:val="001C768D"/>
    <w:rsid w:val="001D1815"/>
    <w:rsid w:val="001D311A"/>
    <w:rsid w:val="001D3A8A"/>
    <w:rsid w:val="001D3D3F"/>
    <w:rsid w:val="001D4C07"/>
    <w:rsid w:val="001D53A7"/>
    <w:rsid w:val="001E0C01"/>
    <w:rsid w:val="001E18F6"/>
    <w:rsid w:val="001E2B51"/>
    <w:rsid w:val="001E6FD8"/>
    <w:rsid w:val="001E7A2B"/>
    <w:rsid w:val="001F1B27"/>
    <w:rsid w:val="001F3479"/>
    <w:rsid w:val="001F34B6"/>
    <w:rsid w:val="001F5A71"/>
    <w:rsid w:val="001F5A91"/>
    <w:rsid w:val="001F6388"/>
    <w:rsid w:val="001F68F7"/>
    <w:rsid w:val="001F70C6"/>
    <w:rsid w:val="002019AE"/>
    <w:rsid w:val="002058F8"/>
    <w:rsid w:val="00206C1E"/>
    <w:rsid w:val="00207A99"/>
    <w:rsid w:val="00207D2C"/>
    <w:rsid w:val="00211045"/>
    <w:rsid w:val="00211B85"/>
    <w:rsid w:val="002129E4"/>
    <w:rsid w:val="00212D00"/>
    <w:rsid w:val="00214442"/>
    <w:rsid w:val="0021522A"/>
    <w:rsid w:val="002177DD"/>
    <w:rsid w:val="00217A6A"/>
    <w:rsid w:val="0022066E"/>
    <w:rsid w:val="0022085C"/>
    <w:rsid w:val="00221871"/>
    <w:rsid w:val="00221EC0"/>
    <w:rsid w:val="002221D0"/>
    <w:rsid w:val="00225420"/>
    <w:rsid w:val="00225489"/>
    <w:rsid w:val="0022733F"/>
    <w:rsid w:val="0022760D"/>
    <w:rsid w:val="00230337"/>
    <w:rsid w:val="002308CB"/>
    <w:rsid w:val="00231049"/>
    <w:rsid w:val="002314D2"/>
    <w:rsid w:val="0023238B"/>
    <w:rsid w:val="0023300F"/>
    <w:rsid w:val="0023305C"/>
    <w:rsid w:val="00233FD8"/>
    <w:rsid w:val="00234634"/>
    <w:rsid w:val="00234E09"/>
    <w:rsid w:val="002413D2"/>
    <w:rsid w:val="00241881"/>
    <w:rsid w:val="00241B3E"/>
    <w:rsid w:val="002422CE"/>
    <w:rsid w:val="0024294C"/>
    <w:rsid w:val="002437D1"/>
    <w:rsid w:val="00243EC4"/>
    <w:rsid w:val="0024483F"/>
    <w:rsid w:val="002453A7"/>
    <w:rsid w:val="002461BA"/>
    <w:rsid w:val="00246271"/>
    <w:rsid w:val="00246664"/>
    <w:rsid w:val="00247870"/>
    <w:rsid w:val="00247949"/>
    <w:rsid w:val="002525B3"/>
    <w:rsid w:val="002543D8"/>
    <w:rsid w:val="00254FD6"/>
    <w:rsid w:val="0025652F"/>
    <w:rsid w:val="00256E1E"/>
    <w:rsid w:val="0026051D"/>
    <w:rsid w:val="002608F1"/>
    <w:rsid w:val="00261DD0"/>
    <w:rsid w:val="00263B6C"/>
    <w:rsid w:val="00264697"/>
    <w:rsid w:val="002646D4"/>
    <w:rsid w:val="0026658B"/>
    <w:rsid w:val="002674BD"/>
    <w:rsid w:val="002675CF"/>
    <w:rsid w:val="0026761B"/>
    <w:rsid w:val="00267731"/>
    <w:rsid w:val="002677DC"/>
    <w:rsid w:val="00267A75"/>
    <w:rsid w:val="00272939"/>
    <w:rsid w:val="00274FF0"/>
    <w:rsid w:val="0027590B"/>
    <w:rsid w:val="00275ECE"/>
    <w:rsid w:val="002772E0"/>
    <w:rsid w:val="00283181"/>
    <w:rsid w:val="0028426B"/>
    <w:rsid w:val="0028562F"/>
    <w:rsid w:val="00285969"/>
    <w:rsid w:val="002905FA"/>
    <w:rsid w:val="00291C13"/>
    <w:rsid w:val="00294F4C"/>
    <w:rsid w:val="00295B30"/>
    <w:rsid w:val="00296963"/>
    <w:rsid w:val="00296BB1"/>
    <w:rsid w:val="002A130F"/>
    <w:rsid w:val="002A25B8"/>
    <w:rsid w:val="002A46EF"/>
    <w:rsid w:val="002A4975"/>
    <w:rsid w:val="002A5F12"/>
    <w:rsid w:val="002A6461"/>
    <w:rsid w:val="002A74EF"/>
    <w:rsid w:val="002A7A31"/>
    <w:rsid w:val="002A7B88"/>
    <w:rsid w:val="002A7DA0"/>
    <w:rsid w:val="002B0138"/>
    <w:rsid w:val="002B11B5"/>
    <w:rsid w:val="002B3829"/>
    <w:rsid w:val="002B69DC"/>
    <w:rsid w:val="002C1E2E"/>
    <w:rsid w:val="002C22EF"/>
    <w:rsid w:val="002C23A2"/>
    <w:rsid w:val="002C5047"/>
    <w:rsid w:val="002C5BE4"/>
    <w:rsid w:val="002C6991"/>
    <w:rsid w:val="002C7937"/>
    <w:rsid w:val="002D0653"/>
    <w:rsid w:val="002D6BC9"/>
    <w:rsid w:val="002D6EDC"/>
    <w:rsid w:val="002E143E"/>
    <w:rsid w:val="002E1479"/>
    <w:rsid w:val="002E1F83"/>
    <w:rsid w:val="002E1FB6"/>
    <w:rsid w:val="002E31C6"/>
    <w:rsid w:val="002E454C"/>
    <w:rsid w:val="002E5D2F"/>
    <w:rsid w:val="002E7F08"/>
    <w:rsid w:val="002F26A5"/>
    <w:rsid w:val="002F27B9"/>
    <w:rsid w:val="002F5DD4"/>
    <w:rsid w:val="002F617F"/>
    <w:rsid w:val="002F7332"/>
    <w:rsid w:val="00300109"/>
    <w:rsid w:val="00301755"/>
    <w:rsid w:val="00303029"/>
    <w:rsid w:val="00303164"/>
    <w:rsid w:val="0030665E"/>
    <w:rsid w:val="00306894"/>
    <w:rsid w:val="00306B40"/>
    <w:rsid w:val="00306CB8"/>
    <w:rsid w:val="00307021"/>
    <w:rsid w:val="003074FE"/>
    <w:rsid w:val="00307B77"/>
    <w:rsid w:val="003103FC"/>
    <w:rsid w:val="00310D66"/>
    <w:rsid w:val="00311AF4"/>
    <w:rsid w:val="00312167"/>
    <w:rsid w:val="003122F4"/>
    <w:rsid w:val="00312522"/>
    <w:rsid w:val="00312881"/>
    <w:rsid w:val="00314304"/>
    <w:rsid w:val="00315CCA"/>
    <w:rsid w:val="00316979"/>
    <w:rsid w:val="00316CE9"/>
    <w:rsid w:val="003170E9"/>
    <w:rsid w:val="003204AA"/>
    <w:rsid w:val="00320BFB"/>
    <w:rsid w:val="00321AD4"/>
    <w:rsid w:val="00324FA2"/>
    <w:rsid w:val="003256DC"/>
    <w:rsid w:val="00325AC0"/>
    <w:rsid w:val="003264D4"/>
    <w:rsid w:val="0032657B"/>
    <w:rsid w:val="003268D5"/>
    <w:rsid w:val="00327555"/>
    <w:rsid w:val="00330B4C"/>
    <w:rsid w:val="00334176"/>
    <w:rsid w:val="0033559D"/>
    <w:rsid w:val="00336292"/>
    <w:rsid w:val="0033755F"/>
    <w:rsid w:val="00343380"/>
    <w:rsid w:val="00344051"/>
    <w:rsid w:val="00344147"/>
    <w:rsid w:val="003446D2"/>
    <w:rsid w:val="003448F6"/>
    <w:rsid w:val="0034581D"/>
    <w:rsid w:val="0034678C"/>
    <w:rsid w:val="0034737E"/>
    <w:rsid w:val="003502F3"/>
    <w:rsid w:val="00350388"/>
    <w:rsid w:val="00350759"/>
    <w:rsid w:val="00353478"/>
    <w:rsid w:val="00354D27"/>
    <w:rsid w:val="0035738A"/>
    <w:rsid w:val="00357745"/>
    <w:rsid w:val="00357904"/>
    <w:rsid w:val="00357E8F"/>
    <w:rsid w:val="003629AF"/>
    <w:rsid w:val="00364EB3"/>
    <w:rsid w:val="003667E1"/>
    <w:rsid w:val="00366EB7"/>
    <w:rsid w:val="0037017A"/>
    <w:rsid w:val="003709A7"/>
    <w:rsid w:val="00372CAE"/>
    <w:rsid w:val="00372E94"/>
    <w:rsid w:val="003744B0"/>
    <w:rsid w:val="0037487E"/>
    <w:rsid w:val="00374A6D"/>
    <w:rsid w:val="00375655"/>
    <w:rsid w:val="00380469"/>
    <w:rsid w:val="00381621"/>
    <w:rsid w:val="00382230"/>
    <w:rsid w:val="00382763"/>
    <w:rsid w:val="003858A6"/>
    <w:rsid w:val="00386F13"/>
    <w:rsid w:val="0039150C"/>
    <w:rsid w:val="00391AE4"/>
    <w:rsid w:val="00392390"/>
    <w:rsid w:val="003925C6"/>
    <w:rsid w:val="00392D23"/>
    <w:rsid w:val="00392DCC"/>
    <w:rsid w:val="00393EC4"/>
    <w:rsid w:val="00393FF1"/>
    <w:rsid w:val="003941EF"/>
    <w:rsid w:val="0039645E"/>
    <w:rsid w:val="003965D0"/>
    <w:rsid w:val="003976AC"/>
    <w:rsid w:val="00397BB5"/>
    <w:rsid w:val="003A1F1C"/>
    <w:rsid w:val="003A2D80"/>
    <w:rsid w:val="003A327B"/>
    <w:rsid w:val="003A5B36"/>
    <w:rsid w:val="003A6A24"/>
    <w:rsid w:val="003A7DD4"/>
    <w:rsid w:val="003A7DDA"/>
    <w:rsid w:val="003B20DD"/>
    <w:rsid w:val="003B422C"/>
    <w:rsid w:val="003B50AD"/>
    <w:rsid w:val="003B6903"/>
    <w:rsid w:val="003B698E"/>
    <w:rsid w:val="003B6C78"/>
    <w:rsid w:val="003C17EE"/>
    <w:rsid w:val="003C1BAF"/>
    <w:rsid w:val="003C24B4"/>
    <w:rsid w:val="003C2672"/>
    <w:rsid w:val="003C27A1"/>
    <w:rsid w:val="003C2830"/>
    <w:rsid w:val="003C367F"/>
    <w:rsid w:val="003C4617"/>
    <w:rsid w:val="003C46BD"/>
    <w:rsid w:val="003C5BAE"/>
    <w:rsid w:val="003C6534"/>
    <w:rsid w:val="003C6D24"/>
    <w:rsid w:val="003C6F49"/>
    <w:rsid w:val="003C7019"/>
    <w:rsid w:val="003D2FA0"/>
    <w:rsid w:val="003D30DD"/>
    <w:rsid w:val="003D3498"/>
    <w:rsid w:val="003D3D82"/>
    <w:rsid w:val="003D3E3F"/>
    <w:rsid w:val="003D4E92"/>
    <w:rsid w:val="003D57C4"/>
    <w:rsid w:val="003D57DF"/>
    <w:rsid w:val="003D67F1"/>
    <w:rsid w:val="003D76DB"/>
    <w:rsid w:val="003E01DE"/>
    <w:rsid w:val="003E079B"/>
    <w:rsid w:val="003E1508"/>
    <w:rsid w:val="003E20D6"/>
    <w:rsid w:val="003E2B04"/>
    <w:rsid w:val="003E2FA3"/>
    <w:rsid w:val="003E4D87"/>
    <w:rsid w:val="003E69FF"/>
    <w:rsid w:val="003E6ABF"/>
    <w:rsid w:val="003E72F9"/>
    <w:rsid w:val="003F0D4A"/>
    <w:rsid w:val="003F101C"/>
    <w:rsid w:val="003F1965"/>
    <w:rsid w:val="003F37B1"/>
    <w:rsid w:val="003F3890"/>
    <w:rsid w:val="003F4765"/>
    <w:rsid w:val="003F518B"/>
    <w:rsid w:val="00401082"/>
    <w:rsid w:val="00402D0A"/>
    <w:rsid w:val="00403B90"/>
    <w:rsid w:val="00403D6D"/>
    <w:rsid w:val="00403FC0"/>
    <w:rsid w:val="004040C8"/>
    <w:rsid w:val="004043AE"/>
    <w:rsid w:val="00404E45"/>
    <w:rsid w:val="0040723E"/>
    <w:rsid w:val="00407BEF"/>
    <w:rsid w:val="00410124"/>
    <w:rsid w:val="00410819"/>
    <w:rsid w:val="00412369"/>
    <w:rsid w:val="0041239D"/>
    <w:rsid w:val="00412D58"/>
    <w:rsid w:val="00413BC6"/>
    <w:rsid w:val="00414C18"/>
    <w:rsid w:val="004162F6"/>
    <w:rsid w:val="00416503"/>
    <w:rsid w:val="00416762"/>
    <w:rsid w:val="00416E55"/>
    <w:rsid w:val="004179FA"/>
    <w:rsid w:val="0042181E"/>
    <w:rsid w:val="00421955"/>
    <w:rsid w:val="00421BD8"/>
    <w:rsid w:val="00421EA9"/>
    <w:rsid w:val="004233EB"/>
    <w:rsid w:val="004236FC"/>
    <w:rsid w:val="0042518A"/>
    <w:rsid w:val="004257AB"/>
    <w:rsid w:val="00427520"/>
    <w:rsid w:val="004276A0"/>
    <w:rsid w:val="00427AC2"/>
    <w:rsid w:val="00430F55"/>
    <w:rsid w:val="00433E8E"/>
    <w:rsid w:val="00433E97"/>
    <w:rsid w:val="00437EE9"/>
    <w:rsid w:val="0044056C"/>
    <w:rsid w:val="00440A4C"/>
    <w:rsid w:val="00440B1E"/>
    <w:rsid w:val="004410E7"/>
    <w:rsid w:val="00442128"/>
    <w:rsid w:val="00442E30"/>
    <w:rsid w:val="00444A63"/>
    <w:rsid w:val="00445265"/>
    <w:rsid w:val="00445F08"/>
    <w:rsid w:val="004464CF"/>
    <w:rsid w:val="0044692D"/>
    <w:rsid w:val="00450458"/>
    <w:rsid w:val="00450D35"/>
    <w:rsid w:val="00450F89"/>
    <w:rsid w:val="00453DA7"/>
    <w:rsid w:val="004549B5"/>
    <w:rsid w:val="004559CE"/>
    <w:rsid w:val="00457809"/>
    <w:rsid w:val="00460E1A"/>
    <w:rsid w:val="00462BBC"/>
    <w:rsid w:val="00463ABC"/>
    <w:rsid w:val="00463DF8"/>
    <w:rsid w:val="004654AB"/>
    <w:rsid w:val="004662CA"/>
    <w:rsid w:val="00470172"/>
    <w:rsid w:val="0047121E"/>
    <w:rsid w:val="00471922"/>
    <w:rsid w:val="004741D1"/>
    <w:rsid w:val="00475085"/>
    <w:rsid w:val="00475BC8"/>
    <w:rsid w:val="00475DCB"/>
    <w:rsid w:val="00476497"/>
    <w:rsid w:val="00476CF6"/>
    <w:rsid w:val="00477AA8"/>
    <w:rsid w:val="00477BE0"/>
    <w:rsid w:val="004840DB"/>
    <w:rsid w:val="0048420C"/>
    <w:rsid w:val="004849DA"/>
    <w:rsid w:val="004852FC"/>
    <w:rsid w:val="00485E06"/>
    <w:rsid w:val="004869C8"/>
    <w:rsid w:val="00487F17"/>
    <w:rsid w:val="004900F1"/>
    <w:rsid w:val="00492FCB"/>
    <w:rsid w:val="0049530A"/>
    <w:rsid w:val="0049674A"/>
    <w:rsid w:val="00496840"/>
    <w:rsid w:val="0049759A"/>
    <w:rsid w:val="0049778D"/>
    <w:rsid w:val="00497CD3"/>
    <w:rsid w:val="00497F86"/>
    <w:rsid w:val="004A0F11"/>
    <w:rsid w:val="004A25E9"/>
    <w:rsid w:val="004A3EAA"/>
    <w:rsid w:val="004A6FF1"/>
    <w:rsid w:val="004A7D97"/>
    <w:rsid w:val="004B063A"/>
    <w:rsid w:val="004B0B4F"/>
    <w:rsid w:val="004B0F98"/>
    <w:rsid w:val="004B215C"/>
    <w:rsid w:val="004B2A9F"/>
    <w:rsid w:val="004B2B09"/>
    <w:rsid w:val="004B4C42"/>
    <w:rsid w:val="004B5133"/>
    <w:rsid w:val="004B5646"/>
    <w:rsid w:val="004B613B"/>
    <w:rsid w:val="004B6561"/>
    <w:rsid w:val="004C1EE2"/>
    <w:rsid w:val="004C2902"/>
    <w:rsid w:val="004C303E"/>
    <w:rsid w:val="004C3618"/>
    <w:rsid w:val="004C3808"/>
    <w:rsid w:val="004C41B6"/>
    <w:rsid w:val="004C42F1"/>
    <w:rsid w:val="004C538E"/>
    <w:rsid w:val="004C5A05"/>
    <w:rsid w:val="004C6DC9"/>
    <w:rsid w:val="004D0B9F"/>
    <w:rsid w:val="004D1877"/>
    <w:rsid w:val="004D690A"/>
    <w:rsid w:val="004D6E37"/>
    <w:rsid w:val="004D7DC3"/>
    <w:rsid w:val="004E00EA"/>
    <w:rsid w:val="004E2415"/>
    <w:rsid w:val="004E2C1F"/>
    <w:rsid w:val="004E39B0"/>
    <w:rsid w:val="004E4A4B"/>
    <w:rsid w:val="004E5B64"/>
    <w:rsid w:val="004E6ABC"/>
    <w:rsid w:val="004E6B14"/>
    <w:rsid w:val="004F0013"/>
    <w:rsid w:val="004F16F5"/>
    <w:rsid w:val="004F1DC8"/>
    <w:rsid w:val="004F328C"/>
    <w:rsid w:val="004F3CC2"/>
    <w:rsid w:val="004F4B92"/>
    <w:rsid w:val="004F5BBB"/>
    <w:rsid w:val="004F77F8"/>
    <w:rsid w:val="005016B3"/>
    <w:rsid w:val="00501B6C"/>
    <w:rsid w:val="00501CD0"/>
    <w:rsid w:val="00502A06"/>
    <w:rsid w:val="00502A9D"/>
    <w:rsid w:val="0050336E"/>
    <w:rsid w:val="00503B7E"/>
    <w:rsid w:val="005040F4"/>
    <w:rsid w:val="005046AF"/>
    <w:rsid w:val="005076FD"/>
    <w:rsid w:val="00511E88"/>
    <w:rsid w:val="00512678"/>
    <w:rsid w:val="005153AC"/>
    <w:rsid w:val="00515ADF"/>
    <w:rsid w:val="00516785"/>
    <w:rsid w:val="00516DE7"/>
    <w:rsid w:val="00520ADD"/>
    <w:rsid w:val="0052419D"/>
    <w:rsid w:val="005263B9"/>
    <w:rsid w:val="00526D7C"/>
    <w:rsid w:val="0052720B"/>
    <w:rsid w:val="0053011C"/>
    <w:rsid w:val="005301F8"/>
    <w:rsid w:val="005312FC"/>
    <w:rsid w:val="00532C6D"/>
    <w:rsid w:val="005334A7"/>
    <w:rsid w:val="00534410"/>
    <w:rsid w:val="0053569E"/>
    <w:rsid w:val="0053603D"/>
    <w:rsid w:val="0053742A"/>
    <w:rsid w:val="005378CC"/>
    <w:rsid w:val="00537C85"/>
    <w:rsid w:val="00541276"/>
    <w:rsid w:val="00541D29"/>
    <w:rsid w:val="00543F23"/>
    <w:rsid w:val="005455D8"/>
    <w:rsid w:val="0055081F"/>
    <w:rsid w:val="00550B9C"/>
    <w:rsid w:val="0055176E"/>
    <w:rsid w:val="005520ED"/>
    <w:rsid w:val="00553550"/>
    <w:rsid w:val="00555849"/>
    <w:rsid w:val="00556915"/>
    <w:rsid w:val="00556A30"/>
    <w:rsid w:val="00561188"/>
    <w:rsid w:val="005622C7"/>
    <w:rsid w:val="0056288B"/>
    <w:rsid w:val="00562F17"/>
    <w:rsid w:val="00563A5B"/>
    <w:rsid w:val="00565035"/>
    <w:rsid w:val="00565232"/>
    <w:rsid w:val="0056582C"/>
    <w:rsid w:val="00567456"/>
    <w:rsid w:val="00567B41"/>
    <w:rsid w:val="005703C9"/>
    <w:rsid w:val="00571360"/>
    <w:rsid w:val="00572BB7"/>
    <w:rsid w:val="0057308E"/>
    <w:rsid w:val="005736BB"/>
    <w:rsid w:val="00574C92"/>
    <w:rsid w:val="00575237"/>
    <w:rsid w:val="005757AD"/>
    <w:rsid w:val="00577281"/>
    <w:rsid w:val="005776B2"/>
    <w:rsid w:val="0058168F"/>
    <w:rsid w:val="00582567"/>
    <w:rsid w:val="00582680"/>
    <w:rsid w:val="00582B75"/>
    <w:rsid w:val="005840E8"/>
    <w:rsid w:val="00584880"/>
    <w:rsid w:val="00584EDC"/>
    <w:rsid w:val="00584F99"/>
    <w:rsid w:val="00585739"/>
    <w:rsid w:val="00586605"/>
    <w:rsid w:val="005868DE"/>
    <w:rsid w:val="00586A47"/>
    <w:rsid w:val="005877AC"/>
    <w:rsid w:val="00590C79"/>
    <w:rsid w:val="00590FF8"/>
    <w:rsid w:val="00591775"/>
    <w:rsid w:val="00591BB8"/>
    <w:rsid w:val="005930D5"/>
    <w:rsid w:val="005941F2"/>
    <w:rsid w:val="00594366"/>
    <w:rsid w:val="00594539"/>
    <w:rsid w:val="00596452"/>
    <w:rsid w:val="005966B7"/>
    <w:rsid w:val="005A13B4"/>
    <w:rsid w:val="005A1A52"/>
    <w:rsid w:val="005A3A57"/>
    <w:rsid w:val="005A4293"/>
    <w:rsid w:val="005A5DA4"/>
    <w:rsid w:val="005A5ECB"/>
    <w:rsid w:val="005A6CF6"/>
    <w:rsid w:val="005A7780"/>
    <w:rsid w:val="005B3ADE"/>
    <w:rsid w:val="005B3E7D"/>
    <w:rsid w:val="005B5E2A"/>
    <w:rsid w:val="005C02A4"/>
    <w:rsid w:val="005C03A4"/>
    <w:rsid w:val="005C1BC0"/>
    <w:rsid w:val="005C20D2"/>
    <w:rsid w:val="005C272E"/>
    <w:rsid w:val="005C32FE"/>
    <w:rsid w:val="005C503A"/>
    <w:rsid w:val="005C5571"/>
    <w:rsid w:val="005C7336"/>
    <w:rsid w:val="005D024A"/>
    <w:rsid w:val="005D0B86"/>
    <w:rsid w:val="005D2124"/>
    <w:rsid w:val="005D269B"/>
    <w:rsid w:val="005D3480"/>
    <w:rsid w:val="005D4C1E"/>
    <w:rsid w:val="005D4FD4"/>
    <w:rsid w:val="005D50F2"/>
    <w:rsid w:val="005D65E8"/>
    <w:rsid w:val="005D6D64"/>
    <w:rsid w:val="005E00A4"/>
    <w:rsid w:val="005E0B17"/>
    <w:rsid w:val="005E0C73"/>
    <w:rsid w:val="005E0CB7"/>
    <w:rsid w:val="005E113C"/>
    <w:rsid w:val="005E1C37"/>
    <w:rsid w:val="005E1D2B"/>
    <w:rsid w:val="005E46BB"/>
    <w:rsid w:val="005E4C50"/>
    <w:rsid w:val="005E716D"/>
    <w:rsid w:val="005F28A0"/>
    <w:rsid w:val="00601650"/>
    <w:rsid w:val="00602F39"/>
    <w:rsid w:val="00603D0C"/>
    <w:rsid w:val="00604EEF"/>
    <w:rsid w:val="006057D2"/>
    <w:rsid w:val="00605AFD"/>
    <w:rsid w:val="00611705"/>
    <w:rsid w:val="00611B9F"/>
    <w:rsid w:val="00611E95"/>
    <w:rsid w:val="00611F76"/>
    <w:rsid w:val="006123D4"/>
    <w:rsid w:val="006137E2"/>
    <w:rsid w:val="006140EB"/>
    <w:rsid w:val="0061445B"/>
    <w:rsid w:val="00620F96"/>
    <w:rsid w:val="00621FA1"/>
    <w:rsid w:val="006223A5"/>
    <w:rsid w:val="0062360A"/>
    <w:rsid w:val="00624C4B"/>
    <w:rsid w:val="00624FDB"/>
    <w:rsid w:val="00630F8D"/>
    <w:rsid w:val="00631846"/>
    <w:rsid w:val="00632A24"/>
    <w:rsid w:val="00634658"/>
    <w:rsid w:val="0063470B"/>
    <w:rsid w:val="00634E54"/>
    <w:rsid w:val="0063616C"/>
    <w:rsid w:val="00636E3F"/>
    <w:rsid w:val="006371C6"/>
    <w:rsid w:val="00642178"/>
    <w:rsid w:val="006469CC"/>
    <w:rsid w:val="00647692"/>
    <w:rsid w:val="00647BFD"/>
    <w:rsid w:val="00647FD7"/>
    <w:rsid w:val="006513A5"/>
    <w:rsid w:val="00651903"/>
    <w:rsid w:val="00654CFB"/>
    <w:rsid w:val="006572BF"/>
    <w:rsid w:val="00657B6B"/>
    <w:rsid w:val="00657DF9"/>
    <w:rsid w:val="00661298"/>
    <w:rsid w:val="00661E2A"/>
    <w:rsid w:val="00663B51"/>
    <w:rsid w:val="00666AB5"/>
    <w:rsid w:val="00670FAC"/>
    <w:rsid w:val="00672B5D"/>
    <w:rsid w:val="0067399C"/>
    <w:rsid w:val="00674949"/>
    <w:rsid w:val="0067622C"/>
    <w:rsid w:val="0067695A"/>
    <w:rsid w:val="006773D9"/>
    <w:rsid w:val="0067754D"/>
    <w:rsid w:val="006812FC"/>
    <w:rsid w:val="006814C9"/>
    <w:rsid w:val="00681CA0"/>
    <w:rsid w:val="00682249"/>
    <w:rsid w:val="006830C0"/>
    <w:rsid w:val="00683C8F"/>
    <w:rsid w:val="00684B85"/>
    <w:rsid w:val="0068535C"/>
    <w:rsid w:val="00685CF7"/>
    <w:rsid w:val="00685DBE"/>
    <w:rsid w:val="00686165"/>
    <w:rsid w:val="006908E0"/>
    <w:rsid w:val="00691CB5"/>
    <w:rsid w:val="006923DF"/>
    <w:rsid w:val="00694BF4"/>
    <w:rsid w:val="00695A83"/>
    <w:rsid w:val="00697734"/>
    <w:rsid w:val="00697F81"/>
    <w:rsid w:val="006A22A8"/>
    <w:rsid w:val="006A33EA"/>
    <w:rsid w:val="006A37F5"/>
    <w:rsid w:val="006A3B97"/>
    <w:rsid w:val="006A64DC"/>
    <w:rsid w:val="006A660E"/>
    <w:rsid w:val="006A665C"/>
    <w:rsid w:val="006A6E81"/>
    <w:rsid w:val="006B0A1F"/>
    <w:rsid w:val="006B2908"/>
    <w:rsid w:val="006B2EAB"/>
    <w:rsid w:val="006B38FF"/>
    <w:rsid w:val="006B4F23"/>
    <w:rsid w:val="006B7465"/>
    <w:rsid w:val="006B762A"/>
    <w:rsid w:val="006B7B13"/>
    <w:rsid w:val="006C0001"/>
    <w:rsid w:val="006C1892"/>
    <w:rsid w:val="006C2CBD"/>
    <w:rsid w:val="006C31EB"/>
    <w:rsid w:val="006C394E"/>
    <w:rsid w:val="006C495A"/>
    <w:rsid w:val="006C5B73"/>
    <w:rsid w:val="006C645D"/>
    <w:rsid w:val="006C64BF"/>
    <w:rsid w:val="006C69A7"/>
    <w:rsid w:val="006C70DB"/>
    <w:rsid w:val="006C7590"/>
    <w:rsid w:val="006C7961"/>
    <w:rsid w:val="006C7BFE"/>
    <w:rsid w:val="006D1DFF"/>
    <w:rsid w:val="006D50E9"/>
    <w:rsid w:val="006D64C9"/>
    <w:rsid w:val="006E080F"/>
    <w:rsid w:val="006E2D2A"/>
    <w:rsid w:val="006E3CC3"/>
    <w:rsid w:val="006E435A"/>
    <w:rsid w:val="006E43FB"/>
    <w:rsid w:val="006E4A0D"/>
    <w:rsid w:val="006F07C5"/>
    <w:rsid w:val="006F2672"/>
    <w:rsid w:val="006F2828"/>
    <w:rsid w:val="006F2D92"/>
    <w:rsid w:val="006F31B2"/>
    <w:rsid w:val="006F3F96"/>
    <w:rsid w:val="006F4172"/>
    <w:rsid w:val="006F4FD9"/>
    <w:rsid w:val="006F509C"/>
    <w:rsid w:val="006F58DD"/>
    <w:rsid w:val="006F7733"/>
    <w:rsid w:val="007034AC"/>
    <w:rsid w:val="00704F7D"/>
    <w:rsid w:val="00705233"/>
    <w:rsid w:val="00705B34"/>
    <w:rsid w:val="00706E8E"/>
    <w:rsid w:val="007078BC"/>
    <w:rsid w:val="0071096D"/>
    <w:rsid w:val="00710DC9"/>
    <w:rsid w:val="0071305C"/>
    <w:rsid w:val="0071589D"/>
    <w:rsid w:val="00717989"/>
    <w:rsid w:val="007208DB"/>
    <w:rsid w:val="00720E86"/>
    <w:rsid w:val="007210B4"/>
    <w:rsid w:val="007223B8"/>
    <w:rsid w:val="00722B53"/>
    <w:rsid w:val="00723C1A"/>
    <w:rsid w:val="00724C6A"/>
    <w:rsid w:val="00726139"/>
    <w:rsid w:val="00730120"/>
    <w:rsid w:val="00730E95"/>
    <w:rsid w:val="007310C0"/>
    <w:rsid w:val="00733A5E"/>
    <w:rsid w:val="00740542"/>
    <w:rsid w:val="00742366"/>
    <w:rsid w:val="00742AAD"/>
    <w:rsid w:val="00742D3A"/>
    <w:rsid w:val="0074308D"/>
    <w:rsid w:val="00744484"/>
    <w:rsid w:val="007451BB"/>
    <w:rsid w:val="007462D5"/>
    <w:rsid w:val="00746A37"/>
    <w:rsid w:val="007509DD"/>
    <w:rsid w:val="00750A1A"/>
    <w:rsid w:val="007528B4"/>
    <w:rsid w:val="007532FA"/>
    <w:rsid w:val="007535DB"/>
    <w:rsid w:val="007545BF"/>
    <w:rsid w:val="007548B5"/>
    <w:rsid w:val="00763451"/>
    <w:rsid w:val="00763474"/>
    <w:rsid w:val="00763A1F"/>
    <w:rsid w:val="00764971"/>
    <w:rsid w:val="007649A5"/>
    <w:rsid w:val="00765F26"/>
    <w:rsid w:val="00766184"/>
    <w:rsid w:val="00766950"/>
    <w:rsid w:val="00766DD3"/>
    <w:rsid w:val="00767793"/>
    <w:rsid w:val="00772335"/>
    <w:rsid w:val="00772609"/>
    <w:rsid w:val="00774741"/>
    <w:rsid w:val="00776AC7"/>
    <w:rsid w:val="00777817"/>
    <w:rsid w:val="00777C12"/>
    <w:rsid w:val="00781253"/>
    <w:rsid w:val="007814D7"/>
    <w:rsid w:val="00781FC3"/>
    <w:rsid w:val="0078257B"/>
    <w:rsid w:val="00783D75"/>
    <w:rsid w:val="00784C0A"/>
    <w:rsid w:val="00790307"/>
    <w:rsid w:val="00790447"/>
    <w:rsid w:val="00790A24"/>
    <w:rsid w:val="00792063"/>
    <w:rsid w:val="007920D5"/>
    <w:rsid w:val="0079237E"/>
    <w:rsid w:val="00792415"/>
    <w:rsid w:val="00793BD9"/>
    <w:rsid w:val="00793DCF"/>
    <w:rsid w:val="00794B40"/>
    <w:rsid w:val="0079676F"/>
    <w:rsid w:val="00796E26"/>
    <w:rsid w:val="007A1079"/>
    <w:rsid w:val="007A3052"/>
    <w:rsid w:val="007A4398"/>
    <w:rsid w:val="007B0639"/>
    <w:rsid w:val="007B0BFD"/>
    <w:rsid w:val="007B0F59"/>
    <w:rsid w:val="007B1DCB"/>
    <w:rsid w:val="007B1E33"/>
    <w:rsid w:val="007B2634"/>
    <w:rsid w:val="007B2677"/>
    <w:rsid w:val="007B2D5F"/>
    <w:rsid w:val="007B351B"/>
    <w:rsid w:val="007B50BE"/>
    <w:rsid w:val="007B58B4"/>
    <w:rsid w:val="007B6436"/>
    <w:rsid w:val="007B7066"/>
    <w:rsid w:val="007B70B1"/>
    <w:rsid w:val="007B76AB"/>
    <w:rsid w:val="007C02CD"/>
    <w:rsid w:val="007C217B"/>
    <w:rsid w:val="007C21A7"/>
    <w:rsid w:val="007C505D"/>
    <w:rsid w:val="007C5858"/>
    <w:rsid w:val="007C5ACB"/>
    <w:rsid w:val="007D2EA5"/>
    <w:rsid w:val="007D4725"/>
    <w:rsid w:val="007D54A9"/>
    <w:rsid w:val="007D592B"/>
    <w:rsid w:val="007D5937"/>
    <w:rsid w:val="007D5AA6"/>
    <w:rsid w:val="007D5C63"/>
    <w:rsid w:val="007D7943"/>
    <w:rsid w:val="007D7A91"/>
    <w:rsid w:val="007D7D31"/>
    <w:rsid w:val="007D7D4C"/>
    <w:rsid w:val="007E1EA2"/>
    <w:rsid w:val="007E2D0E"/>
    <w:rsid w:val="007E366D"/>
    <w:rsid w:val="007E4764"/>
    <w:rsid w:val="007E5B93"/>
    <w:rsid w:val="007E6456"/>
    <w:rsid w:val="007E6914"/>
    <w:rsid w:val="007F2DB4"/>
    <w:rsid w:val="007F42B4"/>
    <w:rsid w:val="007F4DAF"/>
    <w:rsid w:val="007F5010"/>
    <w:rsid w:val="007F7029"/>
    <w:rsid w:val="007F7F33"/>
    <w:rsid w:val="0080194A"/>
    <w:rsid w:val="00803321"/>
    <w:rsid w:val="00803D76"/>
    <w:rsid w:val="0080444D"/>
    <w:rsid w:val="008045F7"/>
    <w:rsid w:val="00811943"/>
    <w:rsid w:val="00815C81"/>
    <w:rsid w:val="00816F53"/>
    <w:rsid w:val="0082275A"/>
    <w:rsid w:val="00822961"/>
    <w:rsid w:val="00823F4F"/>
    <w:rsid w:val="00824E76"/>
    <w:rsid w:val="0082586E"/>
    <w:rsid w:val="00825F99"/>
    <w:rsid w:val="008274E8"/>
    <w:rsid w:val="008311B8"/>
    <w:rsid w:val="00833019"/>
    <w:rsid w:val="00833BB8"/>
    <w:rsid w:val="00834243"/>
    <w:rsid w:val="0083497F"/>
    <w:rsid w:val="00834DB4"/>
    <w:rsid w:val="008374C4"/>
    <w:rsid w:val="00837B72"/>
    <w:rsid w:val="0084025C"/>
    <w:rsid w:val="008407CA"/>
    <w:rsid w:val="0084342A"/>
    <w:rsid w:val="008450B2"/>
    <w:rsid w:val="00850D12"/>
    <w:rsid w:val="008534EE"/>
    <w:rsid w:val="008544EA"/>
    <w:rsid w:val="008548E5"/>
    <w:rsid w:val="0085532E"/>
    <w:rsid w:val="008553D7"/>
    <w:rsid w:val="00856217"/>
    <w:rsid w:val="00856487"/>
    <w:rsid w:val="00857668"/>
    <w:rsid w:val="00857969"/>
    <w:rsid w:val="0086181A"/>
    <w:rsid w:val="00870473"/>
    <w:rsid w:val="0087098B"/>
    <w:rsid w:val="00870BE4"/>
    <w:rsid w:val="008714D1"/>
    <w:rsid w:val="00871C8D"/>
    <w:rsid w:val="00872B5D"/>
    <w:rsid w:val="0087538F"/>
    <w:rsid w:val="00876AB5"/>
    <w:rsid w:val="00876B84"/>
    <w:rsid w:val="00876F4C"/>
    <w:rsid w:val="00880FEC"/>
    <w:rsid w:val="00882245"/>
    <w:rsid w:val="00882CC4"/>
    <w:rsid w:val="00882F0C"/>
    <w:rsid w:val="00883C38"/>
    <w:rsid w:val="008844AC"/>
    <w:rsid w:val="00884926"/>
    <w:rsid w:val="0088666B"/>
    <w:rsid w:val="00890349"/>
    <w:rsid w:val="0089047F"/>
    <w:rsid w:val="00891028"/>
    <w:rsid w:val="00892645"/>
    <w:rsid w:val="00896780"/>
    <w:rsid w:val="00896926"/>
    <w:rsid w:val="00896E57"/>
    <w:rsid w:val="00897735"/>
    <w:rsid w:val="00897F46"/>
    <w:rsid w:val="008A0749"/>
    <w:rsid w:val="008A1B2D"/>
    <w:rsid w:val="008A1ED8"/>
    <w:rsid w:val="008A5CAB"/>
    <w:rsid w:val="008A798E"/>
    <w:rsid w:val="008B1362"/>
    <w:rsid w:val="008B42B8"/>
    <w:rsid w:val="008B7230"/>
    <w:rsid w:val="008C0473"/>
    <w:rsid w:val="008C1468"/>
    <w:rsid w:val="008C422E"/>
    <w:rsid w:val="008C4B22"/>
    <w:rsid w:val="008C65EB"/>
    <w:rsid w:val="008C72D7"/>
    <w:rsid w:val="008C7F71"/>
    <w:rsid w:val="008D0043"/>
    <w:rsid w:val="008D2DD8"/>
    <w:rsid w:val="008D339F"/>
    <w:rsid w:val="008D43B4"/>
    <w:rsid w:val="008D7A6F"/>
    <w:rsid w:val="008D7F49"/>
    <w:rsid w:val="008E2C6E"/>
    <w:rsid w:val="008E4C44"/>
    <w:rsid w:val="008E6292"/>
    <w:rsid w:val="008E73A3"/>
    <w:rsid w:val="008E7486"/>
    <w:rsid w:val="008F05D7"/>
    <w:rsid w:val="008F0FD0"/>
    <w:rsid w:val="008F1C24"/>
    <w:rsid w:val="008F23BF"/>
    <w:rsid w:val="008F23EB"/>
    <w:rsid w:val="008F3F47"/>
    <w:rsid w:val="008F42BE"/>
    <w:rsid w:val="008F6BFD"/>
    <w:rsid w:val="00900391"/>
    <w:rsid w:val="00901469"/>
    <w:rsid w:val="00901C08"/>
    <w:rsid w:val="009020B3"/>
    <w:rsid w:val="00902D34"/>
    <w:rsid w:val="00904B9A"/>
    <w:rsid w:val="009052CD"/>
    <w:rsid w:val="00905C04"/>
    <w:rsid w:val="00906E61"/>
    <w:rsid w:val="00910BCC"/>
    <w:rsid w:val="00910F45"/>
    <w:rsid w:val="00912F59"/>
    <w:rsid w:val="0091342B"/>
    <w:rsid w:val="00917613"/>
    <w:rsid w:val="00917E28"/>
    <w:rsid w:val="009201A2"/>
    <w:rsid w:val="009210B1"/>
    <w:rsid w:val="009213AE"/>
    <w:rsid w:val="009250E6"/>
    <w:rsid w:val="00925AA5"/>
    <w:rsid w:val="0092714B"/>
    <w:rsid w:val="00927422"/>
    <w:rsid w:val="0093337D"/>
    <w:rsid w:val="00934E36"/>
    <w:rsid w:val="00934E9A"/>
    <w:rsid w:val="009350C6"/>
    <w:rsid w:val="0093540D"/>
    <w:rsid w:val="00936387"/>
    <w:rsid w:val="0094019D"/>
    <w:rsid w:val="00942C11"/>
    <w:rsid w:val="0094351F"/>
    <w:rsid w:val="00943AD5"/>
    <w:rsid w:val="00945FC1"/>
    <w:rsid w:val="009470B8"/>
    <w:rsid w:val="00952FA5"/>
    <w:rsid w:val="00953F1D"/>
    <w:rsid w:val="009547F8"/>
    <w:rsid w:val="009553E7"/>
    <w:rsid w:val="00957E31"/>
    <w:rsid w:val="009613BE"/>
    <w:rsid w:val="0096194B"/>
    <w:rsid w:val="00962ACF"/>
    <w:rsid w:val="00965032"/>
    <w:rsid w:val="0097179E"/>
    <w:rsid w:val="0097186D"/>
    <w:rsid w:val="009729D4"/>
    <w:rsid w:val="00972C79"/>
    <w:rsid w:val="00972C9C"/>
    <w:rsid w:val="009732B0"/>
    <w:rsid w:val="0097598A"/>
    <w:rsid w:val="009775CB"/>
    <w:rsid w:val="00977E4E"/>
    <w:rsid w:val="00980455"/>
    <w:rsid w:val="00980759"/>
    <w:rsid w:val="009808B4"/>
    <w:rsid w:val="009810FA"/>
    <w:rsid w:val="009817B0"/>
    <w:rsid w:val="009821CE"/>
    <w:rsid w:val="009822F9"/>
    <w:rsid w:val="009833F4"/>
    <w:rsid w:val="009870A5"/>
    <w:rsid w:val="0098723D"/>
    <w:rsid w:val="00990B8E"/>
    <w:rsid w:val="00992C3A"/>
    <w:rsid w:val="00992C64"/>
    <w:rsid w:val="00994506"/>
    <w:rsid w:val="00995154"/>
    <w:rsid w:val="00996673"/>
    <w:rsid w:val="00997635"/>
    <w:rsid w:val="009A277C"/>
    <w:rsid w:val="009A2F23"/>
    <w:rsid w:val="009A5642"/>
    <w:rsid w:val="009A56C4"/>
    <w:rsid w:val="009A658F"/>
    <w:rsid w:val="009A65CD"/>
    <w:rsid w:val="009A66BD"/>
    <w:rsid w:val="009B088F"/>
    <w:rsid w:val="009B2249"/>
    <w:rsid w:val="009B2EC1"/>
    <w:rsid w:val="009B4656"/>
    <w:rsid w:val="009B6851"/>
    <w:rsid w:val="009C4692"/>
    <w:rsid w:val="009C469B"/>
    <w:rsid w:val="009C5401"/>
    <w:rsid w:val="009C6BA2"/>
    <w:rsid w:val="009D0938"/>
    <w:rsid w:val="009D157D"/>
    <w:rsid w:val="009D2C05"/>
    <w:rsid w:val="009D2CFF"/>
    <w:rsid w:val="009D6F04"/>
    <w:rsid w:val="009D7226"/>
    <w:rsid w:val="009E04E4"/>
    <w:rsid w:val="009E0BD0"/>
    <w:rsid w:val="009E0CA5"/>
    <w:rsid w:val="009E1148"/>
    <w:rsid w:val="009E1412"/>
    <w:rsid w:val="009E171B"/>
    <w:rsid w:val="009E247B"/>
    <w:rsid w:val="009E2C07"/>
    <w:rsid w:val="009E4132"/>
    <w:rsid w:val="009E495C"/>
    <w:rsid w:val="009E49E3"/>
    <w:rsid w:val="009E5489"/>
    <w:rsid w:val="009E5A76"/>
    <w:rsid w:val="009E76A3"/>
    <w:rsid w:val="009E794C"/>
    <w:rsid w:val="009F3B01"/>
    <w:rsid w:val="009F659C"/>
    <w:rsid w:val="009F6B6A"/>
    <w:rsid w:val="00A00436"/>
    <w:rsid w:val="00A015E8"/>
    <w:rsid w:val="00A025FF"/>
    <w:rsid w:val="00A02A1C"/>
    <w:rsid w:val="00A030D0"/>
    <w:rsid w:val="00A044EA"/>
    <w:rsid w:val="00A05633"/>
    <w:rsid w:val="00A06280"/>
    <w:rsid w:val="00A07CC6"/>
    <w:rsid w:val="00A07D47"/>
    <w:rsid w:val="00A10593"/>
    <w:rsid w:val="00A11CC7"/>
    <w:rsid w:val="00A11D5A"/>
    <w:rsid w:val="00A12F13"/>
    <w:rsid w:val="00A12F62"/>
    <w:rsid w:val="00A136A8"/>
    <w:rsid w:val="00A13C53"/>
    <w:rsid w:val="00A14493"/>
    <w:rsid w:val="00A14FE9"/>
    <w:rsid w:val="00A1673C"/>
    <w:rsid w:val="00A16A1E"/>
    <w:rsid w:val="00A1735C"/>
    <w:rsid w:val="00A20512"/>
    <w:rsid w:val="00A2054E"/>
    <w:rsid w:val="00A2236A"/>
    <w:rsid w:val="00A24911"/>
    <w:rsid w:val="00A26A55"/>
    <w:rsid w:val="00A26A85"/>
    <w:rsid w:val="00A2760F"/>
    <w:rsid w:val="00A314D1"/>
    <w:rsid w:val="00A3280E"/>
    <w:rsid w:val="00A34B6D"/>
    <w:rsid w:val="00A36563"/>
    <w:rsid w:val="00A36F74"/>
    <w:rsid w:val="00A3749B"/>
    <w:rsid w:val="00A37980"/>
    <w:rsid w:val="00A37D87"/>
    <w:rsid w:val="00A404B1"/>
    <w:rsid w:val="00A4180A"/>
    <w:rsid w:val="00A44C48"/>
    <w:rsid w:val="00A473F0"/>
    <w:rsid w:val="00A47F86"/>
    <w:rsid w:val="00A500B2"/>
    <w:rsid w:val="00A504C6"/>
    <w:rsid w:val="00A505DF"/>
    <w:rsid w:val="00A50D88"/>
    <w:rsid w:val="00A51497"/>
    <w:rsid w:val="00A5156F"/>
    <w:rsid w:val="00A51B08"/>
    <w:rsid w:val="00A52766"/>
    <w:rsid w:val="00A528DD"/>
    <w:rsid w:val="00A52D3C"/>
    <w:rsid w:val="00A54292"/>
    <w:rsid w:val="00A54654"/>
    <w:rsid w:val="00A54CDA"/>
    <w:rsid w:val="00A55885"/>
    <w:rsid w:val="00A56923"/>
    <w:rsid w:val="00A625D6"/>
    <w:rsid w:val="00A62E42"/>
    <w:rsid w:val="00A63824"/>
    <w:rsid w:val="00A63828"/>
    <w:rsid w:val="00A63999"/>
    <w:rsid w:val="00A646DA"/>
    <w:rsid w:val="00A64A71"/>
    <w:rsid w:val="00A65143"/>
    <w:rsid w:val="00A65CD3"/>
    <w:rsid w:val="00A66825"/>
    <w:rsid w:val="00A67A1F"/>
    <w:rsid w:val="00A717E8"/>
    <w:rsid w:val="00A7236C"/>
    <w:rsid w:val="00A72960"/>
    <w:rsid w:val="00A72D8F"/>
    <w:rsid w:val="00A7408E"/>
    <w:rsid w:val="00A74815"/>
    <w:rsid w:val="00A74B48"/>
    <w:rsid w:val="00A76481"/>
    <w:rsid w:val="00A77A4A"/>
    <w:rsid w:val="00A822F7"/>
    <w:rsid w:val="00A82D1C"/>
    <w:rsid w:val="00A833F4"/>
    <w:rsid w:val="00A83DF7"/>
    <w:rsid w:val="00A86551"/>
    <w:rsid w:val="00A90143"/>
    <w:rsid w:val="00A90923"/>
    <w:rsid w:val="00A90CAF"/>
    <w:rsid w:val="00A912ED"/>
    <w:rsid w:val="00A92A1F"/>
    <w:rsid w:val="00A93401"/>
    <w:rsid w:val="00A9393F"/>
    <w:rsid w:val="00A94D60"/>
    <w:rsid w:val="00A9528F"/>
    <w:rsid w:val="00A952A2"/>
    <w:rsid w:val="00A954BA"/>
    <w:rsid w:val="00A9672B"/>
    <w:rsid w:val="00A97139"/>
    <w:rsid w:val="00A97160"/>
    <w:rsid w:val="00AA3C85"/>
    <w:rsid w:val="00AA3DF1"/>
    <w:rsid w:val="00AA63F3"/>
    <w:rsid w:val="00AA64C4"/>
    <w:rsid w:val="00AB25F2"/>
    <w:rsid w:val="00AB3C50"/>
    <w:rsid w:val="00AB44A7"/>
    <w:rsid w:val="00AB4980"/>
    <w:rsid w:val="00AB56CF"/>
    <w:rsid w:val="00AB615B"/>
    <w:rsid w:val="00AB6422"/>
    <w:rsid w:val="00AB6F04"/>
    <w:rsid w:val="00AB738A"/>
    <w:rsid w:val="00AC3196"/>
    <w:rsid w:val="00AC3BA5"/>
    <w:rsid w:val="00AC4065"/>
    <w:rsid w:val="00AC64B9"/>
    <w:rsid w:val="00AC7592"/>
    <w:rsid w:val="00AC7A24"/>
    <w:rsid w:val="00AD2384"/>
    <w:rsid w:val="00AD3635"/>
    <w:rsid w:val="00AD4086"/>
    <w:rsid w:val="00AD4B72"/>
    <w:rsid w:val="00AD6219"/>
    <w:rsid w:val="00AD7890"/>
    <w:rsid w:val="00AE20AC"/>
    <w:rsid w:val="00AE2F90"/>
    <w:rsid w:val="00AE3626"/>
    <w:rsid w:val="00AF3F6B"/>
    <w:rsid w:val="00AF4915"/>
    <w:rsid w:val="00AF49C7"/>
    <w:rsid w:val="00AF4A61"/>
    <w:rsid w:val="00AF7956"/>
    <w:rsid w:val="00B00636"/>
    <w:rsid w:val="00B027B7"/>
    <w:rsid w:val="00B035CE"/>
    <w:rsid w:val="00B037A9"/>
    <w:rsid w:val="00B03DD6"/>
    <w:rsid w:val="00B04A10"/>
    <w:rsid w:val="00B054A8"/>
    <w:rsid w:val="00B05B1C"/>
    <w:rsid w:val="00B06BFB"/>
    <w:rsid w:val="00B06DCB"/>
    <w:rsid w:val="00B07F23"/>
    <w:rsid w:val="00B11393"/>
    <w:rsid w:val="00B11FB5"/>
    <w:rsid w:val="00B12F61"/>
    <w:rsid w:val="00B132EC"/>
    <w:rsid w:val="00B14D27"/>
    <w:rsid w:val="00B156FA"/>
    <w:rsid w:val="00B2130D"/>
    <w:rsid w:val="00B214C6"/>
    <w:rsid w:val="00B21940"/>
    <w:rsid w:val="00B242AE"/>
    <w:rsid w:val="00B24580"/>
    <w:rsid w:val="00B24620"/>
    <w:rsid w:val="00B247A6"/>
    <w:rsid w:val="00B273DB"/>
    <w:rsid w:val="00B278EA"/>
    <w:rsid w:val="00B319D8"/>
    <w:rsid w:val="00B3275A"/>
    <w:rsid w:val="00B33390"/>
    <w:rsid w:val="00B3354D"/>
    <w:rsid w:val="00B3583B"/>
    <w:rsid w:val="00B37A8F"/>
    <w:rsid w:val="00B40689"/>
    <w:rsid w:val="00B42BC2"/>
    <w:rsid w:val="00B433AC"/>
    <w:rsid w:val="00B43D74"/>
    <w:rsid w:val="00B44770"/>
    <w:rsid w:val="00B50BF9"/>
    <w:rsid w:val="00B51649"/>
    <w:rsid w:val="00B52776"/>
    <w:rsid w:val="00B52BF9"/>
    <w:rsid w:val="00B534B5"/>
    <w:rsid w:val="00B54AAD"/>
    <w:rsid w:val="00B55ADD"/>
    <w:rsid w:val="00B55B04"/>
    <w:rsid w:val="00B55BA8"/>
    <w:rsid w:val="00B56816"/>
    <w:rsid w:val="00B56DE9"/>
    <w:rsid w:val="00B574A1"/>
    <w:rsid w:val="00B57776"/>
    <w:rsid w:val="00B600DC"/>
    <w:rsid w:val="00B617BE"/>
    <w:rsid w:val="00B6241E"/>
    <w:rsid w:val="00B6386E"/>
    <w:rsid w:val="00B64167"/>
    <w:rsid w:val="00B6467B"/>
    <w:rsid w:val="00B65347"/>
    <w:rsid w:val="00B65A44"/>
    <w:rsid w:val="00B65DE1"/>
    <w:rsid w:val="00B6625C"/>
    <w:rsid w:val="00B66783"/>
    <w:rsid w:val="00B66F09"/>
    <w:rsid w:val="00B67939"/>
    <w:rsid w:val="00B710EE"/>
    <w:rsid w:val="00B71C11"/>
    <w:rsid w:val="00B7266F"/>
    <w:rsid w:val="00B72AF0"/>
    <w:rsid w:val="00B737EB"/>
    <w:rsid w:val="00B7463D"/>
    <w:rsid w:val="00B750ED"/>
    <w:rsid w:val="00B75214"/>
    <w:rsid w:val="00B75478"/>
    <w:rsid w:val="00B765BC"/>
    <w:rsid w:val="00B768A3"/>
    <w:rsid w:val="00B76F2D"/>
    <w:rsid w:val="00B775EE"/>
    <w:rsid w:val="00B80549"/>
    <w:rsid w:val="00B8282C"/>
    <w:rsid w:val="00B835D1"/>
    <w:rsid w:val="00B850CA"/>
    <w:rsid w:val="00B869DC"/>
    <w:rsid w:val="00B87927"/>
    <w:rsid w:val="00B9080D"/>
    <w:rsid w:val="00B915D3"/>
    <w:rsid w:val="00B9216D"/>
    <w:rsid w:val="00B931D6"/>
    <w:rsid w:val="00B93D78"/>
    <w:rsid w:val="00B955E2"/>
    <w:rsid w:val="00B97236"/>
    <w:rsid w:val="00B97308"/>
    <w:rsid w:val="00BA3781"/>
    <w:rsid w:val="00BA5EB9"/>
    <w:rsid w:val="00BA7BFF"/>
    <w:rsid w:val="00BB00F3"/>
    <w:rsid w:val="00BB15B6"/>
    <w:rsid w:val="00BB3BD8"/>
    <w:rsid w:val="00BB46C8"/>
    <w:rsid w:val="00BB4A96"/>
    <w:rsid w:val="00BB5AA6"/>
    <w:rsid w:val="00BB6803"/>
    <w:rsid w:val="00BB72C2"/>
    <w:rsid w:val="00BC078D"/>
    <w:rsid w:val="00BC37EC"/>
    <w:rsid w:val="00BC4996"/>
    <w:rsid w:val="00BC6E69"/>
    <w:rsid w:val="00BD04F5"/>
    <w:rsid w:val="00BD26AA"/>
    <w:rsid w:val="00BD2B12"/>
    <w:rsid w:val="00BD454F"/>
    <w:rsid w:val="00BD659D"/>
    <w:rsid w:val="00BE06AF"/>
    <w:rsid w:val="00BE1544"/>
    <w:rsid w:val="00BE200E"/>
    <w:rsid w:val="00BE2A21"/>
    <w:rsid w:val="00BE3572"/>
    <w:rsid w:val="00BE368F"/>
    <w:rsid w:val="00BE62AB"/>
    <w:rsid w:val="00BE62F5"/>
    <w:rsid w:val="00BE7005"/>
    <w:rsid w:val="00BE79F2"/>
    <w:rsid w:val="00BE7B73"/>
    <w:rsid w:val="00BE7EA5"/>
    <w:rsid w:val="00BF1553"/>
    <w:rsid w:val="00BF251F"/>
    <w:rsid w:val="00BF5D86"/>
    <w:rsid w:val="00BF5DB9"/>
    <w:rsid w:val="00BF669F"/>
    <w:rsid w:val="00C014AB"/>
    <w:rsid w:val="00C01CD8"/>
    <w:rsid w:val="00C01DCC"/>
    <w:rsid w:val="00C03AD3"/>
    <w:rsid w:val="00C04B70"/>
    <w:rsid w:val="00C04E92"/>
    <w:rsid w:val="00C05BC6"/>
    <w:rsid w:val="00C05DC9"/>
    <w:rsid w:val="00C06A8C"/>
    <w:rsid w:val="00C10022"/>
    <w:rsid w:val="00C10609"/>
    <w:rsid w:val="00C10898"/>
    <w:rsid w:val="00C11A05"/>
    <w:rsid w:val="00C11B28"/>
    <w:rsid w:val="00C12B3F"/>
    <w:rsid w:val="00C13724"/>
    <w:rsid w:val="00C1398A"/>
    <w:rsid w:val="00C13F5E"/>
    <w:rsid w:val="00C14C77"/>
    <w:rsid w:val="00C160EE"/>
    <w:rsid w:val="00C16997"/>
    <w:rsid w:val="00C202B3"/>
    <w:rsid w:val="00C21EE0"/>
    <w:rsid w:val="00C246CF"/>
    <w:rsid w:val="00C248B9"/>
    <w:rsid w:val="00C25A53"/>
    <w:rsid w:val="00C25ADF"/>
    <w:rsid w:val="00C26937"/>
    <w:rsid w:val="00C26EE8"/>
    <w:rsid w:val="00C2779C"/>
    <w:rsid w:val="00C30297"/>
    <w:rsid w:val="00C3092F"/>
    <w:rsid w:val="00C30EC1"/>
    <w:rsid w:val="00C320A2"/>
    <w:rsid w:val="00C33125"/>
    <w:rsid w:val="00C34FEC"/>
    <w:rsid w:val="00C36D3E"/>
    <w:rsid w:val="00C409B2"/>
    <w:rsid w:val="00C40C8B"/>
    <w:rsid w:val="00C411DB"/>
    <w:rsid w:val="00C459BA"/>
    <w:rsid w:val="00C45C85"/>
    <w:rsid w:val="00C45E7A"/>
    <w:rsid w:val="00C4746F"/>
    <w:rsid w:val="00C47CDF"/>
    <w:rsid w:val="00C50798"/>
    <w:rsid w:val="00C50B48"/>
    <w:rsid w:val="00C517DF"/>
    <w:rsid w:val="00C5282A"/>
    <w:rsid w:val="00C53314"/>
    <w:rsid w:val="00C550AE"/>
    <w:rsid w:val="00C55155"/>
    <w:rsid w:val="00C553FF"/>
    <w:rsid w:val="00C555AC"/>
    <w:rsid w:val="00C55C19"/>
    <w:rsid w:val="00C60B0F"/>
    <w:rsid w:val="00C613C7"/>
    <w:rsid w:val="00C62AF4"/>
    <w:rsid w:val="00C64F60"/>
    <w:rsid w:val="00C65C13"/>
    <w:rsid w:val="00C65E71"/>
    <w:rsid w:val="00C70E6F"/>
    <w:rsid w:val="00C713ED"/>
    <w:rsid w:val="00C71771"/>
    <w:rsid w:val="00C72156"/>
    <w:rsid w:val="00C72318"/>
    <w:rsid w:val="00C724E6"/>
    <w:rsid w:val="00C72BDB"/>
    <w:rsid w:val="00C73BF7"/>
    <w:rsid w:val="00C747A5"/>
    <w:rsid w:val="00C75681"/>
    <w:rsid w:val="00C75D3C"/>
    <w:rsid w:val="00C779D3"/>
    <w:rsid w:val="00C77F4E"/>
    <w:rsid w:val="00C80066"/>
    <w:rsid w:val="00C80CAA"/>
    <w:rsid w:val="00C83271"/>
    <w:rsid w:val="00C85314"/>
    <w:rsid w:val="00C86B77"/>
    <w:rsid w:val="00C87E29"/>
    <w:rsid w:val="00C90644"/>
    <w:rsid w:val="00C920CD"/>
    <w:rsid w:val="00C922AE"/>
    <w:rsid w:val="00C94176"/>
    <w:rsid w:val="00C94A85"/>
    <w:rsid w:val="00C94ED3"/>
    <w:rsid w:val="00C964E0"/>
    <w:rsid w:val="00C96C45"/>
    <w:rsid w:val="00C972E3"/>
    <w:rsid w:val="00C9734C"/>
    <w:rsid w:val="00C973A8"/>
    <w:rsid w:val="00C97932"/>
    <w:rsid w:val="00C97FD5"/>
    <w:rsid w:val="00CA0116"/>
    <w:rsid w:val="00CA4AE4"/>
    <w:rsid w:val="00CA4BC0"/>
    <w:rsid w:val="00CA4F75"/>
    <w:rsid w:val="00CA5098"/>
    <w:rsid w:val="00CA5729"/>
    <w:rsid w:val="00CA5CA8"/>
    <w:rsid w:val="00CA7D5B"/>
    <w:rsid w:val="00CB0157"/>
    <w:rsid w:val="00CB2536"/>
    <w:rsid w:val="00CB25AE"/>
    <w:rsid w:val="00CB28E9"/>
    <w:rsid w:val="00CB3FDE"/>
    <w:rsid w:val="00CB5205"/>
    <w:rsid w:val="00CB646F"/>
    <w:rsid w:val="00CB7622"/>
    <w:rsid w:val="00CB77F7"/>
    <w:rsid w:val="00CC1976"/>
    <w:rsid w:val="00CC2F27"/>
    <w:rsid w:val="00CC38AC"/>
    <w:rsid w:val="00CC559D"/>
    <w:rsid w:val="00CC57C2"/>
    <w:rsid w:val="00CC57FB"/>
    <w:rsid w:val="00CC65EF"/>
    <w:rsid w:val="00CC7D21"/>
    <w:rsid w:val="00CD09A6"/>
    <w:rsid w:val="00CD0C13"/>
    <w:rsid w:val="00CD10B0"/>
    <w:rsid w:val="00CD29FF"/>
    <w:rsid w:val="00CD2AE0"/>
    <w:rsid w:val="00CD3272"/>
    <w:rsid w:val="00CD473B"/>
    <w:rsid w:val="00CD5EE1"/>
    <w:rsid w:val="00CD654B"/>
    <w:rsid w:val="00CD6B1B"/>
    <w:rsid w:val="00CD6CD8"/>
    <w:rsid w:val="00CD74A4"/>
    <w:rsid w:val="00CE0877"/>
    <w:rsid w:val="00CE09C8"/>
    <w:rsid w:val="00CE13A4"/>
    <w:rsid w:val="00CE223E"/>
    <w:rsid w:val="00CE282F"/>
    <w:rsid w:val="00CE2C5E"/>
    <w:rsid w:val="00CE3559"/>
    <w:rsid w:val="00CE379D"/>
    <w:rsid w:val="00CE3CE5"/>
    <w:rsid w:val="00CE59DA"/>
    <w:rsid w:val="00CE630B"/>
    <w:rsid w:val="00CF3F0D"/>
    <w:rsid w:val="00CF444C"/>
    <w:rsid w:val="00CF6C73"/>
    <w:rsid w:val="00D00CE8"/>
    <w:rsid w:val="00D0497B"/>
    <w:rsid w:val="00D06507"/>
    <w:rsid w:val="00D06AF5"/>
    <w:rsid w:val="00D0788A"/>
    <w:rsid w:val="00D101F7"/>
    <w:rsid w:val="00D1118F"/>
    <w:rsid w:val="00D128C5"/>
    <w:rsid w:val="00D13D97"/>
    <w:rsid w:val="00D145F5"/>
    <w:rsid w:val="00D1511F"/>
    <w:rsid w:val="00D1544D"/>
    <w:rsid w:val="00D1580B"/>
    <w:rsid w:val="00D15EFE"/>
    <w:rsid w:val="00D1605F"/>
    <w:rsid w:val="00D1693B"/>
    <w:rsid w:val="00D169B4"/>
    <w:rsid w:val="00D17493"/>
    <w:rsid w:val="00D179B8"/>
    <w:rsid w:val="00D21C9F"/>
    <w:rsid w:val="00D21FFD"/>
    <w:rsid w:val="00D22101"/>
    <w:rsid w:val="00D23B2A"/>
    <w:rsid w:val="00D24704"/>
    <w:rsid w:val="00D26738"/>
    <w:rsid w:val="00D26960"/>
    <w:rsid w:val="00D301EB"/>
    <w:rsid w:val="00D30A16"/>
    <w:rsid w:val="00D316A1"/>
    <w:rsid w:val="00D31998"/>
    <w:rsid w:val="00D3285B"/>
    <w:rsid w:val="00D329F1"/>
    <w:rsid w:val="00D33DCB"/>
    <w:rsid w:val="00D355F0"/>
    <w:rsid w:val="00D36988"/>
    <w:rsid w:val="00D36B1E"/>
    <w:rsid w:val="00D377E4"/>
    <w:rsid w:val="00D4243E"/>
    <w:rsid w:val="00D42FC2"/>
    <w:rsid w:val="00D43A3D"/>
    <w:rsid w:val="00D43AC8"/>
    <w:rsid w:val="00D457B8"/>
    <w:rsid w:val="00D4776E"/>
    <w:rsid w:val="00D47839"/>
    <w:rsid w:val="00D47F2F"/>
    <w:rsid w:val="00D5052E"/>
    <w:rsid w:val="00D50879"/>
    <w:rsid w:val="00D51610"/>
    <w:rsid w:val="00D51ECE"/>
    <w:rsid w:val="00D51EE3"/>
    <w:rsid w:val="00D54098"/>
    <w:rsid w:val="00D544A6"/>
    <w:rsid w:val="00D54F46"/>
    <w:rsid w:val="00D56113"/>
    <w:rsid w:val="00D56677"/>
    <w:rsid w:val="00D566EF"/>
    <w:rsid w:val="00D5716D"/>
    <w:rsid w:val="00D631C2"/>
    <w:rsid w:val="00D643F4"/>
    <w:rsid w:val="00D65958"/>
    <w:rsid w:val="00D6775A"/>
    <w:rsid w:val="00D71BEA"/>
    <w:rsid w:val="00D73044"/>
    <w:rsid w:val="00D737A4"/>
    <w:rsid w:val="00D75DB3"/>
    <w:rsid w:val="00D76D49"/>
    <w:rsid w:val="00D819AC"/>
    <w:rsid w:val="00D833D9"/>
    <w:rsid w:val="00D83BD9"/>
    <w:rsid w:val="00D85497"/>
    <w:rsid w:val="00D86444"/>
    <w:rsid w:val="00D922AB"/>
    <w:rsid w:val="00D92780"/>
    <w:rsid w:val="00D932CA"/>
    <w:rsid w:val="00D9371F"/>
    <w:rsid w:val="00D94D10"/>
    <w:rsid w:val="00D94DCF"/>
    <w:rsid w:val="00D94EAE"/>
    <w:rsid w:val="00D96CB3"/>
    <w:rsid w:val="00D97157"/>
    <w:rsid w:val="00D972D0"/>
    <w:rsid w:val="00DA0D30"/>
    <w:rsid w:val="00DA0EAC"/>
    <w:rsid w:val="00DA136B"/>
    <w:rsid w:val="00DA2520"/>
    <w:rsid w:val="00DA2613"/>
    <w:rsid w:val="00DA4B5C"/>
    <w:rsid w:val="00DA56F9"/>
    <w:rsid w:val="00DA586F"/>
    <w:rsid w:val="00DB08DA"/>
    <w:rsid w:val="00DB210E"/>
    <w:rsid w:val="00DB2579"/>
    <w:rsid w:val="00DB328F"/>
    <w:rsid w:val="00DB3447"/>
    <w:rsid w:val="00DB5183"/>
    <w:rsid w:val="00DB5E34"/>
    <w:rsid w:val="00DB7944"/>
    <w:rsid w:val="00DB7F09"/>
    <w:rsid w:val="00DC00E8"/>
    <w:rsid w:val="00DC0492"/>
    <w:rsid w:val="00DC0DEE"/>
    <w:rsid w:val="00DC1C56"/>
    <w:rsid w:val="00DC21EE"/>
    <w:rsid w:val="00DC3535"/>
    <w:rsid w:val="00DC387F"/>
    <w:rsid w:val="00DC4756"/>
    <w:rsid w:val="00DC4C13"/>
    <w:rsid w:val="00DC4E32"/>
    <w:rsid w:val="00DC58E7"/>
    <w:rsid w:val="00DC6379"/>
    <w:rsid w:val="00DC6AAD"/>
    <w:rsid w:val="00DC79F2"/>
    <w:rsid w:val="00DD0FA5"/>
    <w:rsid w:val="00DD14CA"/>
    <w:rsid w:val="00DD20B1"/>
    <w:rsid w:val="00DD44AA"/>
    <w:rsid w:val="00DD4F44"/>
    <w:rsid w:val="00DD6521"/>
    <w:rsid w:val="00DE1336"/>
    <w:rsid w:val="00DE1A23"/>
    <w:rsid w:val="00DE2279"/>
    <w:rsid w:val="00DE2763"/>
    <w:rsid w:val="00DE33B6"/>
    <w:rsid w:val="00DE353B"/>
    <w:rsid w:val="00DE3A53"/>
    <w:rsid w:val="00DE3C77"/>
    <w:rsid w:val="00DE4091"/>
    <w:rsid w:val="00DE577F"/>
    <w:rsid w:val="00DE593F"/>
    <w:rsid w:val="00DE70F1"/>
    <w:rsid w:val="00DE75FC"/>
    <w:rsid w:val="00DF25AD"/>
    <w:rsid w:val="00DF2B75"/>
    <w:rsid w:val="00DF35FA"/>
    <w:rsid w:val="00DF6F61"/>
    <w:rsid w:val="00E00C96"/>
    <w:rsid w:val="00E02F1B"/>
    <w:rsid w:val="00E03934"/>
    <w:rsid w:val="00E03C86"/>
    <w:rsid w:val="00E047DE"/>
    <w:rsid w:val="00E04802"/>
    <w:rsid w:val="00E05A16"/>
    <w:rsid w:val="00E05C66"/>
    <w:rsid w:val="00E06420"/>
    <w:rsid w:val="00E101C6"/>
    <w:rsid w:val="00E1072D"/>
    <w:rsid w:val="00E123B0"/>
    <w:rsid w:val="00E13775"/>
    <w:rsid w:val="00E15A8B"/>
    <w:rsid w:val="00E208CC"/>
    <w:rsid w:val="00E21F0B"/>
    <w:rsid w:val="00E228D4"/>
    <w:rsid w:val="00E22D51"/>
    <w:rsid w:val="00E26C0B"/>
    <w:rsid w:val="00E27422"/>
    <w:rsid w:val="00E278DF"/>
    <w:rsid w:val="00E30AEB"/>
    <w:rsid w:val="00E318C4"/>
    <w:rsid w:val="00E349A7"/>
    <w:rsid w:val="00E40B97"/>
    <w:rsid w:val="00E41655"/>
    <w:rsid w:val="00E4228A"/>
    <w:rsid w:val="00E44132"/>
    <w:rsid w:val="00E45F5B"/>
    <w:rsid w:val="00E46DCB"/>
    <w:rsid w:val="00E50338"/>
    <w:rsid w:val="00E50E7C"/>
    <w:rsid w:val="00E51385"/>
    <w:rsid w:val="00E51545"/>
    <w:rsid w:val="00E51D9E"/>
    <w:rsid w:val="00E537D1"/>
    <w:rsid w:val="00E53910"/>
    <w:rsid w:val="00E55C19"/>
    <w:rsid w:val="00E567E6"/>
    <w:rsid w:val="00E56971"/>
    <w:rsid w:val="00E61484"/>
    <w:rsid w:val="00E617CC"/>
    <w:rsid w:val="00E620D9"/>
    <w:rsid w:val="00E6296D"/>
    <w:rsid w:val="00E63D4C"/>
    <w:rsid w:val="00E6420E"/>
    <w:rsid w:val="00E650D4"/>
    <w:rsid w:val="00E67D3D"/>
    <w:rsid w:val="00E7017C"/>
    <w:rsid w:val="00E70B5D"/>
    <w:rsid w:val="00E711D7"/>
    <w:rsid w:val="00E72DDF"/>
    <w:rsid w:val="00E7306E"/>
    <w:rsid w:val="00E73730"/>
    <w:rsid w:val="00E73F09"/>
    <w:rsid w:val="00E7409F"/>
    <w:rsid w:val="00E74877"/>
    <w:rsid w:val="00E76512"/>
    <w:rsid w:val="00E76E3F"/>
    <w:rsid w:val="00E80693"/>
    <w:rsid w:val="00E815E1"/>
    <w:rsid w:val="00E81934"/>
    <w:rsid w:val="00E83A61"/>
    <w:rsid w:val="00E83B6C"/>
    <w:rsid w:val="00E85A23"/>
    <w:rsid w:val="00E902B0"/>
    <w:rsid w:val="00E902E8"/>
    <w:rsid w:val="00E9296B"/>
    <w:rsid w:val="00E93DD2"/>
    <w:rsid w:val="00E95100"/>
    <w:rsid w:val="00E95359"/>
    <w:rsid w:val="00E95E1F"/>
    <w:rsid w:val="00E964B5"/>
    <w:rsid w:val="00E97313"/>
    <w:rsid w:val="00E97C19"/>
    <w:rsid w:val="00EA03AD"/>
    <w:rsid w:val="00EA1BA4"/>
    <w:rsid w:val="00EA23AC"/>
    <w:rsid w:val="00EA2C82"/>
    <w:rsid w:val="00EA398F"/>
    <w:rsid w:val="00EA529B"/>
    <w:rsid w:val="00EA598A"/>
    <w:rsid w:val="00EA68BC"/>
    <w:rsid w:val="00EA7088"/>
    <w:rsid w:val="00EA7C3D"/>
    <w:rsid w:val="00EB107C"/>
    <w:rsid w:val="00EB14CA"/>
    <w:rsid w:val="00EB26AB"/>
    <w:rsid w:val="00EB334D"/>
    <w:rsid w:val="00EB35E8"/>
    <w:rsid w:val="00EB4B0B"/>
    <w:rsid w:val="00EB5455"/>
    <w:rsid w:val="00EB6878"/>
    <w:rsid w:val="00EB740F"/>
    <w:rsid w:val="00EC0F59"/>
    <w:rsid w:val="00EC1E0E"/>
    <w:rsid w:val="00EC236D"/>
    <w:rsid w:val="00EC2543"/>
    <w:rsid w:val="00EC4003"/>
    <w:rsid w:val="00EC4838"/>
    <w:rsid w:val="00EC6840"/>
    <w:rsid w:val="00EC6B16"/>
    <w:rsid w:val="00ED01F2"/>
    <w:rsid w:val="00ED0754"/>
    <w:rsid w:val="00ED39C9"/>
    <w:rsid w:val="00ED3D17"/>
    <w:rsid w:val="00ED486E"/>
    <w:rsid w:val="00ED4BDE"/>
    <w:rsid w:val="00ED58A6"/>
    <w:rsid w:val="00ED5A20"/>
    <w:rsid w:val="00ED5E65"/>
    <w:rsid w:val="00ED62DC"/>
    <w:rsid w:val="00EE1447"/>
    <w:rsid w:val="00EE1BF1"/>
    <w:rsid w:val="00EE3C2D"/>
    <w:rsid w:val="00EE4864"/>
    <w:rsid w:val="00EE5CF9"/>
    <w:rsid w:val="00EE6F6D"/>
    <w:rsid w:val="00EE7744"/>
    <w:rsid w:val="00EE790C"/>
    <w:rsid w:val="00EF03E1"/>
    <w:rsid w:val="00EF10E4"/>
    <w:rsid w:val="00EF145E"/>
    <w:rsid w:val="00EF2BBB"/>
    <w:rsid w:val="00EF4EB5"/>
    <w:rsid w:val="00EF5135"/>
    <w:rsid w:val="00EF59AF"/>
    <w:rsid w:val="00EF5CA5"/>
    <w:rsid w:val="00EF674C"/>
    <w:rsid w:val="00F0082D"/>
    <w:rsid w:val="00F015AB"/>
    <w:rsid w:val="00F017B7"/>
    <w:rsid w:val="00F021D6"/>
    <w:rsid w:val="00F02C3D"/>
    <w:rsid w:val="00F03B12"/>
    <w:rsid w:val="00F03DE1"/>
    <w:rsid w:val="00F045E0"/>
    <w:rsid w:val="00F047D0"/>
    <w:rsid w:val="00F04DE8"/>
    <w:rsid w:val="00F07C46"/>
    <w:rsid w:val="00F07C90"/>
    <w:rsid w:val="00F11922"/>
    <w:rsid w:val="00F11D73"/>
    <w:rsid w:val="00F13DEB"/>
    <w:rsid w:val="00F168FC"/>
    <w:rsid w:val="00F20F8A"/>
    <w:rsid w:val="00F22982"/>
    <w:rsid w:val="00F25989"/>
    <w:rsid w:val="00F25B88"/>
    <w:rsid w:val="00F262AE"/>
    <w:rsid w:val="00F27DCE"/>
    <w:rsid w:val="00F3017F"/>
    <w:rsid w:val="00F304A4"/>
    <w:rsid w:val="00F31CE1"/>
    <w:rsid w:val="00F32AC9"/>
    <w:rsid w:val="00F32CBD"/>
    <w:rsid w:val="00F333DF"/>
    <w:rsid w:val="00F336B6"/>
    <w:rsid w:val="00F33DB8"/>
    <w:rsid w:val="00F35281"/>
    <w:rsid w:val="00F37043"/>
    <w:rsid w:val="00F42136"/>
    <w:rsid w:val="00F43938"/>
    <w:rsid w:val="00F44636"/>
    <w:rsid w:val="00F45627"/>
    <w:rsid w:val="00F474A1"/>
    <w:rsid w:val="00F50694"/>
    <w:rsid w:val="00F51D7F"/>
    <w:rsid w:val="00F5234B"/>
    <w:rsid w:val="00F556E3"/>
    <w:rsid w:val="00F5570B"/>
    <w:rsid w:val="00F57BED"/>
    <w:rsid w:val="00F60198"/>
    <w:rsid w:val="00F62472"/>
    <w:rsid w:val="00F64E25"/>
    <w:rsid w:val="00F65823"/>
    <w:rsid w:val="00F669CD"/>
    <w:rsid w:val="00F71BC8"/>
    <w:rsid w:val="00F737DB"/>
    <w:rsid w:val="00F73BCE"/>
    <w:rsid w:val="00F741A7"/>
    <w:rsid w:val="00F74A88"/>
    <w:rsid w:val="00F7613A"/>
    <w:rsid w:val="00F82746"/>
    <w:rsid w:val="00F836F9"/>
    <w:rsid w:val="00F8386B"/>
    <w:rsid w:val="00F83DEB"/>
    <w:rsid w:val="00F845D7"/>
    <w:rsid w:val="00F866B1"/>
    <w:rsid w:val="00F867F6"/>
    <w:rsid w:val="00F87C5B"/>
    <w:rsid w:val="00F87CD4"/>
    <w:rsid w:val="00F87E44"/>
    <w:rsid w:val="00F90C2C"/>
    <w:rsid w:val="00F92279"/>
    <w:rsid w:val="00F939AE"/>
    <w:rsid w:val="00F93D81"/>
    <w:rsid w:val="00F95A7B"/>
    <w:rsid w:val="00F967DD"/>
    <w:rsid w:val="00F973FF"/>
    <w:rsid w:val="00FA17C7"/>
    <w:rsid w:val="00FA30A5"/>
    <w:rsid w:val="00FA4F2E"/>
    <w:rsid w:val="00FA6CF0"/>
    <w:rsid w:val="00FB078C"/>
    <w:rsid w:val="00FB3F5B"/>
    <w:rsid w:val="00FB4D21"/>
    <w:rsid w:val="00FB5839"/>
    <w:rsid w:val="00FB6533"/>
    <w:rsid w:val="00FB762B"/>
    <w:rsid w:val="00FB7B77"/>
    <w:rsid w:val="00FC1219"/>
    <w:rsid w:val="00FC1DD2"/>
    <w:rsid w:val="00FC2AAF"/>
    <w:rsid w:val="00FC381E"/>
    <w:rsid w:val="00FC3906"/>
    <w:rsid w:val="00FC4A3A"/>
    <w:rsid w:val="00FC4F12"/>
    <w:rsid w:val="00FC519B"/>
    <w:rsid w:val="00FC5C04"/>
    <w:rsid w:val="00FC6ADA"/>
    <w:rsid w:val="00FC7146"/>
    <w:rsid w:val="00FC71E8"/>
    <w:rsid w:val="00FC7406"/>
    <w:rsid w:val="00FD1C6D"/>
    <w:rsid w:val="00FD1F59"/>
    <w:rsid w:val="00FD4103"/>
    <w:rsid w:val="00FE0B27"/>
    <w:rsid w:val="00FE0BD2"/>
    <w:rsid w:val="00FE2F52"/>
    <w:rsid w:val="00FE46AC"/>
    <w:rsid w:val="00FE50BE"/>
    <w:rsid w:val="00FE66F7"/>
    <w:rsid w:val="00FE7767"/>
    <w:rsid w:val="00FF10B1"/>
    <w:rsid w:val="00FF38E3"/>
    <w:rsid w:val="00FF3DDE"/>
    <w:rsid w:val="00FF57E3"/>
    <w:rsid w:val="00FF65D3"/>
    <w:rsid w:val="38E93813"/>
    <w:rsid w:val="3CFA0229"/>
    <w:rsid w:val="3E5DC638"/>
    <w:rsid w:val="62206FEA"/>
    <w:rsid w:val="6A4744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C70E6F"/>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 w:type="paragraph" w:styleId="NormalWeb">
    <w:name w:val="Normal (Web)"/>
    <w:basedOn w:val="Normal"/>
    <w:uiPriority w:val="99"/>
    <w:semiHidden/>
    <w:unhideWhenUsed/>
    <w:rsid w:val="003B20DD"/>
    <w:pPr>
      <w:spacing w:before="100" w:beforeAutospacing="1" w:after="100" w:afterAutospacing="1"/>
    </w:pPr>
    <w:rPr>
      <w:rFonts w:ascii="Times New Roman" w:hAnsi="Times New Roman"/>
      <w:color w:val="auto"/>
      <w:sz w:val="24"/>
      <w:szCs w:val="24"/>
    </w:rPr>
  </w:style>
  <w:style w:type="paragraph" w:styleId="TOC4">
    <w:name w:val="toc 4"/>
    <w:basedOn w:val="Normal"/>
    <w:next w:val="Normal"/>
    <w:autoRedefine/>
    <w:uiPriority w:val="39"/>
    <w:unhideWhenUsed/>
    <w:rsid w:val="00E318C4"/>
    <w:pPr>
      <w:spacing w:before="0" w:after="100" w:line="278" w:lineRule="auto"/>
      <w:ind w:left="720"/>
    </w:pPr>
    <w:rPr>
      <w:rFonts w:eastAsiaTheme="minorEastAsia" w:cstheme="minorBidi"/>
      <w:color w:val="auto"/>
      <w:kern w:val="2"/>
      <w:sz w:val="24"/>
      <w:szCs w:val="24"/>
      <w14:ligatures w14:val="standardContextual"/>
    </w:rPr>
  </w:style>
  <w:style w:type="paragraph" w:styleId="TOC5">
    <w:name w:val="toc 5"/>
    <w:basedOn w:val="Normal"/>
    <w:next w:val="Normal"/>
    <w:autoRedefine/>
    <w:uiPriority w:val="39"/>
    <w:unhideWhenUsed/>
    <w:rsid w:val="00E318C4"/>
    <w:pPr>
      <w:spacing w:before="0" w:after="100" w:line="278" w:lineRule="auto"/>
      <w:ind w:left="960"/>
    </w:pPr>
    <w:rPr>
      <w:rFonts w:eastAsiaTheme="minorEastAsia" w:cstheme="minorBidi"/>
      <w:color w:val="auto"/>
      <w:kern w:val="2"/>
      <w:sz w:val="24"/>
      <w:szCs w:val="24"/>
      <w14:ligatures w14:val="standardContextual"/>
    </w:rPr>
  </w:style>
  <w:style w:type="paragraph" w:styleId="TOC6">
    <w:name w:val="toc 6"/>
    <w:basedOn w:val="Normal"/>
    <w:next w:val="Normal"/>
    <w:autoRedefine/>
    <w:uiPriority w:val="39"/>
    <w:unhideWhenUsed/>
    <w:rsid w:val="00E318C4"/>
    <w:pPr>
      <w:spacing w:before="0" w:after="100" w:line="278" w:lineRule="auto"/>
      <w:ind w:left="1200"/>
    </w:pPr>
    <w:rPr>
      <w:rFonts w:eastAsiaTheme="minorEastAsia" w:cstheme="minorBidi"/>
      <w:color w:val="auto"/>
      <w:kern w:val="2"/>
      <w:sz w:val="24"/>
      <w:szCs w:val="24"/>
      <w14:ligatures w14:val="standardContextual"/>
    </w:rPr>
  </w:style>
  <w:style w:type="paragraph" w:styleId="TOC7">
    <w:name w:val="toc 7"/>
    <w:basedOn w:val="Normal"/>
    <w:next w:val="Normal"/>
    <w:autoRedefine/>
    <w:uiPriority w:val="39"/>
    <w:unhideWhenUsed/>
    <w:rsid w:val="00E318C4"/>
    <w:pPr>
      <w:spacing w:before="0" w:after="100" w:line="278" w:lineRule="auto"/>
      <w:ind w:left="1440"/>
    </w:pPr>
    <w:rPr>
      <w:rFonts w:eastAsiaTheme="minorEastAsia" w:cstheme="minorBidi"/>
      <w:color w:val="auto"/>
      <w:kern w:val="2"/>
      <w:sz w:val="24"/>
      <w:szCs w:val="24"/>
      <w14:ligatures w14:val="standardContextual"/>
    </w:rPr>
  </w:style>
  <w:style w:type="paragraph" w:styleId="TOC8">
    <w:name w:val="toc 8"/>
    <w:basedOn w:val="Normal"/>
    <w:next w:val="Normal"/>
    <w:autoRedefine/>
    <w:uiPriority w:val="39"/>
    <w:unhideWhenUsed/>
    <w:rsid w:val="00E318C4"/>
    <w:pPr>
      <w:spacing w:before="0" w:after="100" w:line="278" w:lineRule="auto"/>
      <w:ind w:left="1680"/>
    </w:pPr>
    <w:rPr>
      <w:rFonts w:eastAsiaTheme="minorEastAsia" w:cstheme="minorBidi"/>
      <w:color w:val="auto"/>
      <w:kern w:val="2"/>
      <w:sz w:val="24"/>
      <w:szCs w:val="24"/>
      <w14:ligatures w14:val="standardContextual"/>
    </w:rPr>
  </w:style>
  <w:style w:type="paragraph" w:styleId="TOC9">
    <w:name w:val="toc 9"/>
    <w:basedOn w:val="Normal"/>
    <w:next w:val="Normal"/>
    <w:autoRedefine/>
    <w:uiPriority w:val="39"/>
    <w:unhideWhenUsed/>
    <w:rsid w:val="00E318C4"/>
    <w:pPr>
      <w:spacing w:before="0" w:after="100" w:line="278" w:lineRule="auto"/>
      <w:ind w:left="1920"/>
    </w:pPr>
    <w:rPr>
      <w:rFonts w:eastAsiaTheme="minorEastAsia" w:cstheme="minorBidi"/>
      <w:color w:val="auto"/>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9798">
      <w:bodyDiv w:val="1"/>
      <w:marLeft w:val="0"/>
      <w:marRight w:val="0"/>
      <w:marTop w:val="0"/>
      <w:marBottom w:val="0"/>
      <w:divBdr>
        <w:top w:val="none" w:sz="0" w:space="0" w:color="auto"/>
        <w:left w:val="none" w:sz="0" w:space="0" w:color="auto"/>
        <w:bottom w:val="none" w:sz="0" w:space="0" w:color="auto"/>
        <w:right w:val="none" w:sz="0" w:space="0" w:color="auto"/>
      </w:divBdr>
    </w:div>
    <w:div w:id="57822107">
      <w:bodyDiv w:val="1"/>
      <w:marLeft w:val="0"/>
      <w:marRight w:val="0"/>
      <w:marTop w:val="0"/>
      <w:marBottom w:val="0"/>
      <w:divBdr>
        <w:top w:val="none" w:sz="0" w:space="0" w:color="auto"/>
        <w:left w:val="none" w:sz="0" w:space="0" w:color="auto"/>
        <w:bottom w:val="none" w:sz="0" w:space="0" w:color="auto"/>
        <w:right w:val="none" w:sz="0" w:space="0" w:color="auto"/>
      </w:divBdr>
    </w:div>
    <w:div w:id="66078920">
      <w:bodyDiv w:val="1"/>
      <w:marLeft w:val="0"/>
      <w:marRight w:val="0"/>
      <w:marTop w:val="0"/>
      <w:marBottom w:val="0"/>
      <w:divBdr>
        <w:top w:val="none" w:sz="0" w:space="0" w:color="auto"/>
        <w:left w:val="none" w:sz="0" w:space="0" w:color="auto"/>
        <w:bottom w:val="none" w:sz="0" w:space="0" w:color="auto"/>
        <w:right w:val="none" w:sz="0" w:space="0" w:color="auto"/>
      </w:divBdr>
    </w:div>
    <w:div w:id="87311040">
      <w:bodyDiv w:val="1"/>
      <w:marLeft w:val="0"/>
      <w:marRight w:val="0"/>
      <w:marTop w:val="0"/>
      <w:marBottom w:val="0"/>
      <w:divBdr>
        <w:top w:val="none" w:sz="0" w:space="0" w:color="auto"/>
        <w:left w:val="none" w:sz="0" w:space="0" w:color="auto"/>
        <w:bottom w:val="none" w:sz="0" w:space="0" w:color="auto"/>
        <w:right w:val="none" w:sz="0" w:space="0" w:color="auto"/>
      </w:divBdr>
    </w:div>
    <w:div w:id="148861274">
      <w:bodyDiv w:val="1"/>
      <w:marLeft w:val="0"/>
      <w:marRight w:val="0"/>
      <w:marTop w:val="0"/>
      <w:marBottom w:val="0"/>
      <w:divBdr>
        <w:top w:val="none" w:sz="0" w:space="0" w:color="auto"/>
        <w:left w:val="none" w:sz="0" w:space="0" w:color="auto"/>
        <w:bottom w:val="none" w:sz="0" w:space="0" w:color="auto"/>
        <w:right w:val="none" w:sz="0" w:space="0" w:color="auto"/>
      </w:divBdr>
    </w:div>
    <w:div w:id="178282309">
      <w:bodyDiv w:val="1"/>
      <w:marLeft w:val="0"/>
      <w:marRight w:val="0"/>
      <w:marTop w:val="0"/>
      <w:marBottom w:val="0"/>
      <w:divBdr>
        <w:top w:val="none" w:sz="0" w:space="0" w:color="auto"/>
        <w:left w:val="none" w:sz="0" w:space="0" w:color="auto"/>
        <w:bottom w:val="none" w:sz="0" w:space="0" w:color="auto"/>
        <w:right w:val="none" w:sz="0" w:space="0" w:color="auto"/>
      </w:divBdr>
    </w:div>
    <w:div w:id="183906199">
      <w:bodyDiv w:val="1"/>
      <w:marLeft w:val="0"/>
      <w:marRight w:val="0"/>
      <w:marTop w:val="0"/>
      <w:marBottom w:val="0"/>
      <w:divBdr>
        <w:top w:val="none" w:sz="0" w:space="0" w:color="auto"/>
        <w:left w:val="none" w:sz="0" w:space="0" w:color="auto"/>
        <w:bottom w:val="none" w:sz="0" w:space="0" w:color="auto"/>
        <w:right w:val="none" w:sz="0" w:space="0" w:color="auto"/>
      </w:divBdr>
    </w:div>
    <w:div w:id="243883604">
      <w:bodyDiv w:val="1"/>
      <w:marLeft w:val="0"/>
      <w:marRight w:val="0"/>
      <w:marTop w:val="0"/>
      <w:marBottom w:val="0"/>
      <w:divBdr>
        <w:top w:val="none" w:sz="0" w:space="0" w:color="auto"/>
        <w:left w:val="none" w:sz="0" w:space="0" w:color="auto"/>
        <w:bottom w:val="none" w:sz="0" w:space="0" w:color="auto"/>
        <w:right w:val="none" w:sz="0" w:space="0" w:color="auto"/>
      </w:divBdr>
    </w:div>
    <w:div w:id="258028764">
      <w:bodyDiv w:val="1"/>
      <w:marLeft w:val="0"/>
      <w:marRight w:val="0"/>
      <w:marTop w:val="0"/>
      <w:marBottom w:val="0"/>
      <w:divBdr>
        <w:top w:val="none" w:sz="0" w:space="0" w:color="auto"/>
        <w:left w:val="none" w:sz="0" w:space="0" w:color="auto"/>
        <w:bottom w:val="none" w:sz="0" w:space="0" w:color="auto"/>
        <w:right w:val="none" w:sz="0" w:space="0" w:color="auto"/>
      </w:divBdr>
    </w:div>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33848034">
      <w:bodyDiv w:val="1"/>
      <w:marLeft w:val="0"/>
      <w:marRight w:val="0"/>
      <w:marTop w:val="0"/>
      <w:marBottom w:val="0"/>
      <w:divBdr>
        <w:top w:val="none" w:sz="0" w:space="0" w:color="auto"/>
        <w:left w:val="none" w:sz="0" w:space="0" w:color="auto"/>
        <w:bottom w:val="none" w:sz="0" w:space="0" w:color="auto"/>
        <w:right w:val="none" w:sz="0" w:space="0" w:color="auto"/>
      </w:divBdr>
    </w:div>
    <w:div w:id="337075801">
      <w:bodyDiv w:val="1"/>
      <w:marLeft w:val="0"/>
      <w:marRight w:val="0"/>
      <w:marTop w:val="0"/>
      <w:marBottom w:val="0"/>
      <w:divBdr>
        <w:top w:val="none" w:sz="0" w:space="0" w:color="auto"/>
        <w:left w:val="none" w:sz="0" w:space="0" w:color="auto"/>
        <w:bottom w:val="none" w:sz="0" w:space="0" w:color="auto"/>
        <w:right w:val="none" w:sz="0" w:space="0" w:color="auto"/>
      </w:divBdr>
    </w:div>
    <w:div w:id="348215525">
      <w:bodyDiv w:val="1"/>
      <w:marLeft w:val="0"/>
      <w:marRight w:val="0"/>
      <w:marTop w:val="0"/>
      <w:marBottom w:val="0"/>
      <w:divBdr>
        <w:top w:val="none" w:sz="0" w:space="0" w:color="auto"/>
        <w:left w:val="none" w:sz="0" w:space="0" w:color="auto"/>
        <w:bottom w:val="none" w:sz="0" w:space="0" w:color="auto"/>
        <w:right w:val="none" w:sz="0" w:space="0" w:color="auto"/>
      </w:divBdr>
    </w:div>
    <w:div w:id="368116015">
      <w:bodyDiv w:val="1"/>
      <w:marLeft w:val="0"/>
      <w:marRight w:val="0"/>
      <w:marTop w:val="0"/>
      <w:marBottom w:val="0"/>
      <w:divBdr>
        <w:top w:val="none" w:sz="0" w:space="0" w:color="auto"/>
        <w:left w:val="none" w:sz="0" w:space="0" w:color="auto"/>
        <w:bottom w:val="none" w:sz="0" w:space="0" w:color="auto"/>
        <w:right w:val="none" w:sz="0" w:space="0" w:color="auto"/>
      </w:divBdr>
    </w:div>
    <w:div w:id="399324793">
      <w:bodyDiv w:val="1"/>
      <w:marLeft w:val="0"/>
      <w:marRight w:val="0"/>
      <w:marTop w:val="0"/>
      <w:marBottom w:val="0"/>
      <w:divBdr>
        <w:top w:val="none" w:sz="0" w:space="0" w:color="auto"/>
        <w:left w:val="none" w:sz="0" w:space="0" w:color="auto"/>
        <w:bottom w:val="none" w:sz="0" w:space="0" w:color="auto"/>
        <w:right w:val="none" w:sz="0" w:space="0" w:color="auto"/>
      </w:divBdr>
    </w:div>
    <w:div w:id="415445167">
      <w:bodyDiv w:val="1"/>
      <w:marLeft w:val="0"/>
      <w:marRight w:val="0"/>
      <w:marTop w:val="0"/>
      <w:marBottom w:val="0"/>
      <w:divBdr>
        <w:top w:val="none" w:sz="0" w:space="0" w:color="auto"/>
        <w:left w:val="none" w:sz="0" w:space="0" w:color="auto"/>
        <w:bottom w:val="none" w:sz="0" w:space="0" w:color="auto"/>
        <w:right w:val="none" w:sz="0" w:space="0" w:color="auto"/>
      </w:divBdr>
    </w:div>
    <w:div w:id="442572797">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86674553">
      <w:bodyDiv w:val="1"/>
      <w:marLeft w:val="0"/>
      <w:marRight w:val="0"/>
      <w:marTop w:val="0"/>
      <w:marBottom w:val="0"/>
      <w:divBdr>
        <w:top w:val="none" w:sz="0" w:space="0" w:color="auto"/>
        <w:left w:val="none" w:sz="0" w:space="0" w:color="auto"/>
        <w:bottom w:val="none" w:sz="0" w:space="0" w:color="auto"/>
        <w:right w:val="none" w:sz="0" w:space="0" w:color="auto"/>
      </w:divBdr>
    </w:div>
    <w:div w:id="492457011">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501042755">
      <w:bodyDiv w:val="1"/>
      <w:marLeft w:val="0"/>
      <w:marRight w:val="0"/>
      <w:marTop w:val="0"/>
      <w:marBottom w:val="0"/>
      <w:divBdr>
        <w:top w:val="none" w:sz="0" w:space="0" w:color="auto"/>
        <w:left w:val="none" w:sz="0" w:space="0" w:color="auto"/>
        <w:bottom w:val="none" w:sz="0" w:space="0" w:color="auto"/>
        <w:right w:val="none" w:sz="0" w:space="0" w:color="auto"/>
      </w:divBdr>
    </w:div>
    <w:div w:id="523329890">
      <w:bodyDiv w:val="1"/>
      <w:marLeft w:val="0"/>
      <w:marRight w:val="0"/>
      <w:marTop w:val="0"/>
      <w:marBottom w:val="0"/>
      <w:divBdr>
        <w:top w:val="none" w:sz="0" w:space="0" w:color="auto"/>
        <w:left w:val="none" w:sz="0" w:space="0" w:color="auto"/>
        <w:bottom w:val="none" w:sz="0" w:space="0" w:color="auto"/>
        <w:right w:val="none" w:sz="0" w:space="0" w:color="auto"/>
      </w:divBdr>
    </w:div>
    <w:div w:id="544023780">
      <w:bodyDiv w:val="1"/>
      <w:marLeft w:val="0"/>
      <w:marRight w:val="0"/>
      <w:marTop w:val="0"/>
      <w:marBottom w:val="0"/>
      <w:divBdr>
        <w:top w:val="none" w:sz="0" w:space="0" w:color="auto"/>
        <w:left w:val="none" w:sz="0" w:space="0" w:color="auto"/>
        <w:bottom w:val="none" w:sz="0" w:space="0" w:color="auto"/>
        <w:right w:val="none" w:sz="0" w:space="0" w:color="auto"/>
      </w:divBdr>
    </w:div>
    <w:div w:id="573205664">
      <w:bodyDiv w:val="1"/>
      <w:marLeft w:val="0"/>
      <w:marRight w:val="0"/>
      <w:marTop w:val="0"/>
      <w:marBottom w:val="0"/>
      <w:divBdr>
        <w:top w:val="none" w:sz="0" w:space="0" w:color="auto"/>
        <w:left w:val="none" w:sz="0" w:space="0" w:color="auto"/>
        <w:bottom w:val="none" w:sz="0" w:space="0" w:color="auto"/>
        <w:right w:val="none" w:sz="0" w:space="0" w:color="auto"/>
      </w:divBdr>
    </w:div>
    <w:div w:id="583535049">
      <w:bodyDiv w:val="1"/>
      <w:marLeft w:val="0"/>
      <w:marRight w:val="0"/>
      <w:marTop w:val="0"/>
      <w:marBottom w:val="0"/>
      <w:divBdr>
        <w:top w:val="none" w:sz="0" w:space="0" w:color="auto"/>
        <w:left w:val="none" w:sz="0" w:space="0" w:color="auto"/>
        <w:bottom w:val="none" w:sz="0" w:space="0" w:color="auto"/>
        <w:right w:val="none" w:sz="0" w:space="0" w:color="auto"/>
      </w:divBdr>
    </w:div>
    <w:div w:id="640841688">
      <w:bodyDiv w:val="1"/>
      <w:marLeft w:val="0"/>
      <w:marRight w:val="0"/>
      <w:marTop w:val="0"/>
      <w:marBottom w:val="0"/>
      <w:divBdr>
        <w:top w:val="none" w:sz="0" w:space="0" w:color="auto"/>
        <w:left w:val="none" w:sz="0" w:space="0" w:color="auto"/>
        <w:bottom w:val="none" w:sz="0" w:space="0" w:color="auto"/>
        <w:right w:val="none" w:sz="0" w:space="0" w:color="auto"/>
      </w:divBdr>
    </w:div>
    <w:div w:id="643387483">
      <w:bodyDiv w:val="1"/>
      <w:marLeft w:val="0"/>
      <w:marRight w:val="0"/>
      <w:marTop w:val="0"/>
      <w:marBottom w:val="0"/>
      <w:divBdr>
        <w:top w:val="none" w:sz="0" w:space="0" w:color="auto"/>
        <w:left w:val="none" w:sz="0" w:space="0" w:color="auto"/>
        <w:bottom w:val="none" w:sz="0" w:space="0" w:color="auto"/>
        <w:right w:val="none" w:sz="0" w:space="0" w:color="auto"/>
      </w:divBdr>
    </w:div>
    <w:div w:id="649821433">
      <w:bodyDiv w:val="1"/>
      <w:marLeft w:val="0"/>
      <w:marRight w:val="0"/>
      <w:marTop w:val="0"/>
      <w:marBottom w:val="0"/>
      <w:divBdr>
        <w:top w:val="none" w:sz="0" w:space="0" w:color="auto"/>
        <w:left w:val="none" w:sz="0" w:space="0" w:color="auto"/>
        <w:bottom w:val="none" w:sz="0" w:space="0" w:color="auto"/>
        <w:right w:val="none" w:sz="0" w:space="0" w:color="auto"/>
      </w:divBdr>
    </w:div>
    <w:div w:id="671104340">
      <w:bodyDiv w:val="1"/>
      <w:marLeft w:val="0"/>
      <w:marRight w:val="0"/>
      <w:marTop w:val="0"/>
      <w:marBottom w:val="0"/>
      <w:divBdr>
        <w:top w:val="none" w:sz="0" w:space="0" w:color="auto"/>
        <w:left w:val="none" w:sz="0" w:space="0" w:color="auto"/>
        <w:bottom w:val="none" w:sz="0" w:space="0" w:color="auto"/>
        <w:right w:val="none" w:sz="0" w:space="0" w:color="auto"/>
      </w:divBdr>
    </w:div>
    <w:div w:id="70301732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24736396">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21180301">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130590620">
      <w:bodyDiv w:val="1"/>
      <w:marLeft w:val="0"/>
      <w:marRight w:val="0"/>
      <w:marTop w:val="0"/>
      <w:marBottom w:val="0"/>
      <w:divBdr>
        <w:top w:val="none" w:sz="0" w:space="0" w:color="auto"/>
        <w:left w:val="none" w:sz="0" w:space="0" w:color="auto"/>
        <w:bottom w:val="none" w:sz="0" w:space="0" w:color="auto"/>
        <w:right w:val="none" w:sz="0" w:space="0" w:color="auto"/>
      </w:divBdr>
    </w:div>
    <w:div w:id="1154566101">
      <w:bodyDiv w:val="1"/>
      <w:marLeft w:val="0"/>
      <w:marRight w:val="0"/>
      <w:marTop w:val="0"/>
      <w:marBottom w:val="0"/>
      <w:divBdr>
        <w:top w:val="none" w:sz="0" w:space="0" w:color="auto"/>
        <w:left w:val="none" w:sz="0" w:space="0" w:color="auto"/>
        <w:bottom w:val="none" w:sz="0" w:space="0" w:color="auto"/>
        <w:right w:val="none" w:sz="0" w:space="0" w:color="auto"/>
      </w:divBdr>
    </w:div>
    <w:div w:id="1165389949">
      <w:bodyDiv w:val="1"/>
      <w:marLeft w:val="0"/>
      <w:marRight w:val="0"/>
      <w:marTop w:val="0"/>
      <w:marBottom w:val="0"/>
      <w:divBdr>
        <w:top w:val="none" w:sz="0" w:space="0" w:color="auto"/>
        <w:left w:val="none" w:sz="0" w:space="0" w:color="auto"/>
        <w:bottom w:val="none" w:sz="0" w:space="0" w:color="auto"/>
        <w:right w:val="none" w:sz="0" w:space="0" w:color="auto"/>
      </w:divBdr>
    </w:div>
    <w:div w:id="1171142874">
      <w:bodyDiv w:val="1"/>
      <w:marLeft w:val="0"/>
      <w:marRight w:val="0"/>
      <w:marTop w:val="0"/>
      <w:marBottom w:val="0"/>
      <w:divBdr>
        <w:top w:val="none" w:sz="0" w:space="0" w:color="auto"/>
        <w:left w:val="none" w:sz="0" w:space="0" w:color="auto"/>
        <w:bottom w:val="none" w:sz="0" w:space="0" w:color="auto"/>
        <w:right w:val="none" w:sz="0" w:space="0" w:color="auto"/>
      </w:divBdr>
    </w:div>
    <w:div w:id="1174690695">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183012538">
      <w:bodyDiv w:val="1"/>
      <w:marLeft w:val="0"/>
      <w:marRight w:val="0"/>
      <w:marTop w:val="0"/>
      <w:marBottom w:val="0"/>
      <w:divBdr>
        <w:top w:val="none" w:sz="0" w:space="0" w:color="auto"/>
        <w:left w:val="none" w:sz="0" w:space="0" w:color="auto"/>
        <w:bottom w:val="none" w:sz="0" w:space="0" w:color="auto"/>
        <w:right w:val="none" w:sz="0" w:space="0" w:color="auto"/>
      </w:divBdr>
    </w:div>
    <w:div w:id="1214780198">
      <w:bodyDiv w:val="1"/>
      <w:marLeft w:val="0"/>
      <w:marRight w:val="0"/>
      <w:marTop w:val="0"/>
      <w:marBottom w:val="0"/>
      <w:divBdr>
        <w:top w:val="none" w:sz="0" w:space="0" w:color="auto"/>
        <w:left w:val="none" w:sz="0" w:space="0" w:color="auto"/>
        <w:bottom w:val="none" w:sz="0" w:space="0" w:color="auto"/>
        <w:right w:val="none" w:sz="0" w:space="0" w:color="auto"/>
      </w:divBdr>
    </w:div>
    <w:div w:id="1245802353">
      <w:bodyDiv w:val="1"/>
      <w:marLeft w:val="0"/>
      <w:marRight w:val="0"/>
      <w:marTop w:val="0"/>
      <w:marBottom w:val="0"/>
      <w:divBdr>
        <w:top w:val="none" w:sz="0" w:space="0" w:color="auto"/>
        <w:left w:val="none" w:sz="0" w:space="0" w:color="auto"/>
        <w:bottom w:val="none" w:sz="0" w:space="0" w:color="auto"/>
        <w:right w:val="none" w:sz="0" w:space="0" w:color="auto"/>
      </w:divBdr>
    </w:div>
    <w:div w:id="1250315744">
      <w:bodyDiv w:val="1"/>
      <w:marLeft w:val="0"/>
      <w:marRight w:val="0"/>
      <w:marTop w:val="0"/>
      <w:marBottom w:val="0"/>
      <w:divBdr>
        <w:top w:val="none" w:sz="0" w:space="0" w:color="auto"/>
        <w:left w:val="none" w:sz="0" w:space="0" w:color="auto"/>
        <w:bottom w:val="none" w:sz="0" w:space="0" w:color="auto"/>
        <w:right w:val="none" w:sz="0" w:space="0" w:color="auto"/>
      </w:divBdr>
    </w:div>
    <w:div w:id="1265844756">
      <w:bodyDiv w:val="1"/>
      <w:marLeft w:val="0"/>
      <w:marRight w:val="0"/>
      <w:marTop w:val="0"/>
      <w:marBottom w:val="0"/>
      <w:divBdr>
        <w:top w:val="none" w:sz="0" w:space="0" w:color="auto"/>
        <w:left w:val="none" w:sz="0" w:space="0" w:color="auto"/>
        <w:bottom w:val="none" w:sz="0" w:space="0" w:color="auto"/>
        <w:right w:val="none" w:sz="0" w:space="0" w:color="auto"/>
      </w:divBdr>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00765412">
      <w:bodyDiv w:val="1"/>
      <w:marLeft w:val="0"/>
      <w:marRight w:val="0"/>
      <w:marTop w:val="0"/>
      <w:marBottom w:val="0"/>
      <w:divBdr>
        <w:top w:val="none" w:sz="0" w:space="0" w:color="auto"/>
        <w:left w:val="none" w:sz="0" w:space="0" w:color="auto"/>
        <w:bottom w:val="none" w:sz="0" w:space="0" w:color="auto"/>
        <w:right w:val="none" w:sz="0" w:space="0" w:color="auto"/>
      </w:divBdr>
    </w:div>
    <w:div w:id="1335260202">
      <w:bodyDiv w:val="1"/>
      <w:marLeft w:val="0"/>
      <w:marRight w:val="0"/>
      <w:marTop w:val="0"/>
      <w:marBottom w:val="0"/>
      <w:divBdr>
        <w:top w:val="none" w:sz="0" w:space="0" w:color="auto"/>
        <w:left w:val="none" w:sz="0" w:space="0" w:color="auto"/>
        <w:bottom w:val="none" w:sz="0" w:space="0" w:color="auto"/>
        <w:right w:val="none" w:sz="0" w:space="0" w:color="auto"/>
      </w:divBdr>
    </w:div>
    <w:div w:id="1335524320">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385442462">
      <w:bodyDiv w:val="1"/>
      <w:marLeft w:val="0"/>
      <w:marRight w:val="0"/>
      <w:marTop w:val="0"/>
      <w:marBottom w:val="0"/>
      <w:divBdr>
        <w:top w:val="none" w:sz="0" w:space="0" w:color="auto"/>
        <w:left w:val="none" w:sz="0" w:space="0" w:color="auto"/>
        <w:bottom w:val="none" w:sz="0" w:space="0" w:color="auto"/>
        <w:right w:val="none" w:sz="0" w:space="0" w:color="auto"/>
      </w:divBdr>
    </w:div>
    <w:div w:id="1395160312">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499417778">
      <w:bodyDiv w:val="1"/>
      <w:marLeft w:val="0"/>
      <w:marRight w:val="0"/>
      <w:marTop w:val="0"/>
      <w:marBottom w:val="0"/>
      <w:divBdr>
        <w:top w:val="none" w:sz="0" w:space="0" w:color="auto"/>
        <w:left w:val="none" w:sz="0" w:space="0" w:color="auto"/>
        <w:bottom w:val="none" w:sz="0" w:space="0" w:color="auto"/>
        <w:right w:val="none" w:sz="0" w:space="0" w:color="auto"/>
      </w:divBdr>
    </w:div>
    <w:div w:id="1519614709">
      <w:bodyDiv w:val="1"/>
      <w:marLeft w:val="0"/>
      <w:marRight w:val="0"/>
      <w:marTop w:val="0"/>
      <w:marBottom w:val="0"/>
      <w:divBdr>
        <w:top w:val="none" w:sz="0" w:space="0" w:color="auto"/>
        <w:left w:val="none" w:sz="0" w:space="0" w:color="auto"/>
        <w:bottom w:val="none" w:sz="0" w:space="0" w:color="auto"/>
        <w:right w:val="none" w:sz="0" w:space="0" w:color="auto"/>
      </w:divBdr>
    </w:div>
    <w:div w:id="1565217773">
      <w:bodyDiv w:val="1"/>
      <w:marLeft w:val="0"/>
      <w:marRight w:val="0"/>
      <w:marTop w:val="0"/>
      <w:marBottom w:val="0"/>
      <w:divBdr>
        <w:top w:val="none" w:sz="0" w:space="0" w:color="auto"/>
        <w:left w:val="none" w:sz="0" w:space="0" w:color="auto"/>
        <w:bottom w:val="none" w:sz="0" w:space="0" w:color="auto"/>
        <w:right w:val="none" w:sz="0" w:space="0" w:color="auto"/>
      </w:divBdr>
    </w:div>
    <w:div w:id="1565490182">
      <w:bodyDiv w:val="1"/>
      <w:marLeft w:val="0"/>
      <w:marRight w:val="0"/>
      <w:marTop w:val="0"/>
      <w:marBottom w:val="0"/>
      <w:divBdr>
        <w:top w:val="none" w:sz="0" w:space="0" w:color="auto"/>
        <w:left w:val="none" w:sz="0" w:space="0" w:color="auto"/>
        <w:bottom w:val="none" w:sz="0" w:space="0" w:color="auto"/>
        <w:right w:val="none" w:sz="0" w:space="0" w:color="auto"/>
      </w:divBdr>
    </w:div>
    <w:div w:id="1595747347">
      <w:bodyDiv w:val="1"/>
      <w:marLeft w:val="0"/>
      <w:marRight w:val="0"/>
      <w:marTop w:val="0"/>
      <w:marBottom w:val="0"/>
      <w:divBdr>
        <w:top w:val="none" w:sz="0" w:space="0" w:color="auto"/>
        <w:left w:val="none" w:sz="0" w:space="0" w:color="auto"/>
        <w:bottom w:val="none" w:sz="0" w:space="0" w:color="auto"/>
        <w:right w:val="none" w:sz="0" w:space="0" w:color="auto"/>
      </w:divBdr>
    </w:div>
    <w:div w:id="1608925165">
      <w:bodyDiv w:val="1"/>
      <w:marLeft w:val="0"/>
      <w:marRight w:val="0"/>
      <w:marTop w:val="0"/>
      <w:marBottom w:val="0"/>
      <w:divBdr>
        <w:top w:val="none" w:sz="0" w:space="0" w:color="auto"/>
        <w:left w:val="none" w:sz="0" w:space="0" w:color="auto"/>
        <w:bottom w:val="none" w:sz="0" w:space="0" w:color="auto"/>
        <w:right w:val="none" w:sz="0" w:space="0" w:color="auto"/>
      </w:divBdr>
      <w:divsChild>
        <w:div w:id="1895775392">
          <w:marLeft w:val="0"/>
          <w:marRight w:val="0"/>
          <w:marTop w:val="0"/>
          <w:marBottom w:val="0"/>
          <w:divBdr>
            <w:top w:val="none" w:sz="0" w:space="0" w:color="auto"/>
            <w:left w:val="none" w:sz="0" w:space="0" w:color="auto"/>
            <w:bottom w:val="none" w:sz="0" w:space="0" w:color="auto"/>
            <w:right w:val="none" w:sz="0" w:space="0" w:color="auto"/>
          </w:divBdr>
        </w:div>
      </w:divsChild>
    </w:div>
    <w:div w:id="1671906855">
      <w:bodyDiv w:val="1"/>
      <w:marLeft w:val="0"/>
      <w:marRight w:val="0"/>
      <w:marTop w:val="0"/>
      <w:marBottom w:val="0"/>
      <w:divBdr>
        <w:top w:val="none" w:sz="0" w:space="0" w:color="auto"/>
        <w:left w:val="none" w:sz="0" w:space="0" w:color="auto"/>
        <w:bottom w:val="none" w:sz="0" w:space="0" w:color="auto"/>
        <w:right w:val="none" w:sz="0" w:space="0" w:color="auto"/>
      </w:divBdr>
    </w:div>
    <w:div w:id="1747847032">
      <w:bodyDiv w:val="1"/>
      <w:marLeft w:val="0"/>
      <w:marRight w:val="0"/>
      <w:marTop w:val="0"/>
      <w:marBottom w:val="0"/>
      <w:divBdr>
        <w:top w:val="none" w:sz="0" w:space="0" w:color="auto"/>
        <w:left w:val="none" w:sz="0" w:space="0" w:color="auto"/>
        <w:bottom w:val="none" w:sz="0" w:space="0" w:color="auto"/>
        <w:right w:val="none" w:sz="0" w:space="0" w:color="auto"/>
      </w:divBdr>
    </w:div>
    <w:div w:id="1800952064">
      <w:bodyDiv w:val="1"/>
      <w:marLeft w:val="0"/>
      <w:marRight w:val="0"/>
      <w:marTop w:val="0"/>
      <w:marBottom w:val="0"/>
      <w:divBdr>
        <w:top w:val="none" w:sz="0" w:space="0" w:color="auto"/>
        <w:left w:val="none" w:sz="0" w:space="0" w:color="auto"/>
        <w:bottom w:val="none" w:sz="0" w:space="0" w:color="auto"/>
        <w:right w:val="none" w:sz="0" w:space="0" w:color="auto"/>
      </w:divBdr>
    </w:div>
    <w:div w:id="1852716100">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898281680">
      <w:bodyDiv w:val="1"/>
      <w:marLeft w:val="0"/>
      <w:marRight w:val="0"/>
      <w:marTop w:val="0"/>
      <w:marBottom w:val="0"/>
      <w:divBdr>
        <w:top w:val="none" w:sz="0" w:space="0" w:color="auto"/>
        <w:left w:val="none" w:sz="0" w:space="0" w:color="auto"/>
        <w:bottom w:val="none" w:sz="0" w:space="0" w:color="auto"/>
        <w:right w:val="none" w:sz="0" w:space="0" w:color="auto"/>
      </w:divBdr>
    </w:div>
    <w:div w:id="1927108556">
      <w:bodyDiv w:val="1"/>
      <w:marLeft w:val="0"/>
      <w:marRight w:val="0"/>
      <w:marTop w:val="0"/>
      <w:marBottom w:val="0"/>
      <w:divBdr>
        <w:top w:val="none" w:sz="0" w:space="0" w:color="auto"/>
        <w:left w:val="none" w:sz="0" w:space="0" w:color="auto"/>
        <w:bottom w:val="none" w:sz="0" w:space="0" w:color="auto"/>
        <w:right w:val="none" w:sz="0" w:space="0" w:color="auto"/>
      </w:divBdr>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1981307012">
      <w:bodyDiv w:val="1"/>
      <w:marLeft w:val="0"/>
      <w:marRight w:val="0"/>
      <w:marTop w:val="0"/>
      <w:marBottom w:val="0"/>
      <w:divBdr>
        <w:top w:val="none" w:sz="0" w:space="0" w:color="auto"/>
        <w:left w:val="none" w:sz="0" w:space="0" w:color="auto"/>
        <w:bottom w:val="none" w:sz="0" w:space="0" w:color="auto"/>
        <w:right w:val="none" w:sz="0" w:space="0" w:color="auto"/>
      </w:divBdr>
    </w:div>
    <w:div w:id="1984116789">
      <w:bodyDiv w:val="1"/>
      <w:marLeft w:val="0"/>
      <w:marRight w:val="0"/>
      <w:marTop w:val="0"/>
      <w:marBottom w:val="0"/>
      <w:divBdr>
        <w:top w:val="none" w:sz="0" w:space="0" w:color="auto"/>
        <w:left w:val="none" w:sz="0" w:space="0" w:color="auto"/>
        <w:bottom w:val="none" w:sz="0" w:space="0" w:color="auto"/>
        <w:right w:val="none" w:sz="0" w:space="0" w:color="auto"/>
      </w:divBdr>
    </w:div>
    <w:div w:id="1995839626">
      <w:bodyDiv w:val="1"/>
      <w:marLeft w:val="0"/>
      <w:marRight w:val="0"/>
      <w:marTop w:val="0"/>
      <w:marBottom w:val="0"/>
      <w:divBdr>
        <w:top w:val="none" w:sz="0" w:space="0" w:color="auto"/>
        <w:left w:val="none" w:sz="0" w:space="0" w:color="auto"/>
        <w:bottom w:val="none" w:sz="0" w:space="0" w:color="auto"/>
        <w:right w:val="none" w:sz="0" w:space="0" w:color="auto"/>
      </w:divBdr>
    </w:div>
    <w:div w:id="1998874573">
      <w:bodyDiv w:val="1"/>
      <w:marLeft w:val="0"/>
      <w:marRight w:val="0"/>
      <w:marTop w:val="0"/>
      <w:marBottom w:val="0"/>
      <w:divBdr>
        <w:top w:val="none" w:sz="0" w:space="0" w:color="auto"/>
        <w:left w:val="none" w:sz="0" w:space="0" w:color="auto"/>
        <w:bottom w:val="none" w:sz="0" w:space="0" w:color="auto"/>
        <w:right w:val="none" w:sz="0" w:space="0" w:color="auto"/>
      </w:divBdr>
    </w:div>
    <w:div w:id="2024042563">
      <w:bodyDiv w:val="1"/>
      <w:marLeft w:val="0"/>
      <w:marRight w:val="0"/>
      <w:marTop w:val="0"/>
      <w:marBottom w:val="0"/>
      <w:divBdr>
        <w:top w:val="none" w:sz="0" w:space="0" w:color="auto"/>
        <w:left w:val="none" w:sz="0" w:space="0" w:color="auto"/>
        <w:bottom w:val="none" w:sz="0" w:space="0" w:color="auto"/>
        <w:right w:val="none" w:sz="0" w:space="0" w:color="auto"/>
      </w:divBdr>
    </w:div>
    <w:div w:id="2048144900">
      <w:bodyDiv w:val="1"/>
      <w:marLeft w:val="0"/>
      <w:marRight w:val="0"/>
      <w:marTop w:val="0"/>
      <w:marBottom w:val="0"/>
      <w:divBdr>
        <w:top w:val="none" w:sz="0" w:space="0" w:color="auto"/>
        <w:left w:val="none" w:sz="0" w:space="0" w:color="auto"/>
        <w:bottom w:val="none" w:sz="0" w:space="0" w:color="auto"/>
        <w:right w:val="none" w:sz="0" w:space="0" w:color="auto"/>
      </w:divBdr>
    </w:div>
    <w:div w:id="2073890005">
      <w:bodyDiv w:val="1"/>
      <w:marLeft w:val="0"/>
      <w:marRight w:val="0"/>
      <w:marTop w:val="0"/>
      <w:marBottom w:val="0"/>
      <w:divBdr>
        <w:top w:val="none" w:sz="0" w:space="0" w:color="auto"/>
        <w:left w:val="none" w:sz="0" w:space="0" w:color="auto"/>
        <w:bottom w:val="none" w:sz="0" w:space="0" w:color="auto"/>
        <w:right w:val="none" w:sz="0" w:space="0" w:color="auto"/>
      </w:divBdr>
    </w:div>
    <w:div w:id="2083870154">
      <w:bodyDiv w:val="1"/>
      <w:marLeft w:val="0"/>
      <w:marRight w:val="0"/>
      <w:marTop w:val="0"/>
      <w:marBottom w:val="0"/>
      <w:divBdr>
        <w:top w:val="none" w:sz="0" w:space="0" w:color="auto"/>
        <w:left w:val="none" w:sz="0" w:space="0" w:color="auto"/>
        <w:bottom w:val="none" w:sz="0" w:space="0" w:color="auto"/>
        <w:right w:val="none" w:sz="0" w:space="0" w:color="auto"/>
      </w:divBdr>
    </w:div>
    <w:div w:id="2084797651">
      <w:bodyDiv w:val="1"/>
      <w:marLeft w:val="0"/>
      <w:marRight w:val="0"/>
      <w:marTop w:val="0"/>
      <w:marBottom w:val="0"/>
      <w:divBdr>
        <w:top w:val="none" w:sz="0" w:space="0" w:color="auto"/>
        <w:left w:val="none" w:sz="0" w:space="0" w:color="auto"/>
        <w:bottom w:val="none" w:sz="0" w:space="0" w:color="auto"/>
        <w:right w:val="none" w:sz="0" w:space="0" w:color="auto"/>
      </w:divBdr>
    </w:div>
    <w:div w:id="2088569253">
      <w:bodyDiv w:val="1"/>
      <w:marLeft w:val="0"/>
      <w:marRight w:val="0"/>
      <w:marTop w:val="0"/>
      <w:marBottom w:val="0"/>
      <w:divBdr>
        <w:top w:val="none" w:sz="0" w:space="0" w:color="auto"/>
        <w:left w:val="none" w:sz="0" w:space="0" w:color="auto"/>
        <w:bottom w:val="none" w:sz="0" w:space="0" w:color="auto"/>
        <w:right w:val="none" w:sz="0" w:space="0" w:color="auto"/>
      </w:divBdr>
    </w:div>
    <w:div w:id="2091190144">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 w:id="2096897787">
      <w:bodyDiv w:val="1"/>
      <w:marLeft w:val="0"/>
      <w:marRight w:val="0"/>
      <w:marTop w:val="0"/>
      <w:marBottom w:val="0"/>
      <w:divBdr>
        <w:top w:val="none" w:sz="0" w:space="0" w:color="auto"/>
        <w:left w:val="none" w:sz="0" w:space="0" w:color="auto"/>
        <w:bottom w:val="none" w:sz="0" w:space="0" w:color="auto"/>
        <w:right w:val="none" w:sz="0" w:space="0" w:color="auto"/>
      </w:divBdr>
    </w:div>
    <w:div w:id="2111194131">
      <w:bodyDiv w:val="1"/>
      <w:marLeft w:val="0"/>
      <w:marRight w:val="0"/>
      <w:marTop w:val="0"/>
      <w:marBottom w:val="0"/>
      <w:divBdr>
        <w:top w:val="none" w:sz="0" w:space="0" w:color="auto"/>
        <w:left w:val="none" w:sz="0" w:space="0" w:color="auto"/>
        <w:bottom w:val="none" w:sz="0" w:space="0" w:color="auto"/>
        <w:right w:val="none" w:sz="0" w:space="0" w:color="auto"/>
      </w:divBdr>
    </w:div>
    <w:div w:id="21367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gov.au/government/media-statements/Cook-Labor-Government/New-unit-established-to-drive-housing-supply-in-Western-Australia-20231017" TargetMode="External"/><Relationship Id="rId21" Type="http://schemas.openxmlformats.org/officeDocument/2006/relationships/hyperlink" Target="http://www.metronet.wa.gov.au" TargetMode="External"/><Relationship Id="rId34" Type="http://schemas.openxmlformats.org/officeDocument/2006/relationships/hyperlink" Target="https://www.wa.gov.au/government/media-statements/Cook%20Labor%20Government/Keystart-to-become-a-Government-Trading-Enterprise--20240919" TargetMode="External"/><Relationship Id="rId42" Type="http://schemas.openxmlformats.org/officeDocument/2006/relationships/hyperlink" Target="https://www.wa.gov.au/service/community-services/grants-and-subsidies/builders-support-facility" TargetMode="External"/><Relationship Id="rId47" Type="http://schemas.openxmlformats.org/officeDocument/2006/relationships/hyperlink" Target="https://austreasury.sharepoint.com/sites/ha-function/blueprint/2403%20Final%20progress%20reports%20for%20publication/Smith%20Street%20Build-to-Rent%20Project%20(www.wa.gov.au)" TargetMode="External"/><Relationship Id="rId50" Type="http://schemas.openxmlformats.org/officeDocument/2006/relationships/hyperlink" Target="https://developmentwa.com.au/news/housing-diversity-pipeline-to-boost-social-housing-and-support-jobs" TargetMode="External"/><Relationship Id="rId55" Type="http://schemas.openxmlformats.org/officeDocument/2006/relationships/hyperlink" Target="https://www.wa.gov.au/government/media-statements/Cook%20Labor%20Government/Social-and-affordable-housing-boost-in-Busselton--20241108" TargetMode="External"/><Relationship Id="rId63" Type="http://schemas.openxmlformats.org/officeDocument/2006/relationships/header" Target="header9.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yperlink" Target="https://www.wa.gov.au/government/media-statements/McGowan-Labor-Government/Funding-boost-to-unlock-development-ready-land-in-the-regions-20230511" TargetMode="External"/><Relationship Id="rId11" Type="http://schemas.openxmlformats.org/officeDocument/2006/relationships/image" Target="media/image2.jpeg"/><Relationship Id="rId24" Type="http://schemas.openxmlformats.org/officeDocument/2006/relationships/hyperlink" Target="https://www.wa.gov.au/organisation/department-of-planning-lands-and-heritage/infrastructure-development-fund" TargetMode="External"/><Relationship Id="rId32" Type="http://schemas.openxmlformats.org/officeDocument/2006/relationships/hyperlink" Target="https://www.wa.gov.au/government/media-statements/Cook-Labor-Government/Changes-to-Keystart-property-price-and-income-limits--20240703" TargetMode="External"/><Relationship Id="rId37" Type="http://schemas.openxmlformats.org/officeDocument/2006/relationships/hyperlink" Target="https://www.wa.gov.au/government/media-statements/Cook-Labor-Government/Submissions-now-open-to-deliver-WA's-new-social-housing-20240702" TargetMode="External"/><Relationship Id="rId40" Type="http://schemas.openxmlformats.org/officeDocument/2006/relationships/hyperlink" Target="https://www.wa.gov.au/organisation/department-of-energy-mines-industry-regulation-and-safety/short-term-rental-accommodation-stra-initiatives" TargetMode="External"/><Relationship Id="rId45" Type="http://schemas.openxmlformats.org/officeDocument/2006/relationships/hyperlink" Target="https://austreasury.sharepoint.com/sites/ha-function/blueprint/2403%20Final%20progress%20reports%20for%20publication/Pier%20St%20-%20Overview%20-%20DevelopmentWA%20-%20Shaping%20our%20State%27s%20future" TargetMode="External"/><Relationship Id="rId53" Type="http://schemas.openxmlformats.org/officeDocument/2006/relationships/hyperlink" Target="https://www.wa.gov.au/organisation/department-of-planning-lands-and-heritage/infrastructure-development-fund" TargetMode="External"/><Relationship Id="rId58" Type="http://schemas.openxmlformats.org/officeDocument/2006/relationships/hyperlink" Target="https://austreasury.sharepoint.com/sites/ha-function/blueprint/2403%20Final%20progress%20reports%20for%20publication/Smith%20Street%20Build-to-Rent%20Project%20(www.wa.gov.au)" TargetMode="External"/><Relationship Id="rId66" Type="http://schemas.openxmlformats.org/officeDocument/2006/relationships/header" Target="header11.xml"/><Relationship Id="rId5" Type="http://schemas.openxmlformats.org/officeDocument/2006/relationships/webSettings" Target="webSettings.xml"/><Relationship Id="rId61" Type="http://schemas.openxmlformats.org/officeDocument/2006/relationships/hyperlink" Target="https://developmentwa.com.au/news/housing-diversity-pipeline-to-boost-social-housing-and-support-jobs" TargetMode="External"/><Relationship Id="rId19" Type="http://schemas.openxmlformats.org/officeDocument/2006/relationships/hyperlink" Target="https://www.wa.gov.au/government/publications/state-planning-strategy-2050" TargetMode="External"/><Relationship Id="rId14" Type="http://schemas.openxmlformats.org/officeDocument/2006/relationships/header" Target="header5.xml"/><Relationship Id="rId22" Type="http://schemas.openxmlformats.org/officeDocument/2006/relationships/hyperlink" Target="https://www.wa.gov.au/government/media-statements/McGowan-Labor-Government/State-Government-housing-reforms-deliver-over-1%2C300-social-homes-20230601" TargetMode="External"/><Relationship Id="rId27" Type="http://schemas.openxmlformats.org/officeDocument/2006/relationships/hyperlink" Target="https://www.wa.gov.au/government/document-collections/housing-diversity-pipeline" TargetMode="External"/><Relationship Id="rId30" Type="http://schemas.openxmlformats.org/officeDocument/2006/relationships/hyperlink" Target="https://www.wa.gov.au/government/announcements/the-plan-duty-concession-and-rebate-scheme" TargetMode="External"/><Relationship Id="rId35" Type="http://schemas.openxmlformats.org/officeDocument/2006/relationships/hyperlink" Target="https://www.wa.gov.au/government/media-statements/Cook%20Labor%20Government/Scheme-expanded-to-help-more-first-home-buyers--20241219" TargetMode="External"/><Relationship Id="rId43" Type="http://schemas.openxmlformats.org/officeDocument/2006/relationships/hyperlink" Target="https://metronet.wa.gov.au/Portals/31/Project%20Documents/Precincts/METRONET%20Delivering%20Station%20Precincts%20Brochure.pdf" TargetMode="External"/><Relationship Id="rId48" Type="http://schemas.openxmlformats.org/officeDocument/2006/relationships/hyperlink" Target="https://austreasury.sharepoint.com/sites/ha-function/blueprint/2403%20Final%20progress%20reports%20for%20publication/Expressions%20of%20Interest%20launched%20for%20new%20Subi%20East%20housing%20project%20|%20Western%20Australian%20Government%20(www.wa.gov.au)." TargetMode="External"/><Relationship Id="rId56" Type="http://schemas.openxmlformats.org/officeDocument/2006/relationships/hyperlink" Target="https://austreasury.sharepoint.com/sites/ha-function/blueprint/2403%20Final%20progress%20reports%20for%20publication/Pier%20St%20-%20Overview%20-%20DevelopmentWA%20-%20Shaping%20our%20State%27s%20future" TargetMode="External"/><Relationship Id="rId64" Type="http://schemas.openxmlformats.org/officeDocument/2006/relationships/header" Target="header10.xml"/><Relationship Id="rId8" Type="http://schemas.openxmlformats.org/officeDocument/2006/relationships/header" Target="header1.xml"/><Relationship Id="rId51" Type="http://schemas.openxmlformats.org/officeDocument/2006/relationships/hyperlink" Target="https://psnews.com.au/land-released-to-build-housing-diversity/79115/"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https://www.wa.gov.au/government/media-statements/McGowan-Labor-Government/New-homes-in-the-pipeline-through-%2455-million-water-investment-20230502" TargetMode="External"/><Relationship Id="rId33" Type="http://schemas.openxmlformats.org/officeDocument/2006/relationships/hyperlink" Target="https://www.wa.gov.au/government/media-statements/Cook-Labor-Government/New-Keystart-product-to-improve-access-to-urban-infill-projects--20240206" TargetMode="External"/><Relationship Id="rId38" Type="http://schemas.openxmlformats.org/officeDocument/2006/relationships/hyperlink" Target="https://www.wa.gov.au/government/document-collections/community-housing-prequalification-scheme" TargetMode="External"/><Relationship Id="rId46" Type="http://schemas.openxmlformats.org/officeDocument/2006/relationships/hyperlink" Target="https://www.wa.gov.au/government/media-statements/Cook-Labor-Government/Development-application-for-major-build-to-rent-project-in-CBD-20240118" TargetMode="External"/><Relationship Id="rId59" Type="http://schemas.openxmlformats.org/officeDocument/2006/relationships/hyperlink" Target="https://austreasury.sharepoint.com/sites/ha-function/blueprint/2403%20Final%20progress%20reports%20for%20publication/Expressions%20of%20Interest%20launched%20for%20new%20Subi%20East%20housing%20project%20|%20Western%20Australian%20Government%20(www.wa.gov.au)." TargetMode="External"/><Relationship Id="rId67" Type="http://schemas.openxmlformats.org/officeDocument/2006/relationships/fontTable" Target="fontTable.xml"/><Relationship Id="rId20" Type="http://schemas.openxmlformats.org/officeDocument/2006/relationships/hyperlink" Target="mailto:Perth%20and%20Peel@3.5million" TargetMode="External"/><Relationship Id="rId41" Type="http://schemas.openxmlformats.org/officeDocument/2006/relationships/hyperlink" Target="https://www.wa.gov.au/organisation/department-of-energy-mines-industry-regulation-and-safety/vacant-property-rental-incentive-scheme" TargetMode="External"/><Relationship Id="rId54" Type="http://schemas.openxmlformats.org/officeDocument/2006/relationships/hyperlink" Target="https://metronet.wa.gov.au/Portals/31/Project%20Documents/Precincts/METRONET%20Delivering%20Station%20Precincts%20Brochure.pdf" TargetMode="External"/><Relationship Id="rId62" Type="http://schemas.openxmlformats.org/officeDocument/2006/relationships/hyperlink" Target="https://psnews.com.au/land-released-to-build-housing-diversity/791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www.wa.gov.au/government/media-statements/Cook-Labor-Government/Funding-to-support-delivery-of-363-new-apartments--20240618" TargetMode="External"/><Relationship Id="rId28" Type="http://schemas.openxmlformats.org/officeDocument/2006/relationships/hyperlink" Target="https://psnews.com.au/land-released-to-build-housing-diversity/79115/" TargetMode="External"/><Relationship Id="rId36" Type="http://schemas.openxmlformats.org/officeDocument/2006/relationships/hyperlink" Target="https://www.wa.gov.au/government/announcements/build-rent-land-tax-exemption" TargetMode="External"/><Relationship Id="rId49" Type="http://schemas.openxmlformats.org/officeDocument/2006/relationships/hyperlink" Target="https://www.wa.gov.au/government/document-collections/housing-diversity-pipeline" TargetMode="External"/><Relationship Id="rId57" Type="http://schemas.openxmlformats.org/officeDocument/2006/relationships/hyperlink" Target="https://www.wa.gov.au/government/media-statements/Cook-Labor-Government/Development-application-for-major-build-to-rent-project-in-CBD-20240118" TargetMode="External"/><Relationship Id="rId10" Type="http://schemas.openxmlformats.org/officeDocument/2006/relationships/header" Target="header3.xml"/><Relationship Id="rId31" Type="http://schemas.openxmlformats.org/officeDocument/2006/relationships/hyperlink" Target="https://www.wa.gov.au/service/financial-management/taxation-and-duty/apply-the-plan-duty-concession-or-rebate" TargetMode="External"/><Relationship Id="rId44" Type="http://schemas.openxmlformats.org/officeDocument/2006/relationships/hyperlink" Target="https://www.wa.gov.au/government/media-statements/Cook%20Labor%20Government/Social-and-affordable-housing-boost-in-Busselton--20241108" TargetMode="External"/><Relationship Id="rId52" Type="http://schemas.openxmlformats.org/officeDocument/2006/relationships/hyperlink" Target="https://www.wa.gov.au/government/media-statements/McGowan-Labor-Government/%2480-million-headworks-fund-to-boost-infill-and-regional-housing-20230222" TargetMode="External"/><Relationship Id="rId60" Type="http://schemas.openxmlformats.org/officeDocument/2006/relationships/hyperlink" Target="https://www.wa.gov.au/government/document-collections/housing-diversity-pipeline"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9" Type="http://schemas.openxmlformats.org/officeDocument/2006/relationships/hyperlink" Target="https://www.wa.gov.au/government/media-statements/Cook-Labor-Government/New-builders-appointed-to-State-wide-social-housing-delivery-panel-2024032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a.gov.au/government/media-statements/Cook-Labor-Government/Change-to-planning-scheme-referrals-to-benefit-EPA%2C-local-governments-and-proponents-20240314" TargetMode="External"/><Relationship Id="rId1" Type="http://schemas.openxmlformats.org/officeDocument/2006/relationships/hyperlink" Target="https://www.wa.gov.au/government/media-statements/Cook-Labor-Government/Overhaul-of-approvals-system-to-unlock-jobs%2C-investment-2023121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3FDD4-9407-4B80-8E38-D8F50623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12391</Words>
  <Characters>82492</Characters>
  <Application>Microsoft Office Word</Application>
  <DocSecurity>0</DocSecurity>
  <Lines>687</Lines>
  <Paragraphs>189</Paragraphs>
  <ScaleCrop>false</ScaleCrop>
  <HeadingPairs>
    <vt:vector size="2" baseType="variant">
      <vt:variant>
        <vt:lpstr>Title</vt:lpstr>
      </vt:variant>
      <vt:variant>
        <vt:i4>1</vt:i4>
      </vt:variant>
    </vt:vector>
  </HeadingPairs>
  <TitlesOfParts>
    <vt:vector size="1" baseType="lpstr">
      <vt:lpstr>National Planning Reform Blueprint – WA progress report March 2025</vt:lpstr>
    </vt:vector>
  </TitlesOfParts>
  <Company/>
  <LinksUpToDate>false</LinksUpToDate>
  <CharactersWithSpaces>94694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WA progress report March 2025</dc:title>
  <dc:subject/>
  <dc:creator>Government of Western Australia</dc:creator>
  <cp:keywords/>
  <dc:description/>
  <cp:lastModifiedBy/>
  <cp:revision>1</cp:revision>
  <dcterms:created xsi:type="dcterms:W3CDTF">2025-10-26T23:35:00Z</dcterms:created>
  <dcterms:modified xsi:type="dcterms:W3CDTF">2025-10-26T23:37:00Z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2025-10-26T23:35:48Z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b419bfce-7697-4370-9c61-06d99bc1eeec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