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color w:val="auto"/>
          <w:sz w:val="22"/>
          <w:szCs w:val="22"/>
        </w:rPr>
        <w:id w:val="1625425029"/>
        <w:docPartObj>
          <w:docPartGallery w:val="Table of Contents"/>
          <w:docPartUnique/>
        </w:docPartObj>
      </w:sdtPr>
      <w:sdtEndPr>
        <w:rPr>
          <w:bCs/>
          <w:noProof/>
        </w:rPr>
      </w:sdtEndPr>
      <w:sdtContent>
        <w:p w14:paraId="112FABC1" w14:textId="0E2805BF" w:rsidR="003647AB" w:rsidRDefault="003647AB">
          <w:pPr>
            <w:pStyle w:val="TOCHeading"/>
          </w:pPr>
          <w:r>
            <w:t>Contents</w:t>
          </w:r>
        </w:p>
        <w:p w14:paraId="03A6544F" w14:textId="1A6FF704" w:rsidR="003656BA" w:rsidRDefault="003647AB">
          <w:pPr>
            <w:pStyle w:val="TOC1"/>
            <w:rPr>
              <w:rFonts w:asciiTheme="minorHAnsi" w:eastAsiaTheme="minorEastAsia" w:hAnsiTheme="minorHAnsi"/>
              <w:noProof/>
              <w:color w:val="auto"/>
              <w:kern w:val="2"/>
              <w:sz w:val="24"/>
              <w:szCs w:val="24"/>
              <w:lang w:val="en-US"/>
              <w14:ligatures w14:val="standardContextual"/>
            </w:rPr>
          </w:pPr>
          <w:r>
            <w:fldChar w:fldCharType="begin"/>
          </w:r>
          <w:r>
            <w:instrText xml:space="preserve"> TOC \o "1-3" \h \z \u </w:instrText>
          </w:r>
          <w:r>
            <w:fldChar w:fldCharType="separate"/>
          </w:r>
          <w:hyperlink w:anchor="_Toc208391633" w:history="1">
            <w:r w:rsidR="003656BA" w:rsidRPr="00D16646">
              <w:rPr>
                <w:rStyle w:val="Hyperlink"/>
                <w:noProof/>
              </w:rPr>
              <w:t>Session II: Adapting Competition Regulation to a Changing Economy</w:t>
            </w:r>
            <w:r w:rsidR="003656BA">
              <w:rPr>
                <w:noProof/>
                <w:webHidden/>
              </w:rPr>
              <w:tab/>
            </w:r>
            <w:r w:rsidR="003656BA">
              <w:rPr>
                <w:noProof/>
                <w:webHidden/>
              </w:rPr>
              <w:fldChar w:fldCharType="begin"/>
            </w:r>
            <w:r w:rsidR="003656BA">
              <w:rPr>
                <w:noProof/>
                <w:webHidden/>
              </w:rPr>
              <w:instrText xml:space="preserve"> PAGEREF _Toc208391633 \h </w:instrText>
            </w:r>
            <w:r w:rsidR="003656BA">
              <w:rPr>
                <w:noProof/>
                <w:webHidden/>
              </w:rPr>
            </w:r>
            <w:r w:rsidR="003656BA">
              <w:rPr>
                <w:noProof/>
                <w:webHidden/>
              </w:rPr>
              <w:fldChar w:fldCharType="separate"/>
            </w:r>
            <w:r w:rsidR="003656BA">
              <w:rPr>
                <w:noProof/>
                <w:webHidden/>
              </w:rPr>
              <w:t>2</w:t>
            </w:r>
            <w:r w:rsidR="003656BA">
              <w:rPr>
                <w:noProof/>
                <w:webHidden/>
              </w:rPr>
              <w:fldChar w:fldCharType="end"/>
            </w:r>
          </w:hyperlink>
        </w:p>
        <w:p w14:paraId="1EFD1E49" w14:textId="00682441" w:rsidR="003656BA" w:rsidRDefault="003656BA">
          <w:pPr>
            <w:pStyle w:val="TOC2"/>
            <w:rPr>
              <w:rFonts w:eastAsiaTheme="minorEastAsia"/>
              <w:noProof/>
              <w:color w:val="auto"/>
              <w:kern w:val="2"/>
              <w:sz w:val="24"/>
              <w:szCs w:val="24"/>
              <w:lang w:val="en-US"/>
              <w14:ligatures w14:val="standardContextual"/>
            </w:rPr>
          </w:pPr>
          <w:hyperlink w:anchor="_Toc208391634" w:history="1">
            <w:r w:rsidRPr="00D16646">
              <w:rPr>
                <w:rStyle w:val="Hyperlink"/>
                <w:noProof/>
              </w:rPr>
              <w:t>1. Introduction</w:t>
            </w:r>
            <w:r>
              <w:rPr>
                <w:noProof/>
                <w:webHidden/>
              </w:rPr>
              <w:tab/>
            </w:r>
            <w:r>
              <w:rPr>
                <w:noProof/>
                <w:webHidden/>
              </w:rPr>
              <w:fldChar w:fldCharType="begin"/>
            </w:r>
            <w:r>
              <w:rPr>
                <w:noProof/>
                <w:webHidden/>
              </w:rPr>
              <w:instrText xml:space="preserve"> PAGEREF _Toc208391634 \h </w:instrText>
            </w:r>
            <w:r>
              <w:rPr>
                <w:noProof/>
                <w:webHidden/>
              </w:rPr>
            </w:r>
            <w:r>
              <w:rPr>
                <w:noProof/>
                <w:webHidden/>
              </w:rPr>
              <w:fldChar w:fldCharType="separate"/>
            </w:r>
            <w:r>
              <w:rPr>
                <w:noProof/>
                <w:webHidden/>
              </w:rPr>
              <w:t>2</w:t>
            </w:r>
            <w:r>
              <w:rPr>
                <w:noProof/>
                <w:webHidden/>
              </w:rPr>
              <w:fldChar w:fldCharType="end"/>
            </w:r>
          </w:hyperlink>
        </w:p>
        <w:p w14:paraId="6F7FAA36" w14:textId="1F08ADC6" w:rsidR="003656BA" w:rsidRDefault="003656BA">
          <w:pPr>
            <w:pStyle w:val="TOC2"/>
            <w:rPr>
              <w:rFonts w:eastAsiaTheme="minorEastAsia"/>
              <w:noProof/>
              <w:color w:val="auto"/>
              <w:kern w:val="2"/>
              <w:sz w:val="24"/>
              <w:szCs w:val="24"/>
              <w:lang w:val="en-US"/>
              <w14:ligatures w14:val="standardContextual"/>
            </w:rPr>
          </w:pPr>
          <w:hyperlink w:anchor="_Toc208391635" w:history="1">
            <w:r w:rsidRPr="00D16646">
              <w:rPr>
                <w:rStyle w:val="Hyperlink"/>
                <w:noProof/>
              </w:rPr>
              <w:t>2. The economic context</w:t>
            </w:r>
            <w:r>
              <w:rPr>
                <w:noProof/>
                <w:webHidden/>
              </w:rPr>
              <w:tab/>
            </w:r>
            <w:r>
              <w:rPr>
                <w:noProof/>
                <w:webHidden/>
              </w:rPr>
              <w:fldChar w:fldCharType="begin"/>
            </w:r>
            <w:r>
              <w:rPr>
                <w:noProof/>
                <w:webHidden/>
              </w:rPr>
              <w:instrText xml:space="preserve"> PAGEREF _Toc208391635 \h </w:instrText>
            </w:r>
            <w:r>
              <w:rPr>
                <w:noProof/>
                <w:webHidden/>
              </w:rPr>
            </w:r>
            <w:r>
              <w:rPr>
                <w:noProof/>
                <w:webHidden/>
              </w:rPr>
              <w:fldChar w:fldCharType="separate"/>
            </w:r>
            <w:r>
              <w:rPr>
                <w:noProof/>
                <w:webHidden/>
              </w:rPr>
              <w:t>3</w:t>
            </w:r>
            <w:r>
              <w:rPr>
                <w:noProof/>
                <w:webHidden/>
              </w:rPr>
              <w:fldChar w:fldCharType="end"/>
            </w:r>
          </w:hyperlink>
        </w:p>
        <w:p w14:paraId="0FB1D5B4" w14:textId="45E7CAC0" w:rsidR="003656BA" w:rsidRDefault="003656BA">
          <w:pPr>
            <w:pStyle w:val="TOC3"/>
            <w:rPr>
              <w:rFonts w:eastAsiaTheme="minorEastAsia"/>
              <w:noProof/>
              <w:color w:val="auto"/>
              <w:kern w:val="2"/>
              <w:sz w:val="24"/>
              <w:szCs w:val="24"/>
              <w:lang w:val="en-US"/>
              <w14:ligatures w14:val="standardContextual"/>
            </w:rPr>
          </w:pPr>
          <w:hyperlink w:anchor="_Toc208391636" w:history="1">
            <w:r w:rsidRPr="00D16646">
              <w:rPr>
                <w:rStyle w:val="Hyperlink"/>
                <w:noProof/>
              </w:rPr>
              <w:t>2.1. The opportunity: on the cusp of an (AI-fuelled) productivity boom?</w:t>
            </w:r>
            <w:r>
              <w:rPr>
                <w:noProof/>
                <w:webHidden/>
              </w:rPr>
              <w:tab/>
            </w:r>
            <w:r>
              <w:rPr>
                <w:noProof/>
                <w:webHidden/>
              </w:rPr>
              <w:fldChar w:fldCharType="begin"/>
            </w:r>
            <w:r>
              <w:rPr>
                <w:noProof/>
                <w:webHidden/>
              </w:rPr>
              <w:instrText xml:space="preserve"> PAGEREF _Toc208391636 \h </w:instrText>
            </w:r>
            <w:r>
              <w:rPr>
                <w:noProof/>
                <w:webHidden/>
              </w:rPr>
            </w:r>
            <w:r>
              <w:rPr>
                <w:noProof/>
                <w:webHidden/>
              </w:rPr>
              <w:fldChar w:fldCharType="separate"/>
            </w:r>
            <w:r>
              <w:rPr>
                <w:noProof/>
                <w:webHidden/>
              </w:rPr>
              <w:t>3</w:t>
            </w:r>
            <w:r>
              <w:rPr>
                <w:noProof/>
                <w:webHidden/>
              </w:rPr>
              <w:fldChar w:fldCharType="end"/>
            </w:r>
          </w:hyperlink>
        </w:p>
        <w:p w14:paraId="34600613" w14:textId="46F30779" w:rsidR="003656BA" w:rsidRDefault="003656BA">
          <w:pPr>
            <w:pStyle w:val="TOC3"/>
            <w:rPr>
              <w:rFonts w:eastAsiaTheme="minorEastAsia"/>
              <w:noProof/>
              <w:color w:val="auto"/>
              <w:kern w:val="2"/>
              <w:sz w:val="24"/>
              <w:szCs w:val="24"/>
              <w:lang w:val="en-US"/>
              <w14:ligatures w14:val="standardContextual"/>
            </w:rPr>
          </w:pPr>
          <w:hyperlink w:anchor="_Toc208391637" w:history="1">
            <w:r w:rsidRPr="00D16646">
              <w:rPr>
                <w:rStyle w:val="Hyperlink"/>
                <w:noProof/>
              </w:rPr>
              <w:t>2.2. Why are we concerned and why now for competition policy?</w:t>
            </w:r>
            <w:r>
              <w:rPr>
                <w:noProof/>
                <w:webHidden/>
              </w:rPr>
              <w:tab/>
            </w:r>
            <w:r>
              <w:rPr>
                <w:noProof/>
                <w:webHidden/>
              </w:rPr>
              <w:fldChar w:fldCharType="begin"/>
            </w:r>
            <w:r>
              <w:rPr>
                <w:noProof/>
                <w:webHidden/>
              </w:rPr>
              <w:instrText xml:space="preserve"> PAGEREF _Toc208391637 \h </w:instrText>
            </w:r>
            <w:r>
              <w:rPr>
                <w:noProof/>
                <w:webHidden/>
              </w:rPr>
            </w:r>
            <w:r>
              <w:rPr>
                <w:noProof/>
                <w:webHidden/>
              </w:rPr>
              <w:fldChar w:fldCharType="separate"/>
            </w:r>
            <w:r>
              <w:rPr>
                <w:noProof/>
                <w:webHidden/>
              </w:rPr>
              <w:t>4</w:t>
            </w:r>
            <w:r>
              <w:rPr>
                <w:noProof/>
                <w:webHidden/>
              </w:rPr>
              <w:fldChar w:fldCharType="end"/>
            </w:r>
          </w:hyperlink>
        </w:p>
        <w:p w14:paraId="62D5DCC5" w14:textId="53933262" w:rsidR="003656BA" w:rsidRDefault="003656BA">
          <w:pPr>
            <w:pStyle w:val="TOC2"/>
            <w:rPr>
              <w:rFonts w:eastAsiaTheme="minorEastAsia"/>
              <w:noProof/>
              <w:color w:val="auto"/>
              <w:kern w:val="2"/>
              <w:sz w:val="24"/>
              <w:szCs w:val="24"/>
              <w:lang w:val="en-US"/>
              <w14:ligatures w14:val="standardContextual"/>
            </w:rPr>
          </w:pPr>
          <w:hyperlink w:anchor="_Toc208391638" w:history="1">
            <w:r w:rsidRPr="00D16646">
              <w:rPr>
                <w:rStyle w:val="Hyperlink"/>
                <w:noProof/>
              </w:rPr>
              <w:t>3. Regulating the frontier: ex ante regulation of competition in digital markets</w:t>
            </w:r>
            <w:r>
              <w:rPr>
                <w:noProof/>
                <w:webHidden/>
              </w:rPr>
              <w:tab/>
            </w:r>
            <w:r>
              <w:rPr>
                <w:noProof/>
                <w:webHidden/>
              </w:rPr>
              <w:fldChar w:fldCharType="begin"/>
            </w:r>
            <w:r>
              <w:rPr>
                <w:noProof/>
                <w:webHidden/>
              </w:rPr>
              <w:instrText xml:space="preserve"> PAGEREF _Toc208391638 \h </w:instrText>
            </w:r>
            <w:r>
              <w:rPr>
                <w:noProof/>
                <w:webHidden/>
              </w:rPr>
            </w:r>
            <w:r>
              <w:rPr>
                <w:noProof/>
                <w:webHidden/>
              </w:rPr>
              <w:fldChar w:fldCharType="separate"/>
            </w:r>
            <w:r>
              <w:rPr>
                <w:noProof/>
                <w:webHidden/>
              </w:rPr>
              <w:t>4</w:t>
            </w:r>
            <w:r>
              <w:rPr>
                <w:noProof/>
                <w:webHidden/>
              </w:rPr>
              <w:fldChar w:fldCharType="end"/>
            </w:r>
          </w:hyperlink>
        </w:p>
        <w:p w14:paraId="4183518D" w14:textId="2934B028" w:rsidR="003656BA" w:rsidRDefault="003656BA">
          <w:pPr>
            <w:pStyle w:val="TOC3"/>
            <w:rPr>
              <w:rFonts w:eastAsiaTheme="minorEastAsia"/>
              <w:noProof/>
              <w:color w:val="auto"/>
              <w:kern w:val="2"/>
              <w:sz w:val="24"/>
              <w:szCs w:val="24"/>
              <w:lang w:val="en-US"/>
              <w14:ligatures w14:val="standardContextual"/>
            </w:rPr>
          </w:pPr>
          <w:hyperlink w:anchor="_Toc208391639" w:history="1">
            <w:r w:rsidRPr="00D16646">
              <w:rPr>
                <w:rStyle w:val="Hyperlink"/>
                <w:noProof/>
              </w:rPr>
              <w:t>3.1. The case for ex ante regulation in digital markets</w:t>
            </w:r>
            <w:r>
              <w:rPr>
                <w:noProof/>
                <w:webHidden/>
              </w:rPr>
              <w:tab/>
            </w:r>
            <w:r>
              <w:rPr>
                <w:noProof/>
                <w:webHidden/>
              </w:rPr>
              <w:fldChar w:fldCharType="begin"/>
            </w:r>
            <w:r>
              <w:rPr>
                <w:noProof/>
                <w:webHidden/>
              </w:rPr>
              <w:instrText xml:space="preserve"> PAGEREF _Toc208391639 \h </w:instrText>
            </w:r>
            <w:r>
              <w:rPr>
                <w:noProof/>
                <w:webHidden/>
              </w:rPr>
            </w:r>
            <w:r>
              <w:rPr>
                <w:noProof/>
                <w:webHidden/>
              </w:rPr>
              <w:fldChar w:fldCharType="separate"/>
            </w:r>
            <w:r>
              <w:rPr>
                <w:noProof/>
                <w:webHidden/>
              </w:rPr>
              <w:t>4</w:t>
            </w:r>
            <w:r>
              <w:rPr>
                <w:noProof/>
                <w:webHidden/>
              </w:rPr>
              <w:fldChar w:fldCharType="end"/>
            </w:r>
          </w:hyperlink>
        </w:p>
        <w:p w14:paraId="65DC5BD9" w14:textId="02DAAA23" w:rsidR="003656BA" w:rsidRDefault="003656BA">
          <w:pPr>
            <w:pStyle w:val="TOC3"/>
            <w:rPr>
              <w:rFonts w:eastAsiaTheme="minorEastAsia"/>
              <w:noProof/>
              <w:color w:val="auto"/>
              <w:kern w:val="2"/>
              <w:sz w:val="24"/>
              <w:szCs w:val="24"/>
              <w:lang w:val="en-US"/>
              <w14:ligatures w14:val="standardContextual"/>
            </w:rPr>
          </w:pPr>
          <w:hyperlink w:anchor="_Toc208391640" w:history="1">
            <w:r w:rsidRPr="00D16646">
              <w:rPr>
                <w:rStyle w:val="Hyperlink"/>
                <w:noProof/>
              </w:rPr>
              <w:t>3.2. Practical considerations</w:t>
            </w:r>
            <w:r>
              <w:rPr>
                <w:noProof/>
                <w:webHidden/>
              </w:rPr>
              <w:tab/>
            </w:r>
            <w:r>
              <w:rPr>
                <w:noProof/>
                <w:webHidden/>
              </w:rPr>
              <w:fldChar w:fldCharType="begin"/>
            </w:r>
            <w:r>
              <w:rPr>
                <w:noProof/>
                <w:webHidden/>
              </w:rPr>
              <w:instrText xml:space="preserve"> PAGEREF _Toc208391640 \h </w:instrText>
            </w:r>
            <w:r>
              <w:rPr>
                <w:noProof/>
                <w:webHidden/>
              </w:rPr>
            </w:r>
            <w:r>
              <w:rPr>
                <w:noProof/>
                <w:webHidden/>
              </w:rPr>
              <w:fldChar w:fldCharType="separate"/>
            </w:r>
            <w:r>
              <w:rPr>
                <w:noProof/>
                <w:webHidden/>
              </w:rPr>
              <w:t>5</w:t>
            </w:r>
            <w:r>
              <w:rPr>
                <w:noProof/>
                <w:webHidden/>
              </w:rPr>
              <w:fldChar w:fldCharType="end"/>
            </w:r>
          </w:hyperlink>
        </w:p>
        <w:p w14:paraId="51BC7490" w14:textId="6B415CBF" w:rsidR="003656BA" w:rsidRDefault="003656BA">
          <w:pPr>
            <w:pStyle w:val="TOC2"/>
            <w:rPr>
              <w:rFonts w:eastAsiaTheme="minorEastAsia"/>
              <w:noProof/>
              <w:color w:val="auto"/>
              <w:kern w:val="2"/>
              <w:sz w:val="24"/>
              <w:szCs w:val="24"/>
              <w:lang w:val="en-US"/>
              <w14:ligatures w14:val="standardContextual"/>
            </w:rPr>
          </w:pPr>
          <w:hyperlink w:anchor="_Toc208391641" w:history="1">
            <w:r w:rsidRPr="00D16646">
              <w:rPr>
                <w:rStyle w:val="Hyperlink"/>
                <w:noProof/>
              </w:rPr>
              <w:t>4. Injecting a dose of dynamism into domestic markets</w:t>
            </w:r>
            <w:r>
              <w:rPr>
                <w:noProof/>
                <w:webHidden/>
              </w:rPr>
              <w:tab/>
            </w:r>
            <w:r>
              <w:rPr>
                <w:noProof/>
                <w:webHidden/>
              </w:rPr>
              <w:fldChar w:fldCharType="begin"/>
            </w:r>
            <w:r>
              <w:rPr>
                <w:noProof/>
                <w:webHidden/>
              </w:rPr>
              <w:instrText xml:space="preserve"> PAGEREF _Toc208391641 \h </w:instrText>
            </w:r>
            <w:r>
              <w:rPr>
                <w:noProof/>
                <w:webHidden/>
              </w:rPr>
            </w:r>
            <w:r>
              <w:rPr>
                <w:noProof/>
                <w:webHidden/>
              </w:rPr>
              <w:fldChar w:fldCharType="separate"/>
            </w:r>
            <w:r>
              <w:rPr>
                <w:noProof/>
                <w:webHidden/>
              </w:rPr>
              <w:t>6</w:t>
            </w:r>
            <w:r>
              <w:rPr>
                <w:noProof/>
                <w:webHidden/>
              </w:rPr>
              <w:fldChar w:fldCharType="end"/>
            </w:r>
          </w:hyperlink>
        </w:p>
        <w:p w14:paraId="45D0A542" w14:textId="0302BE92" w:rsidR="003656BA" w:rsidRDefault="003656BA">
          <w:pPr>
            <w:pStyle w:val="TOC3"/>
            <w:rPr>
              <w:rFonts w:eastAsiaTheme="minorEastAsia"/>
              <w:noProof/>
              <w:color w:val="auto"/>
              <w:kern w:val="2"/>
              <w:sz w:val="24"/>
              <w:szCs w:val="24"/>
              <w:lang w:val="en-US"/>
              <w14:ligatures w14:val="standardContextual"/>
            </w:rPr>
          </w:pPr>
          <w:hyperlink w:anchor="_Toc208391642" w:history="1">
            <w:r w:rsidRPr="00D16646">
              <w:rPr>
                <w:rStyle w:val="Hyperlink"/>
                <w:noProof/>
              </w:rPr>
              <w:t>4.1. Administrative microdata: an enabler of structural reform</w:t>
            </w:r>
            <w:r>
              <w:rPr>
                <w:noProof/>
                <w:webHidden/>
              </w:rPr>
              <w:tab/>
            </w:r>
            <w:r>
              <w:rPr>
                <w:noProof/>
                <w:webHidden/>
              </w:rPr>
              <w:fldChar w:fldCharType="begin"/>
            </w:r>
            <w:r>
              <w:rPr>
                <w:noProof/>
                <w:webHidden/>
              </w:rPr>
              <w:instrText xml:space="preserve"> PAGEREF _Toc208391642 \h </w:instrText>
            </w:r>
            <w:r>
              <w:rPr>
                <w:noProof/>
                <w:webHidden/>
              </w:rPr>
            </w:r>
            <w:r>
              <w:rPr>
                <w:noProof/>
                <w:webHidden/>
              </w:rPr>
              <w:fldChar w:fldCharType="separate"/>
            </w:r>
            <w:r>
              <w:rPr>
                <w:noProof/>
                <w:webHidden/>
              </w:rPr>
              <w:t>6</w:t>
            </w:r>
            <w:r>
              <w:rPr>
                <w:noProof/>
                <w:webHidden/>
              </w:rPr>
              <w:fldChar w:fldCharType="end"/>
            </w:r>
          </w:hyperlink>
        </w:p>
        <w:p w14:paraId="7060B2DC" w14:textId="45F3EE2C" w:rsidR="003656BA" w:rsidRDefault="003656BA">
          <w:pPr>
            <w:pStyle w:val="TOC3"/>
            <w:rPr>
              <w:rFonts w:eastAsiaTheme="minorEastAsia"/>
              <w:noProof/>
              <w:color w:val="auto"/>
              <w:kern w:val="2"/>
              <w:sz w:val="24"/>
              <w:szCs w:val="24"/>
              <w:lang w:val="en-US"/>
              <w14:ligatures w14:val="standardContextual"/>
            </w:rPr>
          </w:pPr>
          <w:hyperlink w:anchor="_Toc208391643" w:history="1">
            <w:r w:rsidRPr="00D16646">
              <w:rPr>
                <w:rStyle w:val="Hyperlink"/>
                <w:noProof/>
              </w:rPr>
              <w:t>4.2. Restraint clauses: prevalence and impacts</w:t>
            </w:r>
            <w:r>
              <w:rPr>
                <w:noProof/>
                <w:webHidden/>
              </w:rPr>
              <w:tab/>
            </w:r>
            <w:r>
              <w:rPr>
                <w:noProof/>
                <w:webHidden/>
              </w:rPr>
              <w:fldChar w:fldCharType="begin"/>
            </w:r>
            <w:r>
              <w:rPr>
                <w:noProof/>
                <w:webHidden/>
              </w:rPr>
              <w:instrText xml:space="preserve"> PAGEREF _Toc208391643 \h </w:instrText>
            </w:r>
            <w:r>
              <w:rPr>
                <w:noProof/>
                <w:webHidden/>
              </w:rPr>
            </w:r>
            <w:r>
              <w:rPr>
                <w:noProof/>
                <w:webHidden/>
              </w:rPr>
              <w:fldChar w:fldCharType="separate"/>
            </w:r>
            <w:r>
              <w:rPr>
                <w:noProof/>
                <w:webHidden/>
              </w:rPr>
              <w:t>6</w:t>
            </w:r>
            <w:r>
              <w:rPr>
                <w:noProof/>
                <w:webHidden/>
              </w:rPr>
              <w:fldChar w:fldCharType="end"/>
            </w:r>
          </w:hyperlink>
        </w:p>
        <w:p w14:paraId="48BA929D" w14:textId="54EB8E04" w:rsidR="003656BA" w:rsidRDefault="003656BA">
          <w:pPr>
            <w:pStyle w:val="TOC3"/>
            <w:rPr>
              <w:rFonts w:eastAsiaTheme="minorEastAsia"/>
              <w:noProof/>
              <w:color w:val="auto"/>
              <w:kern w:val="2"/>
              <w:sz w:val="24"/>
              <w:szCs w:val="24"/>
              <w:lang w:val="en-US"/>
              <w14:ligatures w14:val="standardContextual"/>
            </w:rPr>
          </w:pPr>
          <w:hyperlink w:anchor="_Toc208391644" w:history="1">
            <w:r w:rsidRPr="00D16646">
              <w:rPr>
                <w:rStyle w:val="Hyperlink"/>
                <w:noProof/>
              </w:rPr>
              <w:t>4.3. Policy options to restrict worker restraint clauses</w:t>
            </w:r>
            <w:r>
              <w:rPr>
                <w:noProof/>
                <w:webHidden/>
              </w:rPr>
              <w:tab/>
            </w:r>
            <w:r>
              <w:rPr>
                <w:noProof/>
                <w:webHidden/>
              </w:rPr>
              <w:fldChar w:fldCharType="begin"/>
            </w:r>
            <w:r>
              <w:rPr>
                <w:noProof/>
                <w:webHidden/>
              </w:rPr>
              <w:instrText xml:space="preserve"> PAGEREF _Toc208391644 \h </w:instrText>
            </w:r>
            <w:r>
              <w:rPr>
                <w:noProof/>
                <w:webHidden/>
              </w:rPr>
            </w:r>
            <w:r>
              <w:rPr>
                <w:noProof/>
                <w:webHidden/>
              </w:rPr>
              <w:fldChar w:fldCharType="separate"/>
            </w:r>
            <w:r>
              <w:rPr>
                <w:noProof/>
                <w:webHidden/>
              </w:rPr>
              <w:t>8</w:t>
            </w:r>
            <w:r>
              <w:rPr>
                <w:noProof/>
                <w:webHidden/>
              </w:rPr>
              <w:fldChar w:fldCharType="end"/>
            </w:r>
          </w:hyperlink>
        </w:p>
        <w:p w14:paraId="38977211" w14:textId="031FC81E" w:rsidR="003656BA" w:rsidRDefault="003656BA">
          <w:pPr>
            <w:pStyle w:val="TOC2"/>
            <w:rPr>
              <w:rFonts w:eastAsiaTheme="minorEastAsia"/>
              <w:noProof/>
              <w:color w:val="auto"/>
              <w:kern w:val="2"/>
              <w:sz w:val="24"/>
              <w:szCs w:val="24"/>
              <w:lang w:val="en-US"/>
              <w14:ligatures w14:val="standardContextual"/>
            </w:rPr>
          </w:pPr>
          <w:hyperlink w:anchor="_Toc208391645" w:history="1">
            <w:r w:rsidRPr="00D16646">
              <w:rPr>
                <w:rStyle w:val="Hyperlink"/>
                <w:noProof/>
              </w:rPr>
              <w:t>References</w:t>
            </w:r>
            <w:r>
              <w:rPr>
                <w:noProof/>
                <w:webHidden/>
              </w:rPr>
              <w:tab/>
            </w:r>
            <w:r>
              <w:rPr>
                <w:noProof/>
                <w:webHidden/>
              </w:rPr>
              <w:fldChar w:fldCharType="begin"/>
            </w:r>
            <w:r>
              <w:rPr>
                <w:noProof/>
                <w:webHidden/>
              </w:rPr>
              <w:instrText xml:space="preserve"> PAGEREF _Toc208391645 \h </w:instrText>
            </w:r>
            <w:r>
              <w:rPr>
                <w:noProof/>
                <w:webHidden/>
              </w:rPr>
            </w:r>
            <w:r>
              <w:rPr>
                <w:noProof/>
                <w:webHidden/>
              </w:rPr>
              <w:fldChar w:fldCharType="separate"/>
            </w:r>
            <w:r>
              <w:rPr>
                <w:noProof/>
                <w:webHidden/>
              </w:rPr>
              <w:t>11</w:t>
            </w:r>
            <w:r>
              <w:rPr>
                <w:noProof/>
                <w:webHidden/>
              </w:rPr>
              <w:fldChar w:fldCharType="end"/>
            </w:r>
          </w:hyperlink>
        </w:p>
        <w:p w14:paraId="6CDCD271" w14:textId="24FFD8A2" w:rsidR="003647AB" w:rsidRDefault="003647AB">
          <w:r>
            <w:rPr>
              <w:b/>
              <w:bCs/>
              <w:noProof/>
            </w:rPr>
            <w:fldChar w:fldCharType="end"/>
          </w:r>
        </w:p>
      </w:sdtContent>
    </w:sdt>
    <w:p w14:paraId="05150A02" w14:textId="77777777" w:rsidR="00976EC0" w:rsidRDefault="00976EC0" w:rsidP="00FC1F8F">
      <w:pPr>
        <w:spacing w:after="120"/>
        <w:rPr>
          <w:b/>
          <w:sz w:val="20"/>
          <w:szCs w:val="20"/>
        </w:rPr>
      </w:pPr>
    </w:p>
    <w:p w14:paraId="2D73D4F9" w14:textId="18E3AB39" w:rsidR="00485611" w:rsidRPr="00FC1F8F" w:rsidRDefault="00485611" w:rsidP="00FC1F8F">
      <w:pPr>
        <w:spacing w:after="120"/>
        <w:rPr>
          <w:sz w:val="20"/>
          <w:szCs w:val="20"/>
          <w:lang w:val="en-US"/>
        </w:rPr>
      </w:pPr>
    </w:p>
    <w:p w14:paraId="7265BCF1" w14:textId="333464E1" w:rsidR="00F47BCF" w:rsidRPr="005370EF" w:rsidRDefault="009979E2" w:rsidP="009C6969">
      <w:pPr>
        <w:pStyle w:val="Heading1"/>
        <w:framePr w:wrap="notBeside"/>
        <w:numPr>
          <w:ilvl w:val="0"/>
          <w:numId w:val="0"/>
        </w:numPr>
        <w:ind w:left="113"/>
        <w:rPr>
          <w:szCs w:val="56"/>
        </w:rPr>
      </w:pPr>
      <w:bookmarkStart w:id="0" w:name="_Toc208391633"/>
      <w:r>
        <w:rPr>
          <w:szCs w:val="56"/>
        </w:rPr>
        <w:lastRenderedPageBreak/>
        <w:t xml:space="preserve">Session II: </w:t>
      </w:r>
      <w:r w:rsidR="0076348E">
        <w:rPr>
          <w:szCs w:val="56"/>
        </w:rPr>
        <w:t>Adapting Competition Regulation to a Changing Economy</w:t>
      </w:r>
      <w:bookmarkEnd w:id="0"/>
    </w:p>
    <w:p w14:paraId="1CFD6E95" w14:textId="3355FE5F" w:rsidR="005A48C9" w:rsidRPr="005A48C9" w:rsidRDefault="005A48C9" w:rsidP="003E386D">
      <w:pPr>
        <w:pStyle w:val="Para"/>
        <w:numPr>
          <w:ilvl w:val="0"/>
          <w:numId w:val="0"/>
        </w:numPr>
        <w:spacing w:after="0"/>
        <w:jc w:val="left"/>
        <w:rPr>
          <w:sz w:val="22"/>
        </w:rPr>
      </w:pPr>
      <w:bookmarkStart w:id="1" w:name="_Toc175624199"/>
      <w:r w:rsidRPr="005A48C9">
        <w:rPr>
          <w:i/>
          <w:iCs/>
          <w:sz w:val="22"/>
        </w:rPr>
        <w:t>By</w:t>
      </w:r>
      <w:r w:rsidRPr="005A48C9">
        <w:rPr>
          <w:sz w:val="22"/>
        </w:rPr>
        <w:t>: Dan Andrews</w:t>
      </w:r>
      <w:r w:rsidRPr="005A48C9">
        <w:rPr>
          <w:rStyle w:val="FootnoteReference"/>
        </w:rPr>
        <w:footnoteReference w:id="1"/>
      </w:r>
    </w:p>
    <w:p w14:paraId="7021D33A" w14:textId="7E625254" w:rsidR="009C6969" w:rsidRDefault="009C6969" w:rsidP="003E386D">
      <w:pPr>
        <w:pStyle w:val="Heading2"/>
        <w:spacing w:before="360"/>
      </w:pPr>
      <w:bookmarkStart w:id="2" w:name="_Toc208391634"/>
      <w:r>
        <w:t>Introduction</w:t>
      </w:r>
      <w:bookmarkEnd w:id="1"/>
      <w:bookmarkEnd w:id="2"/>
    </w:p>
    <w:p w14:paraId="6632C9EF" w14:textId="6838CCDE" w:rsidR="003D361F" w:rsidRDefault="003D361F" w:rsidP="003D361F">
      <w:pPr>
        <w:pStyle w:val="Para"/>
      </w:pPr>
      <w:r>
        <w:t xml:space="preserve">This session grappled with two key policy questions. First, </w:t>
      </w:r>
      <w:r w:rsidRPr="003D361F">
        <w:t>how do we regulate (</w:t>
      </w:r>
      <w:r w:rsidR="003704FE" w:rsidRPr="003D361F">
        <w:t>ex-ante</w:t>
      </w:r>
      <w:r w:rsidRPr="003D361F">
        <w:t>)</w:t>
      </w:r>
      <w:r w:rsidR="003704FE">
        <w:t xml:space="preserve"> the</w:t>
      </w:r>
      <w:r w:rsidRPr="003D361F">
        <w:t xml:space="preserve"> activities of innovators at the global frontier, where market power concerns loom large?</w:t>
      </w:r>
      <w:r>
        <w:t xml:space="preserve"> And second, h</w:t>
      </w:r>
      <w:r w:rsidRPr="003647AB">
        <w:t>ow do we improve</w:t>
      </w:r>
      <w:r w:rsidR="003B3E1E">
        <w:t xml:space="preserve"> the quality of evidence-based</w:t>
      </w:r>
      <w:r w:rsidRPr="003647AB">
        <w:t xml:space="preserve"> structural policy</w:t>
      </w:r>
      <w:r w:rsidR="003B3E1E">
        <w:t xml:space="preserve"> advice</w:t>
      </w:r>
      <w:r w:rsidRPr="003647AB">
        <w:t xml:space="preserve"> to inject a dose of </w:t>
      </w:r>
      <w:r w:rsidR="003704FE">
        <w:t>(</w:t>
      </w:r>
      <w:r w:rsidRPr="003647AB">
        <w:t>productivity-enhancing</w:t>
      </w:r>
      <w:r w:rsidR="003704FE">
        <w:t>)</w:t>
      </w:r>
      <w:r w:rsidRPr="003647AB">
        <w:t xml:space="preserve"> dynamism </w:t>
      </w:r>
      <w:r w:rsidR="003704FE">
        <w:t xml:space="preserve">into </w:t>
      </w:r>
      <w:r w:rsidRPr="003647AB">
        <w:t>domestic</w:t>
      </w:r>
      <w:r w:rsidR="003704FE">
        <w:t xml:space="preserve"> </w:t>
      </w:r>
      <w:r w:rsidR="003704FE" w:rsidRPr="003647AB">
        <w:t>market</w:t>
      </w:r>
      <w:r w:rsidR="003704FE">
        <w:t>s</w:t>
      </w:r>
      <w:r w:rsidRPr="003647AB">
        <w:t>?</w:t>
      </w:r>
      <w:r>
        <w:t xml:space="preserve"> At first glance, the</w:t>
      </w:r>
      <w:r w:rsidR="001C2D04">
        <w:t>se</w:t>
      </w:r>
      <w:r>
        <w:t xml:space="preserve"> may </w:t>
      </w:r>
      <w:r w:rsidR="001C2D04">
        <w:t>appear to be</w:t>
      </w:r>
      <w:r>
        <w:t xml:space="preserve"> distinct policy issues</w:t>
      </w:r>
      <w:r w:rsidR="003704FE">
        <w:t>.</w:t>
      </w:r>
      <w:r w:rsidR="003B3E1E">
        <w:t xml:space="preserve"> </w:t>
      </w:r>
      <w:r w:rsidR="003704FE">
        <w:t>B</w:t>
      </w:r>
      <w:r>
        <w:t xml:space="preserve">ut they are </w:t>
      </w:r>
      <w:r w:rsidR="003B3E1E">
        <w:t xml:space="preserve">very much </w:t>
      </w:r>
      <w:r>
        <w:t>related</w:t>
      </w:r>
      <w:r w:rsidR="003704FE">
        <w:t>:</w:t>
      </w:r>
      <w:r>
        <w:t xml:space="preserve"> countries attitudes to frontier innovation will</w:t>
      </w:r>
      <w:r w:rsidR="003704FE">
        <w:t xml:space="preserve"> likely</w:t>
      </w:r>
      <w:r>
        <w:t xml:space="preserve"> shape the diffusion of leading the technologies domestically, while frictions in domestic product and labour markets </w:t>
      </w:r>
      <w:r w:rsidR="003704FE">
        <w:t>may</w:t>
      </w:r>
      <w:r>
        <w:t xml:space="preserve"> blunt the incentives for domestic firms to adopt frontier technologies.</w:t>
      </w:r>
    </w:p>
    <w:p w14:paraId="360B7598" w14:textId="4ADA5CD2" w:rsidR="003B3E1E" w:rsidRDefault="00B62483" w:rsidP="003D361F">
      <w:pPr>
        <w:pStyle w:val="Para"/>
      </w:pPr>
      <w:r>
        <w:t>I suspect that t</w:t>
      </w:r>
      <w:r w:rsidR="003B3E1E">
        <w:t>he ways in which Australian policymakers</w:t>
      </w:r>
      <w:r w:rsidR="001C2D04">
        <w:t xml:space="preserve"> deploy regulatory policy to </w:t>
      </w:r>
      <w:r w:rsidR="003704FE">
        <w:t xml:space="preserve">grapple with these </w:t>
      </w:r>
      <w:r w:rsidR="003B3E1E">
        <w:t>two questions will carry first order consequences for productivity growth.</w:t>
      </w:r>
      <w:r w:rsidR="00522FD8">
        <w:t xml:space="preserve"> </w:t>
      </w:r>
      <w:r w:rsidR="003704FE">
        <w:t xml:space="preserve">To be sure, </w:t>
      </w:r>
      <w:r w:rsidR="00522FD8">
        <w:t xml:space="preserve">the conference had </w:t>
      </w:r>
      <w:r>
        <w:t xml:space="preserve">a </w:t>
      </w:r>
      <w:r w:rsidR="00522FD8">
        <w:t xml:space="preserve">strong undercurrent of the </w:t>
      </w:r>
      <w:r w:rsidR="00046C02">
        <w:t>“</w:t>
      </w:r>
      <w:r w:rsidR="00522FD8">
        <w:t>reform age</w:t>
      </w:r>
      <w:r w:rsidR="00046C02">
        <w:t>”</w:t>
      </w:r>
      <w:r w:rsidR="00522FD8">
        <w:t xml:space="preserve">, noting that National Competition Policy – which lay dormant for </w:t>
      </w:r>
      <w:r w:rsidR="00522FD8" w:rsidRPr="00046C02">
        <w:t xml:space="preserve">15 years – was reinvigorated </w:t>
      </w:r>
      <w:r>
        <w:t>soon after by</w:t>
      </w:r>
      <w:r w:rsidR="001C2D04">
        <w:t xml:space="preserve"> the Treasurer’s announcement of a $900 million reform package</w:t>
      </w:r>
      <w:r w:rsidR="003704FE" w:rsidRPr="00046C02">
        <w:t>.</w:t>
      </w:r>
      <w:r w:rsidR="00046C02" w:rsidRPr="00046C02">
        <w:rPr>
          <w:rStyle w:val="FootnoteReference"/>
        </w:rPr>
        <w:footnoteReference w:id="2"/>
      </w:r>
      <w:r w:rsidR="003704FE" w:rsidRPr="00046C02">
        <w:t xml:space="preserve"> But </w:t>
      </w:r>
      <w:r w:rsidR="00522FD8" w:rsidRPr="00046C02">
        <w:t>the nature of the policy challenge is</w:t>
      </w:r>
      <w:r w:rsidR="00046C02" w:rsidRPr="00046C02">
        <w:t xml:space="preserve"> now arguably</w:t>
      </w:r>
      <w:r w:rsidR="00522FD8" w:rsidRPr="00046C02">
        <w:t xml:space="preserve"> different to the 1980s and early 1990s.</w:t>
      </w:r>
      <w:r w:rsidR="00046C02" w:rsidRPr="00046C02">
        <w:t xml:space="preserve"> </w:t>
      </w:r>
      <w:r w:rsidR="00046C02">
        <w:t>D</w:t>
      </w:r>
      <w:r w:rsidR="00046C02" w:rsidRPr="00046C02">
        <w:t xml:space="preserve">uring the </w:t>
      </w:r>
      <w:r w:rsidR="00046C02">
        <w:t>r</w:t>
      </w:r>
      <w:r w:rsidR="00046C02" w:rsidRPr="00046C02">
        <w:t xml:space="preserve">eform </w:t>
      </w:r>
      <w:r w:rsidR="00046C02">
        <w:t>a</w:t>
      </w:r>
      <w:r w:rsidR="00046C02" w:rsidRPr="00046C02">
        <w:t>ge</w:t>
      </w:r>
      <w:r w:rsidR="00046C02">
        <w:t xml:space="preserve">, </w:t>
      </w:r>
      <w:r w:rsidR="00046C02" w:rsidRPr="00046C02">
        <w:t xml:space="preserve">economic policy could be guided by textbook </w:t>
      </w:r>
      <w:r w:rsidR="00046C02">
        <w:t>thinking given the</w:t>
      </w:r>
      <w:r w:rsidR="00046C02" w:rsidRPr="00046C02">
        <w:t xml:space="preserve"> large </w:t>
      </w:r>
      <w:r w:rsidR="00046C02">
        <w:t xml:space="preserve">economic </w:t>
      </w:r>
      <w:r w:rsidR="00046C02" w:rsidRPr="00046C02">
        <w:t>distortions</w:t>
      </w:r>
      <w:r w:rsidR="00046C02">
        <w:t xml:space="preserve"> that </w:t>
      </w:r>
      <w:r w:rsidR="00046C02" w:rsidRPr="00046C02">
        <w:t>prevail</w:t>
      </w:r>
      <w:r w:rsidR="00046C02">
        <w:t>ed</w:t>
      </w:r>
      <w:r w:rsidR="001C2D04">
        <w:t xml:space="preserve">. </w:t>
      </w:r>
      <w:r w:rsidR="004B62BB">
        <w:t xml:space="preserve">By the turn of the century, however, much of </w:t>
      </w:r>
      <w:r w:rsidR="00207576">
        <w:t>this low hanging fruit</w:t>
      </w:r>
      <w:r>
        <w:t xml:space="preserve"> had been</w:t>
      </w:r>
      <w:r w:rsidR="00207576">
        <w:t xml:space="preserve"> harvested</w:t>
      </w:r>
      <w:r w:rsidR="004B62BB">
        <w:t xml:space="preserve"> and structural reform momentum in Australia slowed</w:t>
      </w:r>
      <w:r>
        <w:t xml:space="preserve">. What </w:t>
      </w:r>
      <w:r w:rsidR="005A10D2">
        <w:t xml:space="preserve">followed </w:t>
      </w:r>
      <w:r>
        <w:t>was</w:t>
      </w:r>
      <w:r w:rsidR="005A10D2">
        <w:t xml:space="preserve"> a pronounced slowdown in productivity growth. </w:t>
      </w:r>
      <w:r>
        <w:t xml:space="preserve">But the sudden emergence of economic research using </w:t>
      </w:r>
      <w:r w:rsidR="005A10D2">
        <w:t>administrative microdata</w:t>
      </w:r>
      <w:r>
        <w:t xml:space="preserve"> sets</w:t>
      </w:r>
      <w:r w:rsidR="005A10D2">
        <w:t xml:space="preserve"> diagnose</w:t>
      </w:r>
      <w:r>
        <w:t>d</w:t>
      </w:r>
      <w:r w:rsidR="005A10D2">
        <w:t xml:space="preserve"> the sickness – </w:t>
      </w:r>
      <w:r w:rsidR="003E386D">
        <w:t>namely</w:t>
      </w:r>
      <w:r>
        <w:t>,</w:t>
      </w:r>
      <w:r w:rsidR="003E386D">
        <w:t xml:space="preserve"> </w:t>
      </w:r>
      <w:r w:rsidR="005A10D2">
        <w:t xml:space="preserve">a pervasive decline in economic dynamism – </w:t>
      </w:r>
      <w:r>
        <w:t xml:space="preserve">and contended that </w:t>
      </w:r>
      <w:r w:rsidR="003E386D">
        <w:t xml:space="preserve">structural reforms to improve competitiveness of Australian </w:t>
      </w:r>
      <w:r>
        <w:t>markets was</w:t>
      </w:r>
      <w:r w:rsidR="003E386D">
        <w:t xml:space="preserve"> part of the cure.</w:t>
      </w:r>
    </w:p>
    <w:p w14:paraId="0577401C" w14:textId="7ABF9580" w:rsidR="009B2B4F" w:rsidRDefault="00990F68" w:rsidP="00E67A46">
      <w:pPr>
        <w:pStyle w:val="Para"/>
      </w:pPr>
      <w:r>
        <w:t>This paper summarises</w:t>
      </w:r>
      <w:r w:rsidR="00FB7F75">
        <w:t xml:space="preserve"> my </w:t>
      </w:r>
      <w:r w:rsidR="00475C7C">
        <w:t xml:space="preserve">conference </w:t>
      </w:r>
      <w:r w:rsidR="00FB7F75">
        <w:t xml:space="preserve">remarks, noting that my role was to Chair and be lead discussant of </w:t>
      </w:r>
      <w:r w:rsidR="00FB7F75" w:rsidRPr="00884BF7">
        <w:rPr>
          <w:i/>
          <w:iCs/>
        </w:rPr>
        <w:t>Session 2: Adapting Competition Regulation to a Changing Economy</w:t>
      </w:r>
      <w:r w:rsidR="00FB7F75">
        <w:t>. I</w:t>
      </w:r>
      <w:r w:rsidR="004B62BB">
        <w:t xml:space="preserve"> am deeply grateful to the Australian Treasury for facilitating my participation in what </w:t>
      </w:r>
      <w:r w:rsidR="00884BF7">
        <w:t xml:space="preserve">turned out to a conference of the </w:t>
      </w:r>
      <w:r w:rsidR="004B62BB">
        <w:t>high</w:t>
      </w:r>
      <w:r w:rsidR="00884BF7">
        <w:t>est</w:t>
      </w:r>
      <w:r w:rsidR="004B62BB">
        <w:t xml:space="preserve"> quality. </w:t>
      </w:r>
      <w:r w:rsidR="00884BF7">
        <w:t>To place the Session in</w:t>
      </w:r>
      <w:r w:rsidR="00C104CA">
        <w:t xml:space="preserve">to </w:t>
      </w:r>
      <w:r w:rsidR="00884BF7">
        <w:t>economic policy context,</w:t>
      </w:r>
      <w:r w:rsidR="00C104CA">
        <w:t xml:space="preserve"> the next Section</w:t>
      </w:r>
      <w:r w:rsidR="00884BF7">
        <w:t xml:space="preserve"> </w:t>
      </w:r>
      <w:r w:rsidR="00547FD4">
        <w:t xml:space="preserve">frames the </w:t>
      </w:r>
      <w:r w:rsidR="00884BF7">
        <w:t>opportunity and challenge</w:t>
      </w:r>
      <w:r w:rsidR="00547FD4">
        <w:t xml:space="preserve"> associated by the AI revolution that is currently taking place </w:t>
      </w:r>
      <w:r w:rsidR="00D761DB">
        <w:t xml:space="preserve">at </w:t>
      </w:r>
      <w:r w:rsidR="00547FD4">
        <w:t>the global technological frontier</w:t>
      </w:r>
      <w:r w:rsidR="00884BF7">
        <w:t xml:space="preserve">. </w:t>
      </w:r>
      <w:r w:rsidR="003647AB">
        <w:t>Section 3 tackles a common theme of the papers by G</w:t>
      </w:r>
      <w:r w:rsidR="00884BF7">
        <w:t xml:space="preserve">ina </w:t>
      </w:r>
      <w:r w:rsidR="003647AB">
        <w:t>C</w:t>
      </w:r>
      <w:r w:rsidR="00884BF7">
        <w:t xml:space="preserve">ass-Gottlieb </w:t>
      </w:r>
      <w:r w:rsidR="003647AB">
        <w:t>and M</w:t>
      </w:r>
      <w:r w:rsidR="00884BF7">
        <w:t xml:space="preserve">argarida </w:t>
      </w:r>
      <w:r w:rsidR="003647AB">
        <w:t>M</w:t>
      </w:r>
      <w:r w:rsidR="00884BF7">
        <w:t xml:space="preserve">atos </w:t>
      </w:r>
      <w:r w:rsidR="003647AB">
        <w:t>R</w:t>
      </w:r>
      <w:r w:rsidR="00884BF7">
        <w:t>osa</w:t>
      </w:r>
      <w:r w:rsidR="003647AB">
        <w:t xml:space="preserve">: </w:t>
      </w:r>
      <w:r w:rsidR="003647AB" w:rsidRPr="00884BF7">
        <w:rPr>
          <w:i/>
          <w:iCs/>
        </w:rPr>
        <w:t>how do we regulate (</w:t>
      </w:r>
      <w:r w:rsidR="00884BF7" w:rsidRPr="00884BF7">
        <w:rPr>
          <w:i/>
          <w:iCs/>
        </w:rPr>
        <w:t>ex-ante</w:t>
      </w:r>
      <w:r w:rsidR="003647AB" w:rsidRPr="00884BF7">
        <w:rPr>
          <w:i/>
          <w:iCs/>
        </w:rPr>
        <w:t xml:space="preserve">) </w:t>
      </w:r>
      <w:r w:rsidR="00884BF7">
        <w:rPr>
          <w:i/>
          <w:iCs/>
        </w:rPr>
        <w:t xml:space="preserve">the </w:t>
      </w:r>
      <w:r w:rsidR="003647AB" w:rsidRPr="00884BF7">
        <w:rPr>
          <w:i/>
          <w:iCs/>
        </w:rPr>
        <w:t>activities of innovators at the global frontier, where market power concerns loom large?</w:t>
      </w:r>
      <w:r w:rsidR="00884BF7">
        <w:rPr>
          <w:i/>
          <w:iCs/>
        </w:rPr>
        <w:t xml:space="preserve"> </w:t>
      </w:r>
      <w:r w:rsidR="00C104CA">
        <w:t xml:space="preserve">Reflecting on some key </w:t>
      </w:r>
      <w:r w:rsidR="00547FD4">
        <w:t>issues raised</w:t>
      </w:r>
      <w:r w:rsidR="00C104CA">
        <w:t xml:space="preserve"> by Jonathan Hambur</w:t>
      </w:r>
      <w:r w:rsidR="00547FD4">
        <w:t xml:space="preserve"> (and the Competition Taskforce)</w:t>
      </w:r>
      <w:r w:rsidR="00C104CA">
        <w:t xml:space="preserve"> and Margarida Matos Rosa,</w:t>
      </w:r>
      <w:r w:rsidR="00C104CA" w:rsidRPr="00C104CA">
        <w:t xml:space="preserve"> Section 4 </w:t>
      </w:r>
      <w:r w:rsidR="00C104CA">
        <w:t>discusses</w:t>
      </w:r>
      <w:r w:rsidR="00C104CA" w:rsidRPr="00C104CA">
        <w:t xml:space="preserve"> h</w:t>
      </w:r>
      <w:r w:rsidR="00C104CA" w:rsidRPr="003647AB">
        <w:t xml:space="preserve">ow structural policy </w:t>
      </w:r>
      <w:r w:rsidR="00C104CA">
        <w:t>can</w:t>
      </w:r>
      <w:r w:rsidR="00C104CA" w:rsidRPr="003647AB">
        <w:t xml:space="preserve"> inject a </w:t>
      </w:r>
      <w:r w:rsidR="00C104CA">
        <w:t xml:space="preserve">more dynamism into domestic markets, with a special focus on the </w:t>
      </w:r>
      <w:r w:rsidR="00C104CA" w:rsidRPr="003647AB">
        <w:t>regulat</w:t>
      </w:r>
      <w:r w:rsidR="00C104CA">
        <w:t xml:space="preserve">ory policies </w:t>
      </w:r>
      <w:r w:rsidR="00C104CA" w:rsidRPr="003647AB">
        <w:t xml:space="preserve">to </w:t>
      </w:r>
      <w:r w:rsidR="003E386D">
        <w:t xml:space="preserve">promote </w:t>
      </w:r>
      <w:r w:rsidR="00C104CA" w:rsidRPr="003647AB">
        <w:t>competition in labour markets</w:t>
      </w:r>
      <w:r w:rsidR="00D5443D">
        <w:t>.</w:t>
      </w:r>
    </w:p>
    <w:p w14:paraId="79008D58" w14:textId="57B45474" w:rsidR="00D5443D" w:rsidRPr="003647AB" w:rsidRDefault="00D5443D" w:rsidP="00E0033B">
      <w:pPr>
        <w:pStyle w:val="Heading2"/>
        <w:spacing w:after="180"/>
      </w:pPr>
      <w:bookmarkStart w:id="3" w:name="_Toc208391635"/>
      <w:r>
        <w:lastRenderedPageBreak/>
        <w:t xml:space="preserve">The </w:t>
      </w:r>
      <w:r w:rsidR="00056271">
        <w:t xml:space="preserve">economic </w:t>
      </w:r>
      <w:r>
        <w:t>context</w:t>
      </w:r>
      <w:bookmarkEnd w:id="3"/>
    </w:p>
    <w:p w14:paraId="78209F8B" w14:textId="2FBBEE5E" w:rsidR="00C27CEA" w:rsidRDefault="00C27CEA" w:rsidP="00E0033B">
      <w:pPr>
        <w:pStyle w:val="Heading3"/>
        <w:spacing w:before="160" w:after="140"/>
      </w:pPr>
      <w:bookmarkStart w:id="4" w:name="_Toc208391636"/>
      <w:r>
        <w:t>The opportunity</w:t>
      </w:r>
      <w:r w:rsidR="00056271">
        <w:t>: on the cusp of an (AI-fuelled) productivity boom?</w:t>
      </w:r>
      <w:bookmarkEnd w:id="4"/>
    </w:p>
    <w:p w14:paraId="5FD74A77" w14:textId="22D7503B" w:rsidR="001F2DBD" w:rsidRDefault="00E12535" w:rsidP="00701CE9">
      <w:pPr>
        <w:pStyle w:val="Para"/>
      </w:pPr>
      <w:r>
        <w:t xml:space="preserve">Given the title of the Session – </w:t>
      </w:r>
      <w:r w:rsidRPr="00E12535">
        <w:rPr>
          <w:i/>
          <w:iCs/>
        </w:rPr>
        <w:t xml:space="preserve">Adapting Competition Regulation to a </w:t>
      </w:r>
      <w:r w:rsidRPr="00E12535">
        <w:rPr>
          <w:i/>
          <w:iCs/>
          <w:u w:val="single"/>
        </w:rPr>
        <w:t>Changing Economy</w:t>
      </w:r>
      <w:r>
        <w:t xml:space="preserve"> – </w:t>
      </w:r>
      <w:r w:rsidR="0030493D">
        <w:t>it is important to understand the economic policy context. The economy is clear changing, as the</w:t>
      </w:r>
      <w:r w:rsidR="001F2DBD">
        <w:t xml:space="preserve"> </w:t>
      </w:r>
      <w:r w:rsidR="0030493D">
        <w:t xml:space="preserve">4Ds – demography, digitalisation, decarbonisation and deglobalisation – reshape </w:t>
      </w:r>
      <w:r w:rsidR="001F2DBD">
        <w:t>patterns of economic activity. While these forces will entail disruption and need to be carefully managed, the</w:t>
      </w:r>
      <w:r w:rsidR="001B1A21">
        <w:t>y will also present tremendous</w:t>
      </w:r>
      <w:r w:rsidR="001F2DBD">
        <w:t xml:space="preserve"> opportunities</w:t>
      </w:r>
      <w:r w:rsidR="001B1A21">
        <w:t xml:space="preserve">. The </w:t>
      </w:r>
      <w:r w:rsidR="001F2DBD">
        <w:t>Artificial Intelligence (AI)</w:t>
      </w:r>
      <w:r w:rsidR="001B1A21">
        <w:t xml:space="preserve"> revolution is</w:t>
      </w:r>
      <w:r w:rsidR="00D761DB">
        <w:t xml:space="preserve"> a </w:t>
      </w:r>
      <w:r w:rsidR="001B1A21">
        <w:t xml:space="preserve">case in point – policymakers worrying about the potential impacts of AI on market competition but </w:t>
      </w:r>
      <w:r w:rsidR="00B62483">
        <w:t>the</w:t>
      </w:r>
      <w:r w:rsidR="001B1A21">
        <w:t xml:space="preserve"> prospect of an AI-</w:t>
      </w:r>
      <w:r w:rsidR="001F2DBD">
        <w:t>fuelled surge in total factor productivity (TFP) growth</w:t>
      </w:r>
      <w:r w:rsidR="001B1A21">
        <w:t xml:space="preserve"> is real</w:t>
      </w:r>
      <w:r w:rsidR="001F2DBD">
        <w:t xml:space="preserve">. A recent OECD study estimates that the AI revolution could boost </w:t>
      </w:r>
      <w:r w:rsidR="001F2DBD" w:rsidRPr="00DD3845">
        <w:t>annual US</w:t>
      </w:r>
      <w:r w:rsidR="001F2DBD">
        <w:t xml:space="preserve"> </w:t>
      </w:r>
      <w:r w:rsidR="001F2DBD" w:rsidRPr="00DD3845">
        <w:t>TFP growth of 0.25-0.60</w:t>
      </w:r>
      <w:r w:rsidR="001F2DBD">
        <w:t xml:space="preserve"> percentage </w:t>
      </w:r>
      <w:r w:rsidR="001F2DBD" w:rsidRPr="00DD3845">
        <w:t>p</w:t>
      </w:r>
      <w:r w:rsidR="001F2DBD">
        <w:t>oin</w:t>
      </w:r>
      <w:r w:rsidR="001F2DBD" w:rsidRPr="00DD3845">
        <w:t>ts over the next 10 years (</w:t>
      </w:r>
      <w:proofErr w:type="spellStart"/>
      <w:r w:rsidR="001F2DBD" w:rsidRPr="00DD3845">
        <w:t>Filippucci</w:t>
      </w:r>
      <w:proofErr w:type="spellEnd"/>
      <w:r w:rsidR="001F2DBD" w:rsidRPr="00DD3845">
        <w:t xml:space="preserve"> et al 2024)</w:t>
      </w:r>
      <w:r w:rsidR="001F2DBD">
        <w:t xml:space="preserve">. But </w:t>
      </w:r>
      <w:r w:rsidR="00701CE9">
        <w:t xml:space="preserve">this estimate </w:t>
      </w:r>
      <w:r w:rsidR="001F2DBD">
        <w:t>is arguably conservative as it does not allow for the possibility for AI to raise the productivity of research and development or be further integrated with robotics technology</w:t>
      </w:r>
      <w:r w:rsidR="00701CE9">
        <w:t xml:space="preserve">. And once an allowance for the latter is made, for example, the estimated growth impacts of AI become commensurate with that of the </w:t>
      </w:r>
      <w:r w:rsidR="001F2DBD" w:rsidRPr="001F2DBD">
        <w:t>information and communication technolog</w:t>
      </w:r>
      <w:r w:rsidR="00701CE9">
        <w:t>y</w:t>
      </w:r>
      <w:r w:rsidR="001F2DBD" w:rsidRPr="001F2DBD">
        <w:t xml:space="preserve"> (ICT)</w:t>
      </w:r>
      <w:r w:rsidR="00701CE9">
        <w:t xml:space="preserve"> revolution, which</w:t>
      </w:r>
      <w:r w:rsidR="001F2DBD" w:rsidRPr="001F2DBD">
        <w:t xml:space="preserve"> contributed </w:t>
      </w:r>
      <w:r w:rsidR="00701CE9">
        <w:t xml:space="preserve">an estimated </w:t>
      </w:r>
      <w:r w:rsidR="001F2DBD" w:rsidRPr="001F2DBD">
        <w:t>1-1.5 percentage points to annual US TFP growth during the 1995-2004 period (Byrne et al, 2013).</w:t>
      </w:r>
      <w:r w:rsidR="00701CE9">
        <w:rPr>
          <w:rStyle w:val="FootnoteReference"/>
        </w:rPr>
        <w:footnoteReference w:id="3"/>
      </w:r>
    </w:p>
    <w:p w14:paraId="4964C108" w14:textId="2E06295A" w:rsidR="00DD3845" w:rsidRPr="00C27CEA" w:rsidRDefault="00E954FA" w:rsidP="0076348E">
      <w:pPr>
        <w:pStyle w:val="Para"/>
      </w:pPr>
      <w:r>
        <w:t xml:space="preserve">While there remains much </w:t>
      </w:r>
      <w:r w:rsidR="00DD3845" w:rsidRPr="00DD3845">
        <w:t>uncertainty</w:t>
      </w:r>
      <w:r>
        <w:t xml:space="preserve"> over the economic consequences of AI, a body of OECD research suggests that </w:t>
      </w:r>
      <w:r w:rsidR="00DD3845" w:rsidRPr="00DD3845">
        <w:t>three key ideas</w:t>
      </w:r>
      <w:r>
        <w:t xml:space="preserve"> seem plausible. First,</w:t>
      </w:r>
      <w:r w:rsidR="00DD3845" w:rsidRPr="00DD3845">
        <w:t xml:space="preserve"> AI could boost US TFP growth by as much as the mid-</w:t>
      </w:r>
      <w:r>
        <w:t>19</w:t>
      </w:r>
      <w:r w:rsidR="00DD3845" w:rsidRPr="00DD3845">
        <w:t>90s ICT boom</w:t>
      </w:r>
      <w:r>
        <w:t xml:space="preserve">. Second, </w:t>
      </w:r>
      <w:r w:rsidR="00DD3845" w:rsidRPr="00DD3845">
        <w:t>the size of the</w:t>
      </w:r>
      <w:r>
        <w:t xml:space="preserve"> productivity g</w:t>
      </w:r>
      <w:r w:rsidR="00DD3845" w:rsidRPr="00DD3845">
        <w:t>ains</w:t>
      </w:r>
      <w:r>
        <w:t xml:space="preserve"> in other countries</w:t>
      </w:r>
      <w:r w:rsidR="00DD3845" w:rsidRPr="00DD3845">
        <w:t xml:space="preserve"> will depend upon the speed</w:t>
      </w:r>
      <w:r w:rsidR="00B62483">
        <w:t xml:space="preserve"> and extent</w:t>
      </w:r>
      <w:r w:rsidR="00DD3845" w:rsidRPr="00DD3845">
        <w:t xml:space="preserve"> of adoption</w:t>
      </w:r>
      <w:r>
        <w:t>. Third, m</w:t>
      </w:r>
      <w:r w:rsidR="00DD3845" w:rsidRPr="00DD3845">
        <w:t xml:space="preserve">uch will depend upon policy </w:t>
      </w:r>
      <w:r w:rsidR="00DD3845" w:rsidRPr="00E954FA">
        <w:rPr>
          <w:i/>
          <w:iCs/>
        </w:rPr>
        <w:t>vis-a-vis</w:t>
      </w:r>
      <w:r w:rsidR="00DD3845" w:rsidRPr="00DD3845">
        <w:t xml:space="preserve"> </w:t>
      </w:r>
      <w:r>
        <w:t>societies a</w:t>
      </w:r>
      <w:r w:rsidR="00DD3845" w:rsidRPr="00DD3845">
        <w:t>ttitudes to</w:t>
      </w:r>
      <w:r>
        <w:t>ward</w:t>
      </w:r>
      <w:r w:rsidR="00DD3845" w:rsidRPr="00DD3845">
        <w:t xml:space="preserve"> frontier innovation</w:t>
      </w:r>
      <w:r>
        <w:t>, the extent of f</w:t>
      </w:r>
      <w:r w:rsidR="00DD3845" w:rsidRPr="00DD3845">
        <w:t xml:space="preserve">rictions in </w:t>
      </w:r>
      <w:r w:rsidR="0060067A">
        <w:t xml:space="preserve">product and </w:t>
      </w:r>
      <w:r w:rsidR="00DD3845" w:rsidRPr="00DD3845">
        <w:t>labour markets a</w:t>
      </w:r>
      <w:r w:rsidR="00E0033B">
        <w:t>s well as</w:t>
      </w:r>
      <w:r w:rsidR="00DD3845" w:rsidRPr="00DD3845">
        <w:t xml:space="preserve"> </w:t>
      </w:r>
      <w:r>
        <w:t>h</w:t>
      </w:r>
      <w:r w:rsidR="00DD3845" w:rsidRPr="00DD3845">
        <w:t>uman capabilities</w:t>
      </w:r>
      <w:r>
        <w:t>.</w:t>
      </w:r>
    </w:p>
    <w:p w14:paraId="262E5C2A" w14:textId="46BF31BA" w:rsidR="0076348E" w:rsidRPr="0076348E" w:rsidRDefault="00DD3845" w:rsidP="0076348E">
      <w:pPr>
        <w:pStyle w:val="Para"/>
      </w:pPr>
      <w:r>
        <w:t xml:space="preserve">If one needs of the reminder of the </w:t>
      </w:r>
      <w:r w:rsidR="00B62483">
        <w:t>importance</w:t>
      </w:r>
      <w:r>
        <w:t xml:space="preserve"> of structural policies in promoting the diffusion of new technologies, then look no further to Australia in t</w:t>
      </w:r>
      <w:r w:rsidRPr="00DD3845">
        <w:t>he mid</w:t>
      </w:r>
      <w:r>
        <w:t>-</w:t>
      </w:r>
      <w:r w:rsidRPr="00DD3845">
        <w:t>1990s</w:t>
      </w:r>
      <w:r>
        <w:t xml:space="preserve">. </w:t>
      </w:r>
      <w:r w:rsidR="0075062B">
        <w:t>While t</w:t>
      </w:r>
      <w:r w:rsidR="0060067A">
        <w:t xml:space="preserve">he market-based reforms that </w:t>
      </w:r>
      <w:r w:rsidR="0060067A" w:rsidRPr="0060067A">
        <w:t>Australia undertook over the 1980s and 1990s directly boosted productivity</w:t>
      </w:r>
      <w:r w:rsidR="0075062B">
        <w:t>,</w:t>
      </w:r>
      <w:r w:rsidR="0060067A" w:rsidRPr="0060067A">
        <w:t xml:space="preserve"> they also </w:t>
      </w:r>
      <w:r w:rsidRPr="0060067A">
        <w:t>aided the rapid diffusion of ICT</w:t>
      </w:r>
      <w:r w:rsidR="0060067A" w:rsidRPr="0060067A">
        <w:t>, which required</w:t>
      </w:r>
      <w:r w:rsidR="0060067A">
        <w:t xml:space="preserve"> new firms and a reallocation of resources to implement and scale new business models.</w:t>
      </w:r>
      <w:r w:rsidR="00E0033B">
        <w:t xml:space="preserve"> T</w:t>
      </w:r>
      <w:r w:rsidR="0060067A">
        <w:t>he story of the mid-1990s was that</w:t>
      </w:r>
      <w:r w:rsidR="00F2289C">
        <w:t xml:space="preserve"> those</w:t>
      </w:r>
      <w:r w:rsidR="0060067A">
        <w:t xml:space="preserve"> economies with less stringent product market regulations (PMR) – such as Australia – rode the wave of the ICT, while other (continental European) economies </w:t>
      </w:r>
      <w:r w:rsidR="00E0033B">
        <w:t>lagged</w:t>
      </w:r>
      <w:r w:rsidR="0060067A">
        <w:t xml:space="preserve"> (Figure 1, Panel </w:t>
      </w:r>
      <w:r w:rsidR="00F2289C">
        <w:t>A</w:t>
      </w:r>
      <w:r w:rsidR="0060067A">
        <w:t>)</w:t>
      </w:r>
      <w:r w:rsidRPr="00DD3845">
        <w:t>.</w:t>
      </w:r>
      <w:r>
        <w:t xml:space="preserve"> And the results were impressive in terms of what followed in Australia: </w:t>
      </w:r>
      <w:r w:rsidR="0060067A">
        <w:t>TFP</w:t>
      </w:r>
      <w:r>
        <w:t xml:space="preserve"> in Australia grew by more in the second half of the 1990s than over the next 20 years.</w:t>
      </w:r>
    </w:p>
    <w:p w14:paraId="7F500932" w14:textId="19C1DE41" w:rsidR="00A30DD5" w:rsidRDefault="005370EF" w:rsidP="00DD3845">
      <w:pPr>
        <w:pStyle w:val="Caption"/>
        <w:spacing w:before="240" w:after="120"/>
        <w:jc w:val="center"/>
      </w:pPr>
      <w:r w:rsidRPr="00F16F68">
        <w:t>Figure </w:t>
      </w:r>
      <w:r w:rsidRPr="00F16F68">
        <w:fldChar w:fldCharType="begin"/>
      </w:r>
      <w:r w:rsidRPr="00F16F68">
        <w:instrText xml:space="preserve"> SEQ Figure \* ARABIC </w:instrText>
      </w:r>
      <w:r w:rsidRPr="00F16F68">
        <w:fldChar w:fldCharType="separate"/>
      </w:r>
      <w:r w:rsidR="00CE1583">
        <w:rPr>
          <w:noProof/>
        </w:rPr>
        <w:t>1</w:t>
      </w:r>
      <w:r w:rsidRPr="00F16F68">
        <w:fldChar w:fldCharType="end"/>
      </w:r>
      <w:r w:rsidRPr="00F16F68">
        <w:t xml:space="preserve">. </w:t>
      </w:r>
      <w:r w:rsidR="00B045C5">
        <w:t>The mid-1990s productivity boom and product market regulations</w:t>
      </w:r>
    </w:p>
    <w:tbl>
      <w:tblPr>
        <w:tblStyle w:val="OECD"/>
        <w:tblW w:w="0" w:type="auto"/>
        <w:tblLook w:val="04A0" w:firstRow="1" w:lastRow="0" w:firstColumn="1" w:lastColumn="0" w:noHBand="0" w:noVBand="1"/>
      </w:tblPr>
      <w:tblGrid>
        <w:gridCol w:w="4594"/>
        <w:gridCol w:w="4704"/>
      </w:tblGrid>
      <w:tr w:rsidR="00B85A44" w14:paraId="04832403" w14:textId="77777777" w:rsidTr="00976460">
        <w:trPr>
          <w:cnfStyle w:val="100000000000" w:firstRow="1" w:lastRow="0" w:firstColumn="0" w:lastColumn="0" w:oddVBand="0" w:evenVBand="0" w:oddHBand="0" w:evenHBand="0" w:firstRowFirstColumn="0" w:firstRowLastColumn="0" w:lastRowFirstColumn="0" w:lastRowLastColumn="0"/>
        </w:trPr>
        <w:tc>
          <w:tcPr>
            <w:tcW w:w="4649" w:type="dxa"/>
          </w:tcPr>
          <w:p w14:paraId="2F5A0D68" w14:textId="05214F7C" w:rsidR="00976460" w:rsidRDefault="00B85A44" w:rsidP="005370EF">
            <w:pPr>
              <w:pStyle w:val="Figure"/>
            </w:pPr>
            <w:r>
              <w:rPr>
                <w:noProof/>
              </w:rPr>
              <w:drawing>
                <wp:inline distT="0" distB="0" distL="0" distR="0" wp14:anchorId="23BAF949" wp14:editId="49737C99">
                  <wp:extent cx="3028108" cy="2138289"/>
                  <wp:effectExtent l="0" t="0" r="1270" b="0"/>
                  <wp:docPr id="2447546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2411" cy="2148389"/>
                          </a:xfrm>
                          <a:prstGeom prst="rect">
                            <a:avLst/>
                          </a:prstGeom>
                          <a:noFill/>
                        </pic:spPr>
                      </pic:pic>
                    </a:graphicData>
                  </a:graphic>
                </wp:inline>
              </w:drawing>
            </w:r>
          </w:p>
        </w:tc>
        <w:tc>
          <w:tcPr>
            <w:tcW w:w="4649" w:type="dxa"/>
          </w:tcPr>
          <w:p w14:paraId="2CC10901" w14:textId="4F0F8501" w:rsidR="00976460" w:rsidRDefault="00A64576" w:rsidP="005370EF">
            <w:pPr>
              <w:pStyle w:val="Figure"/>
            </w:pPr>
            <w:r w:rsidRPr="00A64576">
              <w:rPr>
                <w:noProof/>
              </w:rPr>
              <w:drawing>
                <wp:inline distT="0" distB="0" distL="0" distR="0" wp14:anchorId="3395CEC1" wp14:editId="1D871FFF">
                  <wp:extent cx="3099600" cy="2062800"/>
                  <wp:effectExtent l="0" t="0" r="5715" b="0"/>
                  <wp:docPr id="1010366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9600" cy="2062800"/>
                          </a:xfrm>
                          <a:prstGeom prst="rect">
                            <a:avLst/>
                          </a:prstGeom>
                          <a:noFill/>
                          <a:ln>
                            <a:noFill/>
                          </a:ln>
                        </pic:spPr>
                      </pic:pic>
                    </a:graphicData>
                  </a:graphic>
                </wp:inline>
              </w:drawing>
            </w:r>
          </w:p>
        </w:tc>
      </w:tr>
    </w:tbl>
    <w:p w14:paraId="4FB597C3" w14:textId="720F8DB9" w:rsidR="00976460" w:rsidRDefault="00E12535" w:rsidP="00E0033B">
      <w:pPr>
        <w:pStyle w:val="Sourcenotes"/>
        <w:spacing w:before="0" w:after="180"/>
        <w:contextualSpacing w:val="0"/>
      </w:pPr>
      <w:r>
        <w:rPr>
          <w:i/>
          <w:iCs/>
        </w:rPr>
        <w:t>Sources</w:t>
      </w:r>
      <w:r w:rsidR="005370EF" w:rsidRPr="00CB3218">
        <w:rPr>
          <w:i/>
          <w:iCs/>
        </w:rPr>
        <w:t>:</w:t>
      </w:r>
      <w:r w:rsidR="005370EF" w:rsidRPr="00CB3218">
        <w:t xml:space="preserve"> </w:t>
      </w:r>
      <w:r w:rsidR="0057168E">
        <w:t xml:space="preserve">Authors calculation based on the </w:t>
      </w:r>
      <w:r>
        <w:t>OECD Economic Outlook database and the OECD Product Market Regulation database.</w:t>
      </w:r>
    </w:p>
    <w:p w14:paraId="004C7F62" w14:textId="0B45C792" w:rsidR="00976460" w:rsidRDefault="00F2289C" w:rsidP="00C27CEA">
      <w:pPr>
        <w:pStyle w:val="Heading3"/>
      </w:pPr>
      <w:bookmarkStart w:id="5" w:name="_Toc208391637"/>
      <w:r>
        <w:t>Why are we concerned and why now for competition policy</w:t>
      </w:r>
      <w:r w:rsidR="0057168E">
        <w:t>?</w:t>
      </w:r>
      <w:bookmarkEnd w:id="5"/>
    </w:p>
    <w:p w14:paraId="0F9151AF" w14:textId="6EAABEFF" w:rsidR="00C27CEA" w:rsidRDefault="00F2289C" w:rsidP="00C27CEA">
      <w:pPr>
        <w:pStyle w:val="Para"/>
      </w:pPr>
      <w:r w:rsidRPr="0075062B">
        <w:rPr>
          <w:i/>
          <w:iCs/>
        </w:rPr>
        <w:t>Is Australia as well-positioned today to reap the productivity dividends of the AI revolution as it was during the mid-1990s with respect to the ICT boom?</w:t>
      </w:r>
      <w:r>
        <w:t xml:space="preserve"> While it is difficult to predict the future, there are</w:t>
      </w:r>
      <w:r w:rsidR="0075062B">
        <w:t xml:space="preserve"> </w:t>
      </w:r>
      <w:r>
        <w:t>reasons for concern. First,</w:t>
      </w:r>
      <w:r w:rsidRPr="003647AB">
        <w:t xml:space="preserve"> </w:t>
      </w:r>
      <w:r w:rsidR="00B27114">
        <w:t>the</w:t>
      </w:r>
      <w:r>
        <w:t xml:space="preserve"> </w:t>
      </w:r>
      <w:r w:rsidRPr="003647AB">
        <w:t>productivity slowdown</w:t>
      </w:r>
      <w:r>
        <w:t xml:space="preserve"> – which has been </w:t>
      </w:r>
      <w:r w:rsidRPr="003647AB">
        <w:t>underpinned by decline in economic dynamism</w:t>
      </w:r>
      <w:r>
        <w:t xml:space="preserve"> – raises questions about whether </w:t>
      </w:r>
      <w:r w:rsidR="00B27114">
        <w:t xml:space="preserve">the Australian economy’s </w:t>
      </w:r>
      <w:r>
        <w:t xml:space="preserve">agility and capacity to adapt to new circumstances has declined. Second, </w:t>
      </w:r>
      <w:r w:rsidR="00B27114">
        <w:t xml:space="preserve">the pace of structural reform in Australia declined significantly over the past 20 years, with Australia’s ranking on the OECD’s PMR indicator falling </w:t>
      </w:r>
      <w:r>
        <w:t>significant</w:t>
      </w:r>
      <w:r w:rsidR="00B27114">
        <w:t>ly</w:t>
      </w:r>
      <w:r w:rsidR="004A3956">
        <w:t xml:space="preserve"> overtime</w:t>
      </w:r>
      <w:r>
        <w:t xml:space="preserve"> (Figure 1, Panel B). Third, </w:t>
      </w:r>
      <w:r w:rsidR="0075062B">
        <w:t>the ICT boom coincided with rapid growth in the (quality adjusted) human capital stock in Australia, but</w:t>
      </w:r>
      <w:r w:rsidR="00B27114">
        <w:t xml:space="preserve"> the pace of human capital accumulation </w:t>
      </w:r>
      <w:r w:rsidR="0075062B">
        <w:t xml:space="preserve">slowed dramatically </w:t>
      </w:r>
      <w:r w:rsidR="00B27114">
        <w:t>after 2006, potentially account</w:t>
      </w:r>
      <w:r w:rsidR="0075062B">
        <w:t>ing</w:t>
      </w:r>
      <w:r w:rsidR="00B27114">
        <w:t xml:space="preserve"> for one-sixth of the TFP slowdown </w:t>
      </w:r>
      <w:r>
        <w:t xml:space="preserve">(Andrews, Egert and </w:t>
      </w:r>
      <w:r w:rsidRPr="00800729">
        <w:rPr>
          <w:rFonts w:cstheme="minorHAnsi"/>
          <w:szCs w:val="20"/>
        </w:rPr>
        <w:t>de La Maisonneuve</w:t>
      </w:r>
      <w:r>
        <w:t>, 2024)</w:t>
      </w:r>
      <w:r w:rsidR="00B27114">
        <w:t>.</w:t>
      </w:r>
    </w:p>
    <w:p w14:paraId="65DDCD64" w14:textId="03CC10BB" w:rsidR="001B3026" w:rsidRDefault="004A3956" w:rsidP="00C27CEA">
      <w:pPr>
        <w:pStyle w:val="Para"/>
      </w:pPr>
      <w:r>
        <w:t>It is against this backdrop that th</w:t>
      </w:r>
      <w:r w:rsidR="00313BC5">
        <w:t>e work of the Competition Taskforce – and th</w:t>
      </w:r>
      <w:r>
        <w:t xml:space="preserve">is conference </w:t>
      </w:r>
      <w:r w:rsidR="00313BC5">
        <w:t>in particular – take</w:t>
      </w:r>
      <w:r w:rsidR="008313D8">
        <w:t>s</w:t>
      </w:r>
      <w:r w:rsidR="00313BC5">
        <w:t xml:space="preserve"> </w:t>
      </w:r>
      <w:r>
        <w:t>place</w:t>
      </w:r>
      <w:r w:rsidR="00313BC5">
        <w:t xml:space="preserve">. </w:t>
      </w:r>
      <w:r w:rsidR="008313D8">
        <w:t>Indeed</w:t>
      </w:r>
      <w:r w:rsidR="00313BC5">
        <w:t xml:space="preserve">, the </w:t>
      </w:r>
      <w:r w:rsidR="008313D8">
        <w:t xml:space="preserve">question </w:t>
      </w:r>
      <w:r w:rsidR="00313BC5">
        <w:t>o</w:t>
      </w:r>
      <w:r w:rsidR="008313D8">
        <w:t>f</w:t>
      </w:r>
      <w:r w:rsidR="00313BC5">
        <w:t xml:space="preserve"> whether </w:t>
      </w:r>
      <w:r w:rsidR="008313D8">
        <w:t xml:space="preserve">Australian </w:t>
      </w:r>
      <w:r w:rsidR="00313BC5">
        <w:t xml:space="preserve">regulatory settings remain fit for purpose to supply a sufficient degree of competition </w:t>
      </w:r>
      <w:r w:rsidR="008313D8">
        <w:t>is strongly motivated by empirical evidence, which documents a decline in the efficiency of resource reallocation, particularly in those sectors where indicators of market competition has deteriorated more</w:t>
      </w:r>
      <w:r w:rsidR="001B3026">
        <w:t xml:space="preserve"> (</w:t>
      </w:r>
      <w:r w:rsidR="008313D8">
        <w:t>Andrews and Hansell, 2021; Hambur 2021</w:t>
      </w:r>
      <w:r w:rsidR="001B3026">
        <w:t>)</w:t>
      </w:r>
      <w:r w:rsidR="008313D8">
        <w:t>.</w:t>
      </w:r>
      <w:r w:rsidR="00313BC5">
        <w:t xml:space="preserve"> But competition policy is also a central pillar </w:t>
      </w:r>
      <w:r w:rsidR="001B3026">
        <w:t>of</w:t>
      </w:r>
      <w:r w:rsidR="00313BC5">
        <w:t xml:space="preserve"> </w:t>
      </w:r>
      <w:r w:rsidR="008313D8">
        <w:t>economic</w:t>
      </w:r>
      <w:r w:rsidR="00313BC5">
        <w:t xml:space="preserve"> reform. To illustrate, a former</w:t>
      </w:r>
      <w:r w:rsidR="001B3026">
        <w:t xml:space="preserve"> Val </w:t>
      </w:r>
      <w:proofErr w:type="spellStart"/>
      <w:r w:rsidR="001B3026">
        <w:t>Koromzay</w:t>
      </w:r>
      <w:proofErr w:type="spellEnd"/>
      <w:r w:rsidR="001B3026">
        <w:t xml:space="preserve"> – a former</w:t>
      </w:r>
      <w:r w:rsidR="00313BC5">
        <w:t xml:space="preserve"> Director of the OECD Economics Department</w:t>
      </w:r>
      <w:r w:rsidR="001B3026">
        <w:t xml:space="preserve"> –</w:t>
      </w:r>
      <w:r w:rsidR="00313BC5">
        <w:t xml:space="preserve"> once asked: </w:t>
      </w:r>
      <w:r w:rsidR="00313BC5" w:rsidRPr="00313BC5">
        <w:rPr>
          <w:i/>
          <w:iCs/>
        </w:rPr>
        <w:t xml:space="preserve">how </w:t>
      </w:r>
      <w:r w:rsidR="001B3026">
        <w:rPr>
          <w:i/>
          <w:iCs/>
        </w:rPr>
        <w:t xml:space="preserve">can you spot </w:t>
      </w:r>
      <w:r w:rsidR="00313BC5" w:rsidRPr="00313BC5">
        <w:rPr>
          <w:i/>
          <w:iCs/>
        </w:rPr>
        <w:t>a</w:t>
      </w:r>
      <w:r w:rsidR="001B3026">
        <w:rPr>
          <w:i/>
          <w:iCs/>
        </w:rPr>
        <w:t xml:space="preserve"> true</w:t>
      </w:r>
      <w:r w:rsidR="00313BC5" w:rsidRPr="00313BC5">
        <w:rPr>
          <w:i/>
          <w:iCs/>
        </w:rPr>
        <w:t xml:space="preserve"> </w:t>
      </w:r>
      <w:r w:rsidR="001B3026">
        <w:rPr>
          <w:i/>
          <w:iCs/>
        </w:rPr>
        <w:t>economic</w:t>
      </w:r>
      <w:r w:rsidR="00313BC5" w:rsidRPr="00313BC5">
        <w:rPr>
          <w:i/>
          <w:iCs/>
        </w:rPr>
        <w:t xml:space="preserve"> reform</w:t>
      </w:r>
      <w:r w:rsidR="001B3026">
        <w:rPr>
          <w:i/>
          <w:iCs/>
        </w:rPr>
        <w:t xml:space="preserve">, as opposed to </w:t>
      </w:r>
      <w:r w:rsidR="00313BC5" w:rsidRPr="00313BC5">
        <w:rPr>
          <w:i/>
          <w:iCs/>
        </w:rPr>
        <w:t>an arbitrary</w:t>
      </w:r>
      <w:r w:rsidR="001B3026">
        <w:rPr>
          <w:i/>
          <w:iCs/>
        </w:rPr>
        <w:t xml:space="preserve"> change in</w:t>
      </w:r>
      <w:r w:rsidR="00313BC5" w:rsidRPr="00313BC5">
        <w:rPr>
          <w:i/>
          <w:iCs/>
        </w:rPr>
        <w:t xml:space="preserve"> policy?</w:t>
      </w:r>
      <w:r w:rsidR="00313BC5">
        <w:t xml:space="preserve"> </w:t>
      </w:r>
      <w:r w:rsidR="001B3026">
        <w:t xml:space="preserve">According to </w:t>
      </w:r>
      <w:proofErr w:type="spellStart"/>
      <w:r w:rsidR="001B3026" w:rsidRPr="00313BC5">
        <w:t>Koromzay</w:t>
      </w:r>
      <w:proofErr w:type="spellEnd"/>
      <w:r w:rsidR="001B3026">
        <w:t xml:space="preserve"> (2004):</w:t>
      </w:r>
    </w:p>
    <w:p w14:paraId="38FFF576" w14:textId="621A3002" w:rsidR="003647AB" w:rsidRDefault="001B3026" w:rsidP="006F6B9F">
      <w:pPr>
        <w:pStyle w:val="Para"/>
        <w:numPr>
          <w:ilvl w:val="0"/>
          <w:numId w:val="0"/>
        </w:numPr>
        <w:spacing w:before="180"/>
        <w:ind w:left="907" w:right="567"/>
      </w:pPr>
      <w:r>
        <w:t>“An economic reform is a policy change directed at improving static or dynamic efficiency in an economy. But at its essence this involves taking away rents that have built up in the economic system or, to broaden the concept somewhat, to reduce or modify acquired rights… And a strengthening of competition policy, broadly defined, is perhaps the most obvious example”</w:t>
      </w:r>
      <w:r w:rsidR="00313BC5">
        <w:t xml:space="preserve">. </w:t>
      </w:r>
    </w:p>
    <w:p w14:paraId="11BF8256" w14:textId="19A69AA7" w:rsidR="00976460" w:rsidRDefault="004B62BB" w:rsidP="006F6B9F">
      <w:pPr>
        <w:pStyle w:val="Heading2"/>
        <w:spacing w:before="280"/>
      </w:pPr>
      <w:bookmarkStart w:id="6" w:name="_Toc208391638"/>
      <w:r>
        <w:t>Regulating the frontier: e</w:t>
      </w:r>
      <w:r w:rsidR="00976460">
        <w:t>x ante regulation of competition</w:t>
      </w:r>
      <w:r w:rsidR="00922821">
        <w:t xml:space="preserve"> in digital markets</w:t>
      </w:r>
      <w:bookmarkEnd w:id="6"/>
    </w:p>
    <w:p w14:paraId="3C49A3C3" w14:textId="12691E6C" w:rsidR="00787CA5" w:rsidRDefault="00787CA5" w:rsidP="00787CA5">
      <w:pPr>
        <w:pStyle w:val="Heading3"/>
      </w:pPr>
      <w:bookmarkStart w:id="7" w:name="_Toc208391639"/>
      <w:r>
        <w:t>The case for ex ante regulation in digital markets</w:t>
      </w:r>
      <w:bookmarkEnd w:id="7"/>
    </w:p>
    <w:p w14:paraId="4D5A3CA3" w14:textId="0BB6B476" w:rsidR="00922821" w:rsidRPr="00D60263" w:rsidRDefault="00977FD5" w:rsidP="006F6B9F">
      <w:pPr>
        <w:pStyle w:val="Para"/>
        <w:spacing w:after="240"/>
      </w:pPr>
      <w:r>
        <w:t xml:space="preserve">Both </w:t>
      </w:r>
      <w:r w:rsidR="0075062B">
        <w:t>Gina Cass-Gottlieb and Margarida Matos Rosa</w:t>
      </w:r>
      <w:r w:rsidR="0075062B" w:rsidRPr="0075062B">
        <w:rPr>
          <w:lang w:val="en-AU"/>
        </w:rPr>
        <w:t xml:space="preserve"> </w:t>
      </w:r>
      <w:r w:rsidR="00376EB4" w:rsidRPr="0075062B">
        <w:rPr>
          <w:lang w:val="en-AU"/>
        </w:rPr>
        <w:t xml:space="preserve">stressed that </w:t>
      </w:r>
      <w:r w:rsidR="00376EB4">
        <w:t xml:space="preserve">in rapidly evolving digital markets characterised by “winner-take-all dynamics” and scalable intangible assets, </w:t>
      </w:r>
      <w:r w:rsidR="00376EB4" w:rsidRPr="0075062B">
        <w:rPr>
          <w:lang w:val="en-AU"/>
        </w:rPr>
        <w:t>e</w:t>
      </w:r>
      <w:r w:rsidR="00922821">
        <w:t>x post enforcement measures may be too cumbersome:</w:t>
      </w:r>
      <w:r w:rsidR="00376EB4">
        <w:t xml:space="preserve"> that is, t</w:t>
      </w:r>
      <w:r w:rsidR="00922821">
        <w:t>he damage – i</w:t>
      </w:r>
      <w:r w:rsidR="00376EB4">
        <w:t>n the form of</w:t>
      </w:r>
      <w:r w:rsidR="00922821">
        <w:t xml:space="preserve"> further entrenchment of market power – may already done before the Competition Authorities can take effective action</w:t>
      </w:r>
      <w:r w:rsidR="00606D36">
        <w:t>.</w:t>
      </w:r>
      <w:r w:rsidR="0075062B">
        <w:rPr>
          <w:rStyle w:val="FootnoteReference"/>
        </w:rPr>
        <w:footnoteReference w:id="4"/>
      </w:r>
      <w:r w:rsidR="0075062B">
        <w:t xml:space="preserve"> </w:t>
      </w:r>
      <w:r w:rsidR="00606D36">
        <w:t>To be sure, there is m</w:t>
      </w:r>
      <w:r w:rsidR="00922821">
        <w:t xml:space="preserve">uch empirical evidence to suggest “winner-take-all” dynamics have been a relevant feature of the global economy over the past 15 years. For example, my work on “The Best versus the Rest” </w:t>
      </w:r>
      <w:r w:rsidR="00D97E26">
        <w:t>(</w:t>
      </w:r>
      <w:r w:rsidR="00922821">
        <w:t>with OECD colleagues Chiara Criscuolo and Peter Gal</w:t>
      </w:r>
      <w:r w:rsidR="00D97E26">
        <w:t xml:space="preserve">) </w:t>
      </w:r>
      <w:r w:rsidR="00D60263">
        <w:t xml:space="preserve">showed that the aggregate productivity slowdown that first emerged in the mid-2000s concealed a stark divergence in the productivity performance between firms at </w:t>
      </w:r>
      <w:r w:rsidR="00D60263" w:rsidRPr="00D60263">
        <w:t xml:space="preserve">the global frontier and laggard firms within industries </w:t>
      </w:r>
      <w:r w:rsidR="00922821" w:rsidRPr="00D60263">
        <w:t>(Figure 2</w:t>
      </w:r>
      <w:r w:rsidR="00D60263" w:rsidRPr="00D60263">
        <w:t>, Panel A</w:t>
      </w:r>
      <w:r w:rsidR="00922821" w:rsidRPr="00D60263">
        <w:t>).</w:t>
      </w:r>
      <w:r w:rsidR="00D60263" w:rsidRPr="00D60263">
        <w:t xml:space="preserve"> With we argue that this pattern was symptomatic with of slowing technological diffusion, it is also consistent with </w:t>
      </w:r>
      <w:r w:rsidR="00D97E26" w:rsidRPr="00D60263">
        <w:t>increasing potential of digital technologies to create global winner-takes-all dynamics (Brynjolfsson and McAfee 2011)</w:t>
      </w:r>
      <w:r w:rsidR="00D60263" w:rsidRPr="00D60263">
        <w:t xml:space="preserve">, noting that </w:t>
      </w:r>
      <w:r w:rsidR="00D97E26" w:rsidRPr="00D60263">
        <w:t xml:space="preserve">frontier firms </w:t>
      </w:r>
      <w:r w:rsidR="00D60263" w:rsidRPr="00D60263">
        <w:t xml:space="preserve">disproportionately </w:t>
      </w:r>
      <w:r w:rsidR="00D97E26" w:rsidRPr="00D60263">
        <w:t>increase</w:t>
      </w:r>
      <w:r w:rsidR="00D60263" w:rsidRPr="00D60263">
        <w:t>d</w:t>
      </w:r>
      <w:r w:rsidR="00D97E26" w:rsidRPr="00D60263">
        <w:t xml:space="preserve"> their performance gap against laggards in ICT services (computer programming, software engineering, data storage, and so on</w:t>
      </w:r>
      <w:r w:rsidR="00D60263" w:rsidRPr="00D60263">
        <w:t>; Figure 2, Panel B</w:t>
      </w:r>
      <w:r w:rsidR="00D97E26" w:rsidRPr="00D60263">
        <w:t>).</w:t>
      </w:r>
      <w:r w:rsidR="00D60263" w:rsidRPr="00D60263">
        <w:rPr>
          <w:rStyle w:val="FootnoteReference"/>
        </w:rPr>
        <w:footnoteReference w:id="5"/>
      </w:r>
      <w:r w:rsidR="00D97E26" w:rsidRPr="00D60263">
        <w:t xml:space="preserve"> </w:t>
      </w:r>
    </w:p>
    <w:p w14:paraId="3E1FCA0A" w14:textId="39EFEA5A" w:rsidR="00B045C5" w:rsidRDefault="00B045C5" w:rsidP="0050439E">
      <w:pPr>
        <w:pStyle w:val="Caption"/>
        <w:spacing w:before="120" w:after="120"/>
        <w:jc w:val="center"/>
      </w:pPr>
      <w:r w:rsidRPr="00F16F68">
        <w:t>Figure </w:t>
      </w:r>
      <w:r w:rsidRPr="00F16F68">
        <w:fldChar w:fldCharType="begin"/>
      </w:r>
      <w:r w:rsidRPr="00F16F68">
        <w:instrText xml:space="preserve"> SEQ Figure \* ARABIC </w:instrText>
      </w:r>
      <w:r w:rsidRPr="00F16F68">
        <w:fldChar w:fldCharType="separate"/>
      </w:r>
      <w:r w:rsidR="00CE1583">
        <w:rPr>
          <w:noProof/>
        </w:rPr>
        <w:t>2</w:t>
      </w:r>
      <w:r w:rsidRPr="00F16F68">
        <w:fldChar w:fldCharType="end"/>
      </w:r>
      <w:r w:rsidRPr="00F16F68">
        <w:t xml:space="preserve">. </w:t>
      </w:r>
      <w:r>
        <w:t>Firm-level labour productivity divergence</w:t>
      </w:r>
    </w:p>
    <w:tbl>
      <w:tblPr>
        <w:tblStyle w:val="OECD"/>
        <w:tblW w:w="0" w:type="auto"/>
        <w:tblLook w:val="04A0" w:firstRow="1" w:lastRow="0" w:firstColumn="1" w:lastColumn="0" w:noHBand="0" w:noVBand="1"/>
      </w:tblPr>
      <w:tblGrid>
        <w:gridCol w:w="4692"/>
        <w:gridCol w:w="4606"/>
      </w:tblGrid>
      <w:tr w:rsidR="00F07FE7" w14:paraId="4EE71C3B" w14:textId="77777777" w:rsidTr="00F07FE7">
        <w:trPr>
          <w:cnfStyle w:val="100000000000" w:firstRow="1" w:lastRow="0" w:firstColumn="0" w:lastColumn="0" w:oddVBand="0" w:evenVBand="0" w:oddHBand="0" w:evenHBand="0" w:firstRowFirstColumn="0" w:firstRowLastColumn="0" w:lastRowFirstColumn="0" w:lastRowLastColumn="0"/>
        </w:trPr>
        <w:tc>
          <w:tcPr>
            <w:tcW w:w="4649" w:type="dxa"/>
          </w:tcPr>
          <w:p w14:paraId="3B9EEEA5" w14:textId="2D8A5354" w:rsidR="00F07FE7" w:rsidRDefault="00F07FE7" w:rsidP="00F63FEA">
            <w:pPr>
              <w:pStyle w:val="Para"/>
              <w:numPr>
                <w:ilvl w:val="0"/>
                <w:numId w:val="0"/>
              </w:numPr>
              <w:spacing w:after="0" w:line="240" w:lineRule="auto"/>
              <w:jc w:val="center"/>
            </w:pPr>
            <w:r>
              <w:t>Panel A: Business sector</w:t>
            </w:r>
          </w:p>
          <w:p w14:paraId="3A8F3379" w14:textId="0AAA24A5" w:rsidR="00F07FE7" w:rsidRDefault="00F07FE7" w:rsidP="001F6038">
            <w:pPr>
              <w:pStyle w:val="Para"/>
              <w:numPr>
                <w:ilvl w:val="0"/>
                <w:numId w:val="0"/>
              </w:numPr>
              <w:spacing w:line="240" w:lineRule="auto"/>
            </w:pPr>
            <w:r>
              <w:rPr>
                <w:noProof/>
              </w:rPr>
              <w:drawing>
                <wp:inline distT="0" distB="0" distL="0" distR="0" wp14:anchorId="70BD8601" wp14:editId="3D179FAF">
                  <wp:extent cx="2842591" cy="1676400"/>
                  <wp:effectExtent l="0" t="0" r="0" b="6985"/>
                  <wp:docPr id="1308426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2591" cy="1676400"/>
                          </a:xfrm>
                          <a:prstGeom prst="rect">
                            <a:avLst/>
                          </a:prstGeom>
                          <a:noFill/>
                        </pic:spPr>
                      </pic:pic>
                    </a:graphicData>
                  </a:graphic>
                </wp:inline>
              </w:drawing>
            </w:r>
          </w:p>
        </w:tc>
        <w:tc>
          <w:tcPr>
            <w:tcW w:w="4649" w:type="dxa"/>
          </w:tcPr>
          <w:p w14:paraId="2C3DD93D" w14:textId="4EE2CF9E" w:rsidR="00F07FE7" w:rsidRDefault="00F07FE7" w:rsidP="001F6038">
            <w:pPr>
              <w:pStyle w:val="Para"/>
              <w:numPr>
                <w:ilvl w:val="0"/>
                <w:numId w:val="0"/>
              </w:numPr>
              <w:spacing w:after="0" w:line="240" w:lineRule="auto"/>
              <w:jc w:val="center"/>
            </w:pPr>
            <w:r>
              <w:t>Panel B: ICT-intensive services</w:t>
            </w:r>
          </w:p>
          <w:p w14:paraId="22B683B3" w14:textId="2F5EDA53" w:rsidR="00F07FE7" w:rsidRDefault="00F07FE7" w:rsidP="001F6038">
            <w:pPr>
              <w:pStyle w:val="Para"/>
              <w:numPr>
                <w:ilvl w:val="0"/>
                <w:numId w:val="0"/>
              </w:numPr>
              <w:spacing w:before="160" w:line="240" w:lineRule="auto"/>
            </w:pPr>
            <w:r>
              <w:rPr>
                <w:noProof/>
              </w:rPr>
              <w:drawing>
                <wp:inline distT="0" distB="0" distL="0" distR="0" wp14:anchorId="7E272AD9" wp14:editId="0717BA74">
                  <wp:extent cx="2785459" cy="1681480"/>
                  <wp:effectExtent l="0" t="0" r="0" b="0"/>
                  <wp:docPr id="19868051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942" cy="1684790"/>
                          </a:xfrm>
                          <a:prstGeom prst="rect">
                            <a:avLst/>
                          </a:prstGeom>
                          <a:noFill/>
                        </pic:spPr>
                      </pic:pic>
                    </a:graphicData>
                  </a:graphic>
                </wp:inline>
              </w:drawing>
            </w:r>
          </w:p>
        </w:tc>
      </w:tr>
    </w:tbl>
    <w:p w14:paraId="368763C4" w14:textId="307A2866" w:rsidR="00922821" w:rsidRDefault="00B045C5" w:rsidP="00B045C5">
      <w:pPr>
        <w:pStyle w:val="Sourcenotes"/>
        <w:spacing w:before="0" w:after="180"/>
        <w:rPr>
          <w:szCs w:val="18"/>
        </w:rPr>
      </w:pPr>
      <w:r w:rsidRPr="00CB3218">
        <w:rPr>
          <w:i/>
          <w:iCs/>
        </w:rPr>
        <w:t>Note:</w:t>
      </w:r>
      <w:r w:rsidRPr="00CB3218">
        <w:t xml:space="preserve"> </w:t>
      </w:r>
      <w:r w:rsidR="00F07FE7">
        <w:t xml:space="preserve">Updated version of </w:t>
      </w:r>
      <w:r w:rsidR="00F07FE7" w:rsidRPr="00F25CF1">
        <w:rPr>
          <w:szCs w:val="18"/>
        </w:rPr>
        <w:t>Andrews, Criscuolo and Gal (2016)</w:t>
      </w:r>
      <w:r w:rsidR="00F07FE7">
        <w:rPr>
          <w:szCs w:val="18"/>
        </w:rPr>
        <w:t>.</w:t>
      </w:r>
    </w:p>
    <w:p w14:paraId="3105F299" w14:textId="61BCF8C3" w:rsidR="00787CA5" w:rsidRDefault="00787CA5" w:rsidP="00787CA5">
      <w:pPr>
        <w:pStyle w:val="Heading3"/>
      </w:pPr>
      <w:bookmarkStart w:id="8" w:name="_Toc208391640"/>
      <w:r>
        <w:t>Practical considerations</w:t>
      </w:r>
      <w:bookmarkEnd w:id="8"/>
    </w:p>
    <w:p w14:paraId="6377BC9A" w14:textId="76D270A5" w:rsidR="005B5FF1" w:rsidRDefault="00280C5F" w:rsidP="005B5FF1">
      <w:pPr>
        <w:pStyle w:val="Para"/>
      </w:pPr>
      <w:r>
        <w:t>While b</w:t>
      </w:r>
      <w:r w:rsidR="00922821">
        <w:t xml:space="preserve">oth </w:t>
      </w:r>
      <w:r w:rsidR="007166C8">
        <w:t>authors</w:t>
      </w:r>
      <w:r w:rsidR="00922821">
        <w:t xml:space="preserve"> make the forceful </w:t>
      </w:r>
      <w:r w:rsidR="00D8357B" w:rsidRPr="00985163">
        <w:rPr>
          <w:i/>
          <w:iCs/>
        </w:rPr>
        <w:t>prima facie</w:t>
      </w:r>
      <w:r w:rsidR="00D8357B">
        <w:t xml:space="preserve"> </w:t>
      </w:r>
      <w:r w:rsidR="00922821">
        <w:t>case for ex ante regulation in digital markets</w:t>
      </w:r>
      <w:r>
        <w:t>, they ha</w:t>
      </w:r>
      <w:r w:rsidR="007166C8">
        <w:t>d</w:t>
      </w:r>
      <w:r>
        <w:t xml:space="preserve"> less to say</w:t>
      </w:r>
      <w:r w:rsidR="00922821">
        <w:t xml:space="preserve"> about what this looks like in practice. </w:t>
      </w:r>
      <w:r>
        <w:t>On this front</w:t>
      </w:r>
      <w:r w:rsidR="00922821">
        <w:t>,</w:t>
      </w:r>
      <w:r>
        <w:t xml:space="preserve"> </w:t>
      </w:r>
      <w:r w:rsidR="004A1A13">
        <w:t>more discussion on</w:t>
      </w:r>
      <w:r w:rsidR="005B5FF1">
        <w:t xml:space="preserve"> the various approaches to ex ante regulation</w:t>
      </w:r>
      <w:r w:rsidR="008E1B54">
        <w:t xml:space="preserve"> would have been useful</w:t>
      </w:r>
      <w:r w:rsidR="005B5FF1">
        <w:t xml:space="preserve">. This could include drawing a distinction between the “Rules-based models”— most notably characterised by the EU Digital Markets Act (DMA) – and the so-called “Flexible approaches” such as the UK model whereby the regulator applies firm-specific codes that supposedly provides greater scope to incorporate new technologies. There also little discussion of the potential compliance issues and unintended consequences with respect to ex ante regulation. In terms of the latter, recent research </w:t>
      </w:r>
      <w:r w:rsidR="0075062B">
        <w:t xml:space="preserve">contends </w:t>
      </w:r>
      <w:r w:rsidR="005B5FF1">
        <w:t>that GDPR (</w:t>
      </w:r>
      <w:r w:rsidR="0075062B">
        <w:t xml:space="preserve">a </w:t>
      </w:r>
      <w:r w:rsidR="005B5FF1">
        <w:t xml:space="preserve">Big Data Privacy Law; EU 2018) increased the fixed costs of data storage costs significantly for EU firms, putting smaller firms at a disadvantage, stifling innovation and increasing concentration (see: </w:t>
      </w:r>
      <w:proofErr w:type="spellStart"/>
      <w:r w:rsidR="005B5FF1">
        <w:t>Garicano</w:t>
      </w:r>
      <w:proofErr w:type="spellEnd"/>
      <w:r w:rsidR="005B5FF1">
        <w:t xml:space="preserve"> 2024; </w:t>
      </w:r>
      <w:r w:rsidR="005B5FF1" w:rsidRPr="0061792D">
        <w:t>Johnson et al 2023</w:t>
      </w:r>
      <w:r w:rsidR="005B5FF1">
        <w:t xml:space="preserve">; </w:t>
      </w:r>
      <w:r w:rsidR="005B5FF1" w:rsidRPr="0061792D">
        <w:t>Peuker et al</w:t>
      </w:r>
      <w:r w:rsidR="005B5FF1">
        <w:t>,</w:t>
      </w:r>
      <w:r w:rsidR="005B5FF1" w:rsidRPr="0061792D">
        <w:t xml:space="preserve"> 2022</w:t>
      </w:r>
      <w:r w:rsidR="005B5FF1">
        <w:t xml:space="preserve">; </w:t>
      </w:r>
      <w:r w:rsidR="005B5FF1" w:rsidRPr="0061792D">
        <w:t>Janssen et al</w:t>
      </w:r>
      <w:r w:rsidR="005B5FF1">
        <w:t>,</w:t>
      </w:r>
      <w:r w:rsidR="005B5FF1" w:rsidRPr="0061792D">
        <w:t xml:space="preserve"> 2022</w:t>
      </w:r>
      <w:r w:rsidR="005B5FF1">
        <w:t xml:space="preserve">; </w:t>
      </w:r>
      <w:proofErr w:type="spellStart"/>
      <w:r w:rsidR="005B5FF1" w:rsidRPr="0061792D">
        <w:t>Aridor</w:t>
      </w:r>
      <w:proofErr w:type="spellEnd"/>
      <w:r w:rsidR="005B5FF1" w:rsidRPr="0061792D">
        <w:t xml:space="preserve"> et al</w:t>
      </w:r>
      <w:r w:rsidR="005B5FF1">
        <w:t xml:space="preserve">, </w:t>
      </w:r>
      <w:r w:rsidR="005B5FF1" w:rsidRPr="0061792D">
        <w:t>2023)</w:t>
      </w:r>
      <w:r w:rsidR="005B5FF1">
        <w:t>.</w:t>
      </w:r>
    </w:p>
    <w:p w14:paraId="090D195F" w14:textId="454EFCF9" w:rsidR="005B5FF1" w:rsidRPr="0073549C" w:rsidRDefault="00CF5470" w:rsidP="005B5FF1">
      <w:pPr>
        <w:pStyle w:val="Para"/>
        <w:rPr>
          <w:lang w:val="en-AU"/>
        </w:rPr>
      </w:pPr>
      <w:r>
        <w:t xml:space="preserve">To kick-off </w:t>
      </w:r>
      <w:r w:rsidR="005B5FF1">
        <w:t xml:space="preserve">the discussion, two </w:t>
      </w:r>
      <w:r>
        <w:t>participants</w:t>
      </w:r>
      <w:r w:rsidR="005B5FF1">
        <w:t xml:space="preserve"> shared their contrasting views on ex ante regulation of competition in digital markets. One participant broadly endorsed the views of Gina Cass-Gottlieb and Margarida Matos Rosa, noting that t</w:t>
      </w:r>
      <w:r w:rsidR="005B5FF1" w:rsidRPr="0073549C">
        <w:rPr>
          <w:lang w:val="en-AU"/>
        </w:rPr>
        <w:t>he key issue in deciding whether ex ante regulation is needed or not is the degree of market power the parties have</w:t>
      </w:r>
      <w:r w:rsidR="005B5FF1">
        <w:rPr>
          <w:lang w:val="en-AU"/>
        </w:rPr>
        <w:t xml:space="preserve">. To establish precedent, the participant noted that: </w:t>
      </w:r>
      <w:proofErr w:type="spellStart"/>
      <w:r w:rsidR="005B5FF1" w:rsidRPr="0073549C">
        <w:rPr>
          <w:i/>
          <w:iCs/>
          <w:lang w:val="en-AU"/>
        </w:rPr>
        <w:t>i</w:t>
      </w:r>
      <w:proofErr w:type="spellEnd"/>
      <w:r w:rsidR="005B5FF1">
        <w:rPr>
          <w:lang w:val="en-AU"/>
        </w:rPr>
        <w:t>) e</w:t>
      </w:r>
      <w:r w:rsidR="005B5FF1" w:rsidRPr="0073549C">
        <w:rPr>
          <w:lang w:val="en-AU"/>
        </w:rPr>
        <w:t xml:space="preserve">lectricity network assets are monopolies and so the </w:t>
      </w:r>
      <w:proofErr w:type="gramStart"/>
      <w:r w:rsidR="005B5FF1" w:rsidRPr="0073549C">
        <w:rPr>
          <w:lang w:val="en-AU"/>
        </w:rPr>
        <w:t>general consensus</w:t>
      </w:r>
      <w:proofErr w:type="gramEnd"/>
      <w:r w:rsidR="005B5FF1" w:rsidRPr="0073549C">
        <w:rPr>
          <w:lang w:val="en-AU"/>
        </w:rPr>
        <w:t xml:space="preserve"> is to</w:t>
      </w:r>
      <w:r w:rsidR="005B5FF1">
        <w:rPr>
          <w:lang w:val="en-AU"/>
        </w:rPr>
        <w:t xml:space="preserve"> apply</w:t>
      </w:r>
      <w:r w:rsidR="005B5FF1" w:rsidRPr="0073549C">
        <w:rPr>
          <w:lang w:val="en-AU"/>
        </w:rPr>
        <w:t xml:space="preserve"> ex ante regulation</w:t>
      </w:r>
      <w:r w:rsidR="005B5FF1">
        <w:rPr>
          <w:lang w:val="en-AU"/>
        </w:rPr>
        <w:t xml:space="preserve">; and </w:t>
      </w:r>
      <w:r w:rsidR="005B5FF1" w:rsidRPr="0073549C">
        <w:rPr>
          <w:i/>
          <w:iCs/>
          <w:lang w:val="en-AU"/>
        </w:rPr>
        <w:t>ii</w:t>
      </w:r>
      <w:r w:rsidR="005B5FF1">
        <w:rPr>
          <w:lang w:val="en-AU"/>
        </w:rPr>
        <w:t>) w</w:t>
      </w:r>
      <w:r w:rsidR="005B5FF1" w:rsidRPr="0073549C">
        <w:rPr>
          <w:lang w:val="en-AU"/>
        </w:rPr>
        <w:t>hen competition was introduced to Telstra</w:t>
      </w:r>
      <w:r w:rsidR="005B5FF1">
        <w:rPr>
          <w:lang w:val="en-AU"/>
        </w:rPr>
        <w:t>,</w:t>
      </w:r>
      <w:r w:rsidR="005B5FF1" w:rsidRPr="0073549C">
        <w:rPr>
          <w:lang w:val="en-AU"/>
        </w:rPr>
        <w:t xml:space="preserve"> ex ante access regulation was preferred to the use of S</w:t>
      </w:r>
      <w:r w:rsidR="005B5FF1">
        <w:rPr>
          <w:lang w:val="en-AU"/>
        </w:rPr>
        <w:t>ectio</w:t>
      </w:r>
      <w:r w:rsidR="005B5FF1" w:rsidRPr="0073549C">
        <w:rPr>
          <w:lang w:val="en-AU"/>
        </w:rPr>
        <w:t>n 46</w:t>
      </w:r>
      <w:r w:rsidR="005B5FF1">
        <w:rPr>
          <w:lang w:val="en-AU"/>
        </w:rPr>
        <w:t xml:space="preserve"> of the CCA. It thus follows that in the digital space, where “</w:t>
      </w:r>
      <w:r w:rsidR="005B5FF1" w:rsidRPr="0073549C">
        <w:rPr>
          <w:lang w:val="en-AU"/>
        </w:rPr>
        <w:t>Google has 95% of search and a stranglehold on the ad tech market</w:t>
      </w:r>
      <w:r w:rsidR="005B5FF1">
        <w:rPr>
          <w:lang w:val="en-AU"/>
        </w:rPr>
        <w:t>, while</w:t>
      </w:r>
      <w:r w:rsidR="005B5FF1" w:rsidRPr="0073549C">
        <w:rPr>
          <w:lang w:val="en-AU"/>
        </w:rPr>
        <w:t xml:space="preserve"> Apple and Google control the app markets on their phones</w:t>
      </w:r>
      <w:r w:rsidR="005B5FF1">
        <w:rPr>
          <w:lang w:val="en-AU"/>
        </w:rPr>
        <w:t>, e</w:t>
      </w:r>
      <w:r w:rsidR="005B5FF1" w:rsidRPr="0073549C">
        <w:rPr>
          <w:lang w:val="en-AU"/>
        </w:rPr>
        <w:t>x post competition enforcement will not allow competition to occur, only ex ante regulation will. It can also curb the excessive use of market power. The aim of ex ante regulation must be to promote dynamic markets.”</w:t>
      </w:r>
    </w:p>
    <w:p w14:paraId="03893C72" w14:textId="5E51F7AF" w:rsidR="00D8357B" w:rsidRDefault="00CF5470" w:rsidP="0031213D">
      <w:pPr>
        <w:pStyle w:val="Para"/>
      </w:pPr>
      <w:r>
        <w:t>The other</w:t>
      </w:r>
      <w:r w:rsidR="00985163">
        <w:t xml:space="preserve"> participant</w:t>
      </w:r>
      <w:r w:rsidR="00D761DB">
        <w:t>’</w:t>
      </w:r>
      <w:r>
        <w:t>s</w:t>
      </w:r>
      <w:r w:rsidR="00985163">
        <w:t xml:space="preserve"> sceptic</w:t>
      </w:r>
      <w:r>
        <w:t>ism</w:t>
      </w:r>
      <w:r w:rsidR="00985163">
        <w:t xml:space="preserve"> of ex ante regulation</w:t>
      </w:r>
      <w:r>
        <w:t xml:space="preserve"> rested on</w:t>
      </w:r>
      <w:r w:rsidR="00985163">
        <w:t xml:space="preserve"> two key points</w:t>
      </w:r>
      <w:r w:rsidR="008E1B54">
        <w:t xml:space="preserve">. First, ex ante regulation with appeals will not be a short cut. The rules will still be interpreted by the Courts and the Court decisions will determine the path of regulation. While more conduct will be per se illegal for designated businesses, history shows that per se offenses often are not clear cut anticompetitive (which is why general competition law has broadly reduced the number of per se offenses over time). Second, </w:t>
      </w:r>
      <w:r w:rsidR="0075062B">
        <w:t>e</w:t>
      </w:r>
      <w:r w:rsidR="00D8357B">
        <w:t>x ante regulation with limited appeals of regulatory decisions will lead to more regulatory activity, more errors and regulators who avoid scrutiny. It may stop more anticompetitive – and pro</w:t>
      </w:r>
      <w:r w:rsidR="00985163">
        <w:t>-</w:t>
      </w:r>
      <w:r w:rsidR="00D8357B">
        <w:t xml:space="preserve">competitive </w:t>
      </w:r>
      <w:r w:rsidR="00985163">
        <w:t>–</w:t>
      </w:r>
      <w:r w:rsidR="00D8357B">
        <w:t xml:space="preserve"> activity. </w:t>
      </w:r>
      <w:r w:rsidR="0075062B">
        <w:t xml:space="preserve">The participant concluded by noting that ex ante regulation </w:t>
      </w:r>
      <w:r w:rsidR="00D8357B">
        <w:t>raises business uncertainty because they face a fallible regulator who oversees their decisions when trying to run their business.</w:t>
      </w:r>
    </w:p>
    <w:p w14:paraId="2A5EF05B" w14:textId="0F5017F1" w:rsidR="00976460" w:rsidRDefault="00C34690" w:rsidP="00976460">
      <w:pPr>
        <w:pStyle w:val="Heading2"/>
      </w:pPr>
      <w:bookmarkStart w:id="9" w:name="_Toc208391641"/>
      <w:r>
        <w:t>Injecting a dose of dynamism in</w:t>
      </w:r>
      <w:r w:rsidR="00CF5470">
        <w:t>to</w:t>
      </w:r>
      <w:r>
        <w:t xml:space="preserve"> d</w:t>
      </w:r>
      <w:r w:rsidR="004B62BB">
        <w:t>omestic mar</w:t>
      </w:r>
      <w:r>
        <w:t>kets</w:t>
      </w:r>
      <w:bookmarkEnd w:id="9"/>
    </w:p>
    <w:p w14:paraId="1737A8A1" w14:textId="6F7D72F0" w:rsidR="00976460" w:rsidRDefault="00C34690" w:rsidP="00C34690">
      <w:pPr>
        <w:pStyle w:val="Heading3"/>
      </w:pPr>
      <w:bookmarkStart w:id="10" w:name="_Toc208391642"/>
      <w:r>
        <w:t>Administrative microdata: an enabler of structural reform</w:t>
      </w:r>
      <w:bookmarkEnd w:id="10"/>
    </w:p>
    <w:p w14:paraId="5582F9E3" w14:textId="72F85BBF" w:rsidR="00056CFD" w:rsidRPr="00056CFD" w:rsidRDefault="00F11A86" w:rsidP="001B0F7D">
      <w:pPr>
        <w:pStyle w:val="Para"/>
      </w:pPr>
      <w:r w:rsidRPr="00056CFD">
        <w:t>A key theme of the paper by Jonathan Hambur and the Competition Taskforce (henceforth JHCT) is the potential for research based on administrative microdata to inform structural policy in the competition space. JH</w:t>
      </w:r>
      <w:r w:rsidR="00056CFD" w:rsidRPr="00056CFD">
        <w:t xml:space="preserve">CT previewed an impressive </w:t>
      </w:r>
      <w:r w:rsidR="00C34690" w:rsidRPr="00056CFD">
        <w:t>body of microdata research</w:t>
      </w:r>
      <w:r w:rsidR="00056CFD" w:rsidRPr="00056CFD">
        <w:t xml:space="preserve">, which illustrates that: </w:t>
      </w:r>
      <w:proofErr w:type="spellStart"/>
      <w:r w:rsidR="00056CFD" w:rsidRPr="00056CFD">
        <w:t>i</w:t>
      </w:r>
      <w:proofErr w:type="spellEnd"/>
      <w:r w:rsidR="00056CFD" w:rsidRPr="00056CFD">
        <w:t>) linked employee-employer data s</w:t>
      </w:r>
      <w:r w:rsidR="0075062B">
        <w:t>how</w:t>
      </w:r>
      <w:r w:rsidR="00056CFD">
        <w:t>s</w:t>
      </w:r>
      <w:r w:rsidR="00056CFD" w:rsidRPr="00056CFD">
        <w:t xml:space="preserve"> that t</w:t>
      </w:r>
      <w:r w:rsidR="00C34690" w:rsidRPr="00056CFD">
        <w:t xml:space="preserve">he actual amount of </w:t>
      </w:r>
      <w:r w:rsidR="00056CFD" w:rsidRPr="00056CFD">
        <w:t>merger and acquisition (</w:t>
      </w:r>
      <w:r w:rsidR="00C34690" w:rsidRPr="00056CFD">
        <w:t>M&amp;A</w:t>
      </w:r>
      <w:r w:rsidR="00056CFD" w:rsidRPr="00056CFD">
        <w:t>)</w:t>
      </w:r>
      <w:r w:rsidR="00C34690" w:rsidRPr="00056CFD">
        <w:t xml:space="preserve"> activity in the A</w:t>
      </w:r>
      <w:r w:rsidR="00056CFD" w:rsidRPr="00056CFD">
        <w:t xml:space="preserve">ustralian </w:t>
      </w:r>
      <w:r w:rsidR="00C34690" w:rsidRPr="00056CFD">
        <w:t>economy</w:t>
      </w:r>
      <w:r w:rsidR="00056CFD" w:rsidRPr="00056CFD">
        <w:t xml:space="preserve"> is much higher than previously thought, with</w:t>
      </w:r>
      <w:r w:rsidR="00C34690" w:rsidRPr="00056CFD">
        <w:t xml:space="preserve"> </w:t>
      </w:r>
      <w:r w:rsidR="00056CFD" w:rsidRPr="00056CFD">
        <w:t>m</w:t>
      </w:r>
      <w:r w:rsidR="00C34690" w:rsidRPr="00056CFD">
        <w:t>any mergers flying under the radar</w:t>
      </w:r>
      <w:r w:rsidR="00056CFD" w:rsidRPr="00056CFD">
        <w:t>; ii)</w:t>
      </w:r>
      <w:r w:rsidR="00C34690" w:rsidRPr="00056CFD">
        <w:t xml:space="preserve"> </w:t>
      </w:r>
      <w:r w:rsidR="00056CFD" w:rsidRPr="00056CFD">
        <w:t xml:space="preserve">airfares on key routes decline as new players enter, reminiscent of the classic paper by Austin Goolsbee and Chad Syverson (2008) which showed that the meagre </w:t>
      </w:r>
      <w:r w:rsidR="00C34690" w:rsidRPr="00056CFD">
        <w:t>threat of entry</w:t>
      </w:r>
      <w:r w:rsidR="00056CFD" w:rsidRPr="00056CFD">
        <w:t xml:space="preserve"> by Southwest airlines led to material declines in airfares; iii) the macroeconomic costs of market power</w:t>
      </w:r>
      <w:r w:rsidR="0075062B">
        <w:t xml:space="preserve"> – </w:t>
      </w:r>
      <w:r w:rsidR="00056CFD" w:rsidRPr="00056CFD">
        <w:t>based on a structural analysis on firm-level price-to-cost mark-ups</w:t>
      </w:r>
      <w:r w:rsidR="0075062B">
        <w:t xml:space="preserve"> – is </w:t>
      </w:r>
      <w:r w:rsidR="0075062B" w:rsidRPr="00056CFD">
        <w:t>significant</w:t>
      </w:r>
      <w:r w:rsidR="00056CFD">
        <w:t xml:space="preserve">; </w:t>
      </w:r>
      <w:r w:rsidR="00056CFD" w:rsidRPr="00056CFD">
        <w:t>and</w:t>
      </w:r>
      <w:r w:rsidR="00056CFD">
        <w:t xml:space="preserve"> iv) </w:t>
      </w:r>
      <w:r w:rsidR="00B42197">
        <w:t>occupational licensing and worker restraint</w:t>
      </w:r>
      <w:r w:rsidR="00056CFD">
        <w:t xml:space="preserve"> clauses</w:t>
      </w:r>
      <w:r w:rsidR="0075062B">
        <w:t xml:space="preserve"> can have economic effects</w:t>
      </w:r>
      <w:r w:rsidR="009C2C24">
        <w:t>.</w:t>
      </w:r>
    </w:p>
    <w:p w14:paraId="5359283F" w14:textId="5C6D790D" w:rsidR="005F7DA5" w:rsidRDefault="00DE29AF" w:rsidP="00666976">
      <w:pPr>
        <w:pStyle w:val="Para"/>
      </w:pPr>
      <w:r>
        <w:t xml:space="preserve">Overall, I strongly endorsed the approach and analysis of JHCT. Before undertaking a deep dive into the prevalence and impacts of worker restraint clauses, I made two related comments. First, </w:t>
      </w:r>
      <w:r w:rsidR="005C4378">
        <w:t xml:space="preserve">I argued that efforts to improve </w:t>
      </w:r>
      <w:r w:rsidRPr="00DE29AF">
        <w:t xml:space="preserve">access </w:t>
      </w:r>
      <w:r w:rsidR="005C4378">
        <w:t>to – a</w:t>
      </w:r>
      <w:r w:rsidRPr="00DE29AF">
        <w:t>nd capa</w:t>
      </w:r>
      <w:r w:rsidR="005C4378">
        <w:t xml:space="preserve">city to analyse – administrative microdata </w:t>
      </w:r>
      <w:r w:rsidR="0057168E">
        <w:t>i</w:t>
      </w:r>
      <w:r w:rsidR="005C4378">
        <w:t>s</w:t>
      </w:r>
      <w:proofErr w:type="gramStart"/>
      <w:r w:rsidR="00D761DB">
        <w:t>,</w:t>
      </w:r>
      <w:r w:rsidR="005C4378">
        <w:t xml:space="preserve"> in itself</w:t>
      </w:r>
      <w:r w:rsidR="00D761DB">
        <w:t>,</w:t>
      </w:r>
      <w:r w:rsidR="005C4378">
        <w:t xml:space="preserve"> a</w:t>
      </w:r>
      <w:proofErr w:type="gramEnd"/>
      <w:r w:rsidRPr="00DE29AF">
        <w:t xml:space="preserve"> structural reform</w:t>
      </w:r>
      <w:r w:rsidR="005C4378">
        <w:t xml:space="preserve">, noting that the </w:t>
      </w:r>
      <w:r w:rsidR="0075062B">
        <w:t xml:space="preserve">intellectual </w:t>
      </w:r>
      <w:r w:rsidR="005C4378">
        <w:t xml:space="preserve">origins of the Competition Taskforce can be </w:t>
      </w:r>
      <w:r w:rsidR="00307D6A">
        <w:t xml:space="preserve">partly </w:t>
      </w:r>
      <w:r w:rsidR="005C4378">
        <w:t>traced to an effort</w:t>
      </w:r>
      <w:r w:rsidR="00307D6A">
        <w:t xml:space="preserve"> of a few Australian economists</w:t>
      </w:r>
      <w:r w:rsidR="005C4378">
        <w:t xml:space="preserve"> to use microdata to uncover the sources of the productivity slowdown. Second, </w:t>
      </w:r>
      <w:r>
        <w:t>applied research that connects po</w:t>
      </w:r>
      <w:r w:rsidR="00C34690" w:rsidRPr="00056CFD">
        <w:t>licy frictions to the micro-drivers of productivity slowdown</w:t>
      </w:r>
      <w:r>
        <w:t xml:space="preserve"> – notably declining </w:t>
      </w:r>
      <w:r w:rsidRPr="00056CFD">
        <w:t>job mobility and firm entry</w:t>
      </w:r>
      <w:r>
        <w:t xml:space="preserve"> – is </w:t>
      </w:r>
      <w:r w:rsidR="00C34690" w:rsidRPr="00056CFD">
        <w:t>key</w:t>
      </w:r>
      <w:r>
        <w:t xml:space="preserve">. </w:t>
      </w:r>
      <w:r w:rsidR="005B03A3">
        <w:t xml:space="preserve">Recent evidence suggests </w:t>
      </w:r>
      <w:r w:rsidR="005F7DA5">
        <w:t xml:space="preserve">that </w:t>
      </w:r>
      <w:r w:rsidR="005C4378">
        <w:t xml:space="preserve">the productivity slowdown may reflect </w:t>
      </w:r>
      <w:r w:rsidR="005F7DA5">
        <w:t>a “death by thousand cuts</w:t>
      </w:r>
      <w:r w:rsidR="005C4378">
        <w:t>” phenomenon, whereby the rising burdens of occupational licensing, n</w:t>
      </w:r>
      <w:r w:rsidR="005C4378" w:rsidRPr="00056CFD">
        <w:t>on-compete clauses</w:t>
      </w:r>
      <w:r w:rsidR="005C4378">
        <w:t>, stamp duty and (size contingent) policy changes to labour market regulation and payroll tax may have accumulated to sap the economic vitality of the Australian economy.</w:t>
      </w:r>
      <w:r w:rsidR="005C4378">
        <w:rPr>
          <w:rStyle w:val="FootnoteReference"/>
        </w:rPr>
        <w:footnoteReference w:id="6"/>
      </w:r>
      <w:r w:rsidR="005C4378">
        <w:t xml:space="preserve"> </w:t>
      </w:r>
      <w:r w:rsidR="00F1684F">
        <w:t>This body of empirical evidence is crucial given w</w:t>
      </w:r>
      <w:r w:rsidR="0075062B">
        <w:t xml:space="preserve">e are now in </w:t>
      </w:r>
      <w:r w:rsidR="005C4378">
        <w:t>a very different situation to 40 years</w:t>
      </w:r>
      <w:r w:rsidR="00CF5470">
        <w:t xml:space="preserve"> ago</w:t>
      </w:r>
      <w:r w:rsidR="005C4378">
        <w:t>, whe</w:t>
      </w:r>
      <w:r w:rsidR="00CF5470">
        <w:t>n</w:t>
      </w:r>
      <w:r w:rsidR="005C4378">
        <w:t xml:space="preserve"> structural reform could be</w:t>
      </w:r>
      <w:r w:rsidR="00F1684F">
        <w:t xml:space="preserve"> solely</w:t>
      </w:r>
      <w:r w:rsidR="005C4378">
        <w:t xml:space="preserve"> guided by textbook economics due to the large economic distortions that prevailed.</w:t>
      </w:r>
    </w:p>
    <w:p w14:paraId="24287883" w14:textId="158DA50E" w:rsidR="001F6038" w:rsidRDefault="001F6038" w:rsidP="001F6038">
      <w:pPr>
        <w:pStyle w:val="Heading3"/>
      </w:pPr>
      <w:bookmarkStart w:id="11" w:name="_Toc208391643"/>
      <w:r>
        <w:t>Restraint clauses: prevalence and impacts</w:t>
      </w:r>
      <w:bookmarkEnd w:id="11"/>
    </w:p>
    <w:p w14:paraId="69E01BD4" w14:textId="29B36D8E" w:rsidR="003A4206" w:rsidRDefault="00CF5470" w:rsidP="00365034">
      <w:pPr>
        <w:pStyle w:val="Para"/>
      </w:pPr>
      <w:r>
        <w:t xml:space="preserve">Non-compete clauses – which prevent workers from joining (or starting) a competing firm – are typically justified </w:t>
      </w:r>
      <w:proofErr w:type="gramStart"/>
      <w:r>
        <w:t>on the basis of</w:t>
      </w:r>
      <w:proofErr w:type="gramEnd"/>
      <w:r>
        <w:t xml:space="preserve"> protecting legitimate business interests (e.g. trade secrets</w:t>
      </w:r>
      <w:r w:rsidR="003A4206">
        <w:t xml:space="preserve">; Figure </w:t>
      </w:r>
      <w:r w:rsidR="0075062B">
        <w:t>3</w:t>
      </w:r>
      <w:r>
        <w:t xml:space="preserve">). But there </w:t>
      </w:r>
      <w:r w:rsidR="003A4206">
        <w:t xml:space="preserve">are </w:t>
      </w:r>
      <w:r>
        <w:t xml:space="preserve">increasing concerns that they are being deployed to restrict job mobility and competition, with adverse consequences for productivity and wages. </w:t>
      </w:r>
      <w:r w:rsidR="003A4206">
        <w:t xml:space="preserve">While much of the evidence pertains to the United States, </w:t>
      </w:r>
      <w:r w:rsidR="003A4206" w:rsidRPr="003A4206">
        <w:t>an e61 Institute report</w:t>
      </w:r>
      <w:r w:rsidR="003A4206">
        <w:t xml:space="preserve"> i</w:t>
      </w:r>
      <w:r w:rsidR="003A4206" w:rsidRPr="003A4206">
        <w:t>n June 2023 revealed that 22% of Australian workers – including many low wage workers – were subject to NCCs, while one-half of the workforce was bound by some form of restraint clause (Andrews &amp; Jarvis, 2023). T</w:t>
      </w:r>
      <w:r w:rsidR="003A4206">
        <w:t>hese results we</w:t>
      </w:r>
      <w:r w:rsidR="00F1684F">
        <w:t>re</w:t>
      </w:r>
      <w:r w:rsidR="003A4206">
        <w:t xml:space="preserve"> later confirmed by a large firm-level survey run by the ABS, which amongst other things showed that the prevalence of NCCs in the Australian economy has risen over time.</w:t>
      </w:r>
    </w:p>
    <w:p w14:paraId="5612D876" w14:textId="6034610A" w:rsidR="003A4206" w:rsidRPr="003A4206" w:rsidRDefault="003A4206" w:rsidP="003A4206">
      <w:pPr>
        <w:pStyle w:val="Para"/>
        <w:numPr>
          <w:ilvl w:val="0"/>
          <w:numId w:val="0"/>
        </w:numPr>
        <w:spacing w:after="0"/>
        <w:jc w:val="center"/>
        <w:rPr>
          <w:b/>
          <w:bCs/>
          <w:color w:val="4E81BD" w:themeColor="accent1"/>
        </w:rPr>
      </w:pPr>
      <w:r w:rsidRPr="003A4206">
        <w:rPr>
          <w:b/>
          <w:bCs/>
          <w:color w:val="4E81BD" w:themeColor="accent1"/>
        </w:rPr>
        <w:t>Figure </w:t>
      </w:r>
      <w:r w:rsidRPr="003A4206">
        <w:rPr>
          <w:b/>
          <w:bCs/>
          <w:color w:val="4E81BD" w:themeColor="accent1"/>
        </w:rPr>
        <w:fldChar w:fldCharType="begin"/>
      </w:r>
      <w:r w:rsidRPr="003A4206">
        <w:rPr>
          <w:b/>
          <w:bCs/>
          <w:color w:val="4E81BD" w:themeColor="accent1"/>
        </w:rPr>
        <w:instrText xml:space="preserve"> SEQ Figure \* ARABIC </w:instrText>
      </w:r>
      <w:r w:rsidRPr="003A4206">
        <w:rPr>
          <w:b/>
          <w:bCs/>
          <w:color w:val="4E81BD" w:themeColor="accent1"/>
        </w:rPr>
        <w:fldChar w:fldCharType="separate"/>
      </w:r>
      <w:r w:rsidR="00CE1583">
        <w:rPr>
          <w:b/>
          <w:bCs/>
          <w:noProof/>
          <w:color w:val="4E81BD" w:themeColor="accent1"/>
        </w:rPr>
        <w:t>3</w:t>
      </w:r>
      <w:r w:rsidRPr="003A4206">
        <w:rPr>
          <w:b/>
          <w:bCs/>
          <w:color w:val="4E81BD" w:themeColor="accent1"/>
        </w:rPr>
        <w:fldChar w:fldCharType="end"/>
      </w:r>
      <w:r w:rsidRPr="003A4206">
        <w:rPr>
          <w:b/>
          <w:bCs/>
          <w:color w:val="4E81BD" w:themeColor="accent1"/>
        </w:rPr>
        <w:t>. Two views on non-compete clauses (NCCs)</w:t>
      </w:r>
    </w:p>
    <w:p w14:paraId="48CAF399" w14:textId="4CE57EE9" w:rsidR="003A4206" w:rsidRDefault="003A4206" w:rsidP="00940537">
      <w:pPr>
        <w:pStyle w:val="Para"/>
        <w:numPr>
          <w:ilvl w:val="0"/>
          <w:numId w:val="0"/>
        </w:numPr>
        <w:spacing w:before="0" w:after="240"/>
        <w:jc w:val="center"/>
      </w:pPr>
      <w:r>
        <w:rPr>
          <w:noProof/>
        </w:rPr>
        <w:drawing>
          <wp:inline distT="0" distB="0" distL="0" distR="0" wp14:anchorId="464AE4AB" wp14:editId="4DE63EF6">
            <wp:extent cx="4972290" cy="1483177"/>
            <wp:effectExtent l="0" t="0" r="0" b="3175"/>
            <wp:docPr id="1786116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5255" cy="1495993"/>
                    </a:xfrm>
                    <a:prstGeom prst="rect">
                      <a:avLst/>
                    </a:prstGeom>
                    <a:noFill/>
                  </pic:spPr>
                </pic:pic>
              </a:graphicData>
            </a:graphic>
          </wp:inline>
        </w:drawing>
      </w:r>
    </w:p>
    <w:p w14:paraId="49EEB295" w14:textId="27325272" w:rsidR="003A4206" w:rsidRDefault="00CF5470" w:rsidP="003A4206">
      <w:pPr>
        <w:pStyle w:val="Para"/>
      </w:pPr>
      <w:r>
        <w:t>In a recent paper with e61 Institute researchers Jack Buckley and Ewan Rankin, we provided the first Australian evidence on the potential impacts of NCCs on job mobility and wages.</w:t>
      </w:r>
      <w:r w:rsidR="003A4206">
        <w:t xml:space="preserve"> To do so, we</w:t>
      </w:r>
      <w:r w:rsidR="00EF0A03" w:rsidRPr="00EF0A03">
        <w:t xml:space="preserve"> exploited differences in outcomes between firms that use different types of clauses, for instance firms that only employ NDAs with firms that employ NDAs and other restraints such as NCCs</w:t>
      </w:r>
      <w:r w:rsidR="00307D6A">
        <w:t xml:space="preserve"> (see Figure 3 for how Australian firms combine NDAs and NCCs)</w:t>
      </w:r>
      <w:r w:rsidR="00EF0A03" w:rsidRPr="00EF0A03">
        <w:t xml:space="preserve">. This provides a more reliable comparison if it effectively nets out selection into the use of any restrictions: if firms have some valuable to protect (e.g. trade secrets, IP), then their first response will be to deploy some form of restraint, but that they may well be neutral to the exact instrument or combination of instruments. </w:t>
      </w:r>
      <w:r w:rsidR="003A4206">
        <w:t>Three key results emerged f</w:t>
      </w:r>
      <w:r w:rsidR="00800729">
        <w:t>rom our analysis:</w:t>
      </w:r>
    </w:p>
    <w:p w14:paraId="03EC4FA3" w14:textId="06854A38" w:rsidR="00800729" w:rsidRPr="00800729" w:rsidRDefault="00800729" w:rsidP="00800729">
      <w:pPr>
        <w:pStyle w:val="BulletedList"/>
        <w:rPr>
          <w:lang w:val="en-US"/>
        </w:rPr>
      </w:pPr>
      <w:r w:rsidRPr="00800729">
        <w:rPr>
          <w:lang w:val="en-US"/>
        </w:rPr>
        <w:t>Increased use of NCCs is associated with a subsequent decline in job mobility, including for job switches to firms within the same industry</w:t>
      </w:r>
      <w:r>
        <w:rPr>
          <w:lang w:val="en-US"/>
        </w:rPr>
        <w:t xml:space="preserve"> (Figure 3)</w:t>
      </w:r>
      <w:r w:rsidRPr="00800729">
        <w:rPr>
          <w:lang w:val="en-US"/>
        </w:rPr>
        <w:t>. By contrast, increased use of non-disclosure agreements (NDAs) — an alternative method for firms to protect trade secrets — is not associated with a significant decline in job mobility.</w:t>
      </w:r>
    </w:p>
    <w:p w14:paraId="491C90EB" w14:textId="1421B8DF" w:rsidR="00164271" w:rsidRDefault="00164271" w:rsidP="00164271">
      <w:pPr>
        <w:pStyle w:val="Caption"/>
        <w:spacing w:before="240" w:after="120"/>
        <w:jc w:val="center"/>
      </w:pPr>
      <w:r w:rsidRPr="00F16F68">
        <w:t>Figure </w:t>
      </w:r>
      <w:r w:rsidRPr="00F16F68">
        <w:fldChar w:fldCharType="begin"/>
      </w:r>
      <w:r w:rsidRPr="00F16F68">
        <w:instrText xml:space="preserve"> SEQ Figure \* ARABIC </w:instrText>
      </w:r>
      <w:r w:rsidRPr="00F16F68">
        <w:fldChar w:fldCharType="separate"/>
      </w:r>
      <w:r w:rsidR="00CE1583">
        <w:rPr>
          <w:noProof/>
        </w:rPr>
        <w:t>4</w:t>
      </w:r>
      <w:r w:rsidRPr="00F16F68">
        <w:fldChar w:fldCharType="end"/>
      </w:r>
      <w:r w:rsidRPr="00F16F68">
        <w:t xml:space="preserve">. </w:t>
      </w:r>
      <w:r w:rsidR="00CA160F">
        <w:t>Non-compete clauses: prevalence and impacts</w:t>
      </w:r>
    </w:p>
    <w:tbl>
      <w:tblPr>
        <w:tblStyle w:val="OECD"/>
        <w:tblW w:w="0" w:type="auto"/>
        <w:tblLook w:val="04A0" w:firstRow="1" w:lastRow="0" w:firstColumn="1" w:lastColumn="0" w:noHBand="0" w:noVBand="1"/>
      </w:tblPr>
      <w:tblGrid>
        <w:gridCol w:w="4431"/>
        <w:gridCol w:w="4867"/>
      </w:tblGrid>
      <w:tr w:rsidR="00AD54FB" w14:paraId="4A548274" w14:textId="77777777" w:rsidTr="00AD54FB">
        <w:trPr>
          <w:cnfStyle w:val="100000000000" w:firstRow="1" w:lastRow="0" w:firstColumn="0" w:lastColumn="0" w:oddVBand="0" w:evenVBand="0" w:oddHBand="0" w:evenHBand="0" w:firstRowFirstColumn="0" w:firstRowLastColumn="0" w:lastRowFirstColumn="0" w:lastRowLastColumn="0"/>
        </w:trPr>
        <w:tc>
          <w:tcPr>
            <w:tcW w:w="4649" w:type="dxa"/>
          </w:tcPr>
          <w:p w14:paraId="469AE732" w14:textId="77777777" w:rsidR="00AD54FB" w:rsidRDefault="00AD54FB" w:rsidP="00C96DAC">
            <w:pPr>
              <w:pStyle w:val="Sourcenotes"/>
              <w:spacing w:before="0" w:after="180"/>
              <w:jc w:val="center"/>
              <w:rPr>
                <w:i/>
                <w:iCs/>
              </w:rPr>
            </w:pPr>
          </w:p>
          <w:p w14:paraId="55C649EF" w14:textId="77777777" w:rsidR="00800729" w:rsidRDefault="00800729" w:rsidP="00C96DAC">
            <w:pPr>
              <w:pStyle w:val="Sourcenotes"/>
              <w:spacing w:before="0" w:after="180"/>
              <w:jc w:val="center"/>
              <w:rPr>
                <w:i/>
                <w:iCs/>
              </w:rPr>
            </w:pPr>
          </w:p>
          <w:p w14:paraId="689E9EB0" w14:textId="77777777" w:rsidR="00800729" w:rsidRDefault="00800729" w:rsidP="00C96DAC">
            <w:pPr>
              <w:pStyle w:val="Sourcenotes"/>
              <w:spacing w:before="0" w:after="180"/>
              <w:jc w:val="center"/>
              <w:rPr>
                <w:i/>
                <w:iCs/>
              </w:rPr>
            </w:pPr>
          </w:p>
          <w:p w14:paraId="2D4DE2CE" w14:textId="77777777" w:rsidR="00AD54FB" w:rsidRDefault="00AD54FB" w:rsidP="00C96DAC">
            <w:pPr>
              <w:pStyle w:val="Sourcenotes"/>
              <w:spacing w:before="0" w:after="180"/>
              <w:jc w:val="center"/>
              <w:rPr>
                <w:i/>
                <w:iCs/>
              </w:rPr>
            </w:pPr>
          </w:p>
          <w:p w14:paraId="262E15F9" w14:textId="77777777" w:rsidR="00AD54FB" w:rsidRDefault="00AD54FB" w:rsidP="00C96DAC">
            <w:pPr>
              <w:pStyle w:val="Sourcenotes"/>
              <w:spacing w:before="0" w:after="180"/>
              <w:jc w:val="center"/>
              <w:rPr>
                <w:i/>
                <w:iCs/>
              </w:rPr>
            </w:pPr>
          </w:p>
          <w:p w14:paraId="1468EBE5" w14:textId="77777777" w:rsidR="00AD54FB" w:rsidRDefault="00AD54FB" w:rsidP="00C96DAC">
            <w:pPr>
              <w:pStyle w:val="Sourcenotes"/>
              <w:spacing w:before="0" w:after="180"/>
              <w:jc w:val="center"/>
              <w:rPr>
                <w:i/>
                <w:iCs/>
              </w:rPr>
            </w:pPr>
          </w:p>
          <w:p w14:paraId="47BADCE5" w14:textId="77777777" w:rsidR="00AD54FB" w:rsidRDefault="00AD54FB" w:rsidP="00C96DAC">
            <w:pPr>
              <w:pStyle w:val="Sourcenotes"/>
              <w:spacing w:before="0" w:after="180"/>
              <w:jc w:val="center"/>
              <w:rPr>
                <w:i/>
                <w:iCs/>
              </w:rPr>
            </w:pPr>
          </w:p>
          <w:p w14:paraId="66509898" w14:textId="77777777" w:rsidR="00AD54FB" w:rsidRDefault="00AD54FB" w:rsidP="00C96DAC">
            <w:pPr>
              <w:pStyle w:val="Sourcenotes"/>
              <w:spacing w:before="0" w:after="180"/>
              <w:jc w:val="center"/>
              <w:rPr>
                <w:i/>
                <w:iCs/>
              </w:rPr>
            </w:pPr>
          </w:p>
          <w:p w14:paraId="7F79D9B4" w14:textId="77777777" w:rsidR="00AD54FB" w:rsidRDefault="00AD54FB" w:rsidP="00C96DAC">
            <w:pPr>
              <w:pStyle w:val="Sourcenotes"/>
              <w:spacing w:before="0" w:after="180"/>
              <w:jc w:val="center"/>
              <w:rPr>
                <w:i/>
                <w:iCs/>
              </w:rPr>
            </w:pPr>
          </w:p>
          <w:p w14:paraId="58A2446F" w14:textId="77777777" w:rsidR="00AD54FB" w:rsidRDefault="00AD54FB" w:rsidP="00C96DAC">
            <w:pPr>
              <w:pStyle w:val="Sourcenotes"/>
              <w:spacing w:before="0" w:after="180"/>
              <w:jc w:val="center"/>
              <w:rPr>
                <w:i/>
                <w:iCs/>
              </w:rPr>
            </w:pPr>
          </w:p>
          <w:p w14:paraId="74CF7843" w14:textId="77777777" w:rsidR="00AD54FB" w:rsidRDefault="00AD54FB" w:rsidP="00C96DAC">
            <w:pPr>
              <w:pStyle w:val="Sourcenotes"/>
              <w:spacing w:before="0" w:after="180"/>
              <w:jc w:val="center"/>
              <w:rPr>
                <w:i/>
                <w:iCs/>
              </w:rPr>
            </w:pPr>
          </w:p>
          <w:p w14:paraId="1E5301E0" w14:textId="77777777" w:rsidR="00AD54FB" w:rsidRDefault="00AD54FB" w:rsidP="00C96DAC">
            <w:pPr>
              <w:pStyle w:val="Sourcenotes"/>
              <w:spacing w:before="0" w:after="180"/>
              <w:jc w:val="center"/>
              <w:rPr>
                <w:i/>
                <w:iCs/>
              </w:rPr>
            </w:pPr>
          </w:p>
          <w:p w14:paraId="31BD3A2F" w14:textId="77777777" w:rsidR="00AD54FB" w:rsidRDefault="00AD54FB" w:rsidP="00C96DAC">
            <w:pPr>
              <w:pStyle w:val="Sourcenotes"/>
              <w:spacing w:before="0" w:after="180"/>
              <w:jc w:val="center"/>
              <w:rPr>
                <w:i/>
                <w:iCs/>
              </w:rPr>
            </w:pPr>
          </w:p>
          <w:p w14:paraId="6AC35667" w14:textId="77777777" w:rsidR="00AD54FB" w:rsidRDefault="00AD54FB" w:rsidP="00C96DAC">
            <w:pPr>
              <w:pStyle w:val="Sourcenotes"/>
              <w:spacing w:before="0" w:after="180"/>
              <w:jc w:val="center"/>
              <w:rPr>
                <w:i/>
                <w:iCs/>
              </w:rPr>
            </w:pPr>
          </w:p>
          <w:p w14:paraId="61033C1B" w14:textId="557BB2F2" w:rsidR="00AD54FB" w:rsidRDefault="00800729" w:rsidP="00C96DAC">
            <w:pPr>
              <w:pStyle w:val="Sourcenotes"/>
              <w:spacing w:before="0" w:after="180"/>
              <w:jc w:val="center"/>
              <w:rPr>
                <w:i/>
                <w:iCs/>
              </w:rPr>
            </w:pPr>
            <w:r>
              <w:rPr>
                <w:i/>
                <w:iCs/>
                <w:noProof/>
              </w:rPr>
              <w:drawing>
                <wp:inline distT="0" distB="0" distL="0" distR="0" wp14:anchorId="058CC91B" wp14:editId="050BC676">
                  <wp:extent cx="2758066" cy="2188218"/>
                  <wp:effectExtent l="0" t="0" r="4445" b="2540"/>
                  <wp:docPr id="2487238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4592" cy="2201329"/>
                          </a:xfrm>
                          <a:prstGeom prst="rect">
                            <a:avLst/>
                          </a:prstGeom>
                          <a:noFill/>
                        </pic:spPr>
                      </pic:pic>
                    </a:graphicData>
                  </a:graphic>
                </wp:inline>
              </w:drawing>
            </w:r>
          </w:p>
          <w:p w14:paraId="11836CA1" w14:textId="77777777" w:rsidR="00AD54FB" w:rsidRDefault="00AD54FB" w:rsidP="00AD54FB">
            <w:pPr>
              <w:pStyle w:val="Sourcenotes"/>
              <w:spacing w:before="0" w:after="180"/>
              <w:rPr>
                <w:i/>
                <w:iCs/>
              </w:rPr>
            </w:pPr>
          </w:p>
        </w:tc>
        <w:tc>
          <w:tcPr>
            <w:tcW w:w="4649" w:type="dxa"/>
          </w:tcPr>
          <w:p w14:paraId="7BB605C9" w14:textId="77777777" w:rsidR="00AD54FB" w:rsidRDefault="00AD54FB" w:rsidP="00C96DAC">
            <w:pPr>
              <w:pStyle w:val="Sourcenotes"/>
              <w:spacing w:before="0" w:after="180"/>
              <w:jc w:val="center"/>
              <w:rPr>
                <w:i/>
                <w:iCs/>
              </w:rPr>
            </w:pPr>
          </w:p>
          <w:p w14:paraId="1FFFE05B" w14:textId="77777777" w:rsidR="00AD54FB" w:rsidRDefault="00AD54FB" w:rsidP="00C96DAC">
            <w:pPr>
              <w:pStyle w:val="Sourcenotes"/>
              <w:spacing w:before="0" w:after="180"/>
              <w:jc w:val="center"/>
              <w:rPr>
                <w:i/>
                <w:iCs/>
              </w:rPr>
            </w:pPr>
          </w:p>
          <w:p w14:paraId="04BA9793" w14:textId="77777777" w:rsidR="00AD54FB" w:rsidRDefault="00AD54FB" w:rsidP="00C96DAC">
            <w:pPr>
              <w:pStyle w:val="Sourcenotes"/>
              <w:spacing w:before="0" w:after="180"/>
              <w:jc w:val="center"/>
              <w:rPr>
                <w:i/>
                <w:iCs/>
              </w:rPr>
            </w:pPr>
          </w:p>
          <w:p w14:paraId="3FF08413" w14:textId="77777777" w:rsidR="00AD54FB" w:rsidRDefault="00AD54FB" w:rsidP="00C96DAC">
            <w:pPr>
              <w:pStyle w:val="Sourcenotes"/>
              <w:spacing w:before="0" w:after="180"/>
              <w:jc w:val="center"/>
              <w:rPr>
                <w:i/>
                <w:iCs/>
              </w:rPr>
            </w:pPr>
          </w:p>
          <w:p w14:paraId="03FF4AEF" w14:textId="77777777" w:rsidR="00AD54FB" w:rsidRDefault="00AD54FB" w:rsidP="00C96DAC">
            <w:pPr>
              <w:pStyle w:val="Sourcenotes"/>
              <w:spacing w:before="0" w:after="180"/>
              <w:jc w:val="center"/>
              <w:rPr>
                <w:i/>
                <w:iCs/>
              </w:rPr>
            </w:pPr>
          </w:p>
          <w:p w14:paraId="0329C0BA" w14:textId="77777777" w:rsidR="00AD54FB" w:rsidRDefault="00AD54FB" w:rsidP="00C96DAC">
            <w:pPr>
              <w:pStyle w:val="Sourcenotes"/>
              <w:spacing w:before="0" w:after="180"/>
              <w:jc w:val="center"/>
              <w:rPr>
                <w:i/>
                <w:iCs/>
              </w:rPr>
            </w:pPr>
          </w:p>
          <w:p w14:paraId="0AB8E0F9" w14:textId="77777777" w:rsidR="00AD54FB" w:rsidRDefault="00AD54FB" w:rsidP="00C96DAC">
            <w:pPr>
              <w:pStyle w:val="Sourcenotes"/>
              <w:spacing w:before="0" w:after="180"/>
              <w:jc w:val="center"/>
              <w:rPr>
                <w:i/>
                <w:iCs/>
              </w:rPr>
            </w:pPr>
          </w:p>
          <w:p w14:paraId="7024E734" w14:textId="77777777" w:rsidR="00AD54FB" w:rsidRDefault="00AD54FB" w:rsidP="00C96DAC">
            <w:pPr>
              <w:pStyle w:val="Sourcenotes"/>
              <w:spacing w:before="0" w:after="180"/>
              <w:jc w:val="center"/>
              <w:rPr>
                <w:i/>
                <w:iCs/>
              </w:rPr>
            </w:pPr>
          </w:p>
          <w:p w14:paraId="28ACB1DA" w14:textId="77777777" w:rsidR="00AD54FB" w:rsidRDefault="00AD54FB" w:rsidP="00C96DAC">
            <w:pPr>
              <w:pStyle w:val="Sourcenotes"/>
              <w:spacing w:before="0" w:after="180"/>
              <w:jc w:val="center"/>
              <w:rPr>
                <w:i/>
                <w:iCs/>
              </w:rPr>
            </w:pPr>
          </w:p>
          <w:p w14:paraId="36FBB313" w14:textId="77777777" w:rsidR="00AD54FB" w:rsidRDefault="00AD54FB" w:rsidP="00C96DAC">
            <w:pPr>
              <w:pStyle w:val="Sourcenotes"/>
              <w:spacing w:before="0" w:after="180"/>
              <w:jc w:val="center"/>
              <w:rPr>
                <w:i/>
                <w:iCs/>
              </w:rPr>
            </w:pPr>
          </w:p>
          <w:p w14:paraId="50295E88" w14:textId="77777777" w:rsidR="00AD54FB" w:rsidRDefault="00AD54FB" w:rsidP="00C96DAC">
            <w:pPr>
              <w:pStyle w:val="Sourcenotes"/>
              <w:spacing w:before="0" w:after="180"/>
              <w:jc w:val="center"/>
              <w:rPr>
                <w:i/>
                <w:iCs/>
              </w:rPr>
            </w:pPr>
          </w:p>
          <w:p w14:paraId="01EDFE03" w14:textId="77777777" w:rsidR="00AD54FB" w:rsidRDefault="00AD54FB" w:rsidP="00C96DAC">
            <w:pPr>
              <w:pStyle w:val="Sourcenotes"/>
              <w:spacing w:before="0" w:after="180"/>
              <w:jc w:val="center"/>
              <w:rPr>
                <w:i/>
                <w:iCs/>
              </w:rPr>
            </w:pPr>
          </w:p>
          <w:p w14:paraId="79EB1368" w14:textId="6449DA3A" w:rsidR="00AD54FB" w:rsidRDefault="00AD54FB" w:rsidP="00C96DAC">
            <w:pPr>
              <w:pStyle w:val="Sourcenotes"/>
              <w:spacing w:before="0" w:after="180"/>
              <w:jc w:val="center"/>
              <w:rPr>
                <w:i/>
                <w:iCs/>
              </w:rPr>
            </w:pPr>
            <w:r>
              <w:rPr>
                <w:i/>
                <w:iCs/>
                <w:noProof/>
              </w:rPr>
              <w:drawing>
                <wp:inline distT="0" distB="0" distL="0" distR="0" wp14:anchorId="1B351C45" wp14:editId="558851A7">
                  <wp:extent cx="3047462" cy="1781230"/>
                  <wp:effectExtent l="0" t="0" r="635" b="0"/>
                  <wp:docPr id="16662770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7462" cy="1781230"/>
                          </a:xfrm>
                          <a:prstGeom prst="rect">
                            <a:avLst/>
                          </a:prstGeom>
                          <a:noFill/>
                        </pic:spPr>
                      </pic:pic>
                    </a:graphicData>
                  </a:graphic>
                </wp:inline>
              </w:drawing>
            </w:r>
          </w:p>
        </w:tc>
      </w:tr>
    </w:tbl>
    <w:p w14:paraId="0C0ED358" w14:textId="2E2A7604" w:rsidR="00164271" w:rsidRDefault="00800729" w:rsidP="0075062B">
      <w:pPr>
        <w:pStyle w:val="Sourcenotes"/>
        <w:spacing w:before="0" w:after="240"/>
        <w:contextualSpacing w:val="0"/>
      </w:pPr>
      <w:r>
        <w:rPr>
          <w:i/>
          <w:iCs/>
        </w:rPr>
        <w:t>Source</w:t>
      </w:r>
      <w:r w:rsidR="00164271" w:rsidRPr="00CB3218">
        <w:rPr>
          <w:i/>
          <w:iCs/>
        </w:rPr>
        <w:t>:</w:t>
      </w:r>
      <w:r w:rsidR="00164271" w:rsidRPr="00CB3218">
        <w:t xml:space="preserve"> </w:t>
      </w:r>
      <w:r>
        <w:t>Buckley, Rankin and Andrews (2024).</w:t>
      </w:r>
    </w:p>
    <w:p w14:paraId="352C6276" w14:textId="77777777" w:rsidR="0075062B" w:rsidRPr="00800729" w:rsidRDefault="0075062B" w:rsidP="0075062B">
      <w:pPr>
        <w:pStyle w:val="BulletedList"/>
        <w:spacing w:before="120"/>
        <w:rPr>
          <w:lang w:val="en-US"/>
        </w:rPr>
      </w:pPr>
      <w:r w:rsidRPr="00800729">
        <w:rPr>
          <w:lang w:val="en-US"/>
        </w:rPr>
        <w:t>Workers at firms that use NCCs extensively are paid 4 per cent less on average than similar workers at similar firms that only use NDAs</w:t>
      </w:r>
      <w:r>
        <w:rPr>
          <w:lang w:val="en-US"/>
        </w:rPr>
        <w:t>, which is broadly consistent with US evidence (</w:t>
      </w:r>
      <w:r w:rsidRPr="00EF0A03">
        <w:t>Balasubramanian, Starr and Yamaguchi, 2024</w:t>
      </w:r>
      <w:r>
        <w:rPr>
          <w:lang w:val="en-US"/>
        </w:rPr>
        <w:t>)</w:t>
      </w:r>
      <w:r w:rsidRPr="00800729">
        <w:rPr>
          <w:lang w:val="en-US"/>
        </w:rPr>
        <w:t>. Workers at these two groups of firms start out with similar wages, but workers at NCC using firms experience slower wages growth over the first few years of their employment</w:t>
      </w:r>
      <w:r>
        <w:rPr>
          <w:lang w:val="en-US"/>
        </w:rPr>
        <w:t xml:space="preserve"> (Figure 4)</w:t>
      </w:r>
      <w:r w:rsidRPr="00800729">
        <w:rPr>
          <w:lang w:val="en-US"/>
        </w:rPr>
        <w:t>.</w:t>
      </w:r>
    </w:p>
    <w:p w14:paraId="02CA0B1C" w14:textId="77777777" w:rsidR="0075062B" w:rsidRPr="00800729" w:rsidRDefault="0075062B" w:rsidP="0075062B">
      <w:pPr>
        <w:pStyle w:val="BulletedList"/>
        <w:rPr>
          <w:lang w:val="en-US"/>
        </w:rPr>
      </w:pPr>
      <w:r w:rsidRPr="00800729">
        <w:rPr>
          <w:lang w:val="en-US"/>
        </w:rPr>
        <w:t>NCCs have different associations for high- and low-skill workers. Low-skill workers see larger declines in job mobility and wages, while high-skill workers spend more time in between jobs when leaving an NCC using firm.</w:t>
      </w:r>
    </w:p>
    <w:p w14:paraId="1D8B1774" w14:textId="6CC62C7B" w:rsidR="00AD54FB" w:rsidRDefault="00AD54FB" w:rsidP="00AD54FB">
      <w:pPr>
        <w:pStyle w:val="Caption"/>
        <w:spacing w:before="240" w:after="120"/>
        <w:jc w:val="center"/>
      </w:pPr>
      <w:r w:rsidRPr="00F16F68">
        <w:t>Figure </w:t>
      </w:r>
      <w:r w:rsidRPr="00F16F68">
        <w:fldChar w:fldCharType="begin"/>
      </w:r>
      <w:r w:rsidRPr="00F16F68">
        <w:instrText xml:space="preserve"> SEQ Figure \* ARABIC </w:instrText>
      </w:r>
      <w:r w:rsidRPr="00F16F68">
        <w:fldChar w:fldCharType="separate"/>
      </w:r>
      <w:r w:rsidR="00CE1583">
        <w:rPr>
          <w:noProof/>
        </w:rPr>
        <w:t>5</w:t>
      </w:r>
      <w:r w:rsidRPr="00F16F68">
        <w:fldChar w:fldCharType="end"/>
      </w:r>
      <w:r w:rsidRPr="00F16F68">
        <w:t xml:space="preserve">. </w:t>
      </w:r>
      <w:r>
        <w:t>Firms use of worker restraints and wage-tenure profiles</w:t>
      </w:r>
    </w:p>
    <w:tbl>
      <w:tblPr>
        <w:tblStyle w:val="OECD"/>
        <w:tblW w:w="0" w:type="auto"/>
        <w:tblLook w:val="04A0" w:firstRow="1" w:lastRow="0" w:firstColumn="1" w:lastColumn="0" w:noHBand="0" w:noVBand="1"/>
      </w:tblPr>
      <w:tblGrid>
        <w:gridCol w:w="9298"/>
      </w:tblGrid>
      <w:tr w:rsidR="000B3A44" w14:paraId="3FB3629A" w14:textId="77777777" w:rsidTr="000B3A44">
        <w:trPr>
          <w:cnfStyle w:val="100000000000" w:firstRow="1" w:lastRow="0" w:firstColumn="0" w:lastColumn="0" w:oddVBand="0" w:evenVBand="0" w:oddHBand="0" w:evenHBand="0" w:firstRowFirstColumn="0" w:firstRowLastColumn="0" w:lastRowFirstColumn="0" w:lastRowLastColumn="0"/>
        </w:trPr>
        <w:tc>
          <w:tcPr>
            <w:tcW w:w="9298" w:type="dxa"/>
          </w:tcPr>
          <w:p w14:paraId="2D3AB15F" w14:textId="150A997B" w:rsidR="000B3A44" w:rsidRDefault="000B3A44" w:rsidP="000B3A44">
            <w:pPr>
              <w:pStyle w:val="Sourcenotes"/>
              <w:spacing w:before="3000" w:after="180"/>
              <w:contextualSpacing w:val="0"/>
              <w:jc w:val="center"/>
              <w:rPr>
                <w:i/>
                <w:iCs/>
              </w:rPr>
            </w:pPr>
            <w:r>
              <w:rPr>
                <w:i/>
                <w:iCs/>
                <w:noProof/>
              </w:rPr>
              <w:drawing>
                <wp:inline distT="0" distB="0" distL="0" distR="0" wp14:anchorId="52AEBAFB" wp14:editId="14480AF9">
                  <wp:extent cx="4924037" cy="1977485"/>
                  <wp:effectExtent l="0" t="0" r="0" b="3810"/>
                  <wp:docPr id="142942477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1700" cy="1980563"/>
                          </a:xfrm>
                          <a:prstGeom prst="rect">
                            <a:avLst/>
                          </a:prstGeom>
                          <a:noFill/>
                        </pic:spPr>
                      </pic:pic>
                    </a:graphicData>
                  </a:graphic>
                </wp:inline>
              </w:drawing>
            </w:r>
          </w:p>
        </w:tc>
      </w:tr>
    </w:tbl>
    <w:p w14:paraId="0E3CD214" w14:textId="77777777" w:rsidR="00800729" w:rsidRDefault="00800729" w:rsidP="00800729">
      <w:pPr>
        <w:pStyle w:val="Sourcenotes"/>
        <w:spacing w:before="0" w:after="180"/>
      </w:pPr>
      <w:r>
        <w:rPr>
          <w:i/>
          <w:iCs/>
        </w:rPr>
        <w:t>Source</w:t>
      </w:r>
      <w:r w:rsidRPr="00CB3218">
        <w:rPr>
          <w:i/>
          <w:iCs/>
        </w:rPr>
        <w:t>:</w:t>
      </w:r>
      <w:r w:rsidRPr="00CB3218">
        <w:t xml:space="preserve"> </w:t>
      </w:r>
      <w:r>
        <w:t>Buckley, Rankin and Andrews (2024).</w:t>
      </w:r>
    </w:p>
    <w:p w14:paraId="2B349145" w14:textId="6EC9D5DD" w:rsidR="00164271" w:rsidRPr="00800729" w:rsidRDefault="00800729" w:rsidP="003E386D">
      <w:pPr>
        <w:pStyle w:val="Para"/>
        <w:spacing w:before="240"/>
      </w:pPr>
      <w:r w:rsidRPr="00800729">
        <w:t xml:space="preserve">Overall, our findings are consistent with the notion that NCCs may reduce worker bargaining power by distorting labour market competition. This finding is particularly significant </w:t>
      </w:r>
      <w:proofErr w:type="gramStart"/>
      <w:r w:rsidRPr="00800729">
        <w:t>in light of</w:t>
      </w:r>
      <w:proofErr w:type="gramEnd"/>
      <w:r w:rsidRPr="00800729">
        <w:t xml:space="preserve"> US evidence which suggests that a combination of NDAs and NCCs does not protect trade secrets any more than NDAs alone (Cowgill, Freiberg and Starr, forthcoming). </w:t>
      </w:r>
      <w:r>
        <w:t xml:space="preserve">It also </w:t>
      </w:r>
      <w:r w:rsidR="00DC1F41" w:rsidRPr="00800729">
        <w:t xml:space="preserve">raises the prospect that there may be less distortionary tools to protect trade secrets than </w:t>
      </w:r>
      <w:r w:rsidR="00F1684F">
        <w:t>NCC</w:t>
      </w:r>
      <w:r w:rsidR="00DC1F41" w:rsidRPr="00800729">
        <w:t>s.</w:t>
      </w:r>
    </w:p>
    <w:p w14:paraId="734A4E84" w14:textId="4E1549D0" w:rsidR="001F6038" w:rsidRDefault="001F6038" w:rsidP="001F6038">
      <w:pPr>
        <w:pStyle w:val="Heading3"/>
      </w:pPr>
      <w:bookmarkStart w:id="12" w:name="_Toc208391644"/>
      <w:r>
        <w:t xml:space="preserve">Policy </w:t>
      </w:r>
      <w:r w:rsidR="002E4235">
        <w:t>opt</w:t>
      </w:r>
      <w:r>
        <w:t>ions</w:t>
      </w:r>
      <w:r w:rsidR="00DD12AB">
        <w:t xml:space="preserve"> to restrict worker restraint clauses</w:t>
      </w:r>
      <w:bookmarkEnd w:id="12"/>
    </w:p>
    <w:p w14:paraId="2761B298" w14:textId="501E7FF0" w:rsidR="00C203EE" w:rsidRDefault="0082062D" w:rsidP="00FC1AD0">
      <w:pPr>
        <w:pStyle w:val="Para"/>
      </w:pPr>
      <w:r>
        <w:t>The above evidence brings into closer focus the case to regulate or curtail the use of non-compete clauses and no-poach agreements. As with National Competition Policy in the 1990s, the presumption should be in favour of competition: the burden should thus be on proponents of such restraints to explain why they should exist, as opposed to on those advocating reform (Andrews, Brennan and Buckley, 2024). This matters now more than ever given emerging empirical evidence that points to a potential decline in competition in the Australian economy over the past 15 years (Andrews et al., 2023; Hambur, 2021).</w:t>
      </w:r>
      <w:r w:rsidR="00BE4EBD">
        <w:t xml:space="preserve"> </w:t>
      </w:r>
      <w:r w:rsidR="004F4D0F" w:rsidRPr="00BE4EBD">
        <w:rPr>
          <w:i/>
          <w:iCs/>
        </w:rPr>
        <w:t>If there is a strong case to restrict non-compete clauses, then how do we do this in practice?</w:t>
      </w:r>
      <w:r w:rsidR="000B583E" w:rsidRPr="00BE4EBD">
        <w:rPr>
          <w:i/>
          <w:iCs/>
        </w:rPr>
        <w:t xml:space="preserve"> </w:t>
      </w:r>
      <w:r w:rsidR="00F1684F">
        <w:t>Accordingly, t</w:t>
      </w:r>
      <w:r w:rsidR="00BD0FD3">
        <w:t>his section discusses the merits of</w:t>
      </w:r>
      <w:r w:rsidR="00D06986">
        <w:t xml:space="preserve"> </w:t>
      </w:r>
      <w:r w:rsidR="00BD0FD3">
        <w:t>various</w:t>
      </w:r>
      <w:r w:rsidR="00D06986">
        <w:t xml:space="preserve"> policy responses</w:t>
      </w:r>
      <w:r w:rsidR="00BD0FD3">
        <w:t xml:space="preserve"> –</w:t>
      </w:r>
      <w:r w:rsidR="00D06986">
        <w:t xml:space="preserve"> including an outright ban, a ban for low wage workers or enforced monetisation</w:t>
      </w:r>
      <w:r w:rsidR="00BD0FD3">
        <w:t xml:space="preserve"> – as well as</w:t>
      </w:r>
      <w:r w:rsidR="00DD12AB">
        <w:t xml:space="preserve"> policy considerations pertaining to no poaching agreements.</w:t>
      </w:r>
    </w:p>
    <w:p w14:paraId="7BA09AE6" w14:textId="20C8C103" w:rsidR="00DD12AB" w:rsidRDefault="00DD12AB" w:rsidP="00DD12AB">
      <w:pPr>
        <w:pStyle w:val="Heading4"/>
      </w:pPr>
      <w:r>
        <w:t>Non-compete clauses</w:t>
      </w:r>
    </w:p>
    <w:p w14:paraId="55DE813E" w14:textId="687E33D6" w:rsidR="00BE4EBD" w:rsidRDefault="00BE4EBD" w:rsidP="00706744">
      <w:pPr>
        <w:pStyle w:val="Para"/>
      </w:pPr>
      <w:r>
        <w:t xml:space="preserve">During the discussion, I shared my views on these policy options, </w:t>
      </w:r>
      <w:r w:rsidR="00C203EE">
        <w:t xml:space="preserve">noting that the Federal Government subsequently announced their intention to ban </w:t>
      </w:r>
      <w:r w:rsidR="00CC5E03">
        <w:t>NCCs</w:t>
      </w:r>
      <w:r w:rsidR="00C203EE">
        <w:t xml:space="preserve"> for low wage workers from the 2027</w:t>
      </w:r>
      <w:r w:rsidR="00C5509C">
        <w:t xml:space="preserve">, along the lines of a reform </w:t>
      </w:r>
      <w:r w:rsidR="00C5509C" w:rsidRPr="004F4D0F">
        <w:t>A</w:t>
      </w:r>
      <w:r w:rsidR="00C5509C">
        <w:t>ustria in 2006</w:t>
      </w:r>
      <w:r w:rsidR="00CE1583">
        <w:t xml:space="preserve"> (see: Andrews and </w:t>
      </w:r>
      <w:proofErr w:type="spellStart"/>
      <w:r w:rsidR="00CE1583">
        <w:t>Garnero</w:t>
      </w:r>
      <w:proofErr w:type="spellEnd"/>
      <w:r w:rsidR="00CE1583">
        <w:t>, 2025)</w:t>
      </w:r>
      <w:r>
        <w:t>.</w:t>
      </w:r>
      <w:r w:rsidR="00C203EE">
        <w:t xml:space="preserve"> </w:t>
      </w:r>
      <w:r w:rsidR="00C5509C">
        <w:t xml:space="preserve">Restricting </w:t>
      </w:r>
      <w:r w:rsidR="00CC5E03">
        <w:t>NCCs</w:t>
      </w:r>
      <w:r w:rsidR="00C5509C">
        <w:t xml:space="preserve"> for low wage workers is attractive for equity reasons – for example, the idea that a childcare worker should be bound by a </w:t>
      </w:r>
      <w:r w:rsidR="00CC5E03">
        <w:t>NCC</w:t>
      </w:r>
      <w:r w:rsidR="00C5509C">
        <w:t xml:space="preserve"> rarely “passes the pub test”</w:t>
      </w:r>
      <w:r w:rsidR="00C5509C" w:rsidRPr="00C5509C">
        <w:t xml:space="preserve"> </w:t>
      </w:r>
      <w:r w:rsidR="00C5509C">
        <w:t xml:space="preserve">– </w:t>
      </w:r>
      <w:r w:rsidR="003A1719">
        <w:t>and</w:t>
      </w:r>
      <w:r w:rsidR="00C5509C">
        <w:t xml:space="preserve"> is sensitive to the</w:t>
      </w:r>
      <w:r w:rsidR="003A1719">
        <w:t xml:space="preserve"> idea that there may be some high paying roles where </w:t>
      </w:r>
      <w:r w:rsidR="00CC5E03">
        <w:t>NCCs</w:t>
      </w:r>
      <w:r w:rsidR="003A1719">
        <w:t xml:space="preserve"> can be deployed to protect legitimate business interests (e.g. trade secrets, IP etc). </w:t>
      </w:r>
      <w:r w:rsidR="00C203EE">
        <w:t xml:space="preserve">Such as reform is also attractive from a </w:t>
      </w:r>
      <w:r w:rsidR="00C203EE" w:rsidRPr="004F4D0F">
        <w:t>practical implementation</w:t>
      </w:r>
      <w:r w:rsidR="00C203EE">
        <w:t xml:space="preserve"> perspective</w:t>
      </w:r>
      <w:r w:rsidR="00BD0FD3">
        <w:t>:</w:t>
      </w:r>
      <w:r w:rsidR="00C203EE">
        <w:t xml:space="preserve"> it can be readily executed via an </w:t>
      </w:r>
      <w:r w:rsidR="00C203EE" w:rsidRPr="004F4D0F">
        <w:t>amend</w:t>
      </w:r>
      <w:r w:rsidR="00C203EE">
        <w:t>ment to the Fair Work Act (F</w:t>
      </w:r>
      <w:r w:rsidR="00C203EE" w:rsidRPr="004F4D0F">
        <w:t>WA</w:t>
      </w:r>
      <w:r w:rsidR="00C203EE">
        <w:t xml:space="preserve">), noting that a </w:t>
      </w:r>
      <w:r w:rsidR="00C203EE" w:rsidRPr="004F4D0F">
        <w:t>high-income threshold</w:t>
      </w:r>
      <w:r w:rsidR="00C203EE">
        <w:t xml:space="preserve"> already exists that </w:t>
      </w:r>
      <w:r w:rsidR="00C203EE" w:rsidRPr="002E2243">
        <w:t>limit</w:t>
      </w:r>
      <w:r w:rsidR="00C203EE">
        <w:t>s</w:t>
      </w:r>
      <w:r w:rsidR="00C203EE" w:rsidRPr="002E2243">
        <w:t xml:space="preserve"> </w:t>
      </w:r>
      <w:r w:rsidR="00C203EE">
        <w:t xml:space="preserve">the eligibility of </w:t>
      </w:r>
      <w:r w:rsidR="00C203EE" w:rsidRPr="002E2243">
        <w:t>employee’s</w:t>
      </w:r>
      <w:r w:rsidR="00C203EE">
        <w:t xml:space="preserve"> earning above $175,000</w:t>
      </w:r>
      <w:r w:rsidR="00C203EE" w:rsidRPr="002E2243">
        <w:t xml:space="preserve"> to be protected from unfair dismissal under the terms of the F</w:t>
      </w:r>
      <w:r w:rsidR="00C203EE">
        <w:t>WA</w:t>
      </w:r>
      <w:r w:rsidR="00C203EE" w:rsidRPr="002E2243">
        <w:t>.</w:t>
      </w:r>
    </w:p>
    <w:p w14:paraId="52B3C1B8" w14:textId="6ECC110F" w:rsidR="002935F5" w:rsidRDefault="003A1719" w:rsidP="002F7D75">
      <w:pPr>
        <w:pStyle w:val="Para"/>
      </w:pPr>
      <w:r w:rsidRPr="00CC5E03">
        <w:rPr>
          <w:i/>
          <w:iCs/>
        </w:rPr>
        <w:t>While restricting non-competes for low wage workers is now stated policy preference of the Federal Government, what would be the case for a more broad-based ban</w:t>
      </w:r>
      <w:r>
        <w:t xml:space="preserve">? </w:t>
      </w:r>
      <w:r w:rsidR="000B583E">
        <w:t xml:space="preserve">First, </w:t>
      </w:r>
      <w:r w:rsidR="00CC5E03">
        <w:t>a key argument is</w:t>
      </w:r>
      <w:r w:rsidR="00D06986">
        <w:t xml:space="preserve"> that </w:t>
      </w:r>
      <w:r w:rsidR="00CC5E03">
        <w:t>NCC</w:t>
      </w:r>
      <w:r w:rsidR="00D06986">
        <w:t>s both reduce the bargaining power of low</w:t>
      </w:r>
      <w:r w:rsidR="00040A94">
        <w:t xml:space="preserve"> </w:t>
      </w:r>
      <w:r w:rsidR="00D06986">
        <w:t>skilled workers and hamper productivity growth by restricting the mobility of high skilled labour. While many commentators support restricting NCCs for low wage workers, they are more circumspect when it comes to executives (Starr, 2023). But Shi (2023) makes the case that optimal policy – for executives – is close to a comp</w:t>
      </w:r>
      <w:r w:rsidR="00BE4EBD">
        <w:t>l</w:t>
      </w:r>
      <w:r w:rsidR="00D06986">
        <w:t xml:space="preserve">ete ban, due to the harm to other firms, workers and consumers who are not at the table when the </w:t>
      </w:r>
      <w:r w:rsidR="00CC5E03">
        <w:t>NCC</w:t>
      </w:r>
      <w:r w:rsidR="00040A94">
        <w:t xml:space="preserve"> </w:t>
      </w:r>
      <w:r w:rsidR="00D06986">
        <w:t xml:space="preserve">is being negotiated. Put simply, other firms may value the executive more than the initial employer, implying that </w:t>
      </w:r>
      <w:r w:rsidR="00A834BC">
        <w:t>non-compete</w:t>
      </w:r>
      <w:r w:rsidR="00D06986">
        <w:t xml:space="preserve"> may generate a socially costly misallocation of labour</w:t>
      </w:r>
      <w:r w:rsidR="00BE4EBD">
        <w:t>.</w:t>
      </w:r>
      <w:r w:rsidR="00CC5E03">
        <w:t xml:space="preserve"> </w:t>
      </w:r>
      <w:r w:rsidR="002935F5">
        <w:t>P</w:t>
      </w:r>
      <w:r w:rsidR="00BE4EBD">
        <w:t xml:space="preserve">roponents of </w:t>
      </w:r>
      <w:r>
        <w:t xml:space="preserve">a broad-based ban on </w:t>
      </w:r>
      <w:r w:rsidR="00CC5E03">
        <w:t>NCC</w:t>
      </w:r>
      <w:r>
        <w:t xml:space="preserve">s </w:t>
      </w:r>
      <w:r w:rsidR="002935F5">
        <w:t xml:space="preserve">emphasise </w:t>
      </w:r>
      <w:r w:rsidR="00CC5E03">
        <w:t>that the adverse effects of non-competes on labour productivity – via the channels of job mobility, business dynamism and knowledge diffusion – outweigh any positive impacts on investment</w:t>
      </w:r>
      <w:r w:rsidR="00280D37">
        <w:t xml:space="preserve"> (see: </w:t>
      </w:r>
      <w:r w:rsidR="00CC5E03">
        <w:t>Johnson, Lipsitz and Pei</w:t>
      </w:r>
      <w:r w:rsidR="00280D37">
        <w:t xml:space="preserve">, </w:t>
      </w:r>
      <w:r w:rsidR="00CC5E03">
        <w:t>2023). They also note that firms have at their disposal other tools to protect trade secrets that are effective and less distortionary than NCCs, such as NDAs (see above).</w:t>
      </w:r>
    </w:p>
    <w:p w14:paraId="54A4938F" w14:textId="2C76AC26" w:rsidR="005764A7" w:rsidRDefault="00B543EE" w:rsidP="00BD0FD3">
      <w:pPr>
        <w:pStyle w:val="Para"/>
        <w:spacing w:before="300"/>
      </w:pPr>
      <w:r>
        <w:t xml:space="preserve">I also explored the </w:t>
      </w:r>
      <w:r w:rsidR="00B132C8">
        <w:t>potential for the regulation of NCCs to</w:t>
      </w:r>
      <w:r w:rsidR="005C07BE" w:rsidRPr="005C07BE">
        <w:t xml:space="preserve"> interact with the design of unfair dismissal laws</w:t>
      </w:r>
      <w:r>
        <w:t>, which has received little attention to date</w:t>
      </w:r>
      <w:r w:rsidR="005C07BE" w:rsidRPr="005C07BE">
        <w:t>.</w:t>
      </w:r>
      <w:r w:rsidR="00B132C8">
        <w:t xml:space="preserve"> A key starting point is productivity-enhancing job mobility can arise from both productive workers departing unproductive firms and productive firms shedding unproductive workers. </w:t>
      </w:r>
      <w:r w:rsidR="005F67BC">
        <w:t>From a regulatory perspective, t</w:t>
      </w:r>
      <w:r w:rsidR="00B132C8">
        <w:t xml:space="preserve">he lack of restrictions on </w:t>
      </w:r>
      <w:r w:rsidR="005F67BC">
        <w:t xml:space="preserve">the use of </w:t>
      </w:r>
      <w:r w:rsidR="00B132C8">
        <w:t xml:space="preserve">NCCs </w:t>
      </w:r>
      <w:r w:rsidR="005F67BC">
        <w:t xml:space="preserve">may inhibit the </w:t>
      </w:r>
      <w:r w:rsidR="00B132C8">
        <w:t xml:space="preserve">former while stringent unfair dismissal regulation </w:t>
      </w:r>
      <w:r w:rsidR="005F67BC">
        <w:t xml:space="preserve">can </w:t>
      </w:r>
      <w:r w:rsidR="00B132C8">
        <w:t>hinder the latter.</w:t>
      </w:r>
      <w:r w:rsidR="005F67BC">
        <w:t xml:space="preserve"> It is important to note in the United States, firms can essentially fire workers at will. </w:t>
      </w:r>
      <w:r w:rsidR="00B23F82">
        <w:t>W</w:t>
      </w:r>
      <w:r w:rsidR="005F67BC">
        <w:t>hen</w:t>
      </w:r>
      <w:r w:rsidR="005F67BC" w:rsidRPr="005F67BC">
        <w:t xml:space="preserve"> </w:t>
      </w:r>
      <w:r w:rsidR="005F67BC">
        <w:t xml:space="preserve">the Federal Trade Commission announced a near outright ban of NCCs in April 2024, it </w:t>
      </w:r>
      <w:r w:rsidR="00B23F82">
        <w:t xml:space="preserve">potentially </w:t>
      </w:r>
      <w:r w:rsidR="00F1684F">
        <w:t xml:space="preserve">reduced </w:t>
      </w:r>
      <w:r w:rsidR="005F67BC">
        <w:t xml:space="preserve">a policy asymmetry: </w:t>
      </w:r>
      <w:r w:rsidR="00DE2381">
        <w:t xml:space="preserve">US </w:t>
      </w:r>
      <w:r w:rsidR="005F67BC">
        <w:t>workers gained a</w:t>
      </w:r>
      <w:r w:rsidR="00DE2381">
        <w:t>n</w:t>
      </w:r>
      <w:r w:rsidR="005F67BC">
        <w:t xml:space="preserve"> ability to depart </w:t>
      </w:r>
      <w:r w:rsidR="005764A7">
        <w:t xml:space="preserve">their employer </w:t>
      </w:r>
      <w:r w:rsidR="00DE2381">
        <w:t>on their own terms</w:t>
      </w:r>
      <w:r w:rsidR="005F67BC">
        <w:t xml:space="preserve">, </w:t>
      </w:r>
      <w:r w:rsidR="00DE2381">
        <w:t xml:space="preserve">noting that </w:t>
      </w:r>
      <w:r w:rsidR="005F67BC">
        <w:t>the firms always possessed ability to dismiss</w:t>
      </w:r>
      <w:r w:rsidR="00DE2381">
        <w:t xml:space="preserve"> workers at will.</w:t>
      </w:r>
    </w:p>
    <w:p w14:paraId="76DFA1EC" w14:textId="1596A69D" w:rsidR="00CC5E03" w:rsidRDefault="00DE2381" w:rsidP="00BD0FD3">
      <w:pPr>
        <w:pStyle w:val="Para"/>
        <w:spacing w:before="300"/>
      </w:pPr>
      <w:r>
        <w:t>In Australia,</w:t>
      </w:r>
      <w:r w:rsidR="005764A7">
        <w:t xml:space="preserve"> the situation is complicated</w:t>
      </w:r>
      <w:r w:rsidR="00B23F82">
        <w:t xml:space="preserve"> by the fact that</w:t>
      </w:r>
      <w:r w:rsidR="005764A7">
        <w:t xml:space="preserve"> workers earning below the high</w:t>
      </w:r>
      <w:r w:rsidR="00B23F82">
        <w:t>-</w:t>
      </w:r>
      <w:r w:rsidR="005764A7">
        <w:t xml:space="preserve">income threshold have much stronger protections from </w:t>
      </w:r>
      <w:r w:rsidR="00B23F82">
        <w:t xml:space="preserve">unfair </w:t>
      </w:r>
      <w:r w:rsidR="005764A7">
        <w:t>dismissal than for higher income workers.</w:t>
      </w:r>
      <w:r w:rsidR="00CB6CD6">
        <w:t xml:space="preserve"> Accordingly, Figure 5 illustrates how current and future policy changes to</w:t>
      </w:r>
      <w:r w:rsidR="00B543EE">
        <w:t xml:space="preserve"> restrict</w:t>
      </w:r>
      <w:r w:rsidR="00CB6CD6">
        <w:t xml:space="preserve"> NCC</w:t>
      </w:r>
      <w:r w:rsidR="00B23F82">
        <w:t xml:space="preserve"> </w:t>
      </w:r>
      <w:r w:rsidR="00CB6CD6">
        <w:t xml:space="preserve">could interact with dismissal regulations to affect job mobility. A reform that restricted the use of NCCs for low- and middle-income workers could potentially </w:t>
      </w:r>
      <w:r w:rsidR="00B543EE">
        <w:t xml:space="preserve">boost </w:t>
      </w:r>
      <w:r w:rsidR="00CB6CD6">
        <w:t xml:space="preserve">worker bargaining power, given that such workers already benefit from relatively strong unfair dismissal regulations (see: Andrews and Buckley, 2023). </w:t>
      </w:r>
      <w:r w:rsidR="00B23F82">
        <w:t>All else equal,</w:t>
      </w:r>
      <w:r w:rsidR="005764A7">
        <w:t xml:space="preserve"> </w:t>
      </w:r>
      <w:r w:rsidR="00B23F82">
        <w:t xml:space="preserve">a policy reform that restricted NCCs for all workers could boost job mobility by reducing the policy asymmetry that higher income workers </w:t>
      </w:r>
      <w:r w:rsidR="007B7864">
        <w:t xml:space="preserve">in Australia </w:t>
      </w:r>
      <w:r w:rsidR="00B23F82">
        <w:t>currently face</w:t>
      </w:r>
      <w:r w:rsidR="00372BC9">
        <w:t xml:space="preserve"> as </w:t>
      </w:r>
      <w:r w:rsidR="007B7864">
        <w:t xml:space="preserve">they are relatively easy to fire but also more exposed to NCCs (Figure 5). </w:t>
      </w:r>
    </w:p>
    <w:p w14:paraId="37989B40" w14:textId="5BE1C9BD" w:rsidR="00BD0FD3" w:rsidRDefault="00BD0FD3" w:rsidP="00BD0FD3">
      <w:pPr>
        <w:pStyle w:val="Para"/>
        <w:spacing w:before="300"/>
      </w:pPr>
      <w:r>
        <w:t>A final reform option relates to m</w:t>
      </w:r>
      <w:r w:rsidRPr="004F4D0F">
        <w:t>onetisation</w:t>
      </w:r>
      <w:r>
        <w:t>, noting that</w:t>
      </w:r>
      <w:r w:rsidRPr="004F4D0F">
        <w:t xml:space="preserve"> N</w:t>
      </w:r>
      <w:r>
        <w:t>orway</w:t>
      </w:r>
      <w:r w:rsidRPr="004F4D0F">
        <w:t xml:space="preserve"> introduced requirements for monetary compensation and duration limits </w:t>
      </w:r>
      <w:r>
        <w:t xml:space="preserve">with respect to non-compete clauses </w:t>
      </w:r>
      <w:r w:rsidRPr="004F4D0F">
        <w:t>in 2016</w:t>
      </w:r>
      <w:r w:rsidR="00F1684F">
        <w:t xml:space="preserve"> (Andrews and </w:t>
      </w:r>
      <w:proofErr w:type="spellStart"/>
      <w:r w:rsidR="00F1684F">
        <w:t>Garnero</w:t>
      </w:r>
      <w:proofErr w:type="spellEnd"/>
      <w:r w:rsidR="00F1684F">
        <w:t>, 2025)</w:t>
      </w:r>
      <w:r w:rsidRPr="004F4D0F">
        <w:t>. But as of 2023</w:t>
      </w:r>
      <w:r>
        <w:t xml:space="preserve">, evidence from Norway </w:t>
      </w:r>
      <w:r w:rsidRPr="004F4D0F">
        <w:t>(Menon Economics and Hjort 2023)</w:t>
      </w:r>
      <w:r>
        <w:t xml:space="preserve"> questioned the effectiveness of such a policy response for at least three reasons</w:t>
      </w:r>
      <w:r w:rsidRPr="004F4D0F">
        <w:t xml:space="preserve">: </w:t>
      </w:r>
      <w:proofErr w:type="spellStart"/>
      <w:r w:rsidRPr="00A834BC">
        <w:rPr>
          <w:i/>
          <w:iCs/>
        </w:rPr>
        <w:t>i</w:t>
      </w:r>
      <w:proofErr w:type="spellEnd"/>
      <w:r>
        <w:t>)</w:t>
      </w:r>
      <w:r w:rsidRPr="004F4D0F">
        <w:t xml:space="preserve"> the prevalence of NCCs was little changed</w:t>
      </w:r>
      <w:r>
        <w:t xml:space="preserve">; </w:t>
      </w:r>
      <w:r w:rsidRPr="00A834BC">
        <w:rPr>
          <w:i/>
          <w:iCs/>
        </w:rPr>
        <w:t>i</w:t>
      </w:r>
      <w:r>
        <w:rPr>
          <w:i/>
          <w:iCs/>
        </w:rPr>
        <w:t>i</w:t>
      </w:r>
      <w:r>
        <w:t>)</w:t>
      </w:r>
      <w:r w:rsidRPr="004F4D0F">
        <w:t xml:space="preserve"> two-thirds of businesses </w:t>
      </w:r>
      <w:r>
        <w:t xml:space="preserve">still </w:t>
      </w:r>
      <w:r w:rsidRPr="004F4D0F">
        <w:t>provide</w:t>
      </w:r>
      <w:r>
        <w:t>d</w:t>
      </w:r>
      <w:r w:rsidRPr="004F4D0F">
        <w:t xml:space="preserve"> no compensation</w:t>
      </w:r>
      <w:r>
        <w:t xml:space="preserve">; and </w:t>
      </w:r>
      <w:r w:rsidRPr="00A834BC">
        <w:rPr>
          <w:i/>
          <w:iCs/>
        </w:rPr>
        <w:t>iii</w:t>
      </w:r>
      <w:r>
        <w:t>)</w:t>
      </w:r>
      <w:r w:rsidRPr="004F4D0F">
        <w:t xml:space="preserve"> one-third of </w:t>
      </w:r>
      <w:r>
        <w:t>firms</w:t>
      </w:r>
      <w:r w:rsidRPr="004F4D0F">
        <w:t xml:space="preserve"> report that their clauses</w:t>
      </w:r>
      <w:r>
        <w:t xml:space="preserve"> still</w:t>
      </w:r>
      <w:r w:rsidRPr="004F4D0F">
        <w:t xml:space="preserve"> include</w:t>
      </w:r>
      <w:r>
        <w:t>d</w:t>
      </w:r>
      <w:r w:rsidRPr="004F4D0F">
        <w:t xml:space="preserve"> no time limits or</w:t>
      </w:r>
      <w:r>
        <w:t xml:space="preserve"> had durations</w:t>
      </w:r>
      <w:r w:rsidRPr="004F4D0F">
        <w:t xml:space="preserve"> beyond the statutory limit of one year</w:t>
      </w:r>
      <w:r>
        <w:t>.</w:t>
      </w:r>
    </w:p>
    <w:p w14:paraId="733AAEE9" w14:textId="18F49722" w:rsidR="0050439E" w:rsidRDefault="0050439E" w:rsidP="004975A1">
      <w:pPr>
        <w:pStyle w:val="Caption"/>
        <w:spacing w:before="240" w:after="120"/>
        <w:jc w:val="center"/>
      </w:pPr>
      <w:r w:rsidRPr="00F16F68">
        <w:t>Figure </w:t>
      </w:r>
      <w:r w:rsidRPr="00F16F68">
        <w:fldChar w:fldCharType="begin"/>
      </w:r>
      <w:r w:rsidRPr="00F16F68">
        <w:instrText xml:space="preserve"> SEQ Figure \* ARABIC </w:instrText>
      </w:r>
      <w:r w:rsidRPr="00F16F68">
        <w:fldChar w:fldCharType="separate"/>
      </w:r>
      <w:r w:rsidR="00CE1583">
        <w:rPr>
          <w:noProof/>
        </w:rPr>
        <w:t>6</w:t>
      </w:r>
      <w:r w:rsidRPr="00F16F68">
        <w:fldChar w:fldCharType="end"/>
      </w:r>
      <w:r w:rsidRPr="00F16F68">
        <w:t xml:space="preserve">. </w:t>
      </w:r>
      <w:r w:rsidR="003A1719">
        <w:t>Potential interactions between non-compete and dismissal regulations</w:t>
      </w:r>
      <w:r w:rsidR="004F4D0F">
        <w:t>: stylised example</w:t>
      </w:r>
    </w:p>
    <w:p w14:paraId="2D551F5A" w14:textId="1AFBD6C3" w:rsidR="0050439E" w:rsidRDefault="0050439E" w:rsidP="0050439E">
      <w:pPr>
        <w:pStyle w:val="Para"/>
        <w:numPr>
          <w:ilvl w:val="0"/>
          <w:numId w:val="0"/>
        </w:numPr>
      </w:pPr>
      <w:r>
        <w:rPr>
          <w:noProof/>
        </w:rPr>
        <w:drawing>
          <wp:inline distT="0" distB="0" distL="0" distR="0" wp14:anchorId="43362984" wp14:editId="1FD82B3C">
            <wp:extent cx="6007395" cy="1619885"/>
            <wp:effectExtent l="0" t="0" r="0" b="0"/>
            <wp:docPr id="151406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4238" cy="1621730"/>
                    </a:xfrm>
                    <a:prstGeom prst="rect">
                      <a:avLst/>
                    </a:prstGeom>
                    <a:noFill/>
                  </pic:spPr>
                </pic:pic>
              </a:graphicData>
            </a:graphic>
          </wp:inline>
        </w:drawing>
      </w:r>
    </w:p>
    <w:p w14:paraId="35A0792B" w14:textId="5FB70B2A" w:rsidR="0050439E" w:rsidRDefault="0050439E" w:rsidP="00CB6CD6">
      <w:pPr>
        <w:pStyle w:val="Sourcenotes"/>
        <w:spacing w:before="0" w:after="240"/>
        <w:contextualSpacing w:val="0"/>
      </w:pPr>
      <w:r w:rsidRPr="00CB3218">
        <w:rPr>
          <w:i/>
          <w:iCs/>
        </w:rPr>
        <w:t>Note:</w:t>
      </w:r>
      <w:r w:rsidR="00B23F82">
        <w:rPr>
          <w:i/>
          <w:iCs/>
        </w:rPr>
        <w:t xml:space="preserve"> </w:t>
      </w:r>
      <w:r w:rsidR="00DB5645">
        <w:t>U</w:t>
      </w:r>
      <w:r w:rsidR="00B23F82">
        <w:t>n</w:t>
      </w:r>
      <w:r w:rsidR="00DB5645">
        <w:t>der</w:t>
      </w:r>
      <w:r w:rsidR="00B23F82">
        <w:t xml:space="preserve"> the Fair Work Act, workers</w:t>
      </w:r>
      <w:r w:rsidR="00B23F82" w:rsidRPr="00B23F82">
        <w:t xml:space="preserve"> earning above the high</w:t>
      </w:r>
      <w:r w:rsidR="00B23F82">
        <w:t>-</w:t>
      </w:r>
      <w:r w:rsidR="00B23F82" w:rsidRPr="00B23F82">
        <w:t xml:space="preserve">income threshold (of $175,000) </w:t>
      </w:r>
      <w:r w:rsidR="00B23F82">
        <w:t xml:space="preserve">receive much weaker protection from unfair dismissal than workers earning below the </w:t>
      </w:r>
      <w:r w:rsidR="00B23F82" w:rsidRPr="00B23F82">
        <w:t>threshold</w:t>
      </w:r>
      <w:r w:rsidR="004F4D0F" w:rsidRPr="00B23F82">
        <w:t>.</w:t>
      </w:r>
      <w:r w:rsidR="00DB5645">
        <w:t xml:space="preserve"> The table shows that under </w:t>
      </w:r>
      <w:r w:rsidR="00655502">
        <w:t xml:space="preserve">the </w:t>
      </w:r>
      <w:r w:rsidR="00DB5645">
        <w:t>policy design</w:t>
      </w:r>
      <w:r w:rsidR="00655502">
        <w:t xml:space="preserve"> prevailing at the time of the Conference</w:t>
      </w:r>
      <w:r w:rsidR="00DB5645">
        <w:t xml:space="preserve"> (i.e. November 2024), it was easier for firms to separate with a higher income worker than a lower income worker, while higher income workers encountered more difficulty initiating a separation with a firm (given they are more likely to be bound by NCC</w:t>
      </w:r>
      <w:r w:rsidR="00BD0FD3">
        <w:t>s</w:t>
      </w:r>
      <w:r w:rsidR="00DB5645">
        <w:t>; see Andrews and Jarvis 2023). A policy reform that restricted NCCs for workers below the high-income threshold (i.e. low-income workers) would interact with existing unfair dismissal protection</w:t>
      </w:r>
      <w:r w:rsidR="00372BC9">
        <w:t>s</w:t>
      </w:r>
      <w:r w:rsidR="00DB5645">
        <w:t xml:space="preserve"> to enhance worker bargaining power for </w:t>
      </w:r>
      <w:r w:rsidR="00372BC9">
        <w:t>low- and middle-income</w:t>
      </w:r>
      <w:r w:rsidR="00DB5645">
        <w:t xml:space="preserve"> workers. Meanwhile, a reform that banned NCCs for all workers would also reduce the mobility that asymmetry that high-income workers face.</w:t>
      </w:r>
    </w:p>
    <w:p w14:paraId="658843CB" w14:textId="4B4D71B1" w:rsidR="00DD12AB" w:rsidRDefault="00DD12AB" w:rsidP="00DD12AB">
      <w:pPr>
        <w:pStyle w:val="Heading4"/>
      </w:pPr>
      <w:r>
        <w:t>No-poaching agreements</w:t>
      </w:r>
    </w:p>
    <w:p w14:paraId="09C6C2EE" w14:textId="03DF7A72" w:rsidR="002A04A2" w:rsidRDefault="00635993" w:rsidP="00AD5E9F">
      <w:pPr>
        <w:pStyle w:val="Para"/>
      </w:pPr>
      <w:r>
        <w:t xml:space="preserve">My remarks also addressed the regulation (or lack thereof!) of no poaching agreements (NPAs) in the Australian context. In almost all OECD countries, </w:t>
      </w:r>
      <w:r w:rsidR="00BD0FD3">
        <w:t>Margarida Matos Rosa</w:t>
      </w:r>
      <w:r>
        <w:t xml:space="preserve"> </w:t>
      </w:r>
      <w:r w:rsidR="00AF0856">
        <w:t>noted</w:t>
      </w:r>
      <w:r>
        <w:t xml:space="preserve"> that </w:t>
      </w:r>
      <w:r w:rsidR="004F4D0F" w:rsidRPr="004F4D0F">
        <w:t>“NPA</w:t>
      </w:r>
      <w:r>
        <w:t xml:space="preserve">s </w:t>
      </w:r>
      <w:r w:rsidR="004F4D0F" w:rsidRPr="004F4D0F">
        <w:t>are illegal from a competition law perspective”</w:t>
      </w:r>
      <w:r>
        <w:t>, wh</w:t>
      </w:r>
      <w:r w:rsidR="00BD0FD3">
        <w:t>ich</w:t>
      </w:r>
      <w:r>
        <w:t xml:space="preserve"> pertains to firm-to-firm agreements not to poach each other’s staff</w:t>
      </w:r>
      <w:r w:rsidR="004F4D0F">
        <w:t>.</w:t>
      </w:r>
      <w:r w:rsidR="004F4D0F" w:rsidRPr="004F4D0F">
        <w:t xml:space="preserve"> But Australia</w:t>
      </w:r>
      <w:r>
        <w:t xml:space="preserve"> is an outlier: </w:t>
      </w:r>
      <w:r w:rsidR="004F4D0F" w:rsidRPr="004F4D0F">
        <w:t xml:space="preserve">Part IV of the </w:t>
      </w:r>
      <w:r w:rsidR="004F4D0F" w:rsidRPr="00635993">
        <w:rPr>
          <w:i/>
          <w:iCs/>
        </w:rPr>
        <w:t>Competition and Consumer Act 2010</w:t>
      </w:r>
      <w:r w:rsidR="004F4D0F" w:rsidRPr="004F4D0F">
        <w:t xml:space="preserve"> contains exemptions for anti-competitive agreements spanning Acts done or any provision of a contract, arrangement or understanding to the extent that it relates to the remuneration, conditions of employment, hours of work or working conditions of employees</w:t>
      </w:r>
      <w:r w:rsidR="004F4D0F">
        <w:t xml:space="preserve">. </w:t>
      </w:r>
      <w:r w:rsidR="00036355">
        <w:t>In my view, t</w:t>
      </w:r>
      <w:r w:rsidR="004F4D0F" w:rsidRPr="004F4D0F">
        <w:t>he carve-out for labour in the CCA is problematic</w:t>
      </w:r>
      <w:r w:rsidR="002A04A2">
        <w:t xml:space="preserve"> for a few reasons:</w:t>
      </w:r>
    </w:p>
    <w:p w14:paraId="3D680796" w14:textId="694C3D31" w:rsidR="00EA3726" w:rsidRDefault="002A04A2" w:rsidP="00DD12AB">
      <w:pPr>
        <w:pStyle w:val="BulletedList"/>
        <w:spacing w:after="120"/>
      </w:pPr>
      <w:r>
        <w:t>T</w:t>
      </w:r>
      <w:r w:rsidR="00635993">
        <w:t>he available data suggest</w:t>
      </w:r>
      <w:r w:rsidR="00BD0FD3">
        <w:t>s</w:t>
      </w:r>
      <w:r w:rsidR="00635993">
        <w:t xml:space="preserve"> that w</w:t>
      </w:r>
      <w:r w:rsidR="00635993" w:rsidRPr="004F4D0F">
        <w:t>orkers</w:t>
      </w:r>
      <w:r w:rsidR="00635993">
        <w:t xml:space="preserve"> are potentially</w:t>
      </w:r>
      <w:r w:rsidR="00635993" w:rsidRPr="004F4D0F">
        <w:t xml:space="preserve"> </w:t>
      </w:r>
      <w:r w:rsidR="00635993">
        <w:t>un</w:t>
      </w:r>
      <w:r w:rsidR="00635993" w:rsidRPr="004F4D0F">
        <w:t>aware that they are subject to horizontal (firm-firm) no poaching agreements</w:t>
      </w:r>
      <w:r w:rsidR="002E4235">
        <w:t xml:space="preserve"> and the attendan</w:t>
      </w:r>
      <w:r w:rsidR="00BD0FD3">
        <w:t>t</w:t>
      </w:r>
      <w:r w:rsidR="002E4235">
        <w:t xml:space="preserve"> </w:t>
      </w:r>
      <w:r w:rsidR="00BD0FD3">
        <w:t xml:space="preserve">(adverse) </w:t>
      </w:r>
      <w:r w:rsidR="002E4235">
        <w:t>consequences for their wages</w:t>
      </w:r>
      <w:r w:rsidR="00635993" w:rsidRPr="004F4D0F">
        <w:t>.</w:t>
      </w:r>
      <w:r w:rsidR="004F4D0F" w:rsidRPr="004F4D0F">
        <w:t xml:space="preserve"> </w:t>
      </w:r>
      <w:r w:rsidR="00635993">
        <w:t>Firm-level estimates from the ABS suggests that up to</w:t>
      </w:r>
      <w:r w:rsidR="004F4D0F" w:rsidRPr="004F4D0F">
        <w:t xml:space="preserve"> 23% of Australian workers are </w:t>
      </w:r>
      <w:r w:rsidR="00635993">
        <w:t xml:space="preserve">potentially </w:t>
      </w:r>
      <w:r w:rsidR="004F4D0F" w:rsidRPr="004F4D0F">
        <w:t>subject to NPAs but</w:t>
      </w:r>
      <w:r w:rsidR="00AF0856">
        <w:t xml:space="preserve"> worker-level data suggests that</w:t>
      </w:r>
      <w:r w:rsidR="004F4D0F" w:rsidRPr="004F4D0F">
        <w:t xml:space="preserve"> only 7% </w:t>
      </w:r>
      <w:r w:rsidR="00AF0856">
        <w:t>of workers have an agreement with their employer not to poach any (former) colleagues when they depart their employer</w:t>
      </w:r>
      <w:r w:rsidR="00635993">
        <w:t xml:space="preserve"> (Andrews and Jarvis, 2023)</w:t>
      </w:r>
      <w:r w:rsidR="004F4D0F" w:rsidRPr="004F4D0F">
        <w:t xml:space="preserve">. </w:t>
      </w:r>
    </w:p>
    <w:p w14:paraId="4167783E" w14:textId="733C180C" w:rsidR="004F4D0F" w:rsidRDefault="002E4235" w:rsidP="009979E2">
      <w:pPr>
        <w:pStyle w:val="BulletedList"/>
        <w:spacing w:before="120"/>
      </w:pPr>
      <w:r>
        <w:t>NCCs may amplify the impacts of NPAs: while o</w:t>
      </w:r>
      <w:r w:rsidR="004F4D0F" w:rsidRPr="004F4D0F">
        <w:t>ne party can always renege in a (firm-to-firm) NPA</w:t>
      </w:r>
      <w:r>
        <w:t>, this</w:t>
      </w:r>
      <w:r w:rsidR="004F4D0F" w:rsidRPr="004F4D0F">
        <w:t xml:space="preserve"> threat </w:t>
      </w:r>
      <w:r>
        <w:t xml:space="preserve">may be </w:t>
      </w:r>
      <w:r w:rsidR="004F4D0F" w:rsidRPr="004F4D0F">
        <w:t>diminished in an environment where NCC</w:t>
      </w:r>
      <w:r>
        <w:t>s</w:t>
      </w:r>
      <w:r w:rsidR="004F4D0F" w:rsidRPr="004F4D0F">
        <w:t xml:space="preserve"> are highly prevalent</w:t>
      </w:r>
      <w:r>
        <w:t xml:space="preserve"> (such as Australia), since firms have additional tools to restrict worker mobility.</w:t>
      </w:r>
    </w:p>
    <w:p w14:paraId="51BDDAA0" w14:textId="291BC338" w:rsidR="00036355" w:rsidRDefault="00036355" w:rsidP="009979E2">
      <w:pPr>
        <w:pStyle w:val="Para"/>
        <w:spacing w:before="240"/>
      </w:pPr>
      <w:r>
        <w:t>In the context of the March 2025 Budget, t</w:t>
      </w:r>
      <w:r w:rsidRPr="00036355">
        <w:t>he</w:t>
      </w:r>
      <w:r>
        <w:t xml:space="preserve"> Federal</w:t>
      </w:r>
      <w:r w:rsidRPr="00036355">
        <w:t xml:space="preserve"> Government </w:t>
      </w:r>
      <w:r>
        <w:t xml:space="preserve">announced that they </w:t>
      </w:r>
      <w:r w:rsidRPr="00036355">
        <w:t xml:space="preserve">will close loopholes in competition law that currently allow businesses to: </w:t>
      </w:r>
      <w:proofErr w:type="spellStart"/>
      <w:r>
        <w:t>i</w:t>
      </w:r>
      <w:proofErr w:type="spellEnd"/>
      <w:r>
        <w:t>)</w:t>
      </w:r>
      <w:r w:rsidRPr="00036355">
        <w:t xml:space="preserve"> </w:t>
      </w:r>
      <w:r>
        <w:t>f</w:t>
      </w:r>
      <w:r w:rsidRPr="00036355">
        <w:t>ix wages by making anti-competitive arrangements that cap workers’ pay and conditions, without the knowledge and agreement of affected workers</w:t>
      </w:r>
      <w:r>
        <w:t>; and ii)</w:t>
      </w:r>
      <w:r w:rsidRPr="00036355">
        <w:t xml:space="preserve"> </w:t>
      </w:r>
      <w:r>
        <w:t>u</w:t>
      </w:r>
      <w:r w:rsidRPr="00036355">
        <w:t>se ‘no-poach’ agreements to block staff from being hired by competitors.</w:t>
      </w:r>
    </w:p>
    <w:p w14:paraId="3C5B2E58" w14:textId="77777777" w:rsidR="00A35556" w:rsidRDefault="00A35556">
      <w:pPr>
        <w:widowControl/>
        <w:spacing w:after="200" w:line="276" w:lineRule="auto"/>
        <w:jc w:val="left"/>
        <w:rPr>
          <w:rFonts w:eastAsiaTheme="majorEastAsia" w:cstheme="majorBidi"/>
          <w:b/>
          <w:color w:val="4E81BD" w:themeColor="accent1"/>
          <w:sz w:val="24"/>
          <w:szCs w:val="26"/>
        </w:rPr>
      </w:pPr>
      <w:r>
        <w:br w:type="page"/>
      </w:r>
    </w:p>
    <w:p w14:paraId="58F6E5CB" w14:textId="7AE84991" w:rsidR="005370EF" w:rsidRPr="0038654E" w:rsidRDefault="005370EF" w:rsidP="00DD12AB">
      <w:pPr>
        <w:pStyle w:val="Heading2"/>
        <w:numPr>
          <w:ilvl w:val="0"/>
          <w:numId w:val="0"/>
        </w:numPr>
        <w:spacing w:before="480" w:after="180"/>
      </w:pPr>
      <w:bookmarkStart w:id="13" w:name="_Toc208391645"/>
      <w:r w:rsidRPr="0038654E">
        <w:t>References</w:t>
      </w:r>
      <w:bookmarkEnd w:id="13"/>
    </w:p>
    <w:sdt>
      <w:sdtPr>
        <w:rPr>
          <w:color w:val="000000" w:themeColor="text1"/>
          <w:sz w:val="20"/>
          <w:szCs w:val="20"/>
        </w:rPr>
        <w:id w:val="1336032325"/>
        <w:bibliography/>
      </w:sdtPr>
      <w:sdtEndPr>
        <w:rPr>
          <w:rFonts w:cstheme="minorHAnsi"/>
          <w:color w:val="auto"/>
        </w:rPr>
      </w:sdtEndPr>
      <w:sdtContent>
        <w:p w14:paraId="37A3B8E4" w14:textId="50FFE13C" w:rsidR="00800729" w:rsidRPr="00C6433A" w:rsidRDefault="00800729" w:rsidP="004F539D">
          <w:pPr>
            <w:spacing w:before="120" w:after="120"/>
            <w:ind w:left="284" w:hanging="284"/>
            <w:rPr>
              <w:rFonts w:cstheme="minorHAnsi"/>
              <w:sz w:val="20"/>
              <w:szCs w:val="20"/>
            </w:rPr>
          </w:pPr>
          <w:r w:rsidRPr="00C6433A">
            <w:rPr>
              <w:rFonts w:cstheme="minorHAnsi"/>
              <w:sz w:val="20"/>
              <w:szCs w:val="20"/>
            </w:rPr>
            <w:t>Andrews</w:t>
          </w:r>
          <w:r w:rsidR="00A10FD9" w:rsidRPr="00C6433A">
            <w:rPr>
              <w:rFonts w:cstheme="minorHAnsi"/>
              <w:sz w:val="20"/>
              <w:szCs w:val="20"/>
            </w:rPr>
            <w:t>, D</w:t>
          </w:r>
          <w:r w:rsidRPr="00C6433A">
            <w:rPr>
              <w:rFonts w:cstheme="minorHAnsi"/>
              <w:sz w:val="20"/>
              <w:szCs w:val="20"/>
            </w:rPr>
            <w:t xml:space="preserve"> and</w:t>
          </w:r>
          <w:r w:rsidR="00A10FD9" w:rsidRPr="00C6433A">
            <w:rPr>
              <w:rFonts w:cstheme="minorHAnsi"/>
              <w:sz w:val="20"/>
              <w:szCs w:val="20"/>
            </w:rPr>
            <w:t xml:space="preserve"> J.</w:t>
          </w:r>
          <w:r w:rsidRPr="00C6433A">
            <w:rPr>
              <w:rFonts w:cstheme="minorHAnsi"/>
              <w:sz w:val="20"/>
              <w:szCs w:val="20"/>
            </w:rPr>
            <w:t xml:space="preserve"> Buckley</w:t>
          </w:r>
          <w:r w:rsidR="00A10FD9" w:rsidRPr="00C6433A">
            <w:rPr>
              <w:rFonts w:cstheme="minorHAnsi"/>
              <w:sz w:val="20"/>
              <w:szCs w:val="20"/>
            </w:rPr>
            <w:t xml:space="preserve"> (</w:t>
          </w:r>
          <w:r w:rsidRPr="00C6433A">
            <w:rPr>
              <w:rFonts w:cstheme="minorHAnsi"/>
              <w:sz w:val="20"/>
              <w:szCs w:val="20"/>
            </w:rPr>
            <w:t>2023)</w:t>
          </w:r>
          <w:r w:rsidR="00A10FD9" w:rsidRPr="00C6433A">
            <w:rPr>
              <w:rFonts w:cstheme="minorHAnsi"/>
              <w:sz w:val="20"/>
              <w:szCs w:val="20"/>
            </w:rPr>
            <w:t xml:space="preserve">, </w:t>
          </w:r>
          <w:r w:rsidR="00A10FD9" w:rsidRPr="00C6433A">
            <w:rPr>
              <w:rFonts w:cstheme="minorHAnsi"/>
              <w:i/>
              <w:iCs/>
              <w:sz w:val="20"/>
              <w:szCs w:val="20"/>
            </w:rPr>
            <w:t>No Free Lunch: The Economic Consequences of Job Dismissal Laws</w:t>
          </w:r>
          <w:r w:rsidR="00A10FD9" w:rsidRPr="00C6433A">
            <w:rPr>
              <w:rFonts w:cstheme="minorHAnsi"/>
              <w:sz w:val="20"/>
              <w:szCs w:val="20"/>
            </w:rPr>
            <w:t xml:space="preserve"> e61 Institute.</w:t>
          </w:r>
          <w:r w:rsidRPr="00C6433A">
            <w:rPr>
              <w:rFonts w:cstheme="minorHAnsi"/>
              <w:sz w:val="20"/>
              <w:szCs w:val="20"/>
            </w:rPr>
            <w:t xml:space="preserve"> </w:t>
          </w:r>
        </w:p>
        <w:p w14:paraId="1A2CA717" w14:textId="300A33CD" w:rsidR="00B62483" w:rsidRPr="00C6433A" w:rsidRDefault="00B62483" w:rsidP="004F539D">
          <w:pPr>
            <w:spacing w:before="120" w:after="120"/>
            <w:ind w:left="284" w:hanging="284"/>
            <w:rPr>
              <w:rFonts w:cstheme="minorHAnsi"/>
              <w:sz w:val="20"/>
              <w:szCs w:val="20"/>
            </w:rPr>
          </w:pPr>
          <w:r w:rsidRPr="00C6433A">
            <w:rPr>
              <w:noProof/>
              <w:sz w:val="20"/>
              <w:szCs w:val="20"/>
            </w:rPr>
            <w:t xml:space="preserve">Andrews, D., M. Brennan and J. Buckley (2024), </w:t>
          </w:r>
          <w:r w:rsidRPr="00C6433A">
            <w:rPr>
              <w:i/>
              <w:iCs/>
              <w:noProof/>
              <w:sz w:val="20"/>
              <w:szCs w:val="20"/>
            </w:rPr>
            <w:t>The ties that bind: five facts on post-employment restraints</w:t>
          </w:r>
          <w:r w:rsidRPr="00C6433A">
            <w:rPr>
              <w:noProof/>
              <w:sz w:val="20"/>
              <w:szCs w:val="20"/>
            </w:rPr>
            <w:t>, e61 Research Note No. 12.</w:t>
          </w:r>
        </w:p>
        <w:p w14:paraId="1EF8C8E3" w14:textId="41207A9C" w:rsidR="00800729" w:rsidRPr="00C6433A" w:rsidRDefault="00800729" w:rsidP="004F539D">
          <w:pPr>
            <w:spacing w:before="120" w:after="120"/>
            <w:ind w:left="284" w:hanging="284"/>
            <w:rPr>
              <w:rFonts w:cstheme="minorHAnsi"/>
              <w:sz w:val="20"/>
              <w:szCs w:val="20"/>
            </w:rPr>
          </w:pPr>
          <w:r w:rsidRPr="00C6433A">
            <w:rPr>
              <w:rFonts w:cstheme="minorHAnsi"/>
              <w:sz w:val="20"/>
              <w:szCs w:val="20"/>
            </w:rPr>
            <w:t>Andrews,</w:t>
          </w:r>
          <w:r w:rsidR="00A10FD9" w:rsidRPr="00C6433A">
            <w:rPr>
              <w:rFonts w:cstheme="minorHAnsi"/>
              <w:sz w:val="20"/>
              <w:szCs w:val="20"/>
            </w:rPr>
            <w:t xml:space="preserve"> D,</w:t>
          </w:r>
          <w:r w:rsidRPr="00C6433A">
            <w:rPr>
              <w:rFonts w:cstheme="minorHAnsi"/>
              <w:sz w:val="20"/>
              <w:szCs w:val="20"/>
            </w:rPr>
            <w:t xml:space="preserve"> </w:t>
          </w:r>
          <w:r w:rsidR="00A10FD9" w:rsidRPr="00C6433A">
            <w:rPr>
              <w:rFonts w:cstheme="minorHAnsi"/>
              <w:sz w:val="20"/>
              <w:szCs w:val="20"/>
            </w:rPr>
            <w:t xml:space="preserve">J. </w:t>
          </w:r>
          <w:r w:rsidRPr="00C6433A">
            <w:rPr>
              <w:rFonts w:cstheme="minorHAnsi"/>
              <w:sz w:val="20"/>
              <w:szCs w:val="20"/>
            </w:rPr>
            <w:t xml:space="preserve">Buckley and </w:t>
          </w:r>
          <w:r w:rsidR="00A10FD9" w:rsidRPr="00C6433A">
            <w:rPr>
              <w:rFonts w:cstheme="minorHAnsi"/>
              <w:sz w:val="20"/>
              <w:szCs w:val="20"/>
            </w:rPr>
            <w:t xml:space="preserve">R. </w:t>
          </w:r>
          <w:r w:rsidRPr="00C6433A">
            <w:rPr>
              <w:rFonts w:cstheme="minorHAnsi"/>
              <w:sz w:val="20"/>
              <w:szCs w:val="20"/>
            </w:rPr>
            <w:t xml:space="preserve">Lee, </w:t>
          </w:r>
          <w:r w:rsidR="00A10FD9" w:rsidRPr="00C6433A">
            <w:rPr>
              <w:rFonts w:cstheme="minorHAnsi"/>
              <w:sz w:val="20"/>
              <w:szCs w:val="20"/>
            </w:rPr>
            <w:t>(</w:t>
          </w:r>
          <w:r w:rsidRPr="00C6433A">
            <w:rPr>
              <w:rFonts w:cstheme="minorHAnsi"/>
              <w:sz w:val="20"/>
              <w:szCs w:val="20"/>
            </w:rPr>
            <w:t>2024)</w:t>
          </w:r>
          <w:r w:rsidR="00A10FD9" w:rsidRPr="00C6433A">
            <w:rPr>
              <w:rFonts w:cstheme="minorHAnsi"/>
              <w:sz w:val="20"/>
              <w:szCs w:val="20"/>
            </w:rPr>
            <w:t xml:space="preserve"> </w:t>
          </w:r>
          <w:r w:rsidR="00A10FD9" w:rsidRPr="00C6433A">
            <w:rPr>
              <w:rFonts w:cstheme="minorHAnsi"/>
              <w:i/>
              <w:iCs/>
              <w:sz w:val="20"/>
              <w:szCs w:val="20"/>
            </w:rPr>
            <w:t>A Counterproductive Tax Cut: How Size-Based Payroll Taxes Can Create a Roadblock to Firm Growth</w:t>
          </w:r>
          <w:r w:rsidR="00A10FD9" w:rsidRPr="00C6433A">
            <w:rPr>
              <w:rFonts w:cstheme="minorHAnsi"/>
              <w:sz w:val="20"/>
              <w:szCs w:val="20"/>
            </w:rPr>
            <w:t xml:space="preserve"> e61 Institute.</w:t>
          </w:r>
        </w:p>
        <w:p w14:paraId="09C0EEC4" w14:textId="77777777" w:rsidR="005370EF" w:rsidRPr="00C6433A" w:rsidRDefault="005370EF" w:rsidP="004F539D">
          <w:pPr>
            <w:pStyle w:val="Bibliography"/>
            <w:spacing w:before="120" w:after="120"/>
            <w:rPr>
              <w:rFonts w:cstheme="minorHAnsi"/>
              <w:szCs w:val="20"/>
            </w:rPr>
          </w:pPr>
          <w:r w:rsidRPr="00C6433A">
            <w:rPr>
              <w:rFonts w:cstheme="minorHAnsi"/>
              <w:szCs w:val="20"/>
            </w:rPr>
            <w:t>Andrews, D., C. Criscuolo and P. Gal (2016), “The Best versus the Rest: The Global Productivity Slowdown, Divergence across Firms and the Role of Public Policy”, OECD Productivity Working Papers No. 5.</w:t>
          </w:r>
        </w:p>
        <w:p w14:paraId="49948648" w14:textId="11A63810" w:rsidR="005370EF" w:rsidRPr="00C6433A" w:rsidRDefault="005370EF" w:rsidP="004F539D">
          <w:pPr>
            <w:pStyle w:val="Bibliography"/>
            <w:spacing w:before="120" w:after="120"/>
            <w:rPr>
              <w:rFonts w:cstheme="minorHAnsi"/>
              <w:szCs w:val="20"/>
            </w:rPr>
          </w:pPr>
          <w:r w:rsidRPr="00C6433A">
            <w:rPr>
              <w:rFonts w:cstheme="minorHAnsi"/>
              <w:szCs w:val="20"/>
            </w:rPr>
            <w:t xml:space="preserve">Andrews, D., B. </w:t>
          </w:r>
          <w:proofErr w:type="spellStart"/>
          <w:r w:rsidRPr="00C6433A">
            <w:rPr>
              <w:rFonts w:cstheme="minorHAnsi"/>
              <w:szCs w:val="20"/>
            </w:rPr>
            <w:t>Égert</w:t>
          </w:r>
          <w:proofErr w:type="spellEnd"/>
          <w:r w:rsidRPr="00C6433A">
            <w:rPr>
              <w:rFonts w:cstheme="minorHAnsi"/>
              <w:szCs w:val="20"/>
            </w:rPr>
            <w:t xml:space="preserve"> and C. de La Maisonneuve (2024), </w:t>
          </w:r>
          <w:r w:rsidR="002C1DAB" w:rsidRPr="00C6433A">
            <w:rPr>
              <w:rFonts w:cstheme="minorHAnsi"/>
              <w:szCs w:val="20"/>
            </w:rPr>
            <w:t>“</w:t>
          </w:r>
          <w:r w:rsidRPr="00C6433A">
            <w:rPr>
              <w:rFonts w:cstheme="minorHAnsi"/>
              <w:szCs w:val="20"/>
            </w:rPr>
            <w:t>From decline to revival: Policies to unlock human capital and productivity</w:t>
          </w:r>
          <w:r w:rsidR="002C1DAB" w:rsidRPr="00C6433A">
            <w:rPr>
              <w:rFonts w:cstheme="minorHAnsi"/>
              <w:szCs w:val="20"/>
            </w:rPr>
            <w:t>”</w:t>
          </w:r>
          <w:r w:rsidRPr="00C6433A">
            <w:rPr>
              <w:rFonts w:cstheme="minorHAnsi"/>
              <w:szCs w:val="20"/>
            </w:rPr>
            <w:t xml:space="preserve">, </w:t>
          </w:r>
          <w:r w:rsidRPr="00C6433A">
            <w:rPr>
              <w:rFonts w:cstheme="minorHAnsi"/>
              <w:i/>
              <w:iCs/>
              <w:szCs w:val="20"/>
            </w:rPr>
            <w:t>OECD Economics Department Working Paper</w:t>
          </w:r>
          <w:r w:rsidRPr="00C6433A">
            <w:rPr>
              <w:rFonts w:cstheme="minorHAnsi"/>
              <w:szCs w:val="20"/>
            </w:rPr>
            <w:t xml:space="preserve"> No. 1827.</w:t>
          </w:r>
        </w:p>
        <w:p w14:paraId="52474A48" w14:textId="0C34308A" w:rsidR="00C6433A" w:rsidRPr="00C6433A" w:rsidRDefault="00C6433A" w:rsidP="004F539D">
          <w:pPr>
            <w:spacing w:before="120" w:after="120"/>
            <w:ind w:left="284" w:hanging="284"/>
            <w:rPr>
              <w:sz w:val="20"/>
              <w:szCs w:val="20"/>
            </w:rPr>
          </w:pPr>
          <w:r w:rsidRPr="00C6433A">
            <w:rPr>
              <w:sz w:val="20"/>
              <w:szCs w:val="20"/>
            </w:rPr>
            <w:t xml:space="preserve">Andrews, D and A. </w:t>
          </w:r>
          <w:proofErr w:type="spellStart"/>
          <w:r w:rsidRPr="00C6433A">
            <w:rPr>
              <w:sz w:val="20"/>
              <w:szCs w:val="20"/>
            </w:rPr>
            <w:t>Garnero</w:t>
          </w:r>
          <w:proofErr w:type="spellEnd"/>
          <w:r w:rsidRPr="00C6433A">
            <w:rPr>
              <w:sz w:val="20"/>
              <w:szCs w:val="20"/>
            </w:rPr>
            <w:t xml:space="preserve"> (2025), “Five facts on non-compete and related clauses”, OECD Economics Department Working Papers </w:t>
          </w:r>
          <w:r w:rsidR="00655502" w:rsidRPr="003656BA">
            <w:rPr>
              <w:sz w:val="20"/>
              <w:szCs w:val="20"/>
            </w:rPr>
            <w:t xml:space="preserve">No. 1833, OECD Publishing, Paris, </w:t>
          </w:r>
          <w:proofErr w:type="gramStart"/>
          <w:r w:rsidR="00655502" w:rsidRPr="003656BA">
            <w:rPr>
              <w:sz w:val="20"/>
              <w:szCs w:val="20"/>
            </w:rPr>
            <w:t>https://doi.org/10.1787/727da13e-en.</w:t>
          </w:r>
          <w:r w:rsidRPr="00C6433A">
            <w:rPr>
              <w:sz w:val="20"/>
              <w:szCs w:val="20"/>
            </w:rPr>
            <w:t>.</w:t>
          </w:r>
          <w:proofErr w:type="gramEnd"/>
        </w:p>
        <w:p w14:paraId="2495BEAB" w14:textId="77777777" w:rsidR="00800729" w:rsidRPr="00C6433A" w:rsidRDefault="00800729" w:rsidP="004F539D">
          <w:pPr>
            <w:pStyle w:val="Bibliography"/>
            <w:spacing w:before="120" w:after="120"/>
            <w:rPr>
              <w:rFonts w:cstheme="minorHAnsi"/>
              <w:szCs w:val="20"/>
            </w:rPr>
          </w:pPr>
          <w:r w:rsidRPr="00C6433A">
            <w:rPr>
              <w:rFonts w:cstheme="minorHAnsi"/>
              <w:szCs w:val="20"/>
            </w:rPr>
            <w:t xml:space="preserve">Andrews, D. and D. Hansell (2021), “Productivity-enhancing labour reallocation in Australia”, </w:t>
          </w:r>
          <w:r w:rsidRPr="00C6433A">
            <w:rPr>
              <w:rFonts w:cstheme="minorHAnsi"/>
              <w:i/>
              <w:iCs/>
              <w:szCs w:val="20"/>
            </w:rPr>
            <w:t>Economic Record</w:t>
          </w:r>
          <w:r w:rsidRPr="00C6433A">
            <w:rPr>
              <w:rFonts w:cstheme="minorHAnsi"/>
              <w:szCs w:val="20"/>
            </w:rPr>
            <w:t xml:space="preserve"> 97(317), pp. 157-169.</w:t>
          </w:r>
        </w:p>
        <w:p w14:paraId="0D64B543" w14:textId="7A29DDC5" w:rsidR="00800729" w:rsidRPr="00C6433A" w:rsidRDefault="00800729" w:rsidP="004F539D">
          <w:pPr>
            <w:pStyle w:val="Bibliography"/>
            <w:spacing w:before="120" w:after="120"/>
            <w:rPr>
              <w:rFonts w:cstheme="minorHAnsi"/>
              <w:szCs w:val="20"/>
              <w:lang w:val="en-US"/>
            </w:rPr>
          </w:pPr>
          <w:r w:rsidRPr="00C6433A">
            <w:rPr>
              <w:rFonts w:cstheme="minorHAnsi"/>
              <w:szCs w:val="20"/>
              <w:lang w:val="en-US"/>
            </w:rPr>
            <w:t xml:space="preserve">Andrews, D and B. Jarvis (2023), </w:t>
          </w:r>
          <w:r w:rsidRPr="00C6433A">
            <w:rPr>
              <w:rFonts w:cstheme="minorHAnsi"/>
              <w:i/>
              <w:iCs/>
              <w:szCs w:val="20"/>
              <w:lang w:val="en-US"/>
            </w:rPr>
            <w:t>The Ghosts of Employers Past</w:t>
          </w:r>
          <w:r w:rsidRPr="00C6433A">
            <w:rPr>
              <w:rFonts w:cstheme="minorHAnsi"/>
              <w:i/>
              <w:iCs/>
              <w:szCs w:val="20"/>
            </w:rPr>
            <w:t xml:space="preserve">: how prevalent are non-compete clauses in </w:t>
          </w:r>
          <w:proofErr w:type="gramStart"/>
          <w:r w:rsidRPr="00C6433A">
            <w:rPr>
              <w:rFonts w:cstheme="minorHAnsi"/>
              <w:i/>
              <w:iCs/>
              <w:szCs w:val="20"/>
            </w:rPr>
            <w:t>Australia?</w:t>
          </w:r>
          <w:r w:rsidRPr="00C6433A">
            <w:rPr>
              <w:rFonts w:cstheme="minorHAnsi"/>
              <w:szCs w:val="20"/>
            </w:rPr>
            <w:t>,</w:t>
          </w:r>
          <w:proofErr w:type="gramEnd"/>
          <w:r w:rsidRPr="00C6433A">
            <w:rPr>
              <w:rFonts w:cstheme="minorHAnsi"/>
              <w:szCs w:val="20"/>
            </w:rPr>
            <w:t xml:space="preserve"> e61 Institute.</w:t>
          </w:r>
        </w:p>
        <w:p w14:paraId="661D026B" w14:textId="77777777" w:rsidR="00A10FD9" w:rsidRPr="00C6433A" w:rsidRDefault="002D0E69" w:rsidP="004F539D">
          <w:pPr>
            <w:pStyle w:val="Bibliography"/>
            <w:spacing w:before="120" w:after="120"/>
            <w:rPr>
              <w:rFonts w:cstheme="minorHAnsi"/>
              <w:szCs w:val="20"/>
              <w:lang w:val="en-US"/>
            </w:rPr>
          </w:pPr>
          <w:proofErr w:type="spellStart"/>
          <w:r w:rsidRPr="00C6433A">
            <w:rPr>
              <w:rFonts w:cstheme="minorHAnsi"/>
              <w:szCs w:val="20"/>
              <w:lang w:val="en-US"/>
            </w:rPr>
            <w:t>Aridor</w:t>
          </w:r>
          <w:proofErr w:type="spellEnd"/>
          <w:r w:rsidRPr="00C6433A">
            <w:rPr>
              <w:rFonts w:cstheme="minorHAnsi"/>
              <w:szCs w:val="20"/>
              <w:lang w:val="en-US"/>
            </w:rPr>
            <w:t>, Guy, Yeon</w:t>
          </w:r>
          <w:r w:rsidRPr="00C6433A">
            <w:rPr>
              <w:rFonts w:ascii="Cambria Math" w:hAnsi="Cambria Math" w:cs="Cambria Math"/>
              <w:szCs w:val="20"/>
              <w:lang w:val="en-US"/>
            </w:rPr>
            <w:t>‐</w:t>
          </w:r>
          <w:r w:rsidRPr="00C6433A">
            <w:rPr>
              <w:rFonts w:cstheme="minorHAnsi"/>
              <w:szCs w:val="20"/>
              <w:lang w:val="en-US"/>
            </w:rPr>
            <w:t xml:space="preserve">Koo Che, and Tobias Salz. "The effect of privacy regulation on the data industry: empirical evidence from GDPR." </w:t>
          </w:r>
          <w:r w:rsidRPr="00C6433A">
            <w:rPr>
              <w:rFonts w:cstheme="minorHAnsi"/>
              <w:i/>
              <w:iCs/>
              <w:szCs w:val="20"/>
              <w:lang w:val="en-US"/>
            </w:rPr>
            <w:t>The RAND Journal of Economics</w:t>
          </w:r>
          <w:r w:rsidRPr="00C6433A">
            <w:rPr>
              <w:rFonts w:cstheme="minorHAnsi"/>
              <w:szCs w:val="20"/>
              <w:lang w:val="en-US"/>
            </w:rPr>
            <w:t xml:space="preserve"> 54, no. 4 (2023): 695-730.</w:t>
          </w:r>
        </w:p>
        <w:p w14:paraId="5609A275" w14:textId="7AFA287F" w:rsidR="00B62483" w:rsidRPr="00C6433A" w:rsidRDefault="00B62483" w:rsidP="004F539D">
          <w:pPr>
            <w:spacing w:before="120" w:after="120"/>
            <w:ind w:left="284" w:hanging="284"/>
            <w:rPr>
              <w:sz w:val="20"/>
              <w:szCs w:val="20"/>
              <w:lang w:val="en-US"/>
            </w:rPr>
          </w:pPr>
          <w:r w:rsidRPr="00C6433A">
            <w:rPr>
              <w:sz w:val="20"/>
              <w:szCs w:val="20"/>
              <w:lang w:val="en-US"/>
            </w:rPr>
            <w:t xml:space="preserve">Australian Bureau of Statistics (2024), Restraint Clauses, Australia, 2023, </w:t>
          </w:r>
          <w:hyperlink r:id="rId17" w:history="1">
            <w:r w:rsidRPr="00C6433A">
              <w:rPr>
                <w:rStyle w:val="Hyperlink"/>
                <w:sz w:val="20"/>
                <w:szCs w:val="20"/>
                <w:lang w:val="en-US"/>
              </w:rPr>
              <w:t>https://www.abs.gov.au/articles/restraint-clauses-australia-2023</w:t>
            </w:r>
          </w:hyperlink>
          <w:r w:rsidRPr="00C6433A">
            <w:rPr>
              <w:sz w:val="20"/>
              <w:szCs w:val="20"/>
              <w:lang w:val="en-US"/>
            </w:rPr>
            <w:t xml:space="preserve"> </w:t>
          </w:r>
        </w:p>
        <w:p w14:paraId="159F8F4A" w14:textId="77777777" w:rsidR="00A10FD9" w:rsidRPr="00C6433A" w:rsidRDefault="00A10FD9" w:rsidP="004F539D">
          <w:pPr>
            <w:pStyle w:val="Bibliography"/>
            <w:spacing w:before="120" w:after="120"/>
            <w:rPr>
              <w:rFonts w:cstheme="minorHAnsi"/>
              <w:szCs w:val="20"/>
            </w:rPr>
          </w:pPr>
          <w:r w:rsidRPr="00C6433A">
            <w:rPr>
              <w:rFonts w:cstheme="minorHAnsi"/>
              <w:szCs w:val="20"/>
            </w:rPr>
            <w:t>Balasubramanian, N., Starr, E., &amp; Yamaguchi, S. (2024). Employment Restrictions on Resource Transferability and Value Appropriation from Employees</w:t>
          </w:r>
          <w:r w:rsidRPr="00C6433A">
            <w:rPr>
              <w:rFonts w:cstheme="minorHAnsi"/>
              <w:i/>
              <w:iCs/>
              <w:szCs w:val="20"/>
            </w:rPr>
            <w:t>. Strategic Management Journal</w:t>
          </w:r>
          <w:r w:rsidRPr="00C6433A">
            <w:rPr>
              <w:rFonts w:cstheme="minorHAnsi"/>
              <w:szCs w:val="20"/>
            </w:rPr>
            <w:t xml:space="preserve">. </w:t>
          </w:r>
        </w:p>
        <w:p w14:paraId="48E7390B" w14:textId="57669644" w:rsidR="00800729" w:rsidRPr="00C6433A" w:rsidRDefault="00800729" w:rsidP="004F539D">
          <w:pPr>
            <w:pStyle w:val="Bibliography"/>
            <w:spacing w:before="120" w:after="120"/>
            <w:rPr>
              <w:rFonts w:cstheme="minorHAnsi"/>
              <w:szCs w:val="20"/>
            </w:rPr>
          </w:pPr>
          <w:r w:rsidRPr="00C6433A">
            <w:rPr>
              <w:rFonts w:cstheme="minorHAnsi"/>
              <w:szCs w:val="20"/>
            </w:rPr>
            <w:t>Bowman,</w:t>
          </w:r>
          <w:r w:rsidR="00A10FD9" w:rsidRPr="00C6433A">
            <w:rPr>
              <w:rFonts w:cstheme="minorHAnsi"/>
              <w:szCs w:val="20"/>
            </w:rPr>
            <w:t xml:space="preserve"> J., J</w:t>
          </w:r>
          <w:r w:rsidRPr="00C6433A">
            <w:rPr>
              <w:rFonts w:cstheme="minorHAnsi"/>
              <w:szCs w:val="20"/>
            </w:rPr>
            <w:t xml:space="preserve"> Hambur and </w:t>
          </w:r>
          <w:r w:rsidR="00A10FD9" w:rsidRPr="00C6433A">
            <w:rPr>
              <w:rFonts w:cstheme="minorHAnsi"/>
              <w:szCs w:val="20"/>
            </w:rPr>
            <w:t xml:space="preserve">N. </w:t>
          </w:r>
          <w:r w:rsidRPr="00C6433A">
            <w:rPr>
              <w:rFonts w:cstheme="minorHAnsi"/>
              <w:szCs w:val="20"/>
            </w:rPr>
            <w:t xml:space="preserve">Markovski, </w:t>
          </w:r>
          <w:r w:rsidR="00A10FD9" w:rsidRPr="00C6433A">
            <w:rPr>
              <w:rFonts w:cstheme="minorHAnsi"/>
              <w:szCs w:val="20"/>
            </w:rPr>
            <w:t>(</w:t>
          </w:r>
          <w:r w:rsidRPr="00C6433A">
            <w:rPr>
              <w:rFonts w:cstheme="minorHAnsi"/>
              <w:szCs w:val="20"/>
            </w:rPr>
            <w:t xml:space="preserve">2024); </w:t>
          </w:r>
          <w:r w:rsidR="00A10FD9" w:rsidRPr="00C6433A">
            <w:rPr>
              <w:rFonts w:cstheme="minorHAnsi"/>
              <w:szCs w:val="20"/>
            </w:rPr>
            <w:t>Examining the Macroeconomic Costs of Occupational Entry Regulations Reserve Bank of Australia Research Discussion Paper No. 2024-09.</w:t>
          </w:r>
        </w:p>
        <w:p w14:paraId="1B2B6578" w14:textId="37A7DAB8" w:rsidR="00701CE9" w:rsidRPr="00C6433A" w:rsidRDefault="00701CE9" w:rsidP="004F539D">
          <w:pPr>
            <w:spacing w:before="120" w:after="120"/>
            <w:ind w:left="284" w:hanging="284"/>
            <w:rPr>
              <w:sz w:val="20"/>
              <w:szCs w:val="20"/>
            </w:rPr>
          </w:pPr>
          <w:r w:rsidRPr="00C6433A">
            <w:rPr>
              <w:sz w:val="20"/>
              <w:szCs w:val="20"/>
            </w:rPr>
            <w:t xml:space="preserve">Byrne, D. M., S. D. Oliner and D. E. Sichel (2013). "Is the Information Technology Revolution </w:t>
          </w:r>
          <w:proofErr w:type="gramStart"/>
          <w:r w:rsidRPr="00C6433A">
            <w:rPr>
              <w:sz w:val="20"/>
              <w:szCs w:val="20"/>
            </w:rPr>
            <w:t>Over?,</w:t>
          </w:r>
          <w:proofErr w:type="gramEnd"/>
          <w:r w:rsidRPr="00C6433A">
            <w:rPr>
              <w:sz w:val="20"/>
              <w:szCs w:val="20"/>
            </w:rPr>
            <w:t>" International Productivity Monitor, Centre for the Study of Living Standards, vol. 25, pages 20-36, Spring.</w:t>
          </w:r>
        </w:p>
        <w:p w14:paraId="0AB7D15B" w14:textId="79001D21" w:rsidR="00800729" w:rsidRPr="00C6433A" w:rsidRDefault="00A10FD9" w:rsidP="004F539D">
          <w:pPr>
            <w:pStyle w:val="Bibliography"/>
            <w:spacing w:before="120" w:after="120"/>
            <w:rPr>
              <w:rFonts w:cstheme="minorHAnsi"/>
              <w:szCs w:val="20"/>
            </w:rPr>
          </w:pPr>
          <w:r w:rsidRPr="00C6433A">
            <w:rPr>
              <w:rFonts w:cstheme="minorHAnsi"/>
              <w:szCs w:val="20"/>
            </w:rPr>
            <w:t xml:space="preserve">Cowgill, B., Freiberg, B., &amp; Starr, E. (n.d.). </w:t>
          </w:r>
          <w:r w:rsidRPr="00C6433A">
            <w:rPr>
              <w:rFonts w:cstheme="minorHAnsi"/>
              <w:i/>
              <w:iCs/>
              <w:szCs w:val="20"/>
            </w:rPr>
            <w:t xml:space="preserve">Clause and effect: A field experiment on </w:t>
          </w:r>
          <w:proofErr w:type="spellStart"/>
          <w:r w:rsidRPr="00C6433A">
            <w:rPr>
              <w:rFonts w:cstheme="minorHAnsi"/>
              <w:i/>
              <w:iCs/>
              <w:szCs w:val="20"/>
            </w:rPr>
            <w:t>noncompetes</w:t>
          </w:r>
          <w:proofErr w:type="spellEnd"/>
          <w:r w:rsidRPr="00C6433A">
            <w:rPr>
              <w:rFonts w:cstheme="minorHAnsi"/>
              <w:i/>
              <w:iCs/>
              <w:szCs w:val="20"/>
            </w:rPr>
            <w:t>, knowledge flows, job mobility, and wages</w:t>
          </w:r>
          <w:r w:rsidRPr="00C6433A">
            <w:rPr>
              <w:rFonts w:cstheme="minorHAnsi"/>
              <w:szCs w:val="20"/>
            </w:rPr>
            <w:t>. Forthcoming</w:t>
          </w:r>
        </w:p>
        <w:p w14:paraId="57474775" w14:textId="2BC539DF" w:rsidR="00701CE9" w:rsidRPr="00C6433A" w:rsidRDefault="00701CE9" w:rsidP="004F539D">
          <w:pPr>
            <w:spacing w:before="120" w:after="120"/>
            <w:ind w:left="284" w:hanging="284"/>
            <w:rPr>
              <w:sz w:val="20"/>
              <w:szCs w:val="20"/>
            </w:rPr>
          </w:pPr>
          <w:r w:rsidRPr="00C6433A">
            <w:rPr>
              <w:sz w:val="20"/>
              <w:szCs w:val="20"/>
            </w:rPr>
            <w:t>Decker, R and J. Haltiwanger (2024), “</w:t>
          </w:r>
          <w:hyperlink r:id="rId18" w:history="1">
            <w:r w:rsidRPr="00C6433A">
              <w:rPr>
                <w:rStyle w:val="Hyperlink"/>
                <w:sz w:val="20"/>
                <w:szCs w:val="20"/>
              </w:rPr>
              <w:t>Surging Business Formation in the Pandemic: A Brief Update</w:t>
            </w:r>
          </w:hyperlink>
          <w:r w:rsidRPr="00C6433A">
            <w:rPr>
              <w:sz w:val="20"/>
              <w:szCs w:val="20"/>
            </w:rPr>
            <w:t xml:space="preserve">” Mimeo. </w:t>
          </w:r>
        </w:p>
        <w:p w14:paraId="571EE817" w14:textId="7105E890" w:rsidR="00A35556" w:rsidRPr="00C6433A" w:rsidRDefault="005B5FF1" w:rsidP="004F539D">
          <w:pPr>
            <w:pStyle w:val="Bibliography"/>
            <w:spacing w:before="120" w:after="120"/>
            <w:rPr>
              <w:rFonts w:cstheme="minorHAnsi"/>
              <w:szCs w:val="20"/>
              <w:lang w:val="en-US"/>
            </w:rPr>
          </w:pPr>
          <w:proofErr w:type="spellStart"/>
          <w:r w:rsidRPr="00C6433A">
            <w:rPr>
              <w:rFonts w:cstheme="minorHAnsi"/>
              <w:szCs w:val="20"/>
              <w:lang w:val="en-US"/>
            </w:rPr>
            <w:t>Filippucci</w:t>
          </w:r>
          <w:proofErr w:type="spellEnd"/>
          <w:r w:rsidRPr="00C6433A">
            <w:rPr>
              <w:rFonts w:cstheme="minorHAnsi"/>
              <w:szCs w:val="20"/>
              <w:lang w:val="en-US"/>
            </w:rPr>
            <w:t xml:space="preserve">, F., P. Gal and M. </w:t>
          </w:r>
          <w:proofErr w:type="spellStart"/>
          <w:r w:rsidRPr="00C6433A">
            <w:rPr>
              <w:rFonts w:cstheme="minorHAnsi"/>
              <w:szCs w:val="20"/>
              <w:lang w:val="en-US"/>
            </w:rPr>
            <w:t>Schief</w:t>
          </w:r>
          <w:proofErr w:type="spellEnd"/>
          <w:r w:rsidRPr="00C6433A">
            <w:rPr>
              <w:rFonts w:cstheme="minorHAnsi"/>
              <w:szCs w:val="20"/>
              <w:lang w:val="en-US"/>
            </w:rPr>
            <w:t xml:space="preserve"> (2024), “Miracle or Myth? Assessing the macroeconomic productivity gains from Artificial Intelligence”, OECD Artificial Intelligence Papers, No. 29, OECD Publishing, Paris, </w:t>
          </w:r>
          <w:hyperlink r:id="rId19" w:history="1">
            <w:r w:rsidRPr="00C6433A">
              <w:rPr>
                <w:rStyle w:val="Hyperlink"/>
                <w:rFonts w:cstheme="minorHAnsi"/>
                <w:szCs w:val="20"/>
                <w:lang w:val="en-US"/>
              </w:rPr>
              <w:t>https://doi.org/10.1787/b524a072-en</w:t>
            </w:r>
          </w:hyperlink>
          <w:r w:rsidRPr="00C6433A">
            <w:rPr>
              <w:rFonts w:cstheme="minorHAnsi"/>
              <w:szCs w:val="20"/>
              <w:lang w:val="en-US"/>
            </w:rPr>
            <w:t xml:space="preserve">. </w:t>
          </w:r>
        </w:p>
        <w:p w14:paraId="482E98E9" w14:textId="47BC5837" w:rsidR="00800729" w:rsidRPr="00C6433A" w:rsidRDefault="00800729" w:rsidP="004F539D">
          <w:pPr>
            <w:spacing w:before="120" w:after="120"/>
            <w:ind w:left="284" w:hanging="284"/>
            <w:rPr>
              <w:rFonts w:cstheme="minorHAnsi"/>
              <w:sz w:val="20"/>
              <w:szCs w:val="20"/>
            </w:rPr>
          </w:pPr>
          <w:r w:rsidRPr="00C6433A">
            <w:rPr>
              <w:rFonts w:cstheme="minorHAnsi"/>
              <w:sz w:val="20"/>
              <w:szCs w:val="20"/>
            </w:rPr>
            <w:t>Garvin</w:t>
          </w:r>
          <w:r w:rsidR="00A10FD9" w:rsidRPr="00C6433A">
            <w:rPr>
              <w:rFonts w:cstheme="minorHAnsi"/>
              <w:sz w:val="20"/>
              <w:szCs w:val="20"/>
            </w:rPr>
            <w:t>, N, G La Cava, A Moore and A. Wong</w:t>
          </w:r>
          <w:r w:rsidRPr="00C6433A">
            <w:rPr>
              <w:rFonts w:cstheme="minorHAnsi"/>
              <w:sz w:val="20"/>
              <w:szCs w:val="20"/>
            </w:rPr>
            <w:t xml:space="preserve"> </w:t>
          </w:r>
          <w:r w:rsidR="00A10FD9" w:rsidRPr="00C6433A">
            <w:rPr>
              <w:rFonts w:cstheme="minorHAnsi"/>
              <w:sz w:val="20"/>
              <w:szCs w:val="20"/>
            </w:rPr>
            <w:t>(</w:t>
          </w:r>
          <w:r w:rsidRPr="00C6433A">
            <w:rPr>
              <w:rFonts w:cstheme="minorHAnsi"/>
              <w:sz w:val="20"/>
              <w:szCs w:val="20"/>
            </w:rPr>
            <w:t xml:space="preserve">2024); </w:t>
          </w:r>
          <w:r w:rsidR="00A10FD9" w:rsidRPr="00C6433A">
            <w:rPr>
              <w:rFonts w:cstheme="minorHAnsi"/>
              <w:i/>
              <w:iCs/>
              <w:sz w:val="20"/>
              <w:szCs w:val="20"/>
            </w:rPr>
            <w:t>Stepped on by stamp duty: The effect of housing transfer taxes on home purchases and people movement</w:t>
          </w:r>
          <w:r w:rsidR="00A10FD9" w:rsidRPr="00C6433A">
            <w:rPr>
              <w:rFonts w:cstheme="minorHAnsi"/>
              <w:sz w:val="20"/>
              <w:szCs w:val="20"/>
            </w:rPr>
            <w:t xml:space="preserve"> e61 Institute.</w:t>
          </w:r>
        </w:p>
        <w:p w14:paraId="6AD55D70" w14:textId="1991CE8D" w:rsidR="00A35556" w:rsidRPr="00C6433A" w:rsidRDefault="00A35556" w:rsidP="004F539D">
          <w:pPr>
            <w:pStyle w:val="Bibliography"/>
            <w:spacing w:before="120" w:after="120"/>
            <w:rPr>
              <w:rFonts w:cstheme="minorHAnsi"/>
              <w:szCs w:val="20"/>
              <w:lang w:val="en-US"/>
            </w:rPr>
          </w:pPr>
          <w:r w:rsidRPr="00C6433A">
            <w:rPr>
              <w:rFonts w:cstheme="minorHAnsi"/>
              <w:szCs w:val="20"/>
              <w:lang w:val="en-US"/>
            </w:rPr>
            <w:t xml:space="preserve">Goolsbee, A, and C Syverson (2008), “How Do Incumbents Respond to the Threat of Entry? Evidence from the Major Airlines.” </w:t>
          </w:r>
          <w:r w:rsidRPr="00C6433A">
            <w:rPr>
              <w:rFonts w:cstheme="minorHAnsi"/>
              <w:i/>
              <w:iCs/>
              <w:szCs w:val="20"/>
              <w:lang w:val="en-US"/>
            </w:rPr>
            <w:t>The Quarterly Journal of Economics</w:t>
          </w:r>
          <w:r w:rsidRPr="00C6433A">
            <w:rPr>
              <w:rFonts w:cstheme="minorHAnsi"/>
              <w:szCs w:val="20"/>
              <w:lang w:val="en-US"/>
            </w:rPr>
            <w:t xml:space="preserve"> 123, no. 4: 1611–33. </w:t>
          </w:r>
          <w:hyperlink r:id="rId20" w:history="1">
            <w:r w:rsidRPr="00C6433A">
              <w:rPr>
                <w:rStyle w:val="Hyperlink"/>
                <w:rFonts w:cstheme="minorHAnsi"/>
                <w:szCs w:val="20"/>
                <w:lang w:val="en-US"/>
              </w:rPr>
              <w:t>http://www.jstor.org/stable/40506218</w:t>
            </w:r>
          </w:hyperlink>
          <w:r w:rsidRPr="00C6433A">
            <w:rPr>
              <w:rFonts w:cstheme="minorHAnsi"/>
              <w:szCs w:val="20"/>
              <w:lang w:val="en-US"/>
            </w:rPr>
            <w:t>.</w:t>
          </w:r>
        </w:p>
        <w:p w14:paraId="39ADDB4D" w14:textId="020B2A2F" w:rsidR="008313D8" w:rsidRPr="00C6433A" w:rsidRDefault="008313D8" w:rsidP="004F539D">
          <w:pPr>
            <w:spacing w:before="120" w:after="120"/>
            <w:ind w:left="284" w:hanging="284"/>
            <w:rPr>
              <w:sz w:val="20"/>
              <w:szCs w:val="20"/>
              <w:lang w:val="en-US"/>
            </w:rPr>
          </w:pPr>
          <w:r w:rsidRPr="00C6433A">
            <w:rPr>
              <w:sz w:val="20"/>
              <w:szCs w:val="20"/>
              <w:lang w:val="en-US"/>
            </w:rPr>
            <w:t xml:space="preserve">Hambur, J (2021), “Product Market Power and its Implications for the Australian Economy”, Australian Treasury Working Paper. </w:t>
          </w:r>
        </w:p>
        <w:p w14:paraId="304B04F8" w14:textId="1D00F987" w:rsidR="002D0E69" w:rsidRPr="00C6433A" w:rsidRDefault="002D0E69" w:rsidP="004F539D">
          <w:pPr>
            <w:pStyle w:val="Bibliography"/>
            <w:spacing w:before="120" w:after="120"/>
            <w:rPr>
              <w:rFonts w:cstheme="minorHAnsi"/>
              <w:szCs w:val="20"/>
              <w:lang w:val="en-US"/>
            </w:rPr>
          </w:pPr>
          <w:proofErr w:type="spellStart"/>
          <w:r w:rsidRPr="00C6433A">
            <w:rPr>
              <w:rFonts w:cstheme="minorHAnsi"/>
              <w:szCs w:val="20"/>
              <w:lang w:val="en-US"/>
            </w:rPr>
            <w:t>Janßen</w:t>
          </w:r>
          <w:proofErr w:type="spellEnd"/>
          <w:r w:rsidRPr="00C6433A">
            <w:rPr>
              <w:rFonts w:cstheme="minorHAnsi"/>
              <w:szCs w:val="20"/>
              <w:lang w:val="en-US"/>
            </w:rPr>
            <w:t>, Rebecca, Reinhold Kesler, Michael E. Kummer, and Joel Waldfogel. 2022. "GDPR and the Lost Generation of Innovative Apps." NBER Working Paper No. 30028. Cambridge, MA: National Bureau of Economic Research. </w:t>
          </w:r>
          <w:hyperlink r:id="rId21" w:history="1">
            <w:r w:rsidRPr="00C6433A">
              <w:rPr>
                <w:rStyle w:val="Hyperlink"/>
                <w:rFonts w:cstheme="minorHAnsi"/>
                <w:szCs w:val="20"/>
                <w:lang w:val="en-US"/>
              </w:rPr>
              <w:t>https://www.nber.org/papers/w30028</w:t>
            </w:r>
          </w:hyperlink>
          <w:r w:rsidRPr="00C6433A">
            <w:rPr>
              <w:rFonts w:cstheme="minorHAnsi"/>
              <w:szCs w:val="20"/>
              <w:lang w:val="en-US"/>
            </w:rPr>
            <w:t>.</w:t>
          </w:r>
        </w:p>
        <w:p w14:paraId="490A7935" w14:textId="77777777" w:rsidR="002D0E69" w:rsidRPr="00C6433A" w:rsidRDefault="002D0E69" w:rsidP="004F539D">
          <w:pPr>
            <w:pStyle w:val="Bibliography"/>
            <w:spacing w:before="120" w:after="120"/>
            <w:rPr>
              <w:rFonts w:cstheme="minorHAnsi"/>
              <w:szCs w:val="20"/>
              <w:lang w:val="en-US"/>
            </w:rPr>
          </w:pPr>
          <w:r w:rsidRPr="00C6433A">
            <w:rPr>
              <w:rFonts w:cstheme="minorHAnsi"/>
              <w:szCs w:val="20"/>
              <w:lang w:val="en-US"/>
            </w:rPr>
            <w:t xml:space="preserve">Jia, Jian, Ginger Zhe Jin, and Liad Wagman. 2021. "The Short-Run Effects of the General Data Protection Regulation on Technology Venture Investment." </w:t>
          </w:r>
          <w:r w:rsidRPr="00C6433A">
            <w:rPr>
              <w:rFonts w:cstheme="minorHAnsi"/>
              <w:i/>
              <w:iCs/>
              <w:szCs w:val="20"/>
              <w:lang w:val="en-US"/>
            </w:rPr>
            <w:t>Marketing Science</w:t>
          </w:r>
          <w:r w:rsidRPr="00C6433A">
            <w:rPr>
              <w:rFonts w:cstheme="minorHAnsi"/>
              <w:szCs w:val="20"/>
              <w:lang w:val="en-US"/>
            </w:rPr>
            <w:t>. Published March 1, 2021. </w:t>
          </w:r>
          <w:hyperlink r:id="rId22" w:history="1">
            <w:r w:rsidRPr="00C6433A">
              <w:rPr>
                <w:rStyle w:val="Hyperlink"/>
                <w:rFonts w:cstheme="minorHAnsi"/>
                <w:szCs w:val="20"/>
                <w:lang w:val="en-US"/>
              </w:rPr>
              <w:t>https://doi.org/10.1287/mksc.2020.1271</w:t>
            </w:r>
          </w:hyperlink>
          <w:r w:rsidRPr="00C6433A">
            <w:rPr>
              <w:rFonts w:cstheme="minorHAnsi"/>
              <w:szCs w:val="20"/>
              <w:lang w:val="en-US"/>
            </w:rPr>
            <w:t>.</w:t>
          </w:r>
        </w:p>
        <w:p w14:paraId="31D8BB4C" w14:textId="77777777" w:rsidR="002D0E69" w:rsidRPr="00C6433A" w:rsidRDefault="002D0E69" w:rsidP="004F539D">
          <w:pPr>
            <w:pStyle w:val="Bibliography"/>
            <w:spacing w:before="120" w:after="120"/>
            <w:rPr>
              <w:rFonts w:cstheme="minorHAnsi"/>
              <w:szCs w:val="20"/>
              <w:lang w:val="en-US"/>
            </w:rPr>
          </w:pPr>
          <w:r w:rsidRPr="00C6433A">
            <w:rPr>
              <w:rFonts w:cstheme="minorHAnsi"/>
              <w:szCs w:val="20"/>
              <w:lang w:val="en-US"/>
            </w:rPr>
            <w:t xml:space="preserve">Johnson, Garrett A., Scott K. Shriver, and Samuel G. Goldberg (2023) "Privacy &amp; market concentration: Intended &amp; unintended consequences of the GDPR" </w:t>
          </w:r>
          <w:r w:rsidRPr="00C6433A">
            <w:rPr>
              <w:rFonts w:cstheme="minorHAnsi"/>
              <w:i/>
              <w:iCs/>
              <w:szCs w:val="20"/>
              <w:lang w:val="en-US"/>
            </w:rPr>
            <w:t>Management Science</w:t>
          </w:r>
          <w:r w:rsidRPr="00C6433A">
            <w:rPr>
              <w:rFonts w:cstheme="minorHAnsi"/>
              <w:szCs w:val="20"/>
              <w:lang w:val="en-US"/>
            </w:rPr>
            <w:t>, 69(10): 5695-5721.</w:t>
          </w:r>
        </w:p>
        <w:p w14:paraId="735E8823" w14:textId="2633C9A1" w:rsidR="00056271" w:rsidRPr="00C6433A" w:rsidRDefault="00056271" w:rsidP="004F539D">
          <w:pPr>
            <w:spacing w:before="120" w:after="120"/>
            <w:ind w:left="284" w:hanging="284"/>
            <w:rPr>
              <w:sz w:val="20"/>
              <w:szCs w:val="20"/>
              <w:lang w:val="en-US"/>
            </w:rPr>
          </w:pPr>
          <w:proofErr w:type="spellStart"/>
          <w:r w:rsidRPr="00C6433A">
            <w:rPr>
              <w:sz w:val="20"/>
              <w:szCs w:val="20"/>
              <w:lang w:val="en-US"/>
            </w:rPr>
            <w:t>Koromazy</w:t>
          </w:r>
          <w:proofErr w:type="spellEnd"/>
          <w:r w:rsidRPr="00C6433A">
            <w:rPr>
              <w:sz w:val="20"/>
              <w:szCs w:val="20"/>
              <w:lang w:val="en-US"/>
            </w:rPr>
            <w:t>, V (2004), “</w:t>
          </w:r>
          <w:r w:rsidRPr="00C6433A">
            <w:rPr>
              <w:sz w:val="20"/>
              <w:szCs w:val="20"/>
            </w:rPr>
            <w:t>Why change is so difficult Some reflections on the political economy of reform</w:t>
          </w:r>
          <w:r w:rsidRPr="00C6433A">
            <w:rPr>
              <w:sz w:val="20"/>
              <w:szCs w:val="20"/>
              <w:lang w:val="en-US"/>
            </w:rPr>
            <w:t xml:space="preserve">” </w:t>
          </w:r>
          <w:r w:rsidRPr="00C6433A">
            <w:rPr>
              <w:i/>
              <w:iCs/>
              <w:sz w:val="20"/>
              <w:szCs w:val="20"/>
              <w:lang w:val="en-US"/>
            </w:rPr>
            <w:t>OECD Observer</w:t>
          </w:r>
          <w:r w:rsidRPr="00C6433A">
            <w:rPr>
              <w:sz w:val="20"/>
              <w:szCs w:val="20"/>
              <w:lang w:val="en-US"/>
            </w:rPr>
            <w:t xml:space="preserve"> No 243. </w:t>
          </w:r>
        </w:p>
        <w:p w14:paraId="1C96715C" w14:textId="178F6691" w:rsidR="00446AD0" w:rsidRPr="00C6433A" w:rsidRDefault="00446AD0" w:rsidP="004F539D">
          <w:pPr>
            <w:spacing w:before="120" w:after="120"/>
            <w:ind w:left="284" w:hanging="284"/>
            <w:rPr>
              <w:sz w:val="20"/>
              <w:szCs w:val="20"/>
              <w:lang w:val="en-US"/>
            </w:rPr>
          </w:pPr>
          <w:r w:rsidRPr="00C6433A">
            <w:rPr>
              <w:sz w:val="20"/>
              <w:szCs w:val="20"/>
              <w:lang w:val="en-US"/>
            </w:rPr>
            <w:t xml:space="preserve">Menon Economics and Hjort (2023), </w:t>
          </w:r>
          <w:proofErr w:type="spellStart"/>
          <w:r w:rsidRPr="00C6433A">
            <w:rPr>
              <w:sz w:val="20"/>
              <w:szCs w:val="20"/>
              <w:lang w:val="en-US"/>
            </w:rPr>
            <w:t>Konkurransebegrensende</w:t>
          </w:r>
          <w:proofErr w:type="spellEnd"/>
          <w:r w:rsidRPr="00C6433A">
            <w:rPr>
              <w:sz w:val="20"/>
              <w:szCs w:val="20"/>
              <w:lang w:val="en-US"/>
            </w:rPr>
            <w:t xml:space="preserve"> </w:t>
          </w:r>
          <w:proofErr w:type="spellStart"/>
          <w:r w:rsidRPr="00C6433A">
            <w:rPr>
              <w:sz w:val="20"/>
              <w:szCs w:val="20"/>
              <w:lang w:val="en-US"/>
            </w:rPr>
            <w:t>avtaler</w:t>
          </w:r>
          <w:proofErr w:type="spellEnd"/>
          <w:r w:rsidRPr="00C6433A">
            <w:rPr>
              <w:sz w:val="20"/>
              <w:szCs w:val="20"/>
              <w:lang w:val="en-US"/>
            </w:rPr>
            <w:t xml:space="preserve"> </w:t>
          </w:r>
          <w:proofErr w:type="spellStart"/>
          <w:r w:rsidRPr="00C6433A">
            <w:rPr>
              <w:sz w:val="20"/>
              <w:szCs w:val="20"/>
              <w:lang w:val="en-US"/>
            </w:rPr>
            <w:t>i</w:t>
          </w:r>
          <w:proofErr w:type="spellEnd"/>
          <w:r w:rsidRPr="00C6433A">
            <w:rPr>
              <w:sz w:val="20"/>
              <w:szCs w:val="20"/>
              <w:lang w:val="en-US"/>
            </w:rPr>
            <w:t xml:space="preserve"> </w:t>
          </w:r>
          <w:proofErr w:type="spellStart"/>
          <w:r w:rsidRPr="00C6433A">
            <w:rPr>
              <w:sz w:val="20"/>
              <w:szCs w:val="20"/>
              <w:lang w:val="en-US"/>
            </w:rPr>
            <w:t>arbeidsforhold</w:t>
          </w:r>
          <w:proofErr w:type="spellEnd"/>
          <w:r w:rsidRPr="00C6433A">
            <w:rPr>
              <w:sz w:val="20"/>
              <w:szCs w:val="20"/>
              <w:lang w:val="en-US"/>
            </w:rPr>
            <w:t>, Menon-</w:t>
          </w:r>
          <w:proofErr w:type="spellStart"/>
          <w:r w:rsidRPr="00C6433A">
            <w:rPr>
              <w:sz w:val="20"/>
              <w:szCs w:val="20"/>
              <w:lang w:val="en-US"/>
            </w:rPr>
            <w:t>Publikasjon</w:t>
          </w:r>
          <w:proofErr w:type="spellEnd"/>
          <w:r w:rsidRPr="00C6433A">
            <w:rPr>
              <w:sz w:val="20"/>
              <w:szCs w:val="20"/>
              <w:lang w:val="en-US"/>
            </w:rPr>
            <w:t xml:space="preserve"> Nr. 53/2023.</w:t>
          </w:r>
        </w:p>
        <w:p w14:paraId="462FAF17" w14:textId="77777777" w:rsidR="002D0E69" w:rsidRPr="00C6433A" w:rsidRDefault="002D0E69" w:rsidP="004F539D">
          <w:pPr>
            <w:pStyle w:val="Bibliography"/>
            <w:spacing w:before="120" w:after="120"/>
            <w:rPr>
              <w:rFonts w:cstheme="minorHAnsi"/>
              <w:szCs w:val="20"/>
              <w:lang w:val="en-US"/>
            </w:rPr>
          </w:pPr>
          <w:proofErr w:type="spellStart"/>
          <w:r w:rsidRPr="00C6433A">
            <w:rPr>
              <w:rFonts w:cstheme="minorHAnsi"/>
              <w:szCs w:val="20"/>
              <w:lang w:val="en-US"/>
            </w:rPr>
            <w:t>Peukert</w:t>
          </w:r>
          <w:proofErr w:type="spellEnd"/>
          <w:r w:rsidRPr="00C6433A">
            <w:rPr>
              <w:rFonts w:cstheme="minorHAnsi"/>
              <w:szCs w:val="20"/>
              <w:lang w:val="en-US"/>
            </w:rPr>
            <w:t xml:space="preserve">, C., Bechtold, S., </w:t>
          </w:r>
          <w:proofErr w:type="spellStart"/>
          <w:r w:rsidRPr="00C6433A">
            <w:rPr>
              <w:rFonts w:cstheme="minorHAnsi"/>
              <w:szCs w:val="20"/>
              <w:lang w:val="en-US"/>
            </w:rPr>
            <w:t>Batikas</w:t>
          </w:r>
          <w:proofErr w:type="spellEnd"/>
          <w:r w:rsidRPr="00C6433A">
            <w:rPr>
              <w:rFonts w:cstheme="minorHAnsi"/>
              <w:szCs w:val="20"/>
              <w:lang w:val="en-US"/>
            </w:rPr>
            <w:t>, M. and Kretschmer, T., 2022. “Regulatory spillovers and data governance: Evidence from the GDPR</w:t>
          </w:r>
          <w:r w:rsidRPr="00C6433A">
            <w:rPr>
              <w:rFonts w:cstheme="minorHAnsi"/>
              <w:i/>
              <w:iCs/>
              <w:szCs w:val="20"/>
              <w:lang w:val="en-US"/>
            </w:rPr>
            <w:t>.” Marketing Science</w:t>
          </w:r>
          <w:r w:rsidRPr="00C6433A">
            <w:rPr>
              <w:rFonts w:cstheme="minorHAnsi"/>
              <w:szCs w:val="20"/>
              <w:lang w:val="en-US"/>
            </w:rPr>
            <w:t>, 41(4), pp.746-768.</w:t>
          </w:r>
        </w:p>
        <w:p w14:paraId="0B894925" w14:textId="7419440D" w:rsidR="00E862B4" w:rsidRPr="00C6433A" w:rsidRDefault="00E862B4" w:rsidP="004F539D">
          <w:pPr>
            <w:spacing w:before="120" w:after="120"/>
            <w:ind w:left="284" w:hanging="284"/>
            <w:rPr>
              <w:sz w:val="20"/>
              <w:szCs w:val="20"/>
              <w:lang w:val="en-US"/>
            </w:rPr>
          </w:pPr>
          <w:r w:rsidRPr="00C6433A">
            <w:rPr>
              <w:sz w:val="20"/>
              <w:szCs w:val="20"/>
              <w:lang w:val="en-US"/>
            </w:rPr>
            <w:t xml:space="preserve">Shi, L. (2023). Optimal Regulation of Non-compete Contracts. </w:t>
          </w:r>
          <w:proofErr w:type="spellStart"/>
          <w:r w:rsidRPr="00C6433A">
            <w:rPr>
              <w:i/>
              <w:iCs/>
              <w:sz w:val="20"/>
              <w:szCs w:val="20"/>
              <w:lang w:val="en-US"/>
            </w:rPr>
            <w:t>Econometrica</w:t>
          </w:r>
          <w:proofErr w:type="spellEnd"/>
          <w:r w:rsidRPr="00C6433A">
            <w:rPr>
              <w:sz w:val="20"/>
              <w:szCs w:val="20"/>
              <w:lang w:val="en-US"/>
            </w:rPr>
            <w:t>, 91(2).</w:t>
          </w:r>
        </w:p>
        <w:p w14:paraId="2CBB57C4" w14:textId="2A22BE64" w:rsidR="00E862B4" w:rsidRPr="00C6433A" w:rsidRDefault="00E862B4" w:rsidP="004F539D">
          <w:pPr>
            <w:spacing w:before="120" w:after="120"/>
            <w:ind w:left="284" w:hanging="284"/>
            <w:rPr>
              <w:rFonts w:cstheme="minorHAnsi"/>
              <w:sz w:val="20"/>
              <w:szCs w:val="20"/>
            </w:rPr>
          </w:pPr>
          <w:r w:rsidRPr="00C6433A">
            <w:rPr>
              <w:sz w:val="20"/>
              <w:szCs w:val="20"/>
              <w:lang w:val="en-US"/>
            </w:rPr>
            <w:t xml:space="preserve">Starr, E. (2023). </w:t>
          </w:r>
          <w:r w:rsidRPr="00C6433A">
            <w:rPr>
              <w:i/>
              <w:iCs/>
              <w:sz w:val="20"/>
              <w:szCs w:val="20"/>
              <w:lang w:val="en-US"/>
            </w:rPr>
            <w:t>Noncompete Clauses: A Policymaker’s Guide through the Key Questions and Evidence</w:t>
          </w:r>
          <w:r w:rsidRPr="00C6433A">
            <w:rPr>
              <w:sz w:val="20"/>
              <w:szCs w:val="20"/>
              <w:lang w:val="en-US"/>
            </w:rPr>
            <w:t xml:space="preserve">. </w:t>
          </w:r>
          <w:hyperlink r:id="rId23" w:history="1">
            <w:r w:rsidRPr="00C6433A">
              <w:rPr>
                <w:rStyle w:val="Hyperlink"/>
                <w:sz w:val="20"/>
                <w:szCs w:val="20"/>
                <w:lang w:val="en-US"/>
              </w:rPr>
              <w:t>https://eig.org/noncompetes-research-brief</w:t>
            </w:r>
          </w:hyperlink>
          <w:r w:rsidRPr="00C6433A">
            <w:rPr>
              <w:sz w:val="20"/>
              <w:szCs w:val="20"/>
              <w:lang w:val="en-US"/>
            </w:rPr>
            <w:t xml:space="preserve"> /</w:t>
          </w:r>
        </w:p>
      </w:sdtContent>
    </w:sdt>
    <w:sectPr w:rsidR="00E862B4" w:rsidRPr="00C6433A" w:rsidSect="009F7E06">
      <w:headerReference w:type="even" r:id="rId24"/>
      <w:headerReference w:type="default" r:id="rId25"/>
      <w:footerReference w:type="even" r:id="rId26"/>
      <w:footerReference w:type="default" r:id="rId27"/>
      <w:endnotePr>
        <w:numFmt w:val="decimal"/>
        <w:numRestart w:val="eachSect"/>
      </w:endnotePr>
      <w:type w:val="continuous"/>
      <w:pgSz w:w="11906" w:h="16838" w:code="9"/>
      <w:pgMar w:top="1814" w:right="1304" w:bottom="1758" w:left="1304" w:header="124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F2FA" w14:textId="77777777" w:rsidR="00644FC8" w:rsidRDefault="00644FC8" w:rsidP="00CC3749"/>
  </w:endnote>
  <w:endnote w:type="continuationSeparator" w:id="0">
    <w:p w14:paraId="3C380282" w14:textId="77777777" w:rsidR="00644FC8" w:rsidRPr="00CF4424" w:rsidRDefault="00644FC8" w:rsidP="00CF4424">
      <w:pPr>
        <w:pStyle w:val="Footer"/>
        <w:jc w:val="both"/>
      </w:pPr>
    </w:p>
  </w:endnote>
  <w:endnote w:type="continuationNotice" w:id="1">
    <w:p w14:paraId="61D4515D" w14:textId="77777777" w:rsidR="00644FC8" w:rsidRDefault="00644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Futura PT Light">
    <w:altName w:val="Century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D776" w14:textId="3398230E" w:rsidR="00753833" w:rsidRDefault="00DB3674" w:rsidP="004E100F">
    <w:pPr>
      <w:pStyle w:val="Footer"/>
      <w:jc w:val="right"/>
    </w:pPr>
    <w:sdt>
      <w:sdtPr>
        <w:alias w:val="Document Title"/>
        <w:tag w:val="FooterDocTitle"/>
        <w:id w:val="724263232"/>
        <w:lock w:val="sdtLocked"/>
      </w:sdtPr>
      <w:sdtEndPr/>
      <w:sdtContent>
        <w:sdt>
          <w:sdtPr>
            <w:alias w:val="Document Title"/>
            <w:tag w:val="FooterDocTitle"/>
            <w:id w:val="10800045"/>
          </w:sdtPr>
          <w:sdtEndPr/>
          <w:sdtContent>
            <w:r w:rsidR="0076348E" w:rsidRPr="00285C30">
              <w:t>Session 2: Adapting Competition Regulation to a Changing Economy</w:t>
            </w:r>
          </w:sdtContent>
        </w:sdt>
      </w:sdtContent>
    </w:sdt>
  </w:p>
  <w:sdt>
    <w:sdtPr>
      <w:alias w:val="Classification"/>
      <w:tag w:val="txtHeaderClassif"/>
      <w:id w:val="1051963680"/>
      <w:lock w:val="sdtLocked"/>
      <w:showingPlcHdr/>
    </w:sdtPr>
    <w:sdtEndPr/>
    <w:sdtContent>
      <w:p w14:paraId="56B1AC9F" w14:textId="6B1C3131" w:rsidR="00753833" w:rsidRDefault="0076348E" w:rsidP="004E100F">
        <w:pPr>
          <w:pStyle w:val="FooterClassification"/>
          <w:jc w:val="lef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0E4D" w14:textId="3B99316E" w:rsidR="00753833" w:rsidRPr="00FD7BD8" w:rsidRDefault="00DB3674" w:rsidP="004E100F">
    <w:pPr>
      <w:pStyle w:val="Footer"/>
      <w:jc w:val="left"/>
      <w:rPr>
        <w:caps w:val="0"/>
        <w:szCs w:val="16"/>
      </w:rPr>
    </w:pPr>
    <w:sdt>
      <w:sdtPr>
        <w:alias w:val="Document Title"/>
        <w:tag w:val="FooterDocTitle"/>
        <w:id w:val="-852263594"/>
        <w:lock w:val="sdtLocked"/>
      </w:sdtPr>
      <w:sdtEndPr/>
      <w:sdtContent>
        <w:r w:rsidR="00285C30" w:rsidRPr="00285C30">
          <w:t>Session 2: Adapting Competition Regulation to a Changing Economy</w:t>
        </w:r>
      </w:sdtContent>
    </w:sdt>
  </w:p>
  <w:sdt>
    <w:sdtPr>
      <w:alias w:val="Classification"/>
      <w:tag w:val="txtHeaderClassif"/>
      <w:id w:val="-1380011722"/>
      <w:lock w:val="sdtLocked"/>
      <w:showingPlcHdr/>
    </w:sdtPr>
    <w:sdtEndPr/>
    <w:sdtContent>
      <w:p w14:paraId="1ED78A86" w14:textId="1D2206DA" w:rsidR="00753833" w:rsidRPr="00FD7BD8" w:rsidRDefault="000B3A44" w:rsidP="004E100F">
        <w:pPr>
          <w:pStyle w:val="FooterClassification"/>
          <w:rPr>
            <w:szCs w:val="16"/>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59CB" w14:textId="77777777" w:rsidR="00644FC8" w:rsidRDefault="00644FC8" w:rsidP="00CC3749">
      <w:r>
        <w:separator/>
      </w:r>
    </w:p>
  </w:footnote>
  <w:footnote w:type="continuationSeparator" w:id="0">
    <w:p w14:paraId="1B65D266" w14:textId="77777777" w:rsidR="00644FC8" w:rsidRDefault="00644FC8" w:rsidP="00CC3749">
      <w:r>
        <w:continuationSeparator/>
      </w:r>
    </w:p>
  </w:footnote>
  <w:footnote w:id="1">
    <w:p w14:paraId="050C4966" w14:textId="60DD3DF7" w:rsidR="005A48C9" w:rsidRDefault="005A48C9" w:rsidP="005A48C9">
      <w:pPr>
        <w:pStyle w:val="FootnoteText"/>
      </w:pPr>
      <w:r>
        <w:rPr>
          <w:rStyle w:val="FootnoteReference"/>
        </w:rPr>
        <w:footnoteRef/>
      </w:r>
      <w:r>
        <w:t xml:space="preserve"> Dan Andrews is the Head of Growth, Competitiveness and Regulation Division in the OECD Economics Department. The views reflect those of the author and should not be reported as representing the official views of the OECD or of its member countries.</w:t>
      </w:r>
    </w:p>
  </w:footnote>
  <w:footnote w:id="2">
    <w:p w14:paraId="4D3EA120" w14:textId="45181425" w:rsidR="00046C02" w:rsidRDefault="00046C02">
      <w:pPr>
        <w:pStyle w:val="FootnoteText"/>
      </w:pPr>
      <w:r>
        <w:rPr>
          <w:rStyle w:val="FootnoteReference"/>
        </w:rPr>
        <w:footnoteRef/>
      </w:r>
      <w:r>
        <w:t xml:space="preserve"> See</w:t>
      </w:r>
      <w:r w:rsidR="00B543EE">
        <w:t>:</w:t>
      </w:r>
      <w:r>
        <w:t xml:space="preserve"> </w:t>
      </w:r>
      <w:r w:rsidR="00B543EE">
        <w:t xml:space="preserve">Jim </w:t>
      </w:r>
      <w:r>
        <w:t>Chalmers (2024) “</w:t>
      </w:r>
      <w:hyperlink r:id="rId1" w:history="1">
        <w:r w:rsidRPr="00046C02">
          <w:rPr>
            <w:rStyle w:val="Hyperlink"/>
          </w:rPr>
          <w:t>Treasurers advance national economic reforms | Treasury Ministers</w:t>
        </w:r>
      </w:hyperlink>
      <w:r>
        <w:t>.”</w:t>
      </w:r>
    </w:p>
  </w:footnote>
  <w:footnote w:id="3">
    <w:p w14:paraId="7BDB3110" w14:textId="464F1FD3" w:rsidR="00701CE9" w:rsidRDefault="00701CE9">
      <w:pPr>
        <w:pStyle w:val="FootnoteText"/>
      </w:pPr>
      <w:r>
        <w:rPr>
          <w:rStyle w:val="FootnoteReference"/>
        </w:rPr>
        <w:footnoteRef/>
      </w:r>
      <w:r>
        <w:t xml:space="preserve"> </w:t>
      </w:r>
      <w:r w:rsidRPr="00701CE9">
        <w:t xml:space="preserve">A durable surge in new business formation in the United States is also consistent with an acceleration in underlying productivity growth going forward (Decker </w:t>
      </w:r>
      <w:r>
        <w:t>and</w:t>
      </w:r>
      <w:r w:rsidRPr="00701CE9">
        <w:t xml:space="preserve"> Haltiwanger</w:t>
      </w:r>
      <w:r>
        <w:t>,</w:t>
      </w:r>
      <w:r w:rsidRPr="00701CE9">
        <w:t xml:space="preserve"> 2024)</w:t>
      </w:r>
    </w:p>
  </w:footnote>
  <w:footnote w:id="4">
    <w:p w14:paraId="2241C177" w14:textId="76F2C4FF" w:rsidR="0075062B" w:rsidRDefault="0075062B">
      <w:pPr>
        <w:pStyle w:val="FootnoteText"/>
      </w:pPr>
      <w:r>
        <w:rPr>
          <w:rStyle w:val="FootnoteReference"/>
        </w:rPr>
        <w:footnoteRef/>
      </w:r>
      <w:r>
        <w:t xml:space="preserve"> </w:t>
      </w:r>
      <w:r w:rsidRPr="0075062B">
        <w:t>A related concern is that since accounting standards do not allow firms to recognise most intangible assets as assets, thousands of acquisitions of intangible-intensive firms fall under the threshold and thus escape regulatory review (Kepler et al 2024).</w:t>
      </w:r>
    </w:p>
  </w:footnote>
  <w:footnote w:id="5">
    <w:p w14:paraId="7C1BCFCF" w14:textId="513EACC0" w:rsidR="00D60263" w:rsidRDefault="00D60263">
      <w:pPr>
        <w:pStyle w:val="FootnoteText"/>
      </w:pPr>
      <w:r>
        <w:rPr>
          <w:rStyle w:val="FootnoteReference"/>
        </w:rPr>
        <w:footnoteRef/>
      </w:r>
      <w:r>
        <w:t xml:space="preserve"> </w:t>
      </w:r>
      <w:r w:rsidRPr="00D60263">
        <w:t>We also found two additional facts consistent with “winner-take-all dynamics”. First, global frontier firms increased their market share. Second, MFP divergence was more pronounced, both between frontier and laggard firms and within the global frontier, where the productivity of the most elite firms (top 2%) rose relative to top 5% frontier firms.</w:t>
      </w:r>
    </w:p>
  </w:footnote>
  <w:footnote w:id="6">
    <w:p w14:paraId="018AFF14" w14:textId="5599E786" w:rsidR="005C4378" w:rsidRDefault="005C4378">
      <w:pPr>
        <w:pStyle w:val="FootnoteText"/>
      </w:pPr>
      <w:r>
        <w:rPr>
          <w:rStyle w:val="FootnoteReference"/>
        </w:rPr>
        <w:footnoteRef/>
      </w:r>
      <w:r>
        <w:t xml:space="preserve"> </w:t>
      </w:r>
      <w:r w:rsidR="0068229F">
        <w:t xml:space="preserve">Recent research </w:t>
      </w:r>
      <w:proofErr w:type="gramStart"/>
      <w:r w:rsidR="0068229F">
        <w:t>have</w:t>
      </w:r>
      <w:proofErr w:type="gramEnd"/>
      <w:r w:rsidR="0068229F">
        <w:t xml:space="preserve"> used microdata to investigate the link between policy-induced frictions and </w:t>
      </w:r>
      <w:r w:rsidR="00307D6A">
        <w:t xml:space="preserve">weaker </w:t>
      </w:r>
      <w:r w:rsidR="0068229F">
        <w:t xml:space="preserve">economic dynamism, with respect to: non-compete clauses (see Section 4,2); occupational licensing (Bowman, Hambur and </w:t>
      </w:r>
      <w:r w:rsidR="0068229F" w:rsidRPr="0068229F">
        <w:t>Markovski</w:t>
      </w:r>
      <w:r w:rsidR="0068229F">
        <w:t xml:space="preserve">, 2024); </w:t>
      </w:r>
      <w:r w:rsidR="00307D6A">
        <w:t>s</w:t>
      </w:r>
      <w:r w:rsidR="0068229F">
        <w:t xml:space="preserve">tamp </w:t>
      </w:r>
      <w:r w:rsidR="00307D6A">
        <w:t>d</w:t>
      </w:r>
      <w:r w:rsidR="0068229F">
        <w:t>uty (Garvin et al, 2024);</w:t>
      </w:r>
      <w:r>
        <w:t xml:space="preserve"> </w:t>
      </w:r>
      <w:r w:rsidR="0068229F">
        <w:t>l</w:t>
      </w:r>
      <w:r>
        <w:t>abou</w:t>
      </w:r>
      <w:r w:rsidR="0068229F">
        <w:t>r</w:t>
      </w:r>
      <w:r>
        <w:t xml:space="preserve"> market regulation</w:t>
      </w:r>
      <w:r w:rsidR="00307D6A">
        <w:t>s</w:t>
      </w:r>
      <w:r>
        <w:t xml:space="preserve"> (Andrews and Buckley, 2023); </w:t>
      </w:r>
      <w:r w:rsidR="00307D6A">
        <w:t>and p</w:t>
      </w:r>
      <w:r>
        <w:t xml:space="preserve">ayroll taxes (Andrews, Buckley and Lee,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4CD9" w14:textId="27BDF877" w:rsidR="00753833" w:rsidRDefault="00DB3674" w:rsidP="004E100F">
    <w:pPr>
      <w:pStyle w:val="Header"/>
    </w:pPr>
    <w:sdt>
      <w:sdtPr>
        <w:rPr>
          <w:rStyle w:val="PageNumber"/>
        </w:rPr>
        <w:alias w:val="Page Number"/>
        <w:tag w:val="TxtPageNumber"/>
        <w:id w:val="-1874832592"/>
        <w:lock w:val="sdtLocked"/>
      </w:sdtPr>
      <w:sdtEndPr>
        <w:rPr>
          <w:rStyle w:val="DefaultParagraphFont"/>
          <w:b w:val="0"/>
        </w:rPr>
      </w:sdtEndPr>
      <w:sdtContent>
        <w:r w:rsidR="00753833" w:rsidRPr="00CC3749">
          <w:rPr>
            <w:rStyle w:val="PageNumber"/>
          </w:rPr>
          <w:fldChar w:fldCharType="begin"/>
        </w:r>
        <w:r w:rsidR="00753833" w:rsidRPr="00CC3749">
          <w:rPr>
            <w:rStyle w:val="PageNumber"/>
          </w:rPr>
          <w:instrText xml:space="preserve"> PAGE   \* MERGEFORMAT </w:instrText>
        </w:r>
        <w:r w:rsidR="00753833" w:rsidRPr="00CC3749">
          <w:rPr>
            <w:rStyle w:val="PageNumber"/>
          </w:rPr>
          <w:fldChar w:fldCharType="separate"/>
        </w:r>
        <w:r w:rsidR="00753833">
          <w:rPr>
            <w:rStyle w:val="PageNumber"/>
            <w:noProof/>
          </w:rPr>
          <w:t>2</w:t>
        </w:r>
        <w:r w:rsidR="00753833" w:rsidRPr="00CC3749">
          <w:rPr>
            <w:rStyle w:val="PageNumber"/>
            <w:noProof/>
          </w:rPr>
          <w:fldChar w:fldCharType="end"/>
        </w:r>
      </w:sdtContent>
    </w:sdt>
    <w:r w:rsidR="00753833">
      <w:t xml:space="preserve"> </w:t>
    </w:r>
    <w:r w:rsidR="00753833">
      <w:sym w:font="Symbol" w:char="F07C"/>
    </w:r>
    <w:r w:rsidR="00753833">
      <w:t xml:space="preserve"> </w:t>
    </w:r>
    <w:sdt>
      <w:sdtPr>
        <w:rPr>
          <w:rStyle w:val="HeaderTitle"/>
        </w:rPr>
        <w:alias w:val="Cote/Chapter"/>
        <w:tag w:val="txtHeaderValue"/>
        <w:id w:val="-1134016608"/>
        <w:lock w:val="sdtLocked"/>
        <w:showingPlcHdr/>
      </w:sdtPr>
      <w:sdtEndPr>
        <w:rPr>
          <w:rStyle w:val="DefaultParagraphFont"/>
          <w:caps w:val="0"/>
          <w:sz w:val="22"/>
        </w:rPr>
      </w:sdtEndPr>
      <w:sdtContent>
        <w:r w:rsidR="000B3A44">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48EF" w14:textId="33C4FB98" w:rsidR="00753833" w:rsidRDefault="00DB3674" w:rsidP="004E100F">
    <w:pPr>
      <w:pStyle w:val="Header"/>
      <w:jc w:val="right"/>
    </w:pPr>
    <w:sdt>
      <w:sdtPr>
        <w:rPr>
          <w:rStyle w:val="HeaderTitle"/>
        </w:rPr>
        <w:alias w:val="Cote/Chapter"/>
        <w:tag w:val="txtHeaderValue"/>
        <w:id w:val="-168487891"/>
        <w:lock w:val="sdtLocked"/>
        <w:showingPlcHdr/>
      </w:sdtPr>
      <w:sdtEndPr>
        <w:rPr>
          <w:rStyle w:val="DefaultParagraphFont"/>
          <w:caps w:val="0"/>
          <w:sz w:val="22"/>
        </w:rPr>
      </w:sdtEndPr>
      <w:sdtContent>
        <w:r w:rsidR="009F7E06">
          <w:rPr>
            <w:rStyle w:val="HeaderTitle"/>
          </w:rPr>
          <w:t xml:space="preserve">     </w:t>
        </w:r>
      </w:sdtContent>
    </w:sdt>
    <w:r w:rsidR="00753833">
      <w:rPr>
        <w:rStyle w:val="PageNumber"/>
      </w:rPr>
      <w:t xml:space="preserve"> </w:t>
    </w:r>
    <w:r w:rsidR="00753833">
      <w:rPr>
        <w:rStyle w:val="PageNumber"/>
      </w:rPr>
      <w:sym w:font="Symbol" w:char="F07C"/>
    </w:r>
    <w:r w:rsidR="00753833">
      <w:rPr>
        <w:rStyle w:val="PageNumber"/>
      </w:rPr>
      <w:t xml:space="preserve"> </w:t>
    </w:r>
    <w:sdt>
      <w:sdtPr>
        <w:rPr>
          <w:rStyle w:val="PageNumber"/>
        </w:rPr>
        <w:alias w:val="Page Number"/>
        <w:tag w:val="TxtPageNumber"/>
        <w:id w:val="1489667474"/>
        <w:lock w:val="sdtLocked"/>
      </w:sdtPr>
      <w:sdtEndPr>
        <w:rPr>
          <w:rStyle w:val="DefaultParagraphFont"/>
          <w:b w:val="0"/>
        </w:rPr>
      </w:sdtEndPr>
      <w:sdtContent>
        <w:r w:rsidR="00753833" w:rsidRPr="00CC3749">
          <w:rPr>
            <w:rStyle w:val="PageNumber"/>
          </w:rPr>
          <w:fldChar w:fldCharType="begin"/>
        </w:r>
        <w:r w:rsidR="00753833" w:rsidRPr="00CC3749">
          <w:rPr>
            <w:rStyle w:val="PageNumber"/>
          </w:rPr>
          <w:instrText xml:space="preserve"> PAGE   \* MERGEFORMAT </w:instrText>
        </w:r>
        <w:r w:rsidR="00753833" w:rsidRPr="00CC3749">
          <w:rPr>
            <w:rStyle w:val="PageNumber"/>
          </w:rPr>
          <w:fldChar w:fldCharType="separate"/>
        </w:r>
        <w:r w:rsidR="00753833">
          <w:rPr>
            <w:rStyle w:val="PageNumber"/>
            <w:noProof/>
          </w:rPr>
          <w:t>3</w:t>
        </w:r>
        <w:r w:rsidR="00753833"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DF4"/>
    <w:multiLevelType w:val="multilevel"/>
    <w:tmpl w:val="DD0E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F5C52"/>
    <w:multiLevelType w:val="hybridMultilevel"/>
    <w:tmpl w:val="0CDCD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92207"/>
    <w:multiLevelType w:val="hybridMultilevel"/>
    <w:tmpl w:val="EAEAC68C"/>
    <w:lvl w:ilvl="0" w:tplc="B3625EC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D5C25BE"/>
    <w:multiLevelType w:val="hybridMultilevel"/>
    <w:tmpl w:val="4FC00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D2157"/>
    <w:multiLevelType w:val="multilevel"/>
    <w:tmpl w:val="748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32606"/>
    <w:multiLevelType w:val="hybridMultilevel"/>
    <w:tmpl w:val="BD24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259CE"/>
    <w:multiLevelType w:val="multilevel"/>
    <w:tmpl w:val="19147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B87B3C"/>
    <w:multiLevelType w:val="multilevel"/>
    <w:tmpl w:val="F13E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806B4"/>
    <w:multiLevelType w:val="multilevel"/>
    <w:tmpl w:val="99EED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0"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32F97"/>
    <w:multiLevelType w:val="hybridMultilevel"/>
    <w:tmpl w:val="EC48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B42B9"/>
    <w:multiLevelType w:val="multilevel"/>
    <w:tmpl w:val="FFC23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A70FAD"/>
    <w:multiLevelType w:val="multilevel"/>
    <w:tmpl w:val="31F4B9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C93031"/>
    <w:multiLevelType w:val="hybridMultilevel"/>
    <w:tmpl w:val="D4EE50B0"/>
    <w:lvl w:ilvl="0" w:tplc="08090001">
      <w:start w:val="1"/>
      <w:numFmt w:val="bullet"/>
      <w:lvlText w:val=""/>
      <w:lvlJc w:val="left"/>
      <w:pPr>
        <w:tabs>
          <w:tab w:val="num" w:pos="720"/>
        </w:tabs>
        <w:ind w:left="0" w:firstLine="0"/>
      </w:pPr>
      <w:rPr>
        <w:rFonts w:ascii="Symbol" w:hAnsi="Symbol" w:hint="default"/>
      </w:rPr>
    </w:lvl>
    <w:lvl w:ilvl="1" w:tplc="FFFFFFFF">
      <w:start w:val="1"/>
      <w:numFmt w:val="lowerLetter"/>
      <w:lvlText w:val="%2."/>
      <w:lvlJc w:val="left"/>
      <w:pPr>
        <w:ind w:left="2120" w:hanging="360"/>
      </w:pPr>
    </w:lvl>
    <w:lvl w:ilvl="2" w:tplc="FFFFFFFF">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5" w15:restartNumberingAfterBreak="0">
    <w:nsid w:val="1FE71891"/>
    <w:multiLevelType w:val="hybridMultilevel"/>
    <w:tmpl w:val="35FC4E28"/>
    <w:lvl w:ilvl="0" w:tplc="B6461080">
      <w:start w:val="1"/>
      <w:numFmt w:val="decimal"/>
      <w:lvlText w:val="%1."/>
      <w:lvlJc w:val="left"/>
      <w:pPr>
        <w:tabs>
          <w:tab w:val="num" w:pos="720"/>
        </w:tabs>
        <w:ind w:left="720" w:hanging="360"/>
      </w:pPr>
    </w:lvl>
    <w:lvl w:ilvl="1" w:tplc="542A5C16">
      <w:start w:val="1"/>
      <w:numFmt w:val="decimal"/>
      <w:lvlText w:val="%2."/>
      <w:lvlJc w:val="left"/>
      <w:pPr>
        <w:tabs>
          <w:tab w:val="num" w:pos="1440"/>
        </w:tabs>
        <w:ind w:left="1440" w:hanging="360"/>
      </w:pPr>
    </w:lvl>
    <w:lvl w:ilvl="2" w:tplc="3C04EEDA" w:tentative="1">
      <w:start w:val="1"/>
      <w:numFmt w:val="decimal"/>
      <w:lvlText w:val="%3."/>
      <w:lvlJc w:val="left"/>
      <w:pPr>
        <w:tabs>
          <w:tab w:val="num" w:pos="2160"/>
        </w:tabs>
        <w:ind w:left="2160" w:hanging="360"/>
      </w:pPr>
    </w:lvl>
    <w:lvl w:ilvl="3" w:tplc="E05CBCEA" w:tentative="1">
      <w:start w:val="1"/>
      <w:numFmt w:val="decimal"/>
      <w:lvlText w:val="%4."/>
      <w:lvlJc w:val="left"/>
      <w:pPr>
        <w:tabs>
          <w:tab w:val="num" w:pos="2880"/>
        </w:tabs>
        <w:ind w:left="2880" w:hanging="360"/>
      </w:pPr>
    </w:lvl>
    <w:lvl w:ilvl="4" w:tplc="081C7180" w:tentative="1">
      <w:start w:val="1"/>
      <w:numFmt w:val="decimal"/>
      <w:lvlText w:val="%5."/>
      <w:lvlJc w:val="left"/>
      <w:pPr>
        <w:tabs>
          <w:tab w:val="num" w:pos="3600"/>
        </w:tabs>
        <w:ind w:left="3600" w:hanging="360"/>
      </w:pPr>
    </w:lvl>
    <w:lvl w:ilvl="5" w:tplc="B38818FE" w:tentative="1">
      <w:start w:val="1"/>
      <w:numFmt w:val="decimal"/>
      <w:lvlText w:val="%6."/>
      <w:lvlJc w:val="left"/>
      <w:pPr>
        <w:tabs>
          <w:tab w:val="num" w:pos="4320"/>
        </w:tabs>
        <w:ind w:left="4320" w:hanging="360"/>
      </w:pPr>
    </w:lvl>
    <w:lvl w:ilvl="6" w:tplc="1F986D46" w:tentative="1">
      <w:start w:val="1"/>
      <w:numFmt w:val="decimal"/>
      <w:lvlText w:val="%7."/>
      <w:lvlJc w:val="left"/>
      <w:pPr>
        <w:tabs>
          <w:tab w:val="num" w:pos="5040"/>
        </w:tabs>
        <w:ind w:left="5040" w:hanging="360"/>
      </w:pPr>
    </w:lvl>
    <w:lvl w:ilvl="7" w:tplc="7FE4BA0A" w:tentative="1">
      <w:start w:val="1"/>
      <w:numFmt w:val="decimal"/>
      <w:lvlText w:val="%8."/>
      <w:lvlJc w:val="left"/>
      <w:pPr>
        <w:tabs>
          <w:tab w:val="num" w:pos="5760"/>
        </w:tabs>
        <w:ind w:left="5760" w:hanging="360"/>
      </w:pPr>
    </w:lvl>
    <w:lvl w:ilvl="8" w:tplc="B726C1DE" w:tentative="1">
      <w:start w:val="1"/>
      <w:numFmt w:val="decimal"/>
      <w:lvlText w:val="%9."/>
      <w:lvlJc w:val="left"/>
      <w:pPr>
        <w:tabs>
          <w:tab w:val="num" w:pos="6480"/>
        </w:tabs>
        <w:ind w:left="6480" w:hanging="360"/>
      </w:pPr>
    </w:lvl>
  </w:abstractNum>
  <w:abstractNum w:abstractNumId="16" w15:restartNumberingAfterBreak="0">
    <w:nsid w:val="25876F19"/>
    <w:multiLevelType w:val="hybridMultilevel"/>
    <w:tmpl w:val="DA4C1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A1521B"/>
    <w:multiLevelType w:val="hybridMultilevel"/>
    <w:tmpl w:val="1332E7AA"/>
    <w:lvl w:ilvl="0" w:tplc="18EA0DCE">
      <w:start w:val="1"/>
      <w:numFmt w:val="decimal"/>
      <w:pStyle w:val="Para"/>
      <w:lvlText w:val="%1."/>
      <w:lvlJc w:val="left"/>
      <w:pPr>
        <w:tabs>
          <w:tab w:val="num" w:pos="2421"/>
        </w:tabs>
        <w:ind w:left="1701" w:firstLine="0"/>
      </w:pPr>
      <w:rPr>
        <w:rFonts w:hint="default"/>
      </w:rPr>
    </w:lvl>
    <w:lvl w:ilvl="1" w:tplc="08090019">
      <w:start w:val="1"/>
      <w:numFmt w:val="lowerLetter"/>
      <w:lvlText w:val="%2."/>
      <w:lvlJc w:val="left"/>
      <w:pPr>
        <w:ind w:left="2120" w:hanging="360"/>
      </w:pPr>
    </w:lvl>
    <w:lvl w:ilvl="2" w:tplc="0809001B">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8" w15:restartNumberingAfterBreak="0">
    <w:nsid w:val="262C2C2A"/>
    <w:multiLevelType w:val="hybridMultilevel"/>
    <w:tmpl w:val="127A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26D6B"/>
    <w:multiLevelType w:val="multilevel"/>
    <w:tmpl w:val="F22E8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C832AC"/>
    <w:multiLevelType w:val="hybridMultilevel"/>
    <w:tmpl w:val="4064A6B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291C4C98"/>
    <w:multiLevelType w:val="multilevel"/>
    <w:tmpl w:val="402A1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A96E52"/>
    <w:multiLevelType w:val="hybridMultilevel"/>
    <w:tmpl w:val="28F6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CE00F5"/>
    <w:multiLevelType w:val="hybridMultilevel"/>
    <w:tmpl w:val="D332C1A8"/>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24" w15:restartNumberingAfterBreak="0">
    <w:nsid w:val="2E7E516C"/>
    <w:multiLevelType w:val="hybridMultilevel"/>
    <w:tmpl w:val="77B24350"/>
    <w:lvl w:ilvl="0" w:tplc="08090001">
      <w:start w:val="1"/>
      <w:numFmt w:val="bullet"/>
      <w:pStyle w:val="NumberedList"/>
      <w:lvlText w:val=""/>
      <w:lvlJc w:val="left"/>
      <w:pPr>
        <w:ind w:left="680" w:hanging="340"/>
      </w:pPr>
      <w:rPr>
        <w:rFonts w:ascii="Symbol" w:hAnsi="Symbol"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0684A5A"/>
    <w:multiLevelType w:val="multilevel"/>
    <w:tmpl w:val="5564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E15264"/>
    <w:multiLevelType w:val="hybridMultilevel"/>
    <w:tmpl w:val="803AAE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9B5954"/>
    <w:multiLevelType w:val="hybridMultilevel"/>
    <w:tmpl w:val="AF94467E"/>
    <w:lvl w:ilvl="0" w:tplc="DC58A6A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717043"/>
    <w:multiLevelType w:val="hybridMultilevel"/>
    <w:tmpl w:val="1A661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CD21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5F566E"/>
    <w:multiLevelType w:val="multilevel"/>
    <w:tmpl w:val="6C6AA092"/>
    <w:lvl w:ilvl="0">
      <w:start w:val="1"/>
      <w:numFmt w:val="none"/>
      <w:pStyle w:val="Heading1"/>
      <w:suff w:val="nothing"/>
      <w:lvlText w:val=""/>
      <w:lvlJc w:val="left"/>
      <w:pPr>
        <w:ind w:left="0" w:firstLine="0"/>
      </w:pPr>
      <w:rPr>
        <w:rFonts w:hint="default"/>
        <w:w w:val="100"/>
        <w:sz w:val="130"/>
        <w:u w:val="thick"/>
      </w:rPr>
    </w:lvl>
    <w:lvl w:ilvl="1">
      <w:start w:val="1"/>
      <w:numFmt w:val="decimal"/>
      <w:pStyle w:val="Heading2"/>
      <w:suff w:val="space"/>
      <w:lvlText w:val="%2. "/>
      <w:lvlJc w:val="left"/>
      <w:pPr>
        <w:ind w:left="0" w:firstLine="0"/>
      </w:pPr>
      <w:rPr>
        <w:rFonts w:hint="default"/>
      </w:rPr>
    </w:lvl>
    <w:lvl w:ilvl="2">
      <w:start w:val="1"/>
      <w:numFmt w:val="decimal"/>
      <w:pStyle w:val="Heading3"/>
      <w:suff w:val="space"/>
      <w:lvlText w:val="%2.%3. "/>
      <w:lvlJc w:val="left"/>
      <w:pPr>
        <w:ind w:left="680" w:firstLine="0"/>
      </w:pPr>
      <w:rPr>
        <w:rFonts w:hint="default"/>
      </w:rPr>
    </w:lvl>
    <w:lvl w:ilvl="3">
      <w:start w:val="1"/>
      <w:numFmt w:val="decimal"/>
      <w:pStyle w:val="Heading4"/>
      <w:suff w:val="space"/>
      <w:lvlText w:val="%2.%3.%4. "/>
      <w:lvlJc w:val="left"/>
      <w:pPr>
        <w:ind w:left="680" w:firstLine="0"/>
      </w:pPr>
      <w:rPr>
        <w:rFonts w:hint="default"/>
      </w:rPr>
    </w:lvl>
    <w:lvl w:ilvl="4">
      <w:start w:val="1"/>
      <w:numFmt w:val="none"/>
      <w:pStyle w:val="Heading5"/>
      <w:suff w:val="nothing"/>
      <w:lvlText w:val=""/>
      <w:lvlJc w:val="left"/>
      <w:pPr>
        <w:ind w:left="851" w:firstLine="0"/>
      </w:pPr>
      <w:rPr>
        <w:rFonts w:hint="default"/>
      </w:rPr>
    </w:lvl>
    <w:lvl w:ilvl="5">
      <w:start w:val="1"/>
      <w:numFmt w:val="none"/>
      <w:pStyle w:val="Heading6"/>
      <w:suff w:val="nothing"/>
      <w:lvlText w:val=""/>
      <w:lvlJc w:val="left"/>
      <w:pPr>
        <w:ind w:left="0" w:firstLine="0"/>
      </w:pPr>
      <w:rPr>
        <w:rFonts w:hint="default"/>
        <w:sz w:val="96"/>
      </w:rPr>
    </w:lvl>
    <w:lvl w:ilvl="6">
      <w:start w:val="1"/>
      <w:numFmt w:val="upperLetter"/>
      <w:lvlRestart w:val="0"/>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2" w15:restartNumberingAfterBreak="0">
    <w:nsid w:val="4C7A3C1B"/>
    <w:multiLevelType w:val="hybridMultilevel"/>
    <w:tmpl w:val="24620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52AE164C"/>
    <w:multiLevelType w:val="hybridMultilevel"/>
    <w:tmpl w:val="9A88FE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C95F8E"/>
    <w:multiLevelType w:val="hybridMultilevel"/>
    <w:tmpl w:val="18E44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581D8D"/>
    <w:multiLevelType w:val="hybridMultilevel"/>
    <w:tmpl w:val="5E16D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9B5EAD"/>
    <w:multiLevelType w:val="multilevel"/>
    <w:tmpl w:val="AD30B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C76DB7"/>
    <w:multiLevelType w:val="hybridMultilevel"/>
    <w:tmpl w:val="B170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5F5275"/>
    <w:multiLevelType w:val="multilevel"/>
    <w:tmpl w:val="1D7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1674BE"/>
    <w:multiLevelType w:val="hybridMultilevel"/>
    <w:tmpl w:val="D7AE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2BE2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4309996">
    <w:abstractNumId w:val="17"/>
  </w:num>
  <w:num w:numId="2" w16cid:durableId="1558054758">
    <w:abstractNumId w:val="24"/>
  </w:num>
  <w:num w:numId="3" w16cid:durableId="1568227689">
    <w:abstractNumId w:val="10"/>
  </w:num>
  <w:num w:numId="4" w16cid:durableId="1784955616">
    <w:abstractNumId w:val="30"/>
  </w:num>
  <w:num w:numId="5" w16cid:durableId="1703937203">
    <w:abstractNumId w:val="9"/>
  </w:num>
  <w:num w:numId="6" w16cid:durableId="1246572962">
    <w:abstractNumId w:val="31"/>
  </w:num>
  <w:num w:numId="7" w16cid:durableId="85004733">
    <w:abstractNumId w:val="33"/>
  </w:num>
  <w:num w:numId="8" w16cid:durableId="1424961170">
    <w:abstractNumId w:val="31"/>
  </w:num>
  <w:num w:numId="9" w16cid:durableId="1072196771">
    <w:abstractNumId w:val="1"/>
  </w:num>
  <w:num w:numId="10" w16cid:durableId="1902397685">
    <w:abstractNumId w:val="5"/>
  </w:num>
  <w:num w:numId="11" w16cid:durableId="3987906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0434233">
    <w:abstractNumId w:val="38"/>
  </w:num>
  <w:num w:numId="13" w16cid:durableId="7024457">
    <w:abstractNumId w:val="22"/>
  </w:num>
  <w:num w:numId="14" w16cid:durableId="125859393">
    <w:abstractNumId w:val="27"/>
  </w:num>
  <w:num w:numId="15" w16cid:durableId="1291742098">
    <w:abstractNumId w:val="3"/>
  </w:num>
  <w:num w:numId="16" w16cid:durableId="2112046650">
    <w:abstractNumId w:val="37"/>
  </w:num>
  <w:num w:numId="17" w16cid:durableId="1792087358">
    <w:abstractNumId w:val="20"/>
  </w:num>
  <w:num w:numId="18" w16cid:durableId="1000809770">
    <w:abstractNumId w:val="41"/>
  </w:num>
  <w:num w:numId="19" w16cid:durableId="449009730">
    <w:abstractNumId w:val="11"/>
  </w:num>
  <w:num w:numId="20" w16cid:durableId="380637997">
    <w:abstractNumId w:val="35"/>
  </w:num>
  <w:num w:numId="21" w16cid:durableId="646856381">
    <w:abstractNumId w:val="18"/>
  </w:num>
  <w:num w:numId="22" w16cid:durableId="1852454882">
    <w:abstractNumId w:val="4"/>
  </w:num>
  <w:num w:numId="23" w16cid:durableId="1004088433">
    <w:abstractNumId w:val="21"/>
  </w:num>
  <w:num w:numId="24" w16cid:durableId="2089955479">
    <w:abstractNumId w:val="12"/>
  </w:num>
  <w:num w:numId="25" w16cid:durableId="1137378924">
    <w:abstractNumId w:val="19"/>
  </w:num>
  <w:num w:numId="26" w16cid:durableId="1457988803">
    <w:abstractNumId w:val="7"/>
  </w:num>
  <w:num w:numId="27" w16cid:durableId="1365667757">
    <w:abstractNumId w:val="39"/>
  </w:num>
  <w:num w:numId="28" w16cid:durableId="1927179738">
    <w:abstractNumId w:val="6"/>
  </w:num>
  <w:num w:numId="29" w16cid:durableId="119492762">
    <w:abstractNumId w:val="14"/>
  </w:num>
  <w:num w:numId="30" w16cid:durableId="224805739">
    <w:abstractNumId w:val="25"/>
  </w:num>
  <w:num w:numId="31" w16cid:durableId="1412659384">
    <w:abstractNumId w:val="8"/>
  </w:num>
  <w:num w:numId="32" w16cid:durableId="15494907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0549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44780">
    <w:abstractNumId w:val="36"/>
  </w:num>
  <w:num w:numId="35" w16cid:durableId="165560846">
    <w:abstractNumId w:val="13"/>
  </w:num>
  <w:num w:numId="36" w16cid:durableId="1336958019">
    <w:abstractNumId w:val="34"/>
  </w:num>
  <w:num w:numId="37" w16cid:durableId="1414621739">
    <w:abstractNumId w:val="26"/>
  </w:num>
  <w:num w:numId="38" w16cid:durableId="236674704">
    <w:abstractNumId w:val="28"/>
  </w:num>
  <w:num w:numId="39" w16cid:durableId="1183327589">
    <w:abstractNumId w:val="40"/>
  </w:num>
  <w:num w:numId="40" w16cid:durableId="1370109837">
    <w:abstractNumId w:val="2"/>
  </w:num>
  <w:num w:numId="41" w16cid:durableId="699549231">
    <w:abstractNumId w:val="29"/>
  </w:num>
  <w:num w:numId="42" w16cid:durableId="940143747">
    <w:abstractNumId w:val="42"/>
  </w:num>
  <w:num w:numId="43" w16cid:durableId="1474909721">
    <w:abstractNumId w:val="16"/>
  </w:num>
  <w:num w:numId="44" w16cid:durableId="1395204850">
    <w:abstractNumId w:val="32"/>
  </w:num>
  <w:num w:numId="45" w16cid:durableId="127746872">
    <w:abstractNumId w:val="15"/>
  </w:num>
  <w:num w:numId="46" w16cid:durableId="117233402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0"/>
  <w:defaultTabStop w:val="720"/>
  <w:evenAndOddHeaders/>
  <w:characterSpacingControl w:val="doNotCompress"/>
  <w:hdrShapeDefaults>
    <o:shapedefaults v:ext="edit" spidmax="2050"/>
  </w:hdrShapeDefaults>
  <w:footnotePr>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tInPropertywdPropertyAuthor" w:val="GUILLEMETTE Yvan"/>
    <w:docVar w:name="BuiltInPropertywdPropertySubject" w:val=" "/>
    <w:docVar w:name="OECDAddInVersion" w:val="3.8"/>
    <w:docVar w:name="OECDDocumentClassification" w:val="For Official Use"/>
    <w:docVar w:name="OECDDocumentCommittee" w:val="ECONOMIC POLICY COMMITTEE"/>
    <w:docVar w:name="OECDDocumentCote" w:val="ECO/CPE(2024)99"/>
    <w:docVar w:name="OecdDocumentCoteLangHash" w:val="A1069E90B1522E7D15335D345A8AA6C4FE5793A9ADFDE32BAA6D82144B6242E9"/>
    <w:docVar w:name="OECDDocumentDirectorate" w:val="ECONOMICS DEPARTMENT"/>
    <w:docVar w:name="OECDDocumentDocumentLanguage" w:val="English"/>
    <w:docVar w:name="OECDDocumentId" w:val="93ACCC81BAE1BE232EA912B06E9B182F4CA56A1AA2A7DC3793429B4E04D96002"/>
    <w:docVar w:name="OECDDocumentOriginalLanguage" w:val="English"/>
    <w:docVar w:name="OECDDocumentValidationDate" w:val="08/26/2024 16:57:06"/>
    <w:docVar w:name="OECDDocumentValidationErrors" w:val="0"/>
    <w:docVar w:name="OECDDocumentValidationWarnings" w:val="8"/>
    <w:docVar w:name="OECDDocumentValidationWordCount" w:val="17359"/>
    <w:docVar w:name="OECDKappaEnrichment" w:val="Online"/>
    <w:docVar w:name="OECDTemplateLocation" w:val="W:\Office2016\Workgroup Templates"/>
    <w:docVar w:name="OECDTemplateName" w:val="ONE Author ODPub.dotx"/>
    <w:docVar w:name="OECDTemplateVersion" w:val="3.24"/>
    <w:docVar w:name="OECDTemplateVersionOriginal" w:val="3.24"/>
  </w:docVars>
  <w:rsids>
    <w:rsidRoot w:val="009C6969"/>
    <w:rsid w:val="00001007"/>
    <w:rsid w:val="0000369A"/>
    <w:rsid w:val="000037D9"/>
    <w:rsid w:val="00004DAB"/>
    <w:rsid w:val="00006077"/>
    <w:rsid w:val="000064D6"/>
    <w:rsid w:val="0001022B"/>
    <w:rsid w:val="000161C1"/>
    <w:rsid w:val="00017230"/>
    <w:rsid w:val="00017CD6"/>
    <w:rsid w:val="00017E03"/>
    <w:rsid w:val="000207C8"/>
    <w:rsid w:val="0002198D"/>
    <w:rsid w:val="00023693"/>
    <w:rsid w:val="00024178"/>
    <w:rsid w:val="0002464B"/>
    <w:rsid w:val="00026FB1"/>
    <w:rsid w:val="00027D14"/>
    <w:rsid w:val="00030E8C"/>
    <w:rsid w:val="000329A5"/>
    <w:rsid w:val="00032CAD"/>
    <w:rsid w:val="0003336E"/>
    <w:rsid w:val="0003389A"/>
    <w:rsid w:val="000338B2"/>
    <w:rsid w:val="00033E50"/>
    <w:rsid w:val="00034346"/>
    <w:rsid w:val="000362E8"/>
    <w:rsid w:val="00036355"/>
    <w:rsid w:val="00036BBD"/>
    <w:rsid w:val="00040A94"/>
    <w:rsid w:val="0004162F"/>
    <w:rsid w:val="00041CDB"/>
    <w:rsid w:val="00043270"/>
    <w:rsid w:val="00043426"/>
    <w:rsid w:val="000436AC"/>
    <w:rsid w:val="00043EE0"/>
    <w:rsid w:val="0004402D"/>
    <w:rsid w:val="00044517"/>
    <w:rsid w:val="000454E8"/>
    <w:rsid w:val="00046669"/>
    <w:rsid w:val="00046C02"/>
    <w:rsid w:val="00047030"/>
    <w:rsid w:val="0005043F"/>
    <w:rsid w:val="0005102C"/>
    <w:rsid w:val="000513C0"/>
    <w:rsid w:val="00052575"/>
    <w:rsid w:val="00052588"/>
    <w:rsid w:val="00053391"/>
    <w:rsid w:val="000536B6"/>
    <w:rsid w:val="000542B8"/>
    <w:rsid w:val="00055124"/>
    <w:rsid w:val="00055536"/>
    <w:rsid w:val="0005614D"/>
    <w:rsid w:val="00056271"/>
    <w:rsid w:val="00056CFD"/>
    <w:rsid w:val="00057047"/>
    <w:rsid w:val="0005706C"/>
    <w:rsid w:val="00057949"/>
    <w:rsid w:val="00057CB5"/>
    <w:rsid w:val="000637AE"/>
    <w:rsid w:val="00064C7A"/>
    <w:rsid w:val="00066E2B"/>
    <w:rsid w:val="0006775B"/>
    <w:rsid w:val="0007444D"/>
    <w:rsid w:val="00074A6A"/>
    <w:rsid w:val="00075609"/>
    <w:rsid w:val="0007603F"/>
    <w:rsid w:val="00077098"/>
    <w:rsid w:val="0007717B"/>
    <w:rsid w:val="0007759B"/>
    <w:rsid w:val="000778C2"/>
    <w:rsid w:val="00077D3A"/>
    <w:rsid w:val="00082354"/>
    <w:rsid w:val="00082B96"/>
    <w:rsid w:val="0008337F"/>
    <w:rsid w:val="00083AD2"/>
    <w:rsid w:val="00084B31"/>
    <w:rsid w:val="00085197"/>
    <w:rsid w:val="000857D0"/>
    <w:rsid w:val="000878A5"/>
    <w:rsid w:val="00090E2B"/>
    <w:rsid w:val="00090FA4"/>
    <w:rsid w:val="00093509"/>
    <w:rsid w:val="0009673A"/>
    <w:rsid w:val="00096BC8"/>
    <w:rsid w:val="000A1778"/>
    <w:rsid w:val="000A1827"/>
    <w:rsid w:val="000A5133"/>
    <w:rsid w:val="000A569F"/>
    <w:rsid w:val="000A655C"/>
    <w:rsid w:val="000A69AD"/>
    <w:rsid w:val="000B03E2"/>
    <w:rsid w:val="000B0799"/>
    <w:rsid w:val="000B14DA"/>
    <w:rsid w:val="000B3A44"/>
    <w:rsid w:val="000B3FD9"/>
    <w:rsid w:val="000B583E"/>
    <w:rsid w:val="000B6E5C"/>
    <w:rsid w:val="000B74AE"/>
    <w:rsid w:val="000B7665"/>
    <w:rsid w:val="000B7B86"/>
    <w:rsid w:val="000C0FE0"/>
    <w:rsid w:val="000C1DF4"/>
    <w:rsid w:val="000C35FF"/>
    <w:rsid w:val="000C41ED"/>
    <w:rsid w:val="000C78D4"/>
    <w:rsid w:val="000C798C"/>
    <w:rsid w:val="000D23C9"/>
    <w:rsid w:val="000D34F9"/>
    <w:rsid w:val="000D4550"/>
    <w:rsid w:val="000D6905"/>
    <w:rsid w:val="000D7242"/>
    <w:rsid w:val="000D79ED"/>
    <w:rsid w:val="000E0DC7"/>
    <w:rsid w:val="000E17F9"/>
    <w:rsid w:val="000E1AA5"/>
    <w:rsid w:val="000E1BC3"/>
    <w:rsid w:val="000E2815"/>
    <w:rsid w:val="000E3341"/>
    <w:rsid w:val="000E5F57"/>
    <w:rsid w:val="000E61F1"/>
    <w:rsid w:val="000E6353"/>
    <w:rsid w:val="000E75B5"/>
    <w:rsid w:val="000E7C98"/>
    <w:rsid w:val="000F040F"/>
    <w:rsid w:val="000F55E5"/>
    <w:rsid w:val="000F68AF"/>
    <w:rsid w:val="000F75EE"/>
    <w:rsid w:val="000F7D59"/>
    <w:rsid w:val="0010121E"/>
    <w:rsid w:val="00101323"/>
    <w:rsid w:val="00102EC7"/>
    <w:rsid w:val="00103A76"/>
    <w:rsid w:val="00105714"/>
    <w:rsid w:val="00106F6F"/>
    <w:rsid w:val="00111592"/>
    <w:rsid w:val="00111A19"/>
    <w:rsid w:val="00112408"/>
    <w:rsid w:val="00112963"/>
    <w:rsid w:val="00115CE4"/>
    <w:rsid w:val="001160DF"/>
    <w:rsid w:val="0011701E"/>
    <w:rsid w:val="00117292"/>
    <w:rsid w:val="00117B16"/>
    <w:rsid w:val="001200DD"/>
    <w:rsid w:val="001203ED"/>
    <w:rsid w:val="001223CD"/>
    <w:rsid w:val="00122A48"/>
    <w:rsid w:val="00123A86"/>
    <w:rsid w:val="00123B4F"/>
    <w:rsid w:val="001264CF"/>
    <w:rsid w:val="00127CA5"/>
    <w:rsid w:val="00127E37"/>
    <w:rsid w:val="0013082B"/>
    <w:rsid w:val="001308F2"/>
    <w:rsid w:val="00130B1E"/>
    <w:rsid w:val="001313D9"/>
    <w:rsid w:val="00132E78"/>
    <w:rsid w:val="00133768"/>
    <w:rsid w:val="00134DF4"/>
    <w:rsid w:val="001356BC"/>
    <w:rsid w:val="00135E54"/>
    <w:rsid w:val="001365BF"/>
    <w:rsid w:val="001367B1"/>
    <w:rsid w:val="00140566"/>
    <w:rsid w:val="0014097A"/>
    <w:rsid w:val="00142918"/>
    <w:rsid w:val="0014456B"/>
    <w:rsid w:val="00146063"/>
    <w:rsid w:val="001477A0"/>
    <w:rsid w:val="00150396"/>
    <w:rsid w:val="0015056B"/>
    <w:rsid w:val="0015065F"/>
    <w:rsid w:val="00151485"/>
    <w:rsid w:val="00151AE5"/>
    <w:rsid w:val="001535B9"/>
    <w:rsid w:val="00155CEB"/>
    <w:rsid w:val="00157A58"/>
    <w:rsid w:val="00160B10"/>
    <w:rsid w:val="00160D78"/>
    <w:rsid w:val="00164271"/>
    <w:rsid w:val="00164C1C"/>
    <w:rsid w:val="00165018"/>
    <w:rsid w:val="00165C23"/>
    <w:rsid w:val="00166521"/>
    <w:rsid w:val="001671E0"/>
    <w:rsid w:val="00167265"/>
    <w:rsid w:val="0016770C"/>
    <w:rsid w:val="00170C55"/>
    <w:rsid w:val="0017151C"/>
    <w:rsid w:val="0017283B"/>
    <w:rsid w:val="00173418"/>
    <w:rsid w:val="00177B8C"/>
    <w:rsid w:val="00181620"/>
    <w:rsid w:val="00183469"/>
    <w:rsid w:val="001864AF"/>
    <w:rsid w:val="0019139A"/>
    <w:rsid w:val="00192BE9"/>
    <w:rsid w:val="00192E4E"/>
    <w:rsid w:val="001931F5"/>
    <w:rsid w:val="0019327F"/>
    <w:rsid w:val="001933C5"/>
    <w:rsid w:val="00193981"/>
    <w:rsid w:val="00196642"/>
    <w:rsid w:val="00196BAD"/>
    <w:rsid w:val="001A2CCB"/>
    <w:rsid w:val="001A4FE5"/>
    <w:rsid w:val="001A4FEA"/>
    <w:rsid w:val="001A6A5E"/>
    <w:rsid w:val="001B1A21"/>
    <w:rsid w:val="001B2144"/>
    <w:rsid w:val="001B2FAD"/>
    <w:rsid w:val="001B3026"/>
    <w:rsid w:val="001B33B4"/>
    <w:rsid w:val="001B3F34"/>
    <w:rsid w:val="001B4E01"/>
    <w:rsid w:val="001B619A"/>
    <w:rsid w:val="001B6B11"/>
    <w:rsid w:val="001C0B13"/>
    <w:rsid w:val="001C1F73"/>
    <w:rsid w:val="001C20B1"/>
    <w:rsid w:val="001C252F"/>
    <w:rsid w:val="001C2D04"/>
    <w:rsid w:val="001C4E4F"/>
    <w:rsid w:val="001C617B"/>
    <w:rsid w:val="001C7A96"/>
    <w:rsid w:val="001D0E2C"/>
    <w:rsid w:val="001D218B"/>
    <w:rsid w:val="001D30A5"/>
    <w:rsid w:val="001D3952"/>
    <w:rsid w:val="001D66F7"/>
    <w:rsid w:val="001D6F83"/>
    <w:rsid w:val="001E1BB9"/>
    <w:rsid w:val="001E1F22"/>
    <w:rsid w:val="001E4350"/>
    <w:rsid w:val="001E5418"/>
    <w:rsid w:val="001E5D20"/>
    <w:rsid w:val="001F11B3"/>
    <w:rsid w:val="001F18A8"/>
    <w:rsid w:val="001F2DBD"/>
    <w:rsid w:val="001F3A51"/>
    <w:rsid w:val="001F6038"/>
    <w:rsid w:val="001F617D"/>
    <w:rsid w:val="001F63FD"/>
    <w:rsid w:val="001F6920"/>
    <w:rsid w:val="001F72DC"/>
    <w:rsid w:val="001F76B3"/>
    <w:rsid w:val="00200542"/>
    <w:rsid w:val="002007B7"/>
    <w:rsid w:val="00201266"/>
    <w:rsid w:val="00202409"/>
    <w:rsid w:val="00203113"/>
    <w:rsid w:val="00203C87"/>
    <w:rsid w:val="00203CC1"/>
    <w:rsid w:val="00205D07"/>
    <w:rsid w:val="00207576"/>
    <w:rsid w:val="00207A78"/>
    <w:rsid w:val="00210A5D"/>
    <w:rsid w:val="00212140"/>
    <w:rsid w:val="00215BEC"/>
    <w:rsid w:val="0021614E"/>
    <w:rsid w:val="00217203"/>
    <w:rsid w:val="00217245"/>
    <w:rsid w:val="00222436"/>
    <w:rsid w:val="00223F4C"/>
    <w:rsid w:val="00224AC3"/>
    <w:rsid w:val="0022556E"/>
    <w:rsid w:val="00227069"/>
    <w:rsid w:val="00232626"/>
    <w:rsid w:val="0023603C"/>
    <w:rsid w:val="00236E18"/>
    <w:rsid w:val="00237A1B"/>
    <w:rsid w:val="0024015A"/>
    <w:rsid w:val="00240E5E"/>
    <w:rsid w:val="00241C1A"/>
    <w:rsid w:val="00242055"/>
    <w:rsid w:val="00242409"/>
    <w:rsid w:val="00246122"/>
    <w:rsid w:val="00250970"/>
    <w:rsid w:val="002510C7"/>
    <w:rsid w:val="00252DB9"/>
    <w:rsid w:val="00253C5B"/>
    <w:rsid w:val="0025481A"/>
    <w:rsid w:val="00254E70"/>
    <w:rsid w:val="0025571D"/>
    <w:rsid w:val="00256125"/>
    <w:rsid w:val="002565E1"/>
    <w:rsid w:val="0025738C"/>
    <w:rsid w:val="00257582"/>
    <w:rsid w:val="0026131D"/>
    <w:rsid w:val="00263627"/>
    <w:rsid w:val="00266302"/>
    <w:rsid w:val="00270C3A"/>
    <w:rsid w:val="002732E5"/>
    <w:rsid w:val="002735E9"/>
    <w:rsid w:val="00275277"/>
    <w:rsid w:val="00275477"/>
    <w:rsid w:val="0027649B"/>
    <w:rsid w:val="00280037"/>
    <w:rsid w:val="00280C5F"/>
    <w:rsid w:val="00280D37"/>
    <w:rsid w:val="002818F4"/>
    <w:rsid w:val="00281BFB"/>
    <w:rsid w:val="0028250A"/>
    <w:rsid w:val="00285C30"/>
    <w:rsid w:val="00287ED5"/>
    <w:rsid w:val="0029231E"/>
    <w:rsid w:val="0029294F"/>
    <w:rsid w:val="002935F5"/>
    <w:rsid w:val="00296CE1"/>
    <w:rsid w:val="002A04A2"/>
    <w:rsid w:val="002A0D3C"/>
    <w:rsid w:val="002A2091"/>
    <w:rsid w:val="002A226D"/>
    <w:rsid w:val="002A2600"/>
    <w:rsid w:val="002A2F25"/>
    <w:rsid w:val="002A2FF0"/>
    <w:rsid w:val="002A54DE"/>
    <w:rsid w:val="002A6559"/>
    <w:rsid w:val="002A6B56"/>
    <w:rsid w:val="002A7207"/>
    <w:rsid w:val="002A75FF"/>
    <w:rsid w:val="002B1DC9"/>
    <w:rsid w:val="002B1E62"/>
    <w:rsid w:val="002B23EE"/>
    <w:rsid w:val="002B353F"/>
    <w:rsid w:val="002B3E3D"/>
    <w:rsid w:val="002B4DED"/>
    <w:rsid w:val="002B670C"/>
    <w:rsid w:val="002B78B8"/>
    <w:rsid w:val="002B7DA1"/>
    <w:rsid w:val="002C0896"/>
    <w:rsid w:val="002C1DAB"/>
    <w:rsid w:val="002C1DD6"/>
    <w:rsid w:val="002C3144"/>
    <w:rsid w:val="002C3257"/>
    <w:rsid w:val="002C420F"/>
    <w:rsid w:val="002C5580"/>
    <w:rsid w:val="002C5D77"/>
    <w:rsid w:val="002C791F"/>
    <w:rsid w:val="002D0E69"/>
    <w:rsid w:val="002D3E24"/>
    <w:rsid w:val="002D5333"/>
    <w:rsid w:val="002D648B"/>
    <w:rsid w:val="002D70B0"/>
    <w:rsid w:val="002E0230"/>
    <w:rsid w:val="002E0821"/>
    <w:rsid w:val="002E0C22"/>
    <w:rsid w:val="002E2243"/>
    <w:rsid w:val="002E4235"/>
    <w:rsid w:val="002E4628"/>
    <w:rsid w:val="002E4705"/>
    <w:rsid w:val="002E4E98"/>
    <w:rsid w:val="002E5A61"/>
    <w:rsid w:val="002E5FD1"/>
    <w:rsid w:val="002F3A06"/>
    <w:rsid w:val="002F54A0"/>
    <w:rsid w:val="002F605B"/>
    <w:rsid w:val="002F70DF"/>
    <w:rsid w:val="00300DA6"/>
    <w:rsid w:val="00303173"/>
    <w:rsid w:val="00303E7D"/>
    <w:rsid w:val="0030493D"/>
    <w:rsid w:val="00305C43"/>
    <w:rsid w:val="00307A67"/>
    <w:rsid w:val="00307D6A"/>
    <w:rsid w:val="00310450"/>
    <w:rsid w:val="00310601"/>
    <w:rsid w:val="003110C9"/>
    <w:rsid w:val="0031117C"/>
    <w:rsid w:val="003112AF"/>
    <w:rsid w:val="00311DB3"/>
    <w:rsid w:val="00311FED"/>
    <w:rsid w:val="00313143"/>
    <w:rsid w:val="00313BC5"/>
    <w:rsid w:val="00315E5D"/>
    <w:rsid w:val="00320D58"/>
    <w:rsid w:val="00323108"/>
    <w:rsid w:val="00324483"/>
    <w:rsid w:val="003257D1"/>
    <w:rsid w:val="0032594A"/>
    <w:rsid w:val="00326CAE"/>
    <w:rsid w:val="003276FA"/>
    <w:rsid w:val="00327F00"/>
    <w:rsid w:val="003311D2"/>
    <w:rsid w:val="003319BB"/>
    <w:rsid w:val="00331A7B"/>
    <w:rsid w:val="003326FC"/>
    <w:rsid w:val="00332E88"/>
    <w:rsid w:val="00333261"/>
    <w:rsid w:val="00333DA9"/>
    <w:rsid w:val="003344EC"/>
    <w:rsid w:val="00337396"/>
    <w:rsid w:val="003402DC"/>
    <w:rsid w:val="00340F83"/>
    <w:rsid w:val="0034160B"/>
    <w:rsid w:val="0034421F"/>
    <w:rsid w:val="003478E1"/>
    <w:rsid w:val="00347AA2"/>
    <w:rsid w:val="00350662"/>
    <w:rsid w:val="00350963"/>
    <w:rsid w:val="00350CCC"/>
    <w:rsid w:val="00350D08"/>
    <w:rsid w:val="00352155"/>
    <w:rsid w:val="0035293B"/>
    <w:rsid w:val="0035307E"/>
    <w:rsid w:val="00355138"/>
    <w:rsid w:val="00355C23"/>
    <w:rsid w:val="003570CA"/>
    <w:rsid w:val="003578FC"/>
    <w:rsid w:val="003601F1"/>
    <w:rsid w:val="00360BB4"/>
    <w:rsid w:val="00363271"/>
    <w:rsid w:val="00364788"/>
    <w:rsid w:val="003647AB"/>
    <w:rsid w:val="003656BA"/>
    <w:rsid w:val="00365751"/>
    <w:rsid w:val="00366BED"/>
    <w:rsid w:val="003704FE"/>
    <w:rsid w:val="003710D3"/>
    <w:rsid w:val="003719E2"/>
    <w:rsid w:val="00371EA0"/>
    <w:rsid w:val="00371F73"/>
    <w:rsid w:val="00372918"/>
    <w:rsid w:val="00372BC9"/>
    <w:rsid w:val="00375A7C"/>
    <w:rsid w:val="00376570"/>
    <w:rsid w:val="00376EB4"/>
    <w:rsid w:val="00381AB2"/>
    <w:rsid w:val="0038507E"/>
    <w:rsid w:val="00385D78"/>
    <w:rsid w:val="00386686"/>
    <w:rsid w:val="00386799"/>
    <w:rsid w:val="00386F03"/>
    <w:rsid w:val="003908FA"/>
    <w:rsid w:val="00391C57"/>
    <w:rsid w:val="00392234"/>
    <w:rsid w:val="003927E6"/>
    <w:rsid w:val="00392E81"/>
    <w:rsid w:val="003957E7"/>
    <w:rsid w:val="00396B0D"/>
    <w:rsid w:val="003A1719"/>
    <w:rsid w:val="003A1B49"/>
    <w:rsid w:val="003A3586"/>
    <w:rsid w:val="003A3A69"/>
    <w:rsid w:val="003A4206"/>
    <w:rsid w:val="003A72FB"/>
    <w:rsid w:val="003B0FCE"/>
    <w:rsid w:val="003B2EF0"/>
    <w:rsid w:val="003B312C"/>
    <w:rsid w:val="003B3E1E"/>
    <w:rsid w:val="003B42F8"/>
    <w:rsid w:val="003B4B9D"/>
    <w:rsid w:val="003B4CDA"/>
    <w:rsid w:val="003B5A85"/>
    <w:rsid w:val="003C3173"/>
    <w:rsid w:val="003C33F0"/>
    <w:rsid w:val="003C4738"/>
    <w:rsid w:val="003C6887"/>
    <w:rsid w:val="003C6CEE"/>
    <w:rsid w:val="003C6E42"/>
    <w:rsid w:val="003D0071"/>
    <w:rsid w:val="003D0145"/>
    <w:rsid w:val="003D0D81"/>
    <w:rsid w:val="003D1218"/>
    <w:rsid w:val="003D283F"/>
    <w:rsid w:val="003D28E8"/>
    <w:rsid w:val="003D361F"/>
    <w:rsid w:val="003D3E96"/>
    <w:rsid w:val="003D5C74"/>
    <w:rsid w:val="003D7217"/>
    <w:rsid w:val="003D73EC"/>
    <w:rsid w:val="003D7454"/>
    <w:rsid w:val="003D7F99"/>
    <w:rsid w:val="003E0362"/>
    <w:rsid w:val="003E0DED"/>
    <w:rsid w:val="003E180A"/>
    <w:rsid w:val="003E2486"/>
    <w:rsid w:val="003E2E5C"/>
    <w:rsid w:val="003E386D"/>
    <w:rsid w:val="003E3EBB"/>
    <w:rsid w:val="003E441F"/>
    <w:rsid w:val="003E5521"/>
    <w:rsid w:val="003E5783"/>
    <w:rsid w:val="003E5BE5"/>
    <w:rsid w:val="003E6393"/>
    <w:rsid w:val="003E7235"/>
    <w:rsid w:val="003F13FD"/>
    <w:rsid w:val="003F32FE"/>
    <w:rsid w:val="003F3341"/>
    <w:rsid w:val="003F3E9F"/>
    <w:rsid w:val="003F6346"/>
    <w:rsid w:val="003F7505"/>
    <w:rsid w:val="004034EE"/>
    <w:rsid w:val="004036CB"/>
    <w:rsid w:val="004038D5"/>
    <w:rsid w:val="00403A1F"/>
    <w:rsid w:val="00404A52"/>
    <w:rsid w:val="004070EB"/>
    <w:rsid w:val="00407712"/>
    <w:rsid w:val="00407859"/>
    <w:rsid w:val="00411C6F"/>
    <w:rsid w:val="004120ED"/>
    <w:rsid w:val="00412BE7"/>
    <w:rsid w:val="004132AC"/>
    <w:rsid w:val="00414870"/>
    <w:rsid w:val="00416FCD"/>
    <w:rsid w:val="00420A32"/>
    <w:rsid w:val="004220A8"/>
    <w:rsid w:val="004230BA"/>
    <w:rsid w:val="004234CE"/>
    <w:rsid w:val="00424250"/>
    <w:rsid w:val="004243B4"/>
    <w:rsid w:val="004259A6"/>
    <w:rsid w:val="00426F61"/>
    <w:rsid w:val="00430985"/>
    <w:rsid w:val="00434522"/>
    <w:rsid w:val="004348F1"/>
    <w:rsid w:val="004371E5"/>
    <w:rsid w:val="00437369"/>
    <w:rsid w:val="0044066E"/>
    <w:rsid w:val="00440FA5"/>
    <w:rsid w:val="0044195A"/>
    <w:rsid w:val="00443AB7"/>
    <w:rsid w:val="00443EC0"/>
    <w:rsid w:val="004444F7"/>
    <w:rsid w:val="00444C08"/>
    <w:rsid w:val="00444C79"/>
    <w:rsid w:val="00444DB5"/>
    <w:rsid w:val="00446AD0"/>
    <w:rsid w:val="00446D39"/>
    <w:rsid w:val="004470A9"/>
    <w:rsid w:val="00450561"/>
    <w:rsid w:val="00451033"/>
    <w:rsid w:val="00452531"/>
    <w:rsid w:val="004529B7"/>
    <w:rsid w:val="00452DA0"/>
    <w:rsid w:val="004551CC"/>
    <w:rsid w:val="00456142"/>
    <w:rsid w:val="004564A2"/>
    <w:rsid w:val="00456E03"/>
    <w:rsid w:val="00457282"/>
    <w:rsid w:val="00457338"/>
    <w:rsid w:val="00460635"/>
    <w:rsid w:val="00461C3F"/>
    <w:rsid w:val="0046201C"/>
    <w:rsid w:val="004621E4"/>
    <w:rsid w:val="004622CF"/>
    <w:rsid w:val="00462721"/>
    <w:rsid w:val="00462EAD"/>
    <w:rsid w:val="00464ED3"/>
    <w:rsid w:val="0046536F"/>
    <w:rsid w:val="00465768"/>
    <w:rsid w:val="004661B2"/>
    <w:rsid w:val="00471E40"/>
    <w:rsid w:val="00471F50"/>
    <w:rsid w:val="00475C7C"/>
    <w:rsid w:val="004761C1"/>
    <w:rsid w:val="004777B3"/>
    <w:rsid w:val="004850FA"/>
    <w:rsid w:val="00485611"/>
    <w:rsid w:val="00486E73"/>
    <w:rsid w:val="00490A64"/>
    <w:rsid w:val="004914F9"/>
    <w:rsid w:val="00491BC6"/>
    <w:rsid w:val="004921F0"/>
    <w:rsid w:val="004929FE"/>
    <w:rsid w:val="00492A0F"/>
    <w:rsid w:val="00492F1E"/>
    <w:rsid w:val="00494408"/>
    <w:rsid w:val="004952F5"/>
    <w:rsid w:val="00496E73"/>
    <w:rsid w:val="004975A1"/>
    <w:rsid w:val="004A00A8"/>
    <w:rsid w:val="004A0527"/>
    <w:rsid w:val="004A117A"/>
    <w:rsid w:val="004A1A13"/>
    <w:rsid w:val="004A1A3F"/>
    <w:rsid w:val="004A1A7B"/>
    <w:rsid w:val="004A1C72"/>
    <w:rsid w:val="004A2645"/>
    <w:rsid w:val="004A3956"/>
    <w:rsid w:val="004A4E28"/>
    <w:rsid w:val="004A530E"/>
    <w:rsid w:val="004A6DF4"/>
    <w:rsid w:val="004A6F9B"/>
    <w:rsid w:val="004B0D32"/>
    <w:rsid w:val="004B163D"/>
    <w:rsid w:val="004B30AF"/>
    <w:rsid w:val="004B3146"/>
    <w:rsid w:val="004B3675"/>
    <w:rsid w:val="004B62BB"/>
    <w:rsid w:val="004B6334"/>
    <w:rsid w:val="004B7B10"/>
    <w:rsid w:val="004C0E5D"/>
    <w:rsid w:val="004C102F"/>
    <w:rsid w:val="004C2F5D"/>
    <w:rsid w:val="004C3290"/>
    <w:rsid w:val="004C4FFD"/>
    <w:rsid w:val="004C53F1"/>
    <w:rsid w:val="004C7EBE"/>
    <w:rsid w:val="004C7FF4"/>
    <w:rsid w:val="004D2EAB"/>
    <w:rsid w:val="004D37BC"/>
    <w:rsid w:val="004D5629"/>
    <w:rsid w:val="004D627F"/>
    <w:rsid w:val="004D64AB"/>
    <w:rsid w:val="004D67CA"/>
    <w:rsid w:val="004D762B"/>
    <w:rsid w:val="004E016A"/>
    <w:rsid w:val="004E0E10"/>
    <w:rsid w:val="004E100F"/>
    <w:rsid w:val="004E4993"/>
    <w:rsid w:val="004E64F2"/>
    <w:rsid w:val="004F0242"/>
    <w:rsid w:val="004F1D9C"/>
    <w:rsid w:val="004F2C33"/>
    <w:rsid w:val="004F364D"/>
    <w:rsid w:val="004F4680"/>
    <w:rsid w:val="004F4D0F"/>
    <w:rsid w:val="004F539D"/>
    <w:rsid w:val="004F644E"/>
    <w:rsid w:val="004F6BF2"/>
    <w:rsid w:val="004F6CB7"/>
    <w:rsid w:val="005011D9"/>
    <w:rsid w:val="00502163"/>
    <w:rsid w:val="00502342"/>
    <w:rsid w:val="005024A5"/>
    <w:rsid w:val="00504379"/>
    <w:rsid w:val="0050439E"/>
    <w:rsid w:val="005048B6"/>
    <w:rsid w:val="005059C6"/>
    <w:rsid w:val="00506837"/>
    <w:rsid w:val="005069FB"/>
    <w:rsid w:val="00507A6B"/>
    <w:rsid w:val="00507B51"/>
    <w:rsid w:val="00510B0C"/>
    <w:rsid w:val="00510E93"/>
    <w:rsid w:val="00511263"/>
    <w:rsid w:val="00511723"/>
    <w:rsid w:val="00511CEB"/>
    <w:rsid w:val="00512495"/>
    <w:rsid w:val="00512C71"/>
    <w:rsid w:val="0051505E"/>
    <w:rsid w:val="005158C2"/>
    <w:rsid w:val="0051791C"/>
    <w:rsid w:val="00522CE5"/>
    <w:rsid w:val="00522F54"/>
    <w:rsid w:val="00522FD8"/>
    <w:rsid w:val="00523806"/>
    <w:rsid w:val="00523CA8"/>
    <w:rsid w:val="00524708"/>
    <w:rsid w:val="00524825"/>
    <w:rsid w:val="0052749E"/>
    <w:rsid w:val="00531225"/>
    <w:rsid w:val="00531905"/>
    <w:rsid w:val="00532FB1"/>
    <w:rsid w:val="005330A6"/>
    <w:rsid w:val="00533724"/>
    <w:rsid w:val="00535F2B"/>
    <w:rsid w:val="005360A8"/>
    <w:rsid w:val="005361EC"/>
    <w:rsid w:val="005370EF"/>
    <w:rsid w:val="00542373"/>
    <w:rsid w:val="00543135"/>
    <w:rsid w:val="005435A0"/>
    <w:rsid w:val="005437B8"/>
    <w:rsid w:val="00547FD4"/>
    <w:rsid w:val="00550574"/>
    <w:rsid w:val="005521D7"/>
    <w:rsid w:val="005527A6"/>
    <w:rsid w:val="00552F6B"/>
    <w:rsid w:val="00556641"/>
    <w:rsid w:val="00564D34"/>
    <w:rsid w:val="00564E12"/>
    <w:rsid w:val="0056606B"/>
    <w:rsid w:val="005661A0"/>
    <w:rsid w:val="00567146"/>
    <w:rsid w:val="0057168E"/>
    <w:rsid w:val="00573001"/>
    <w:rsid w:val="005735E4"/>
    <w:rsid w:val="00573924"/>
    <w:rsid w:val="00573CEF"/>
    <w:rsid w:val="00574156"/>
    <w:rsid w:val="00574307"/>
    <w:rsid w:val="00575855"/>
    <w:rsid w:val="005764A7"/>
    <w:rsid w:val="00576984"/>
    <w:rsid w:val="00576A43"/>
    <w:rsid w:val="00580EE2"/>
    <w:rsid w:val="00581C9C"/>
    <w:rsid w:val="00582D40"/>
    <w:rsid w:val="00583B7D"/>
    <w:rsid w:val="005917EE"/>
    <w:rsid w:val="00591C17"/>
    <w:rsid w:val="005926B4"/>
    <w:rsid w:val="00592EE9"/>
    <w:rsid w:val="005936CA"/>
    <w:rsid w:val="00593D13"/>
    <w:rsid w:val="00594585"/>
    <w:rsid w:val="00594F33"/>
    <w:rsid w:val="00595B9F"/>
    <w:rsid w:val="005966A5"/>
    <w:rsid w:val="005972EB"/>
    <w:rsid w:val="00597B6E"/>
    <w:rsid w:val="005A0A55"/>
    <w:rsid w:val="005A0D63"/>
    <w:rsid w:val="005A10D2"/>
    <w:rsid w:val="005A171B"/>
    <w:rsid w:val="005A1E27"/>
    <w:rsid w:val="005A41B4"/>
    <w:rsid w:val="005A4365"/>
    <w:rsid w:val="005A48C9"/>
    <w:rsid w:val="005A4A42"/>
    <w:rsid w:val="005A4FC2"/>
    <w:rsid w:val="005A512F"/>
    <w:rsid w:val="005A57B2"/>
    <w:rsid w:val="005A6B81"/>
    <w:rsid w:val="005B03A3"/>
    <w:rsid w:val="005B1434"/>
    <w:rsid w:val="005B2618"/>
    <w:rsid w:val="005B3903"/>
    <w:rsid w:val="005B48C0"/>
    <w:rsid w:val="005B5FF1"/>
    <w:rsid w:val="005B734D"/>
    <w:rsid w:val="005B7CA2"/>
    <w:rsid w:val="005C07BE"/>
    <w:rsid w:val="005C2E25"/>
    <w:rsid w:val="005C4378"/>
    <w:rsid w:val="005D25FC"/>
    <w:rsid w:val="005D30FC"/>
    <w:rsid w:val="005D351F"/>
    <w:rsid w:val="005D3853"/>
    <w:rsid w:val="005D450E"/>
    <w:rsid w:val="005D5F8F"/>
    <w:rsid w:val="005D67EA"/>
    <w:rsid w:val="005D7D42"/>
    <w:rsid w:val="005E3782"/>
    <w:rsid w:val="005E5BB6"/>
    <w:rsid w:val="005F67BC"/>
    <w:rsid w:val="005F7DA5"/>
    <w:rsid w:val="00600567"/>
    <w:rsid w:val="0060067A"/>
    <w:rsid w:val="00603681"/>
    <w:rsid w:val="006042DB"/>
    <w:rsid w:val="00606D36"/>
    <w:rsid w:val="00611606"/>
    <w:rsid w:val="00611BBB"/>
    <w:rsid w:val="0061216A"/>
    <w:rsid w:val="006128C8"/>
    <w:rsid w:val="0061370F"/>
    <w:rsid w:val="006163C5"/>
    <w:rsid w:val="00617233"/>
    <w:rsid w:val="0061792D"/>
    <w:rsid w:val="006218BD"/>
    <w:rsid w:val="00621BCE"/>
    <w:rsid w:val="00622E0C"/>
    <w:rsid w:val="0062341A"/>
    <w:rsid w:val="00625626"/>
    <w:rsid w:val="006304BF"/>
    <w:rsid w:val="006305F3"/>
    <w:rsid w:val="00634779"/>
    <w:rsid w:val="00635993"/>
    <w:rsid w:val="00635AEE"/>
    <w:rsid w:val="006372FB"/>
    <w:rsid w:val="006379E5"/>
    <w:rsid w:val="00640529"/>
    <w:rsid w:val="00640836"/>
    <w:rsid w:val="006426F9"/>
    <w:rsid w:val="00644510"/>
    <w:rsid w:val="0064451C"/>
    <w:rsid w:val="00644FC8"/>
    <w:rsid w:val="00644FCE"/>
    <w:rsid w:val="00645A44"/>
    <w:rsid w:val="00646349"/>
    <w:rsid w:val="006464A7"/>
    <w:rsid w:val="0065052A"/>
    <w:rsid w:val="0065114C"/>
    <w:rsid w:val="00651F75"/>
    <w:rsid w:val="006543BE"/>
    <w:rsid w:val="0065463D"/>
    <w:rsid w:val="00655502"/>
    <w:rsid w:val="00655901"/>
    <w:rsid w:val="00655B98"/>
    <w:rsid w:val="00661205"/>
    <w:rsid w:val="00663CAE"/>
    <w:rsid w:val="00663D16"/>
    <w:rsid w:val="00670626"/>
    <w:rsid w:val="006727AB"/>
    <w:rsid w:val="006755E4"/>
    <w:rsid w:val="00676E8B"/>
    <w:rsid w:val="00677A5A"/>
    <w:rsid w:val="00680162"/>
    <w:rsid w:val="00680ADD"/>
    <w:rsid w:val="00681A46"/>
    <w:rsid w:val="0068229F"/>
    <w:rsid w:val="0068361F"/>
    <w:rsid w:val="00684899"/>
    <w:rsid w:val="00686ACC"/>
    <w:rsid w:val="00687389"/>
    <w:rsid w:val="00692DAC"/>
    <w:rsid w:val="00693AAE"/>
    <w:rsid w:val="00693F1E"/>
    <w:rsid w:val="006958E9"/>
    <w:rsid w:val="006962DD"/>
    <w:rsid w:val="0069652B"/>
    <w:rsid w:val="00696770"/>
    <w:rsid w:val="006974B9"/>
    <w:rsid w:val="006A1139"/>
    <w:rsid w:val="006A422C"/>
    <w:rsid w:val="006A49EE"/>
    <w:rsid w:val="006A5D34"/>
    <w:rsid w:val="006A7CB6"/>
    <w:rsid w:val="006B0483"/>
    <w:rsid w:val="006B0FF4"/>
    <w:rsid w:val="006B1901"/>
    <w:rsid w:val="006B1B73"/>
    <w:rsid w:val="006B239A"/>
    <w:rsid w:val="006B38E2"/>
    <w:rsid w:val="006B4158"/>
    <w:rsid w:val="006B4BAA"/>
    <w:rsid w:val="006B54CB"/>
    <w:rsid w:val="006B7345"/>
    <w:rsid w:val="006B7A61"/>
    <w:rsid w:val="006C34CA"/>
    <w:rsid w:val="006C35CC"/>
    <w:rsid w:val="006C377F"/>
    <w:rsid w:val="006C6FD9"/>
    <w:rsid w:val="006C7B61"/>
    <w:rsid w:val="006D00EB"/>
    <w:rsid w:val="006D0494"/>
    <w:rsid w:val="006D1214"/>
    <w:rsid w:val="006D1C15"/>
    <w:rsid w:val="006D2B23"/>
    <w:rsid w:val="006D6B16"/>
    <w:rsid w:val="006E18FD"/>
    <w:rsid w:val="006E48DC"/>
    <w:rsid w:val="006E50BA"/>
    <w:rsid w:val="006E5AA5"/>
    <w:rsid w:val="006E5D5A"/>
    <w:rsid w:val="006E6763"/>
    <w:rsid w:val="006E6FDE"/>
    <w:rsid w:val="006E7B68"/>
    <w:rsid w:val="006F0A20"/>
    <w:rsid w:val="006F5447"/>
    <w:rsid w:val="006F6B9F"/>
    <w:rsid w:val="0070033F"/>
    <w:rsid w:val="00700DBC"/>
    <w:rsid w:val="00701413"/>
    <w:rsid w:val="00701C79"/>
    <w:rsid w:val="00701CE9"/>
    <w:rsid w:val="00705B55"/>
    <w:rsid w:val="00706172"/>
    <w:rsid w:val="007063FA"/>
    <w:rsid w:val="0071082C"/>
    <w:rsid w:val="00710E8C"/>
    <w:rsid w:val="00711532"/>
    <w:rsid w:val="00711F1B"/>
    <w:rsid w:val="00712B15"/>
    <w:rsid w:val="00713205"/>
    <w:rsid w:val="007135D0"/>
    <w:rsid w:val="00714B07"/>
    <w:rsid w:val="007166C8"/>
    <w:rsid w:val="00716D55"/>
    <w:rsid w:val="0072026C"/>
    <w:rsid w:val="007207FB"/>
    <w:rsid w:val="00721BD3"/>
    <w:rsid w:val="00722339"/>
    <w:rsid w:val="00723290"/>
    <w:rsid w:val="00724820"/>
    <w:rsid w:val="0072513F"/>
    <w:rsid w:val="00725AEA"/>
    <w:rsid w:val="00727006"/>
    <w:rsid w:val="007306FA"/>
    <w:rsid w:val="00731BCC"/>
    <w:rsid w:val="007323ED"/>
    <w:rsid w:val="0073290B"/>
    <w:rsid w:val="00733ED1"/>
    <w:rsid w:val="00734135"/>
    <w:rsid w:val="0073549C"/>
    <w:rsid w:val="00735C39"/>
    <w:rsid w:val="00741BDC"/>
    <w:rsid w:val="00742001"/>
    <w:rsid w:val="00743058"/>
    <w:rsid w:val="00743381"/>
    <w:rsid w:val="007434F8"/>
    <w:rsid w:val="0074375D"/>
    <w:rsid w:val="00743E2F"/>
    <w:rsid w:val="0074632A"/>
    <w:rsid w:val="007468EE"/>
    <w:rsid w:val="00746936"/>
    <w:rsid w:val="0075062B"/>
    <w:rsid w:val="0075169F"/>
    <w:rsid w:val="00753095"/>
    <w:rsid w:val="00753833"/>
    <w:rsid w:val="00753C05"/>
    <w:rsid w:val="00753EEE"/>
    <w:rsid w:val="00754C15"/>
    <w:rsid w:val="00755C86"/>
    <w:rsid w:val="007567AC"/>
    <w:rsid w:val="00757802"/>
    <w:rsid w:val="00757D43"/>
    <w:rsid w:val="00760813"/>
    <w:rsid w:val="007622EA"/>
    <w:rsid w:val="00762B89"/>
    <w:rsid w:val="00763051"/>
    <w:rsid w:val="0076348E"/>
    <w:rsid w:val="00764B12"/>
    <w:rsid w:val="0077000D"/>
    <w:rsid w:val="00770200"/>
    <w:rsid w:val="00770838"/>
    <w:rsid w:val="007712AC"/>
    <w:rsid w:val="00771361"/>
    <w:rsid w:val="00771AE3"/>
    <w:rsid w:val="007728EB"/>
    <w:rsid w:val="00776245"/>
    <w:rsid w:val="00776358"/>
    <w:rsid w:val="0078166F"/>
    <w:rsid w:val="007823FE"/>
    <w:rsid w:val="00782470"/>
    <w:rsid w:val="007827E1"/>
    <w:rsid w:val="007828B7"/>
    <w:rsid w:val="00782E23"/>
    <w:rsid w:val="0078307B"/>
    <w:rsid w:val="0078332D"/>
    <w:rsid w:val="007836B4"/>
    <w:rsid w:val="00785A1E"/>
    <w:rsid w:val="0078626A"/>
    <w:rsid w:val="00787CA5"/>
    <w:rsid w:val="00792511"/>
    <w:rsid w:val="00793796"/>
    <w:rsid w:val="00796525"/>
    <w:rsid w:val="007A1ED2"/>
    <w:rsid w:val="007A282E"/>
    <w:rsid w:val="007A2A85"/>
    <w:rsid w:val="007A3A10"/>
    <w:rsid w:val="007A6701"/>
    <w:rsid w:val="007A6893"/>
    <w:rsid w:val="007A76BA"/>
    <w:rsid w:val="007B12F4"/>
    <w:rsid w:val="007B1A88"/>
    <w:rsid w:val="007B2ABD"/>
    <w:rsid w:val="007B2D97"/>
    <w:rsid w:val="007B31F6"/>
    <w:rsid w:val="007B32B0"/>
    <w:rsid w:val="007B64FE"/>
    <w:rsid w:val="007B6686"/>
    <w:rsid w:val="007B7864"/>
    <w:rsid w:val="007C2019"/>
    <w:rsid w:val="007C32C8"/>
    <w:rsid w:val="007C3714"/>
    <w:rsid w:val="007C4067"/>
    <w:rsid w:val="007C5CAD"/>
    <w:rsid w:val="007C5E50"/>
    <w:rsid w:val="007C6866"/>
    <w:rsid w:val="007D0356"/>
    <w:rsid w:val="007D09AE"/>
    <w:rsid w:val="007D17E3"/>
    <w:rsid w:val="007D21CF"/>
    <w:rsid w:val="007D2C40"/>
    <w:rsid w:val="007D6D75"/>
    <w:rsid w:val="007D7784"/>
    <w:rsid w:val="007D7A7B"/>
    <w:rsid w:val="007E11A9"/>
    <w:rsid w:val="007E42C2"/>
    <w:rsid w:val="007E4748"/>
    <w:rsid w:val="007E4C55"/>
    <w:rsid w:val="007E5521"/>
    <w:rsid w:val="007E5EB5"/>
    <w:rsid w:val="007E6A93"/>
    <w:rsid w:val="007E78B5"/>
    <w:rsid w:val="007F41F9"/>
    <w:rsid w:val="007F4F0E"/>
    <w:rsid w:val="007F611D"/>
    <w:rsid w:val="007F712B"/>
    <w:rsid w:val="00800729"/>
    <w:rsid w:val="00802301"/>
    <w:rsid w:val="00803F69"/>
    <w:rsid w:val="0080400E"/>
    <w:rsid w:val="00804ACC"/>
    <w:rsid w:val="008050C1"/>
    <w:rsid w:val="008056FA"/>
    <w:rsid w:val="008127CA"/>
    <w:rsid w:val="008129C4"/>
    <w:rsid w:val="00814FD3"/>
    <w:rsid w:val="008152F3"/>
    <w:rsid w:val="0081638F"/>
    <w:rsid w:val="00816695"/>
    <w:rsid w:val="008170A7"/>
    <w:rsid w:val="00820362"/>
    <w:rsid w:val="0082062D"/>
    <w:rsid w:val="00821370"/>
    <w:rsid w:val="0082236A"/>
    <w:rsid w:val="0082264F"/>
    <w:rsid w:val="008230ED"/>
    <w:rsid w:val="008232BC"/>
    <w:rsid w:val="00825A52"/>
    <w:rsid w:val="00825BF9"/>
    <w:rsid w:val="00825C21"/>
    <w:rsid w:val="00826133"/>
    <w:rsid w:val="00827FB5"/>
    <w:rsid w:val="008313D8"/>
    <w:rsid w:val="00833FF5"/>
    <w:rsid w:val="00835614"/>
    <w:rsid w:val="008442FB"/>
    <w:rsid w:val="00845E96"/>
    <w:rsid w:val="008460B0"/>
    <w:rsid w:val="00846824"/>
    <w:rsid w:val="00846850"/>
    <w:rsid w:val="00850D2A"/>
    <w:rsid w:val="008542C2"/>
    <w:rsid w:val="00854AFF"/>
    <w:rsid w:val="008556DF"/>
    <w:rsid w:val="008566CB"/>
    <w:rsid w:val="00857920"/>
    <w:rsid w:val="008609BC"/>
    <w:rsid w:val="00866A04"/>
    <w:rsid w:val="00866F64"/>
    <w:rsid w:val="0086742E"/>
    <w:rsid w:val="008709D6"/>
    <w:rsid w:val="00872205"/>
    <w:rsid w:val="008728E0"/>
    <w:rsid w:val="008757C6"/>
    <w:rsid w:val="00880E82"/>
    <w:rsid w:val="00882314"/>
    <w:rsid w:val="00884867"/>
    <w:rsid w:val="00884BF7"/>
    <w:rsid w:val="008861F2"/>
    <w:rsid w:val="00886984"/>
    <w:rsid w:val="008911DB"/>
    <w:rsid w:val="0089358E"/>
    <w:rsid w:val="00895D73"/>
    <w:rsid w:val="008A16A1"/>
    <w:rsid w:val="008A1EB9"/>
    <w:rsid w:val="008A56A1"/>
    <w:rsid w:val="008A6593"/>
    <w:rsid w:val="008A6627"/>
    <w:rsid w:val="008A6998"/>
    <w:rsid w:val="008B042A"/>
    <w:rsid w:val="008B04EB"/>
    <w:rsid w:val="008B1F2C"/>
    <w:rsid w:val="008B2750"/>
    <w:rsid w:val="008B30C5"/>
    <w:rsid w:val="008B500D"/>
    <w:rsid w:val="008B5E8B"/>
    <w:rsid w:val="008B609C"/>
    <w:rsid w:val="008C0FC4"/>
    <w:rsid w:val="008C38B5"/>
    <w:rsid w:val="008C5308"/>
    <w:rsid w:val="008C5950"/>
    <w:rsid w:val="008C5973"/>
    <w:rsid w:val="008C7538"/>
    <w:rsid w:val="008C7702"/>
    <w:rsid w:val="008D01A4"/>
    <w:rsid w:val="008D2295"/>
    <w:rsid w:val="008D2DB7"/>
    <w:rsid w:val="008D3F07"/>
    <w:rsid w:val="008D480C"/>
    <w:rsid w:val="008D649B"/>
    <w:rsid w:val="008D722A"/>
    <w:rsid w:val="008E0395"/>
    <w:rsid w:val="008E1220"/>
    <w:rsid w:val="008E1B54"/>
    <w:rsid w:val="008E1FFF"/>
    <w:rsid w:val="008E2C7C"/>
    <w:rsid w:val="008E2E4D"/>
    <w:rsid w:val="008E2F6C"/>
    <w:rsid w:val="008E2FBC"/>
    <w:rsid w:val="008E558C"/>
    <w:rsid w:val="008E6F62"/>
    <w:rsid w:val="008E7763"/>
    <w:rsid w:val="008E791D"/>
    <w:rsid w:val="008F0F36"/>
    <w:rsid w:val="008F0F84"/>
    <w:rsid w:val="008F1437"/>
    <w:rsid w:val="008F1FBD"/>
    <w:rsid w:val="008F29AC"/>
    <w:rsid w:val="008F29D9"/>
    <w:rsid w:val="008F40F7"/>
    <w:rsid w:val="008F42BF"/>
    <w:rsid w:val="008F4A49"/>
    <w:rsid w:val="008F632C"/>
    <w:rsid w:val="008F66D2"/>
    <w:rsid w:val="008F6F27"/>
    <w:rsid w:val="008F7A96"/>
    <w:rsid w:val="008F7AC9"/>
    <w:rsid w:val="008F7B1F"/>
    <w:rsid w:val="00901B04"/>
    <w:rsid w:val="00902107"/>
    <w:rsid w:val="009023F1"/>
    <w:rsid w:val="00904F11"/>
    <w:rsid w:val="00907E59"/>
    <w:rsid w:val="009106FA"/>
    <w:rsid w:val="00911A3C"/>
    <w:rsid w:val="00913898"/>
    <w:rsid w:val="0091418E"/>
    <w:rsid w:val="00916BDE"/>
    <w:rsid w:val="00917BAA"/>
    <w:rsid w:val="00920453"/>
    <w:rsid w:val="009204CE"/>
    <w:rsid w:val="00921A87"/>
    <w:rsid w:val="00922821"/>
    <w:rsid w:val="0092327D"/>
    <w:rsid w:val="00924DB3"/>
    <w:rsid w:val="00925286"/>
    <w:rsid w:val="0092681F"/>
    <w:rsid w:val="009305C4"/>
    <w:rsid w:val="009310E3"/>
    <w:rsid w:val="009321E4"/>
    <w:rsid w:val="0093281A"/>
    <w:rsid w:val="00932D9D"/>
    <w:rsid w:val="00934997"/>
    <w:rsid w:val="009369AF"/>
    <w:rsid w:val="00940537"/>
    <w:rsid w:val="009409BB"/>
    <w:rsid w:val="00940FC5"/>
    <w:rsid w:val="00943271"/>
    <w:rsid w:val="009434EF"/>
    <w:rsid w:val="0094705D"/>
    <w:rsid w:val="00952A10"/>
    <w:rsid w:val="00953573"/>
    <w:rsid w:val="009543D6"/>
    <w:rsid w:val="009579E6"/>
    <w:rsid w:val="00961054"/>
    <w:rsid w:val="0096169C"/>
    <w:rsid w:val="00961C60"/>
    <w:rsid w:val="009626F3"/>
    <w:rsid w:val="00962B03"/>
    <w:rsid w:val="00962EAB"/>
    <w:rsid w:val="0096394A"/>
    <w:rsid w:val="0096519D"/>
    <w:rsid w:val="0096654B"/>
    <w:rsid w:val="00966763"/>
    <w:rsid w:val="00966A58"/>
    <w:rsid w:val="0096723E"/>
    <w:rsid w:val="0096728F"/>
    <w:rsid w:val="0097094E"/>
    <w:rsid w:val="0097116C"/>
    <w:rsid w:val="00973ECC"/>
    <w:rsid w:val="00975998"/>
    <w:rsid w:val="009759DC"/>
    <w:rsid w:val="00976460"/>
    <w:rsid w:val="009768B2"/>
    <w:rsid w:val="00976EC0"/>
    <w:rsid w:val="00977FD5"/>
    <w:rsid w:val="00980717"/>
    <w:rsid w:val="009811DE"/>
    <w:rsid w:val="00981B5F"/>
    <w:rsid w:val="00981CA3"/>
    <w:rsid w:val="00982C10"/>
    <w:rsid w:val="00982F81"/>
    <w:rsid w:val="0098377F"/>
    <w:rsid w:val="00985163"/>
    <w:rsid w:val="009858DE"/>
    <w:rsid w:val="00985D66"/>
    <w:rsid w:val="009877F0"/>
    <w:rsid w:val="00990F68"/>
    <w:rsid w:val="00991A9A"/>
    <w:rsid w:val="0099203B"/>
    <w:rsid w:val="0099286D"/>
    <w:rsid w:val="00992AB5"/>
    <w:rsid w:val="009962C3"/>
    <w:rsid w:val="0099707F"/>
    <w:rsid w:val="0099750B"/>
    <w:rsid w:val="0099772D"/>
    <w:rsid w:val="009979E2"/>
    <w:rsid w:val="009A22AE"/>
    <w:rsid w:val="009A26DF"/>
    <w:rsid w:val="009A329E"/>
    <w:rsid w:val="009A3363"/>
    <w:rsid w:val="009A4284"/>
    <w:rsid w:val="009A58C8"/>
    <w:rsid w:val="009B18CB"/>
    <w:rsid w:val="009B1D42"/>
    <w:rsid w:val="009B224A"/>
    <w:rsid w:val="009B2B4F"/>
    <w:rsid w:val="009B36EC"/>
    <w:rsid w:val="009B3725"/>
    <w:rsid w:val="009B3F7E"/>
    <w:rsid w:val="009B43E5"/>
    <w:rsid w:val="009B4679"/>
    <w:rsid w:val="009B7475"/>
    <w:rsid w:val="009B798F"/>
    <w:rsid w:val="009B79FE"/>
    <w:rsid w:val="009C0472"/>
    <w:rsid w:val="009C08FB"/>
    <w:rsid w:val="009C1AFA"/>
    <w:rsid w:val="009C2C24"/>
    <w:rsid w:val="009C3BA4"/>
    <w:rsid w:val="009C4705"/>
    <w:rsid w:val="009C532B"/>
    <w:rsid w:val="009C5382"/>
    <w:rsid w:val="009C6969"/>
    <w:rsid w:val="009C697D"/>
    <w:rsid w:val="009D0832"/>
    <w:rsid w:val="009D0A30"/>
    <w:rsid w:val="009D0EC4"/>
    <w:rsid w:val="009D21D2"/>
    <w:rsid w:val="009D30C1"/>
    <w:rsid w:val="009D5CE4"/>
    <w:rsid w:val="009D640E"/>
    <w:rsid w:val="009D6989"/>
    <w:rsid w:val="009D7569"/>
    <w:rsid w:val="009E02AD"/>
    <w:rsid w:val="009E05F9"/>
    <w:rsid w:val="009E130D"/>
    <w:rsid w:val="009E18E6"/>
    <w:rsid w:val="009E1A99"/>
    <w:rsid w:val="009E24D2"/>
    <w:rsid w:val="009E3337"/>
    <w:rsid w:val="009E7C04"/>
    <w:rsid w:val="009F0555"/>
    <w:rsid w:val="009F16B0"/>
    <w:rsid w:val="009F1A07"/>
    <w:rsid w:val="009F32F5"/>
    <w:rsid w:val="009F3378"/>
    <w:rsid w:val="009F3F40"/>
    <w:rsid w:val="009F40D4"/>
    <w:rsid w:val="009F7287"/>
    <w:rsid w:val="009F7E06"/>
    <w:rsid w:val="00A01981"/>
    <w:rsid w:val="00A02E2B"/>
    <w:rsid w:val="00A034AF"/>
    <w:rsid w:val="00A066C2"/>
    <w:rsid w:val="00A07625"/>
    <w:rsid w:val="00A104FC"/>
    <w:rsid w:val="00A10FD9"/>
    <w:rsid w:val="00A11077"/>
    <w:rsid w:val="00A12379"/>
    <w:rsid w:val="00A1253E"/>
    <w:rsid w:val="00A1280C"/>
    <w:rsid w:val="00A12B7B"/>
    <w:rsid w:val="00A13B43"/>
    <w:rsid w:val="00A147E6"/>
    <w:rsid w:val="00A14DC4"/>
    <w:rsid w:val="00A1735A"/>
    <w:rsid w:val="00A20136"/>
    <w:rsid w:val="00A20967"/>
    <w:rsid w:val="00A21E27"/>
    <w:rsid w:val="00A22149"/>
    <w:rsid w:val="00A250FF"/>
    <w:rsid w:val="00A25F01"/>
    <w:rsid w:val="00A26D99"/>
    <w:rsid w:val="00A30DD5"/>
    <w:rsid w:val="00A31163"/>
    <w:rsid w:val="00A33D14"/>
    <w:rsid w:val="00A33FE1"/>
    <w:rsid w:val="00A35556"/>
    <w:rsid w:val="00A35B45"/>
    <w:rsid w:val="00A3760D"/>
    <w:rsid w:val="00A37D0A"/>
    <w:rsid w:val="00A40263"/>
    <w:rsid w:val="00A4026A"/>
    <w:rsid w:val="00A4042D"/>
    <w:rsid w:val="00A4211E"/>
    <w:rsid w:val="00A42716"/>
    <w:rsid w:val="00A45765"/>
    <w:rsid w:val="00A46110"/>
    <w:rsid w:val="00A465AE"/>
    <w:rsid w:val="00A46792"/>
    <w:rsid w:val="00A47110"/>
    <w:rsid w:val="00A47837"/>
    <w:rsid w:val="00A50540"/>
    <w:rsid w:val="00A506C1"/>
    <w:rsid w:val="00A50E80"/>
    <w:rsid w:val="00A5701E"/>
    <w:rsid w:val="00A60199"/>
    <w:rsid w:val="00A615DF"/>
    <w:rsid w:val="00A61DC4"/>
    <w:rsid w:val="00A62581"/>
    <w:rsid w:val="00A62757"/>
    <w:rsid w:val="00A6368E"/>
    <w:rsid w:val="00A636DD"/>
    <w:rsid w:val="00A63EB0"/>
    <w:rsid w:val="00A64576"/>
    <w:rsid w:val="00A66362"/>
    <w:rsid w:val="00A66D7E"/>
    <w:rsid w:val="00A70939"/>
    <w:rsid w:val="00A722C6"/>
    <w:rsid w:val="00A73BFF"/>
    <w:rsid w:val="00A73C92"/>
    <w:rsid w:val="00A74AFD"/>
    <w:rsid w:val="00A750A0"/>
    <w:rsid w:val="00A752EA"/>
    <w:rsid w:val="00A76883"/>
    <w:rsid w:val="00A7758D"/>
    <w:rsid w:val="00A77F20"/>
    <w:rsid w:val="00A8126B"/>
    <w:rsid w:val="00A819EA"/>
    <w:rsid w:val="00A81F07"/>
    <w:rsid w:val="00A834BC"/>
    <w:rsid w:val="00A91214"/>
    <w:rsid w:val="00A92F3D"/>
    <w:rsid w:val="00A9335D"/>
    <w:rsid w:val="00A9356F"/>
    <w:rsid w:val="00A94751"/>
    <w:rsid w:val="00A94969"/>
    <w:rsid w:val="00A95519"/>
    <w:rsid w:val="00A95B06"/>
    <w:rsid w:val="00A961E9"/>
    <w:rsid w:val="00A975F2"/>
    <w:rsid w:val="00AA0768"/>
    <w:rsid w:val="00AA0C90"/>
    <w:rsid w:val="00AA223B"/>
    <w:rsid w:val="00AA2FDC"/>
    <w:rsid w:val="00AA47DA"/>
    <w:rsid w:val="00AA591D"/>
    <w:rsid w:val="00AA7673"/>
    <w:rsid w:val="00AB1785"/>
    <w:rsid w:val="00AB34FF"/>
    <w:rsid w:val="00AB3C9C"/>
    <w:rsid w:val="00AB3D82"/>
    <w:rsid w:val="00AB5A6F"/>
    <w:rsid w:val="00AB755F"/>
    <w:rsid w:val="00AC3D2E"/>
    <w:rsid w:val="00AC4078"/>
    <w:rsid w:val="00AC4AE2"/>
    <w:rsid w:val="00AC5E9B"/>
    <w:rsid w:val="00AC61F4"/>
    <w:rsid w:val="00AC7933"/>
    <w:rsid w:val="00AC7B0C"/>
    <w:rsid w:val="00AD08D5"/>
    <w:rsid w:val="00AD13EF"/>
    <w:rsid w:val="00AD15C4"/>
    <w:rsid w:val="00AD196B"/>
    <w:rsid w:val="00AD23A8"/>
    <w:rsid w:val="00AD32A7"/>
    <w:rsid w:val="00AD373D"/>
    <w:rsid w:val="00AD3B34"/>
    <w:rsid w:val="00AD4DA7"/>
    <w:rsid w:val="00AD54FB"/>
    <w:rsid w:val="00AD55A6"/>
    <w:rsid w:val="00AE011C"/>
    <w:rsid w:val="00AE1698"/>
    <w:rsid w:val="00AE254A"/>
    <w:rsid w:val="00AE48DF"/>
    <w:rsid w:val="00AE5FED"/>
    <w:rsid w:val="00AF0856"/>
    <w:rsid w:val="00AF44EF"/>
    <w:rsid w:val="00AF45F1"/>
    <w:rsid w:val="00AF467C"/>
    <w:rsid w:val="00AF5792"/>
    <w:rsid w:val="00AF57DE"/>
    <w:rsid w:val="00AF78FE"/>
    <w:rsid w:val="00AF7987"/>
    <w:rsid w:val="00B00639"/>
    <w:rsid w:val="00B0250B"/>
    <w:rsid w:val="00B03359"/>
    <w:rsid w:val="00B045C5"/>
    <w:rsid w:val="00B069E0"/>
    <w:rsid w:val="00B06D82"/>
    <w:rsid w:val="00B06F39"/>
    <w:rsid w:val="00B11E2C"/>
    <w:rsid w:val="00B12F75"/>
    <w:rsid w:val="00B132C8"/>
    <w:rsid w:val="00B1696E"/>
    <w:rsid w:val="00B16E93"/>
    <w:rsid w:val="00B17D57"/>
    <w:rsid w:val="00B20098"/>
    <w:rsid w:val="00B202E1"/>
    <w:rsid w:val="00B20A0D"/>
    <w:rsid w:val="00B20E41"/>
    <w:rsid w:val="00B21580"/>
    <w:rsid w:val="00B23F82"/>
    <w:rsid w:val="00B27114"/>
    <w:rsid w:val="00B30207"/>
    <w:rsid w:val="00B30ABD"/>
    <w:rsid w:val="00B33F86"/>
    <w:rsid w:val="00B34036"/>
    <w:rsid w:val="00B34D78"/>
    <w:rsid w:val="00B350A4"/>
    <w:rsid w:val="00B35582"/>
    <w:rsid w:val="00B35E8F"/>
    <w:rsid w:val="00B363EB"/>
    <w:rsid w:val="00B36F6B"/>
    <w:rsid w:val="00B3770F"/>
    <w:rsid w:val="00B42197"/>
    <w:rsid w:val="00B441AD"/>
    <w:rsid w:val="00B46C8D"/>
    <w:rsid w:val="00B46E3E"/>
    <w:rsid w:val="00B46EAF"/>
    <w:rsid w:val="00B50FE6"/>
    <w:rsid w:val="00B543EE"/>
    <w:rsid w:val="00B60A1F"/>
    <w:rsid w:val="00B61111"/>
    <w:rsid w:val="00B62483"/>
    <w:rsid w:val="00B6639F"/>
    <w:rsid w:val="00B66B2E"/>
    <w:rsid w:val="00B67859"/>
    <w:rsid w:val="00B7113F"/>
    <w:rsid w:val="00B720F6"/>
    <w:rsid w:val="00B722A3"/>
    <w:rsid w:val="00B7351B"/>
    <w:rsid w:val="00B75973"/>
    <w:rsid w:val="00B85A44"/>
    <w:rsid w:val="00B86831"/>
    <w:rsid w:val="00B86895"/>
    <w:rsid w:val="00B86EFD"/>
    <w:rsid w:val="00B87EE1"/>
    <w:rsid w:val="00B9057C"/>
    <w:rsid w:val="00B918FF"/>
    <w:rsid w:val="00B94E13"/>
    <w:rsid w:val="00B97369"/>
    <w:rsid w:val="00BA0157"/>
    <w:rsid w:val="00BA01C3"/>
    <w:rsid w:val="00BA1ADD"/>
    <w:rsid w:val="00BA28FD"/>
    <w:rsid w:val="00BA4747"/>
    <w:rsid w:val="00BA484B"/>
    <w:rsid w:val="00BA63B9"/>
    <w:rsid w:val="00BA68AE"/>
    <w:rsid w:val="00BB1AC3"/>
    <w:rsid w:val="00BB2460"/>
    <w:rsid w:val="00BB2D96"/>
    <w:rsid w:val="00BB69A0"/>
    <w:rsid w:val="00BC007B"/>
    <w:rsid w:val="00BC1F27"/>
    <w:rsid w:val="00BC3C23"/>
    <w:rsid w:val="00BC3E24"/>
    <w:rsid w:val="00BC69BB"/>
    <w:rsid w:val="00BC70D5"/>
    <w:rsid w:val="00BC739D"/>
    <w:rsid w:val="00BD0FD3"/>
    <w:rsid w:val="00BD30D4"/>
    <w:rsid w:val="00BD4F7D"/>
    <w:rsid w:val="00BD584D"/>
    <w:rsid w:val="00BD5CF9"/>
    <w:rsid w:val="00BD5DBE"/>
    <w:rsid w:val="00BD5DCB"/>
    <w:rsid w:val="00BD73EC"/>
    <w:rsid w:val="00BD75A3"/>
    <w:rsid w:val="00BE198D"/>
    <w:rsid w:val="00BE1D5A"/>
    <w:rsid w:val="00BE20B3"/>
    <w:rsid w:val="00BE268B"/>
    <w:rsid w:val="00BE4EBD"/>
    <w:rsid w:val="00BE5B88"/>
    <w:rsid w:val="00BE7157"/>
    <w:rsid w:val="00BF1697"/>
    <w:rsid w:val="00BF177A"/>
    <w:rsid w:val="00BF2408"/>
    <w:rsid w:val="00BF320D"/>
    <w:rsid w:val="00BF53D8"/>
    <w:rsid w:val="00BF638F"/>
    <w:rsid w:val="00BF69F3"/>
    <w:rsid w:val="00BF6C41"/>
    <w:rsid w:val="00BF6E9C"/>
    <w:rsid w:val="00BF773A"/>
    <w:rsid w:val="00C00D4B"/>
    <w:rsid w:val="00C016E6"/>
    <w:rsid w:val="00C0190E"/>
    <w:rsid w:val="00C03067"/>
    <w:rsid w:val="00C07806"/>
    <w:rsid w:val="00C07D92"/>
    <w:rsid w:val="00C104CA"/>
    <w:rsid w:val="00C14D8F"/>
    <w:rsid w:val="00C203EE"/>
    <w:rsid w:val="00C23132"/>
    <w:rsid w:val="00C238E7"/>
    <w:rsid w:val="00C2406E"/>
    <w:rsid w:val="00C24397"/>
    <w:rsid w:val="00C24704"/>
    <w:rsid w:val="00C257AA"/>
    <w:rsid w:val="00C26DD0"/>
    <w:rsid w:val="00C270DC"/>
    <w:rsid w:val="00C27CEA"/>
    <w:rsid w:val="00C27D2F"/>
    <w:rsid w:val="00C30097"/>
    <w:rsid w:val="00C3172F"/>
    <w:rsid w:val="00C34690"/>
    <w:rsid w:val="00C34D26"/>
    <w:rsid w:val="00C34EC8"/>
    <w:rsid w:val="00C34FE7"/>
    <w:rsid w:val="00C3513F"/>
    <w:rsid w:val="00C365FB"/>
    <w:rsid w:val="00C37D0A"/>
    <w:rsid w:val="00C37EC1"/>
    <w:rsid w:val="00C40110"/>
    <w:rsid w:val="00C43213"/>
    <w:rsid w:val="00C43886"/>
    <w:rsid w:val="00C44D3D"/>
    <w:rsid w:val="00C45E14"/>
    <w:rsid w:val="00C46185"/>
    <w:rsid w:val="00C4620B"/>
    <w:rsid w:val="00C464D8"/>
    <w:rsid w:val="00C46503"/>
    <w:rsid w:val="00C46B5B"/>
    <w:rsid w:val="00C51BC5"/>
    <w:rsid w:val="00C52A0F"/>
    <w:rsid w:val="00C5382F"/>
    <w:rsid w:val="00C549BA"/>
    <w:rsid w:val="00C5509C"/>
    <w:rsid w:val="00C55253"/>
    <w:rsid w:val="00C55AC5"/>
    <w:rsid w:val="00C57426"/>
    <w:rsid w:val="00C57DBC"/>
    <w:rsid w:val="00C611FD"/>
    <w:rsid w:val="00C6127F"/>
    <w:rsid w:val="00C6171E"/>
    <w:rsid w:val="00C639A8"/>
    <w:rsid w:val="00C63FF4"/>
    <w:rsid w:val="00C6433A"/>
    <w:rsid w:val="00C65B79"/>
    <w:rsid w:val="00C65D07"/>
    <w:rsid w:val="00C65DC2"/>
    <w:rsid w:val="00C66A3F"/>
    <w:rsid w:val="00C67C8F"/>
    <w:rsid w:val="00C710A7"/>
    <w:rsid w:val="00C71178"/>
    <w:rsid w:val="00C71392"/>
    <w:rsid w:val="00C72F47"/>
    <w:rsid w:val="00C730BA"/>
    <w:rsid w:val="00C732F4"/>
    <w:rsid w:val="00C7439C"/>
    <w:rsid w:val="00C74906"/>
    <w:rsid w:val="00C77599"/>
    <w:rsid w:val="00C80311"/>
    <w:rsid w:val="00C813F5"/>
    <w:rsid w:val="00C83CC5"/>
    <w:rsid w:val="00C84673"/>
    <w:rsid w:val="00C84E8A"/>
    <w:rsid w:val="00C85B2E"/>
    <w:rsid w:val="00C86542"/>
    <w:rsid w:val="00C876C0"/>
    <w:rsid w:val="00C910E7"/>
    <w:rsid w:val="00C910E8"/>
    <w:rsid w:val="00C9339D"/>
    <w:rsid w:val="00C96DAC"/>
    <w:rsid w:val="00CA0198"/>
    <w:rsid w:val="00CA0E27"/>
    <w:rsid w:val="00CA10B3"/>
    <w:rsid w:val="00CA160F"/>
    <w:rsid w:val="00CA1A65"/>
    <w:rsid w:val="00CA1EE8"/>
    <w:rsid w:val="00CA2765"/>
    <w:rsid w:val="00CA27CC"/>
    <w:rsid w:val="00CA34AB"/>
    <w:rsid w:val="00CA3DE2"/>
    <w:rsid w:val="00CA5535"/>
    <w:rsid w:val="00CA67B5"/>
    <w:rsid w:val="00CB10EE"/>
    <w:rsid w:val="00CB126C"/>
    <w:rsid w:val="00CB4772"/>
    <w:rsid w:val="00CB4825"/>
    <w:rsid w:val="00CB4B68"/>
    <w:rsid w:val="00CB6B34"/>
    <w:rsid w:val="00CB6CD6"/>
    <w:rsid w:val="00CC01B0"/>
    <w:rsid w:val="00CC1A99"/>
    <w:rsid w:val="00CC319F"/>
    <w:rsid w:val="00CC3749"/>
    <w:rsid w:val="00CC41F7"/>
    <w:rsid w:val="00CC5D23"/>
    <w:rsid w:val="00CC5E03"/>
    <w:rsid w:val="00CC773D"/>
    <w:rsid w:val="00CC7C13"/>
    <w:rsid w:val="00CD0213"/>
    <w:rsid w:val="00CD31B0"/>
    <w:rsid w:val="00CD355E"/>
    <w:rsid w:val="00CD36D6"/>
    <w:rsid w:val="00CD3C47"/>
    <w:rsid w:val="00CD5986"/>
    <w:rsid w:val="00CD6A6F"/>
    <w:rsid w:val="00CE1583"/>
    <w:rsid w:val="00CE169F"/>
    <w:rsid w:val="00CE1AA4"/>
    <w:rsid w:val="00CE1CD0"/>
    <w:rsid w:val="00CE2207"/>
    <w:rsid w:val="00CE347A"/>
    <w:rsid w:val="00CE3ABE"/>
    <w:rsid w:val="00CE3DEA"/>
    <w:rsid w:val="00CE4798"/>
    <w:rsid w:val="00CE67D8"/>
    <w:rsid w:val="00CE68E6"/>
    <w:rsid w:val="00CE6C95"/>
    <w:rsid w:val="00CE6E7E"/>
    <w:rsid w:val="00CF003E"/>
    <w:rsid w:val="00CF1EFB"/>
    <w:rsid w:val="00CF27BB"/>
    <w:rsid w:val="00CF4424"/>
    <w:rsid w:val="00CF4893"/>
    <w:rsid w:val="00CF5470"/>
    <w:rsid w:val="00CF5FCE"/>
    <w:rsid w:val="00CF6762"/>
    <w:rsid w:val="00D00FD6"/>
    <w:rsid w:val="00D0165F"/>
    <w:rsid w:val="00D02312"/>
    <w:rsid w:val="00D02666"/>
    <w:rsid w:val="00D02CA1"/>
    <w:rsid w:val="00D03CC5"/>
    <w:rsid w:val="00D047D4"/>
    <w:rsid w:val="00D048EC"/>
    <w:rsid w:val="00D05A24"/>
    <w:rsid w:val="00D06986"/>
    <w:rsid w:val="00D0717A"/>
    <w:rsid w:val="00D13F4F"/>
    <w:rsid w:val="00D1452F"/>
    <w:rsid w:val="00D15234"/>
    <w:rsid w:val="00D160C4"/>
    <w:rsid w:val="00D17059"/>
    <w:rsid w:val="00D17C2F"/>
    <w:rsid w:val="00D20247"/>
    <w:rsid w:val="00D20610"/>
    <w:rsid w:val="00D20C3E"/>
    <w:rsid w:val="00D216F4"/>
    <w:rsid w:val="00D21923"/>
    <w:rsid w:val="00D21B35"/>
    <w:rsid w:val="00D220D6"/>
    <w:rsid w:val="00D22EC8"/>
    <w:rsid w:val="00D241D7"/>
    <w:rsid w:val="00D25B3D"/>
    <w:rsid w:val="00D269D9"/>
    <w:rsid w:val="00D27A8B"/>
    <w:rsid w:val="00D30449"/>
    <w:rsid w:val="00D30BBB"/>
    <w:rsid w:val="00D31C5A"/>
    <w:rsid w:val="00D33BA3"/>
    <w:rsid w:val="00D34E37"/>
    <w:rsid w:val="00D35C6A"/>
    <w:rsid w:val="00D366D0"/>
    <w:rsid w:val="00D41E53"/>
    <w:rsid w:val="00D43396"/>
    <w:rsid w:val="00D43B52"/>
    <w:rsid w:val="00D44CAB"/>
    <w:rsid w:val="00D45517"/>
    <w:rsid w:val="00D45551"/>
    <w:rsid w:val="00D45715"/>
    <w:rsid w:val="00D50876"/>
    <w:rsid w:val="00D510E8"/>
    <w:rsid w:val="00D518DA"/>
    <w:rsid w:val="00D52504"/>
    <w:rsid w:val="00D5443D"/>
    <w:rsid w:val="00D54F90"/>
    <w:rsid w:val="00D564D5"/>
    <w:rsid w:val="00D5651D"/>
    <w:rsid w:val="00D57622"/>
    <w:rsid w:val="00D60263"/>
    <w:rsid w:val="00D60D34"/>
    <w:rsid w:val="00D61586"/>
    <w:rsid w:val="00D65FF0"/>
    <w:rsid w:val="00D668B8"/>
    <w:rsid w:val="00D66AB4"/>
    <w:rsid w:val="00D67814"/>
    <w:rsid w:val="00D71579"/>
    <w:rsid w:val="00D718CA"/>
    <w:rsid w:val="00D7195F"/>
    <w:rsid w:val="00D73511"/>
    <w:rsid w:val="00D735AD"/>
    <w:rsid w:val="00D73C3A"/>
    <w:rsid w:val="00D74160"/>
    <w:rsid w:val="00D761DB"/>
    <w:rsid w:val="00D76429"/>
    <w:rsid w:val="00D768CD"/>
    <w:rsid w:val="00D77AB9"/>
    <w:rsid w:val="00D8016D"/>
    <w:rsid w:val="00D80DC1"/>
    <w:rsid w:val="00D81DA5"/>
    <w:rsid w:val="00D81DF6"/>
    <w:rsid w:val="00D81E01"/>
    <w:rsid w:val="00D8357B"/>
    <w:rsid w:val="00D83E56"/>
    <w:rsid w:val="00D854FA"/>
    <w:rsid w:val="00D87CF8"/>
    <w:rsid w:val="00D9016F"/>
    <w:rsid w:val="00D90F9A"/>
    <w:rsid w:val="00D919C2"/>
    <w:rsid w:val="00D942EC"/>
    <w:rsid w:val="00D95933"/>
    <w:rsid w:val="00D96407"/>
    <w:rsid w:val="00D96B0C"/>
    <w:rsid w:val="00D972AE"/>
    <w:rsid w:val="00D972FE"/>
    <w:rsid w:val="00D9795E"/>
    <w:rsid w:val="00D97E26"/>
    <w:rsid w:val="00DA001C"/>
    <w:rsid w:val="00DA08E3"/>
    <w:rsid w:val="00DA12AF"/>
    <w:rsid w:val="00DA13E8"/>
    <w:rsid w:val="00DA3BAC"/>
    <w:rsid w:val="00DA4A77"/>
    <w:rsid w:val="00DA580A"/>
    <w:rsid w:val="00DA670D"/>
    <w:rsid w:val="00DA70B9"/>
    <w:rsid w:val="00DA79F8"/>
    <w:rsid w:val="00DB12AD"/>
    <w:rsid w:val="00DB1542"/>
    <w:rsid w:val="00DB15BA"/>
    <w:rsid w:val="00DB1B11"/>
    <w:rsid w:val="00DB3674"/>
    <w:rsid w:val="00DB5505"/>
    <w:rsid w:val="00DB5645"/>
    <w:rsid w:val="00DB5EA7"/>
    <w:rsid w:val="00DB7564"/>
    <w:rsid w:val="00DC08BE"/>
    <w:rsid w:val="00DC1F41"/>
    <w:rsid w:val="00DC26BC"/>
    <w:rsid w:val="00DC314E"/>
    <w:rsid w:val="00DC4A8C"/>
    <w:rsid w:val="00DC5FE3"/>
    <w:rsid w:val="00DC644E"/>
    <w:rsid w:val="00DC7322"/>
    <w:rsid w:val="00DC7E9E"/>
    <w:rsid w:val="00DD12AB"/>
    <w:rsid w:val="00DD141F"/>
    <w:rsid w:val="00DD1DE7"/>
    <w:rsid w:val="00DD3845"/>
    <w:rsid w:val="00DD3C68"/>
    <w:rsid w:val="00DD518A"/>
    <w:rsid w:val="00DD5CCA"/>
    <w:rsid w:val="00DE178E"/>
    <w:rsid w:val="00DE2381"/>
    <w:rsid w:val="00DE29AF"/>
    <w:rsid w:val="00DE3791"/>
    <w:rsid w:val="00DE382F"/>
    <w:rsid w:val="00DE3D1B"/>
    <w:rsid w:val="00DE7177"/>
    <w:rsid w:val="00DF0172"/>
    <w:rsid w:val="00DF1A57"/>
    <w:rsid w:val="00DF1D1D"/>
    <w:rsid w:val="00DF51C8"/>
    <w:rsid w:val="00DF61CF"/>
    <w:rsid w:val="00E00056"/>
    <w:rsid w:val="00E0033B"/>
    <w:rsid w:val="00E006C3"/>
    <w:rsid w:val="00E00E25"/>
    <w:rsid w:val="00E02101"/>
    <w:rsid w:val="00E0260C"/>
    <w:rsid w:val="00E02743"/>
    <w:rsid w:val="00E02927"/>
    <w:rsid w:val="00E02F2E"/>
    <w:rsid w:val="00E101C2"/>
    <w:rsid w:val="00E10F42"/>
    <w:rsid w:val="00E1196A"/>
    <w:rsid w:val="00E1245B"/>
    <w:rsid w:val="00E12535"/>
    <w:rsid w:val="00E1286D"/>
    <w:rsid w:val="00E14045"/>
    <w:rsid w:val="00E14850"/>
    <w:rsid w:val="00E16A30"/>
    <w:rsid w:val="00E16BCD"/>
    <w:rsid w:val="00E1775E"/>
    <w:rsid w:val="00E17878"/>
    <w:rsid w:val="00E24EA8"/>
    <w:rsid w:val="00E276E0"/>
    <w:rsid w:val="00E31263"/>
    <w:rsid w:val="00E35080"/>
    <w:rsid w:val="00E35131"/>
    <w:rsid w:val="00E35209"/>
    <w:rsid w:val="00E37F58"/>
    <w:rsid w:val="00E403E3"/>
    <w:rsid w:val="00E41850"/>
    <w:rsid w:val="00E435A9"/>
    <w:rsid w:val="00E4492C"/>
    <w:rsid w:val="00E503C5"/>
    <w:rsid w:val="00E51442"/>
    <w:rsid w:val="00E53877"/>
    <w:rsid w:val="00E54291"/>
    <w:rsid w:val="00E54991"/>
    <w:rsid w:val="00E555AA"/>
    <w:rsid w:val="00E5606E"/>
    <w:rsid w:val="00E60864"/>
    <w:rsid w:val="00E61309"/>
    <w:rsid w:val="00E62615"/>
    <w:rsid w:val="00E62CE9"/>
    <w:rsid w:val="00E62D2A"/>
    <w:rsid w:val="00E630F4"/>
    <w:rsid w:val="00E645B7"/>
    <w:rsid w:val="00E6592E"/>
    <w:rsid w:val="00E672C3"/>
    <w:rsid w:val="00E67C90"/>
    <w:rsid w:val="00E67FB6"/>
    <w:rsid w:val="00E71E47"/>
    <w:rsid w:val="00E72FF6"/>
    <w:rsid w:val="00E7474A"/>
    <w:rsid w:val="00E808D3"/>
    <w:rsid w:val="00E82D9D"/>
    <w:rsid w:val="00E83500"/>
    <w:rsid w:val="00E852E3"/>
    <w:rsid w:val="00E855C5"/>
    <w:rsid w:val="00E85C2B"/>
    <w:rsid w:val="00E85E28"/>
    <w:rsid w:val="00E862B4"/>
    <w:rsid w:val="00E8719C"/>
    <w:rsid w:val="00E877AE"/>
    <w:rsid w:val="00E901E9"/>
    <w:rsid w:val="00E90680"/>
    <w:rsid w:val="00E926A1"/>
    <w:rsid w:val="00E92B18"/>
    <w:rsid w:val="00E933C1"/>
    <w:rsid w:val="00E951AC"/>
    <w:rsid w:val="00E954FA"/>
    <w:rsid w:val="00E95C0A"/>
    <w:rsid w:val="00E97CB4"/>
    <w:rsid w:val="00EA1392"/>
    <w:rsid w:val="00EA2F81"/>
    <w:rsid w:val="00EA3726"/>
    <w:rsid w:val="00EA6A82"/>
    <w:rsid w:val="00EA78F4"/>
    <w:rsid w:val="00EB24D5"/>
    <w:rsid w:val="00EB5FA5"/>
    <w:rsid w:val="00EB63D3"/>
    <w:rsid w:val="00EB659E"/>
    <w:rsid w:val="00EB6949"/>
    <w:rsid w:val="00EC1BDD"/>
    <w:rsid w:val="00EC45EF"/>
    <w:rsid w:val="00EC4AA0"/>
    <w:rsid w:val="00EC5281"/>
    <w:rsid w:val="00EC5E0E"/>
    <w:rsid w:val="00EC61F0"/>
    <w:rsid w:val="00EC75F2"/>
    <w:rsid w:val="00ED124B"/>
    <w:rsid w:val="00ED1F90"/>
    <w:rsid w:val="00ED1FCF"/>
    <w:rsid w:val="00ED300D"/>
    <w:rsid w:val="00ED30B8"/>
    <w:rsid w:val="00ED7204"/>
    <w:rsid w:val="00ED7AD3"/>
    <w:rsid w:val="00EE2E27"/>
    <w:rsid w:val="00EE2F4E"/>
    <w:rsid w:val="00EE30C1"/>
    <w:rsid w:val="00EE45F8"/>
    <w:rsid w:val="00EE5B62"/>
    <w:rsid w:val="00EE64E3"/>
    <w:rsid w:val="00EF0002"/>
    <w:rsid w:val="00EF0104"/>
    <w:rsid w:val="00EF0281"/>
    <w:rsid w:val="00EF0A03"/>
    <w:rsid w:val="00EF332B"/>
    <w:rsid w:val="00EF39D6"/>
    <w:rsid w:val="00EF5160"/>
    <w:rsid w:val="00EF6B7C"/>
    <w:rsid w:val="00EF7F4D"/>
    <w:rsid w:val="00F009CD"/>
    <w:rsid w:val="00F014B7"/>
    <w:rsid w:val="00F0197D"/>
    <w:rsid w:val="00F01F76"/>
    <w:rsid w:val="00F020B0"/>
    <w:rsid w:val="00F02878"/>
    <w:rsid w:val="00F02B0F"/>
    <w:rsid w:val="00F03105"/>
    <w:rsid w:val="00F03388"/>
    <w:rsid w:val="00F066DD"/>
    <w:rsid w:val="00F06730"/>
    <w:rsid w:val="00F06E5A"/>
    <w:rsid w:val="00F07A58"/>
    <w:rsid w:val="00F07FE7"/>
    <w:rsid w:val="00F11A86"/>
    <w:rsid w:val="00F11BFA"/>
    <w:rsid w:val="00F15A64"/>
    <w:rsid w:val="00F15B0A"/>
    <w:rsid w:val="00F1684F"/>
    <w:rsid w:val="00F16C6F"/>
    <w:rsid w:val="00F21455"/>
    <w:rsid w:val="00F221FA"/>
    <w:rsid w:val="00F2231D"/>
    <w:rsid w:val="00F2289C"/>
    <w:rsid w:val="00F231B2"/>
    <w:rsid w:val="00F24F1E"/>
    <w:rsid w:val="00F25E58"/>
    <w:rsid w:val="00F2621B"/>
    <w:rsid w:val="00F27CE8"/>
    <w:rsid w:val="00F3003C"/>
    <w:rsid w:val="00F33C07"/>
    <w:rsid w:val="00F34274"/>
    <w:rsid w:val="00F35151"/>
    <w:rsid w:val="00F36B0D"/>
    <w:rsid w:val="00F40E07"/>
    <w:rsid w:val="00F4241D"/>
    <w:rsid w:val="00F4273D"/>
    <w:rsid w:val="00F4295F"/>
    <w:rsid w:val="00F443C5"/>
    <w:rsid w:val="00F45F63"/>
    <w:rsid w:val="00F47068"/>
    <w:rsid w:val="00F47BCF"/>
    <w:rsid w:val="00F47D46"/>
    <w:rsid w:val="00F509A8"/>
    <w:rsid w:val="00F53165"/>
    <w:rsid w:val="00F54980"/>
    <w:rsid w:val="00F6022E"/>
    <w:rsid w:val="00F607A9"/>
    <w:rsid w:val="00F61475"/>
    <w:rsid w:val="00F63FEA"/>
    <w:rsid w:val="00F66528"/>
    <w:rsid w:val="00F669DD"/>
    <w:rsid w:val="00F71E0B"/>
    <w:rsid w:val="00F733B8"/>
    <w:rsid w:val="00F76412"/>
    <w:rsid w:val="00F7680F"/>
    <w:rsid w:val="00F76FA7"/>
    <w:rsid w:val="00F8163A"/>
    <w:rsid w:val="00F82B3D"/>
    <w:rsid w:val="00F82D7A"/>
    <w:rsid w:val="00F84F5A"/>
    <w:rsid w:val="00F85065"/>
    <w:rsid w:val="00F851ED"/>
    <w:rsid w:val="00F85294"/>
    <w:rsid w:val="00F85B89"/>
    <w:rsid w:val="00F86193"/>
    <w:rsid w:val="00F86D26"/>
    <w:rsid w:val="00F9011F"/>
    <w:rsid w:val="00F90C20"/>
    <w:rsid w:val="00F92475"/>
    <w:rsid w:val="00F9308A"/>
    <w:rsid w:val="00F936EA"/>
    <w:rsid w:val="00F93D4F"/>
    <w:rsid w:val="00F94FA9"/>
    <w:rsid w:val="00F950F7"/>
    <w:rsid w:val="00F95E8C"/>
    <w:rsid w:val="00F962A9"/>
    <w:rsid w:val="00F96A0F"/>
    <w:rsid w:val="00F96DB7"/>
    <w:rsid w:val="00FA0B01"/>
    <w:rsid w:val="00FA13BC"/>
    <w:rsid w:val="00FA14FA"/>
    <w:rsid w:val="00FA4D10"/>
    <w:rsid w:val="00FA7E95"/>
    <w:rsid w:val="00FB07B3"/>
    <w:rsid w:val="00FB08A6"/>
    <w:rsid w:val="00FB0CE9"/>
    <w:rsid w:val="00FB32D4"/>
    <w:rsid w:val="00FB37E4"/>
    <w:rsid w:val="00FB47DA"/>
    <w:rsid w:val="00FB482F"/>
    <w:rsid w:val="00FB4FC8"/>
    <w:rsid w:val="00FB5C64"/>
    <w:rsid w:val="00FB5E31"/>
    <w:rsid w:val="00FB6DA4"/>
    <w:rsid w:val="00FB6DFC"/>
    <w:rsid w:val="00FB7F75"/>
    <w:rsid w:val="00FC1F8F"/>
    <w:rsid w:val="00FC3311"/>
    <w:rsid w:val="00FC3FD2"/>
    <w:rsid w:val="00FC51EC"/>
    <w:rsid w:val="00FC604C"/>
    <w:rsid w:val="00FD0914"/>
    <w:rsid w:val="00FD23CE"/>
    <w:rsid w:val="00FD4309"/>
    <w:rsid w:val="00FD513B"/>
    <w:rsid w:val="00FD55BA"/>
    <w:rsid w:val="00FD659A"/>
    <w:rsid w:val="00FD6C4D"/>
    <w:rsid w:val="00FD7341"/>
    <w:rsid w:val="00FD7BD8"/>
    <w:rsid w:val="00FE0744"/>
    <w:rsid w:val="00FE1414"/>
    <w:rsid w:val="00FE164A"/>
    <w:rsid w:val="00FE1D5D"/>
    <w:rsid w:val="00FE24CA"/>
    <w:rsid w:val="00FE2B7A"/>
    <w:rsid w:val="00FE2E8C"/>
    <w:rsid w:val="00FE2F22"/>
    <w:rsid w:val="00FE41A2"/>
    <w:rsid w:val="00FE46D1"/>
    <w:rsid w:val="00FE5B90"/>
    <w:rsid w:val="00FE5E96"/>
    <w:rsid w:val="00FF1E89"/>
    <w:rsid w:val="00FF23D6"/>
    <w:rsid w:val="00FF2512"/>
    <w:rsid w:val="00FF25F6"/>
    <w:rsid w:val="00FF381E"/>
    <w:rsid w:val="00FF42DA"/>
    <w:rsid w:val="00FF524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B31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2CA1"/>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8"/>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8"/>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9"/>
    <w:qFormat/>
    <w:rsid w:val="000E5F57"/>
    <w:pPr>
      <w:keepNext/>
      <w:keepLines/>
      <w:numPr>
        <w:ilvl w:val="2"/>
        <w:numId w:val="8"/>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0E5F57"/>
    <w:pPr>
      <w:keepNext/>
      <w:keepLines/>
      <w:numPr>
        <w:ilvl w:val="3"/>
        <w:numId w:val="8"/>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8"/>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8"/>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8"/>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8"/>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link w:val="ParaChar0"/>
    <w:uiPriority w:val="4"/>
    <w:qFormat/>
    <w:rsid w:val="00E71E47"/>
    <w:pPr>
      <w:numPr>
        <w:numId w:val="1"/>
      </w:numPr>
      <w:tabs>
        <w:tab w:val="clear" w:pos="2421"/>
        <w:tab w:val="num" w:pos="720"/>
      </w:tabs>
      <w:spacing w:before="120" w:after="120" w:line="260" w:lineRule="atLeast"/>
      <w:ind w:left="0"/>
      <w:jc w:val="both"/>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7"/>
      </w:numPr>
      <w:spacing w:after="60" w:line="260" w:lineRule="exact"/>
      <w:jc w:val="both"/>
    </w:pPr>
    <w:rPr>
      <w:color w:val="000000" w:themeColor="text1"/>
      <w:sz w:val="20"/>
    </w:rPr>
  </w:style>
  <w:style w:type="paragraph" w:styleId="ListParagraph">
    <w:name w:val="List Paragraph"/>
    <w:basedOn w:val="Normal"/>
    <w:uiPriority w:val="34"/>
    <w:qFormat/>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qFormat/>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uiPriority w:val="99"/>
    <w:unhideWhenUsed/>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basedOn w:val="DefaultParagraphFont"/>
    <w:uiPriority w:val="99"/>
    <w:semiHidden/>
    <w:unhideWhenUsed/>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5"/>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qFormat/>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character" w:styleId="UnresolvedMention">
    <w:name w:val="Unresolved Mention"/>
    <w:basedOn w:val="DefaultParagraphFont"/>
    <w:uiPriority w:val="99"/>
    <w:semiHidden/>
    <w:unhideWhenUsed/>
    <w:rsid w:val="00084B31"/>
    <w:rPr>
      <w:color w:val="605E5C"/>
      <w:shd w:val="clear" w:color="auto" w:fill="E1DFDD"/>
    </w:rPr>
  </w:style>
  <w:style w:type="character" w:styleId="FollowedHyperlink">
    <w:name w:val="FollowedHyperlink"/>
    <w:basedOn w:val="DefaultParagraphFont"/>
    <w:uiPriority w:val="99"/>
    <w:semiHidden/>
    <w:unhideWhenUsed/>
    <w:rsid w:val="0092681F"/>
    <w:rPr>
      <w:color w:val="800080" w:themeColor="followedHyperlink"/>
      <w:u w:val="single"/>
    </w:rPr>
  </w:style>
  <w:style w:type="character" w:customStyle="1" w:styleId="year">
    <w:name w:val="year"/>
    <w:basedOn w:val="DefaultParagraphFont"/>
    <w:rsid w:val="00043EE0"/>
  </w:style>
  <w:style w:type="character" w:customStyle="1" w:styleId="Title1">
    <w:name w:val="Title1"/>
    <w:basedOn w:val="DefaultParagraphFont"/>
    <w:rsid w:val="00043EE0"/>
  </w:style>
  <w:style w:type="character" w:customStyle="1" w:styleId="journal">
    <w:name w:val="journal"/>
    <w:basedOn w:val="DefaultParagraphFont"/>
    <w:rsid w:val="00043EE0"/>
  </w:style>
  <w:style w:type="character" w:customStyle="1" w:styleId="vol">
    <w:name w:val="vol"/>
    <w:basedOn w:val="DefaultParagraphFont"/>
    <w:rsid w:val="00043EE0"/>
  </w:style>
  <w:style w:type="character" w:styleId="Strong">
    <w:name w:val="Strong"/>
    <w:basedOn w:val="DefaultParagraphFont"/>
    <w:uiPriority w:val="22"/>
    <w:qFormat/>
    <w:rsid w:val="001E1BB9"/>
    <w:rPr>
      <w:b/>
      <w:bCs/>
    </w:rPr>
  </w:style>
  <w:style w:type="paragraph" w:customStyle="1" w:styleId="list-group-item">
    <w:name w:val="list-group-item"/>
    <w:basedOn w:val="Normal"/>
    <w:rsid w:val="00776358"/>
    <w:pPr>
      <w:widowControl/>
      <w:spacing w:before="100" w:beforeAutospacing="1" w:after="100" w:afterAutospacing="1"/>
      <w:jc w:val="left"/>
    </w:pPr>
    <w:rPr>
      <w:rFonts w:ascii="Calibri" w:hAnsi="Calibri" w:cs="Calibri"/>
      <w:lang w:eastAsia="en-GB"/>
    </w:rPr>
  </w:style>
  <w:style w:type="paragraph" w:customStyle="1" w:styleId="spthe-author">
    <w:name w:val="sp__the-author"/>
    <w:basedOn w:val="Normal"/>
    <w:rsid w:val="00776358"/>
    <w:pPr>
      <w:widowControl/>
      <w:spacing w:before="100" w:beforeAutospacing="1" w:after="100" w:afterAutospacing="1"/>
      <w:jc w:val="left"/>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96DB7"/>
    <w:pPr>
      <w:widowControl/>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ParaChar0">
    <w:name w:val="Para # Char"/>
    <w:basedOn w:val="DefaultParagraphFont"/>
    <w:link w:val="Para"/>
    <w:uiPriority w:val="4"/>
    <w:rsid w:val="00437369"/>
    <w:rPr>
      <w:sz w:val="20"/>
    </w:rPr>
  </w:style>
  <w:style w:type="character" w:styleId="CommentReference">
    <w:name w:val="annotation reference"/>
    <w:basedOn w:val="DefaultParagraphFont"/>
    <w:uiPriority w:val="99"/>
    <w:semiHidden/>
    <w:unhideWhenUsed/>
    <w:rsid w:val="00DA670D"/>
    <w:rPr>
      <w:sz w:val="16"/>
      <w:szCs w:val="16"/>
    </w:rPr>
  </w:style>
  <w:style w:type="paragraph" w:styleId="CommentText">
    <w:name w:val="annotation text"/>
    <w:basedOn w:val="Normal"/>
    <w:link w:val="CommentTextChar"/>
    <w:uiPriority w:val="99"/>
    <w:unhideWhenUsed/>
    <w:rsid w:val="00DA670D"/>
    <w:rPr>
      <w:sz w:val="20"/>
      <w:szCs w:val="20"/>
    </w:rPr>
  </w:style>
  <w:style w:type="character" w:customStyle="1" w:styleId="CommentTextChar">
    <w:name w:val="Comment Text Char"/>
    <w:basedOn w:val="DefaultParagraphFont"/>
    <w:link w:val="CommentText"/>
    <w:uiPriority w:val="99"/>
    <w:rsid w:val="00DA670D"/>
    <w:rPr>
      <w:sz w:val="20"/>
      <w:szCs w:val="20"/>
    </w:rPr>
  </w:style>
  <w:style w:type="paragraph" w:styleId="CommentSubject">
    <w:name w:val="annotation subject"/>
    <w:basedOn w:val="CommentText"/>
    <w:next w:val="CommentText"/>
    <w:link w:val="CommentSubjectChar"/>
    <w:uiPriority w:val="99"/>
    <w:semiHidden/>
    <w:unhideWhenUsed/>
    <w:rsid w:val="00DA670D"/>
    <w:rPr>
      <w:b/>
      <w:bCs/>
    </w:rPr>
  </w:style>
  <w:style w:type="character" w:customStyle="1" w:styleId="CommentSubjectChar">
    <w:name w:val="Comment Subject Char"/>
    <w:basedOn w:val="CommentTextChar"/>
    <w:link w:val="CommentSubject"/>
    <w:uiPriority w:val="99"/>
    <w:semiHidden/>
    <w:rsid w:val="00DA670D"/>
    <w:rPr>
      <w:b/>
      <w:bCs/>
      <w:sz w:val="20"/>
      <w:szCs w:val="20"/>
    </w:rPr>
  </w:style>
  <w:style w:type="paragraph" w:styleId="Revision">
    <w:name w:val="Revision"/>
    <w:hidden/>
    <w:uiPriority w:val="99"/>
    <w:semiHidden/>
    <w:rsid w:val="002A75FF"/>
    <w:pPr>
      <w:spacing w:after="0" w:line="240" w:lineRule="auto"/>
    </w:pPr>
  </w:style>
  <w:style w:type="paragraph" w:customStyle="1" w:styleId="Default">
    <w:name w:val="Default"/>
    <w:rsid w:val="00203C87"/>
    <w:pPr>
      <w:autoSpaceDE w:val="0"/>
      <w:autoSpaceDN w:val="0"/>
      <w:adjustRightInd w:val="0"/>
      <w:spacing w:after="0" w:line="240" w:lineRule="auto"/>
    </w:pPr>
    <w:rPr>
      <w:rFonts w:ascii="Futura PT Light" w:hAnsi="Futura PT Light" w:cs="Futura PT Light"/>
      <w:color w:val="000000"/>
      <w:sz w:val="24"/>
      <w:szCs w:val="24"/>
    </w:rPr>
  </w:style>
  <w:style w:type="paragraph" w:customStyle="1" w:styleId="pf0">
    <w:name w:val="pf0"/>
    <w:basedOn w:val="Normal"/>
    <w:rsid w:val="00F15A64"/>
    <w:pPr>
      <w:widowControl/>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cf01">
    <w:name w:val="cf01"/>
    <w:basedOn w:val="DefaultParagraphFont"/>
    <w:rsid w:val="00F15A64"/>
    <w:rPr>
      <w:rFonts w:ascii="Segoe UI" w:hAnsi="Segoe UI" w:cs="Segoe UI" w:hint="default"/>
      <w:sz w:val="18"/>
      <w:szCs w:val="18"/>
    </w:rPr>
  </w:style>
  <w:style w:type="character" w:styleId="Emphasis">
    <w:name w:val="Emphasis"/>
    <w:basedOn w:val="DefaultParagraphFont"/>
    <w:uiPriority w:val="20"/>
    <w:qFormat/>
    <w:rsid w:val="001477A0"/>
    <w:rPr>
      <w:i/>
      <w:iCs/>
    </w:rPr>
  </w:style>
  <w:style w:type="paragraph" w:customStyle="1" w:styleId="pf1">
    <w:name w:val="pf1"/>
    <w:basedOn w:val="Normal"/>
    <w:rsid w:val="00C55253"/>
    <w:pPr>
      <w:widowControl/>
      <w:spacing w:before="100" w:beforeAutospacing="1" w:after="100" w:afterAutospacing="1"/>
      <w:ind w:left="300"/>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29">
      <w:bodyDiv w:val="1"/>
      <w:marLeft w:val="0"/>
      <w:marRight w:val="0"/>
      <w:marTop w:val="0"/>
      <w:marBottom w:val="0"/>
      <w:divBdr>
        <w:top w:val="none" w:sz="0" w:space="0" w:color="auto"/>
        <w:left w:val="none" w:sz="0" w:space="0" w:color="auto"/>
        <w:bottom w:val="none" w:sz="0" w:space="0" w:color="auto"/>
        <w:right w:val="none" w:sz="0" w:space="0" w:color="auto"/>
      </w:divBdr>
    </w:div>
    <w:div w:id="9139359">
      <w:bodyDiv w:val="1"/>
      <w:marLeft w:val="0"/>
      <w:marRight w:val="0"/>
      <w:marTop w:val="0"/>
      <w:marBottom w:val="0"/>
      <w:divBdr>
        <w:top w:val="none" w:sz="0" w:space="0" w:color="auto"/>
        <w:left w:val="none" w:sz="0" w:space="0" w:color="auto"/>
        <w:bottom w:val="none" w:sz="0" w:space="0" w:color="auto"/>
        <w:right w:val="none" w:sz="0" w:space="0" w:color="auto"/>
      </w:divBdr>
    </w:div>
    <w:div w:id="9572301">
      <w:bodyDiv w:val="1"/>
      <w:marLeft w:val="0"/>
      <w:marRight w:val="0"/>
      <w:marTop w:val="0"/>
      <w:marBottom w:val="0"/>
      <w:divBdr>
        <w:top w:val="none" w:sz="0" w:space="0" w:color="auto"/>
        <w:left w:val="none" w:sz="0" w:space="0" w:color="auto"/>
        <w:bottom w:val="none" w:sz="0" w:space="0" w:color="auto"/>
        <w:right w:val="none" w:sz="0" w:space="0" w:color="auto"/>
      </w:divBdr>
    </w:div>
    <w:div w:id="12659959">
      <w:bodyDiv w:val="1"/>
      <w:marLeft w:val="0"/>
      <w:marRight w:val="0"/>
      <w:marTop w:val="0"/>
      <w:marBottom w:val="0"/>
      <w:divBdr>
        <w:top w:val="none" w:sz="0" w:space="0" w:color="auto"/>
        <w:left w:val="none" w:sz="0" w:space="0" w:color="auto"/>
        <w:bottom w:val="none" w:sz="0" w:space="0" w:color="auto"/>
        <w:right w:val="none" w:sz="0" w:space="0" w:color="auto"/>
      </w:divBdr>
    </w:div>
    <w:div w:id="22757370">
      <w:bodyDiv w:val="1"/>
      <w:marLeft w:val="0"/>
      <w:marRight w:val="0"/>
      <w:marTop w:val="0"/>
      <w:marBottom w:val="0"/>
      <w:divBdr>
        <w:top w:val="none" w:sz="0" w:space="0" w:color="auto"/>
        <w:left w:val="none" w:sz="0" w:space="0" w:color="auto"/>
        <w:bottom w:val="none" w:sz="0" w:space="0" w:color="auto"/>
        <w:right w:val="none" w:sz="0" w:space="0" w:color="auto"/>
      </w:divBdr>
    </w:div>
    <w:div w:id="31463876">
      <w:bodyDiv w:val="1"/>
      <w:marLeft w:val="0"/>
      <w:marRight w:val="0"/>
      <w:marTop w:val="0"/>
      <w:marBottom w:val="0"/>
      <w:divBdr>
        <w:top w:val="none" w:sz="0" w:space="0" w:color="auto"/>
        <w:left w:val="none" w:sz="0" w:space="0" w:color="auto"/>
        <w:bottom w:val="none" w:sz="0" w:space="0" w:color="auto"/>
        <w:right w:val="none" w:sz="0" w:space="0" w:color="auto"/>
      </w:divBdr>
    </w:div>
    <w:div w:id="35934936">
      <w:bodyDiv w:val="1"/>
      <w:marLeft w:val="0"/>
      <w:marRight w:val="0"/>
      <w:marTop w:val="0"/>
      <w:marBottom w:val="0"/>
      <w:divBdr>
        <w:top w:val="none" w:sz="0" w:space="0" w:color="auto"/>
        <w:left w:val="none" w:sz="0" w:space="0" w:color="auto"/>
        <w:bottom w:val="none" w:sz="0" w:space="0" w:color="auto"/>
        <w:right w:val="none" w:sz="0" w:space="0" w:color="auto"/>
      </w:divBdr>
    </w:div>
    <w:div w:id="56755866">
      <w:bodyDiv w:val="1"/>
      <w:marLeft w:val="0"/>
      <w:marRight w:val="0"/>
      <w:marTop w:val="0"/>
      <w:marBottom w:val="0"/>
      <w:divBdr>
        <w:top w:val="none" w:sz="0" w:space="0" w:color="auto"/>
        <w:left w:val="none" w:sz="0" w:space="0" w:color="auto"/>
        <w:bottom w:val="none" w:sz="0" w:space="0" w:color="auto"/>
        <w:right w:val="none" w:sz="0" w:space="0" w:color="auto"/>
      </w:divBdr>
    </w:div>
    <w:div w:id="58023897">
      <w:bodyDiv w:val="1"/>
      <w:marLeft w:val="0"/>
      <w:marRight w:val="0"/>
      <w:marTop w:val="0"/>
      <w:marBottom w:val="0"/>
      <w:divBdr>
        <w:top w:val="none" w:sz="0" w:space="0" w:color="auto"/>
        <w:left w:val="none" w:sz="0" w:space="0" w:color="auto"/>
        <w:bottom w:val="none" w:sz="0" w:space="0" w:color="auto"/>
        <w:right w:val="none" w:sz="0" w:space="0" w:color="auto"/>
      </w:divBdr>
    </w:div>
    <w:div w:id="97675226">
      <w:bodyDiv w:val="1"/>
      <w:marLeft w:val="0"/>
      <w:marRight w:val="0"/>
      <w:marTop w:val="0"/>
      <w:marBottom w:val="0"/>
      <w:divBdr>
        <w:top w:val="none" w:sz="0" w:space="0" w:color="auto"/>
        <w:left w:val="none" w:sz="0" w:space="0" w:color="auto"/>
        <w:bottom w:val="none" w:sz="0" w:space="0" w:color="auto"/>
        <w:right w:val="none" w:sz="0" w:space="0" w:color="auto"/>
      </w:divBdr>
    </w:div>
    <w:div w:id="104034316">
      <w:bodyDiv w:val="1"/>
      <w:marLeft w:val="0"/>
      <w:marRight w:val="0"/>
      <w:marTop w:val="0"/>
      <w:marBottom w:val="0"/>
      <w:divBdr>
        <w:top w:val="none" w:sz="0" w:space="0" w:color="auto"/>
        <w:left w:val="none" w:sz="0" w:space="0" w:color="auto"/>
        <w:bottom w:val="none" w:sz="0" w:space="0" w:color="auto"/>
        <w:right w:val="none" w:sz="0" w:space="0" w:color="auto"/>
      </w:divBdr>
    </w:div>
    <w:div w:id="108361827">
      <w:bodyDiv w:val="1"/>
      <w:marLeft w:val="0"/>
      <w:marRight w:val="0"/>
      <w:marTop w:val="0"/>
      <w:marBottom w:val="0"/>
      <w:divBdr>
        <w:top w:val="none" w:sz="0" w:space="0" w:color="auto"/>
        <w:left w:val="none" w:sz="0" w:space="0" w:color="auto"/>
        <w:bottom w:val="none" w:sz="0" w:space="0" w:color="auto"/>
        <w:right w:val="none" w:sz="0" w:space="0" w:color="auto"/>
      </w:divBdr>
    </w:div>
    <w:div w:id="111940630">
      <w:bodyDiv w:val="1"/>
      <w:marLeft w:val="0"/>
      <w:marRight w:val="0"/>
      <w:marTop w:val="0"/>
      <w:marBottom w:val="0"/>
      <w:divBdr>
        <w:top w:val="none" w:sz="0" w:space="0" w:color="auto"/>
        <w:left w:val="none" w:sz="0" w:space="0" w:color="auto"/>
        <w:bottom w:val="none" w:sz="0" w:space="0" w:color="auto"/>
        <w:right w:val="none" w:sz="0" w:space="0" w:color="auto"/>
      </w:divBdr>
    </w:div>
    <w:div w:id="135488400">
      <w:bodyDiv w:val="1"/>
      <w:marLeft w:val="0"/>
      <w:marRight w:val="0"/>
      <w:marTop w:val="0"/>
      <w:marBottom w:val="0"/>
      <w:divBdr>
        <w:top w:val="none" w:sz="0" w:space="0" w:color="auto"/>
        <w:left w:val="none" w:sz="0" w:space="0" w:color="auto"/>
        <w:bottom w:val="none" w:sz="0" w:space="0" w:color="auto"/>
        <w:right w:val="none" w:sz="0" w:space="0" w:color="auto"/>
      </w:divBdr>
    </w:div>
    <w:div w:id="135878986">
      <w:bodyDiv w:val="1"/>
      <w:marLeft w:val="0"/>
      <w:marRight w:val="0"/>
      <w:marTop w:val="0"/>
      <w:marBottom w:val="0"/>
      <w:divBdr>
        <w:top w:val="none" w:sz="0" w:space="0" w:color="auto"/>
        <w:left w:val="none" w:sz="0" w:space="0" w:color="auto"/>
        <w:bottom w:val="none" w:sz="0" w:space="0" w:color="auto"/>
        <w:right w:val="none" w:sz="0" w:space="0" w:color="auto"/>
      </w:divBdr>
    </w:div>
    <w:div w:id="141628899">
      <w:bodyDiv w:val="1"/>
      <w:marLeft w:val="0"/>
      <w:marRight w:val="0"/>
      <w:marTop w:val="0"/>
      <w:marBottom w:val="0"/>
      <w:divBdr>
        <w:top w:val="none" w:sz="0" w:space="0" w:color="auto"/>
        <w:left w:val="none" w:sz="0" w:space="0" w:color="auto"/>
        <w:bottom w:val="none" w:sz="0" w:space="0" w:color="auto"/>
        <w:right w:val="none" w:sz="0" w:space="0" w:color="auto"/>
      </w:divBdr>
    </w:div>
    <w:div w:id="168719526">
      <w:bodyDiv w:val="1"/>
      <w:marLeft w:val="0"/>
      <w:marRight w:val="0"/>
      <w:marTop w:val="0"/>
      <w:marBottom w:val="0"/>
      <w:divBdr>
        <w:top w:val="none" w:sz="0" w:space="0" w:color="auto"/>
        <w:left w:val="none" w:sz="0" w:space="0" w:color="auto"/>
        <w:bottom w:val="none" w:sz="0" w:space="0" w:color="auto"/>
        <w:right w:val="none" w:sz="0" w:space="0" w:color="auto"/>
      </w:divBdr>
    </w:div>
    <w:div w:id="172502472">
      <w:bodyDiv w:val="1"/>
      <w:marLeft w:val="0"/>
      <w:marRight w:val="0"/>
      <w:marTop w:val="0"/>
      <w:marBottom w:val="0"/>
      <w:divBdr>
        <w:top w:val="none" w:sz="0" w:space="0" w:color="auto"/>
        <w:left w:val="none" w:sz="0" w:space="0" w:color="auto"/>
        <w:bottom w:val="none" w:sz="0" w:space="0" w:color="auto"/>
        <w:right w:val="none" w:sz="0" w:space="0" w:color="auto"/>
      </w:divBdr>
    </w:div>
    <w:div w:id="189416777">
      <w:bodyDiv w:val="1"/>
      <w:marLeft w:val="0"/>
      <w:marRight w:val="0"/>
      <w:marTop w:val="0"/>
      <w:marBottom w:val="0"/>
      <w:divBdr>
        <w:top w:val="none" w:sz="0" w:space="0" w:color="auto"/>
        <w:left w:val="none" w:sz="0" w:space="0" w:color="auto"/>
        <w:bottom w:val="none" w:sz="0" w:space="0" w:color="auto"/>
        <w:right w:val="none" w:sz="0" w:space="0" w:color="auto"/>
      </w:divBdr>
    </w:div>
    <w:div w:id="218783606">
      <w:bodyDiv w:val="1"/>
      <w:marLeft w:val="0"/>
      <w:marRight w:val="0"/>
      <w:marTop w:val="0"/>
      <w:marBottom w:val="0"/>
      <w:divBdr>
        <w:top w:val="none" w:sz="0" w:space="0" w:color="auto"/>
        <w:left w:val="none" w:sz="0" w:space="0" w:color="auto"/>
        <w:bottom w:val="none" w:sz="0" w:space="0" w:color="auto"/>
        <w:right w:val="none" w:sz="0" w:space="0" w:color="auto"/>
      </w:divBdr>
    </w:div>
    <w:div w:id="243226176">
      <w:bodyDiv w:val="1"/>
      <w:marLeft w:val="0"/>
      <w:marRight w:val="0"/>
      <w:marTop w:val="0"/>
      <w:marBottom w:val="0"/>
      <w:divBdr>
        <w:top w:val="none" w:sz="0" w:space="0" w:color="auto"/>
        <w:left w:val="none" w:sz="0" w:space="0" w:color="auto"/>
        <w:bottom w:val="none" w:sz="0" w:space="0" w:color="auto"/>
        <w:right w:val="none" w:sz="0" w:space="0" w:color="auto"/>
      </w:divBdr>
    </w:div>
    <w:div w:id="279605551">
      <w:bodyDiv w:val="1"/>
      <w:marLeft w:val="0"/>
      <w:marRight w:val="0"/>
      <w:marTop w:val="0"/>
      <w:marBottom w:val="0"/>
      <w:divBdr>
        <w:top w:val="none" w:sz="0" w:space="0" w:color="auto"/>
        <w:left w:val="none" w:sz="0" w:space="0" w:color="auto"/>
        <w:bottom w:val="none" w:sz="0" w:space="0" w:color="auto"/>
        <w:right w:val="none" w:sz="0" w:space="0" w:color="auto"/>
      </w:divBdr>
    </w:div>
    <w:div w:id="294455125">
      <w:bodyDiv w:val="1"/>
      <w:marLeft w:val="0"/>
      <w:marRight w:val="0"/>
      <w:marTop w:val="0"/>
      <w:marBottom w:val="0"/>
      <w:divBdr>
        <w:top w:val="none" w:sz="0" w:space="0" w:color="auto"/>
        <w:left w:val="none" w:sz="0" w:space="0" w:color="auto"/>
        <w:bottom w:val="none" w:sz="0" w:space="0" w:color="auto"/>
        <w:right w:val="none" w:sz="0" w:space="0" w:color="auto"/>
      </w:divBdr>
    </w:div>
    <w:div w:id="312494345">
      <w:bodyDiv w:val="1"/>
      <w:marLeft w:val="0"/>
      <w:marRight w:val="0"/>
      <w:marTop w:val="0"/>
      <w:marBottom w:val="0"/>
      <w:divBdr>
        <w:top w:val="none" w:sz="0" w:space="0" w:color="auto"/>
        <w:left w:val="none" w:sz="0" w:space="0" w:color="auto"/>
        <w:bottom w:val="none" w:sz="0" w:space="0" w:color="auto"/>
        <w:right w:val="none" w:sz="0" w:space="0" w:color="auto"/>
      </w:divBdr>
    </w:div>
    <w:div w:id="340938217">
      <w:bodyDiv w:val="1"/>
      <w:marLeft w:val="0"/>
      <w:marRight w:val="0"/>
      <w:marTop w:val="0"/>
      <w:marBottom w:val="0"/>
      <w:divBdr>
        <w:top w:val="none" w:sz="0" w:space="0" w:color="auto"/>
        <w:left w:val="none" w:sz="0" w:space="0" w:color="auto"/>
        <w:bottom w:val="none" w:sz="0" w:space="0" w:color="auto"/>
        <w:right w:val="none" w:sz="0" w:space="0" w:color="auto"/>
      </w:divBdr>
    </w:div>
    <w:div w:id="343214039">
      <w:bodyDiv w:val="1"/>
      <w:marLeft w:val="0"/>
      <w:marRight w:val="0"/>
      <w:marTop w:val="0"/>
      <w:marBottom w:val="0"/>
      <w:divBdr>
        <w:top w:val="none" w:sz="0" w:space="0" w:color="auto"/>
        <w:left w:val="none" w:sz="0" w:space="0" w:color="auto"/>
        <w:bottom w:val="none" w:sz="0" w:space="0" w:color="auto"/>
        <w:right w:val="none" w:sz="0" w:space="0" w:color="auto"/>
      </w:divBdr>
    </w:div>
    <w:div w:id="351807140">
      <w:bodyDiv w:val="1"/>
      <w:marLeft w:val="0"/>
      <w:marRight w:val="0"/>
      <w:marTop w:val="0"/>
      <w:marBottom w:val="0"/>
      <w:divBdr>
        <w:top w:val="none" w:sz="0" w:space="0" w:color="auto"/>
        <w:left w:val="none" w:sz="0" w:space="0" w:color="auto"/>
        <w:bottom w:val="none" w:sz="0" w:space="0" w:color="auto"/>
        <w:right w:val="none" w:sz="0" w:space="0" w:color="auto"/>
      </w:divBdr>
    </w:div>
    <w:div w:id="356393018">
      <w:bodyDiv w:val="1"/>
      <w:marLeft w:val="0"/>
      <w:marRight w:val="0"/>
      <w:marTop w:val="0"/>
      <w:marBottom w:val="0"/>
      <w:divBdr>
        <w:top w:val="none" w:sz="0" w:space="0" w:color="auto"/>
        <w:left w:val="none" w:sz="0" w:space="0" w:color="auto"/>
        <w:bottom w:val="none" w:sz="0" w:space="0" w:color="auto"/>
        <w:right w:val="none" w:sz="0" w:space="0" w:color="auto"/>
      </w:divBdr>
    </w:div>
    <w:div w:id="366491861">
      <w:bodyDiv w:val="1"/>
      <w:marLeft w:val="0"/>
      <w:marRight w:val="0"/>
      <w:marTop w:val="0"/>
      <w:marBottom w:val="0"/>
      <w:divBdr>
        <w:top w:val="none" w:sz="0" w:space="0" w:color="auto"/>
        <w:left w:val="none" w:sz="0" w:space="0" w:color="auto"/>
        <w:bottom w:val="none" w:sz="0" w:space="0" w:color="auto"/>
        <w:right w:val="none" w:sz="0" w:space="0" w:color="auto"/>
      </w:divBdr>
    </w:div>
    <w:div w:id="368842837">
      <w:bodyDiv w:val="1"/>
      <w:marLeft w:val="0"/>
      <w:marRight w:val="0"/>
      <w:marTop w:val="0"/>
      <w:marBottom w:val="0"/>
      <w:divBdr>
        <w:top w:val="none" w:sz="0" w:space="0" w:color="auto"/>
        <w:left w:val="none" w:sz="0" w:space="0" w:color="auto"/>
        <w:bottom w:val="none" w:sz="0" w:space="0" w:color="auto"/>
        <w:right w:val="none" w:sz="0" w:space="0" w:color="auto"/>
      </w:divBdr>
    </w:div>
    <w:div w:id="375354466">
      <w:bodyDiv w:val="1"/>
      <w:marLeft w:val="0"/>
      <w:marRight w:val="0"/>
      <w:marTop w:val="0"/>
      <w:marBottom w:val="0"/>
      <w:divBdr>
        <w:top w:val="none" w:sz="0" w:space="0" w:color="auto"/>
        <w:left w:val="none" w:sz="0" w:space="0" w:color="auto"/>
        <w:bottom w:val="none" w:sz="0" w:space="0" w:color="auto"/>
        <w:right w:val="none" w:sz="0" w:space="0" w:color="auto"/>
      </w:divBdr>
    </w:div>
    <w:div w:id="379668417">
      <w:bodyDiv w:val="1"/>
      <w:marLeft w:val="0"/>
      <w:marRight w:val="0"/>
      <w:marTop w:val="0"/>
      <w:marBottom w:val="0"/>
      <w:divBdr>
        <w:top w:val="none" w:sz="0" w:space="0" w:color="auto"/>
        <w:left w:val="none" w:sz="0" w:space="0" w:color="auto"/>
        <w:bottom w:val="none" w:sz="0" w:space="0" w:color="auto"/>
        <w:right w:val="none" w:sz="0" w:space="0" w:color="auto"/>
      </w:divBdr>
    </w:div>
    <w:div w:id="384330519">
      <w:bodyDiv w:val="1"/>
      <w:marLeft w:val="0"/>
      <w:marRight w:val="0"/>
      <w:marTop w:val="0"/>
      <w:marBottom w:val="0"/>
      <w:divBdr>
        <w:top w:val="none" w:sz="0" w:space="0" w:color="auto"/>
        <w:left w:val="none" w:sz="0" w:space="0" w:color="auto"/>
        <w:bottom w:val="none" w:sz="0" w:space="0" w:color="auto"/>
        <w:right w:val="none" w:sz="0" w:space="0" w:color="auto"/>
      </w:divBdr>
    </w:div>
    <w:div w:id="387269793">
      <w:bodyDiv w:val="1"/>
      <w:marLeft w:val="0"/>
      <w:marRight w:val="0"/>
      <w:marTop w:val="0"/>
      <w:marBottom w:val="0"/>
      <w:divBdr>
        <w:top w:val="none" w:sz="0" w:space="0" w:color="auto"/>
        <w:left w:val="none" w:sz="0" w:space="0" w:color="auto"/>
        <w:bottom w:val="none" w:sz="0" w:space="0" w:color="auto"/>
        <w:right w:val="none" w:sz="0" w:space="0" w:color="auto"/>
      </w:divBdr>
    </w:div>
    <w:div w:id="393162370">
      <w:bodyDiv w:val="1"/>
      <w:marLeft w:val="0"/>
      <w:marRight w:val="0"/>
      <w:marTop w:val="0"/>
      <w:marBottom w:val="0"/>
      <w:divBdr>
        <w:top w:val="none" w:sz="0" w:space="0" w:color="auto"/>
        <w:left w:val="none" w:sz="0" w:space="0" w:color="auto"/>
        <w:bottom w:val="none" w:sz="0" w:space="0" w:color="auto"/>
        <w:right w:val="none" w:sz="0" w:space="0" w:color="auto"/>
      </w:divBdr>
    </w:div>
    <w:div w:id="433483496">
      <w:bodyDiv w:val="1"/>
      <w:marLeft w:val="0"/>
      <w:marRight w:val="0"/>
      <w:marTop w:val="0"/>
      <w:marBottom w:val="0"/>
      <w:divBdr>
        <w:top w:val="none" w:sz="0" w:space="0" w:color="auto"/>
        <w:left w:val="none" w:sz="0" w:space="0" w:color="auto"/>
        <w:bottom w:val="none" w:sz="0" w:space="0" w:color="auto"/>
        <w:right w:val="none" w:sz="0" w:space="0" w:color="auto"/>
      </w:divBdr>
    </w:div>
    <w:div w:id="437024098">
      <w:bodyDiv w:val="1"/>
      <w:marLeft w:val="0"/>
      <w:marRight w:val="0"/>
      <w:marTop w:val="0"/>
      <w:marBottom w:val="0"/>
      <w:divBdr>
        <w:top w:val="none" w:sz="0" w:space="0" w:color="auto"/>
        <w:left w:val="none" w:sz="0" w:space="0" w:color="auto"/>
        <w:bottom w:val="none" w:sz="0" w:space="0" w:color="auto"/>
        <w:right w:val="none" w:sz="0" w:space="0" w:color="auto"/>
      </w:divBdr>
    </w:div>
    <w:div w:id="446244917">
      <w:bodyDiv w:val="1"/>
      <w:marLeft w:val="0"/>
      <w:marRight w:val="0"/>
      <w:marTop w:val="0"/>
      <w:marBottom w:val="0"/>
      <w:divBdr>
        <w:top w:val="none" w:sz="0" w:space="0" w:color="auto"/>
        <w:left w:val="none" w:sz="0" w:space="0" w:color="auto"/>
        <w:bottom w:val="none" w:sz="0" w:space="0" w:color="auto"/>
        <w:right w:val="none" w:sz="0" w:space="0" w:color="auto"/>
      </w:divBdr>
    </w:div>
    <w:div w:id="446892427">
      <w:bodyDiv w:val="1"/>
      <w:marLeft w:val="0"/>
      <w:marRight w:val="0"/>
      <w:marTop w:val="0"/>
      <w:marBottom w:val="0"/>
      <w:divBdr>
        <w:top w:val="none" w:sz="0" w:space="0" w:color="auto"/>
        <w:left w:val="none" w:sz="0" w:space="0" w:color="auto"/>
        <w:bottom w:val="none" w:sz="0" w:space="0" w:color="auto"/>
        <w:right w:val="none" w:sz="0" w:space="0" w:color="auto"/>
      </w:divBdr>
    </w:div>
    <w:div w:id="453063367">
      <w:bodyDiv w:val="1"/>
      <w:marLeft w:val="0"/>
      <w:marRight w:val="0"/>
      <w:marTop w:val="0"/>
      <w:marBottom w:val="0"/>
      <w:divBdr>
        <w:top w:val="none" w:sz="0" w:space="0" w:color="auto"/>
        <w:left w:val="none" w:sz="0" w:space="0" w:color="auto"/>
        <w:bottom w:val="none" w:sz="0" w:space="0" w:color="auto"/>
        <w:right w:val="none" w:sz="0" w:space="0" w:color="auto"/>
      </w:divBdr>
    </w:div>
    <w:div w:id="461652133">
      <w:bodyDiv w:val="1"/>
      <w:marLeft w:val="0"/>
      <w:marRight w:val="0"/>
      <w:marTop w:val="0"/>
      <w:marBottom w:val="0"/>
      <w:divBdr>
        <w:top w:val="none" w:sz="0" w:space="0" w:color="auto"/>
        <w:left w:val="none" w:sz="0" w:space="0" w:color="auto"/>
        <w:bottom w:val="none" w:sz="0" w:space="0" w:color="auto"/>
        <w:right w:val="none" w:sz="0" w:space="0" w:color="auto"/>
      </w:divBdr>
    </w:div>
    <w:div w:id="483939081">
      <w:bodyDiv w:val="1"/>
      <w:marLeft w:val="0"/>
      <w:marRight w:val="0"/>
      <w:marTop w:val="0"/>
      <w:marBottom w:val="0"/>
      <w:divBdr>
        <w:top w:val="none" w:sz="0" w:space="0" w:color="auto"/>
        <w:left w:val="none" w:sz="0" w:space="0" w:color="auto"/>
        <w:bottom w:val="none" w:sz="0" w:space="0" w:color="auto"/>
        <w:right w:val="none" w:sz="0" w:space="0" w:color="auto"/>
      </w:divBdr>
    </w:div>
    <w:div w:id="530387943">
      <w:bodyDiv w:val="1"/>
      <w:marLeft w:val="0"/>
      <w:marRight w:val="0"/>
      <w:marTop w:val="0"/>
      <w:marBottom w:val="0"/>
      <w:divBdr>
        <w:top w:val="none" w:sz="0" w:space="0" w:color="auto"/>
        <w:left w:val="none" w:sz="0" w:space="0" w:color="auto"/>
        <w:bottom w:val="none" w:sz="0" w:space="0" w:color="auto"/>
        <w:right w:val="none" w:sz="0" w:space="0" w:color="auto"/>
      </w:divBdr>
    </w:div>
    <w:div w:id="558595930">
      <w:bodyDiv w:val="1"/>
      <w:marLeft w:val="0"/>
      <w:marRight w:val="0"/>
      <w:marTop w:val="0"/>
      <w:marBottom w:val="0"/>
      <w:divBdr>
        <w:top w:val="none" w:sz="0" w:space="0" w:color="auto"/>
        <w:left w:val="none" w:sz="0" w:space="0" w:color="auto"/>
        <w:bottom w:val="none" w:sz="0" w:space="0" w:color="auto"/>
        <w:right w:val="none" w:sz="0" w:space="0" w:color="auto"/>
      </w:divBdr>
    </w:div>
    <w:div w:id="562954802">
      <w:bodyDiv w:val="1"/>
      <w:marLeft w:val="0"/>
      <w:marRight w:val="0"/>
      <w:marTop w:val="0"/>
      <w:marBottom w:val="0"/>
      <w:divBdr>
        <w:top w:val="none" w:sz="0" w:space="0" w:color="auto"/>
        <w:left w:val="none" w:sz="0" w:space="0" w:color="auto"/>
        <w:bottom w:val="none" w:sz="0" w:space="0" w:color="auto"/>
        <w:right w:val="none" w:sz="0" w:space="0" w:color="auto"/>
      </w:divBdr>
    </w:div>
    <w:div w:id="572741865">
      <w:bodyDiv w:val="1"/>
      <w:marLeft w:val="0"/>
      <w:marRight w:val="0"/>
      <w:marTop w:val="0"/>
      <w:marBottom w:val="0"/>
      <w:divBdr>
        <w:top w:val="none" w:sz="0" w:space="0" w:color="auto"/>
        <w:left w:val="none" w:sz="0" w:space="0" w:color="auto"/>
        <w:bottom w:val="none" w:sz="0" w:space="0" w:color="auto"/>
        <w:right w:val="none" w:sz="0" w:space="0" w:color="auto"/>
      </w:divBdr>
    </w:div>
    <w:div w:id="583495758">
      <w:bodyDiv w:val="1"/>
      <w:marLeft w:val="0"/>
      <w:marRight w:val="0"/>
      <w:marTop w:val="0"/>
      <w:marBottom w:val="0"/>
      <w:divBdr>
        <w:top w:val="none" w:sz="0" w:space="0" w:color="auto"/>
        <w:left w:val="none" w:sz="0" w:space="0" w:color="auto"/>
        <w:bottom w:val="none" w:sz="0" w:space="0" w:color="auto"/>
        <w:right w:val="none" w:sz="0" w:space="0" w:color="auto"/>
      </w:divBdr>
      <w:divsChild>
        <w:div w:id="94600782">
          <w:marLeft w:val="1267"/>
          <w:marRight w:val="0"/>
          <w:marTop w:val="240"/>
          <w:marBottom w:val="0"/>
          <w:divBdr>
            <w:top w:val="none" w:sz="0" w:space="0" w:color="auto"/>
            <w:left w:val="none" w:sz="0" w:space="0" w:color="auto"/>
            <w:bottom w:val="none" w:sz="0" w:space="0" w:color="auto"/>
            <w:right w:val="none" w:sz="0" w:space="0" w:color="auto"/>
          </w:divBdr>
        </w:div>
      </w:divsChild>
    </w:div>
    <w:div w:id="634679441">
      <w:bodyDiv w:val="1"/>
      <w:marLeft w:val="0"/>
      <w:marRight w:val="0"/>
      <w:marTop w:val="0"/>
      <w:marBottom w:val="0"/>
      <w:divBdr>
        <w:top w:val="none" w:sz="0" w:space="0" w:color="auto"/>
        <w:left w:val="none" w:sz="0" w:space="0" w:color="auto"/>
        <w:bottom w:val="none" w:sz="0" w:space="0" w:color="auto"/>
        <w:right w:val="none" w:sz="0" w:space="0" w:color="auto"/>
      </w:divBdr>
    </w:div>
    <w:div w:id="644360090">
      <w:bodyDiv w:val="1"/>
      <w:marLeft w:val="0"/>
      <w:marRight w:val="0"/>
      <w:marTop w:val="0"/>
      <w:marBottom w:val="0"/>
      <w:divBdr>
        <w:top w:val="none" w:sz="0" w:space="0" w:color="auto"/>
        <w:left w:val="none" w:sz="0" w:space="0" w:color="auto"/>
        <w:bottom w:val="none" w:sz="0" w:space="0" w:color="auto"/>
        <w:right w:val="none" w:sz="0" w:space="0" w:color="auto"/>
      </w:divBdr>
    </w:div>
    <w:div w:id="649870171">
      <w:bodyDiv w:val="1"/>
      <w:marLeft w:val="0"/>
      <w:marRight w:val="0"/>
      <w:marTop w:val="0"/>
      <w:marBottom w:val="0"/>
      <w:divBdr>
        <w:top w:val="none" w:sz="0" w:space="0" w:color="auto"/>
        <w:left w:val="none" w:sz="0" w:space="0" w:color="auto"/>
        <w:bottom w:val="none" w:sz="0" w:space="0" w:color="auto"/>
        <w:right w:val="none" w:sz="0" w:space="0" w:color="auto"/>
      </w:divBdr>
    </w:div>
    <w:div w:id="656808886">
      <w:bodyDiv w:val="1"/>
      <w:marLeft w:val="0"/>
      <w:marRight w:val="0"/>
      <w:marTop w:val="0"/>
      <w:marBottom w:val="0"/>
      <w:divBdr>
        <w:top w:val="none" w:sz="0" w:space="0" w:color="auto"/>
        <w:left w:val="none" w:sz="0" w:space="0" w:color="auto"/>
        <w:bottom w:val="none" w:sz="0" w:space="0" w:color="auto"/>
        <w:right w:val="none" w:sz="0" w:space="0" w:color="auto"/>
      </w:divBdr>
    </w:div>
    <w:div w:id="668486198">
      <w:bodyDiv w:val="1"/>
      <w:marLeft w:val="0"/>
      <w:marRight w:val="0"/>
      <w:marTop w:val="0"/>
      <w:marBottom w:val="0"/>
      <w:divBdr>
        <w:top w:val="none" w:sz="0" w:space="0" w:color="auto"/>
        <w:left w:val="none" w:sz="0" w:space="0" w:color="auto"/>
        <w:bottom w:val="none" w:sz="0" w:space="0" w:color="auto"/>
        <w:right w:val="none" w:sz="0" w:space="0" w:color="auto"/>
      </w:divBdr>
    </w:div>
    <w:div w:id="684864998">
      <w:bodyDiv w:val="1"/>
      <w:marLeft w:val="0"/>
      <w:marRight w:val="0"/>
      <w:marTop w:val="0"/>
      <w:marBottom w:val="0"/>
      <w:divBdr>
        <w:top w:val="none" w:sz="0" w:space="0" w:color="auto"/>
        <w:left w:val="none" w:sz="0" w:space="0" w:color="auto"/>
        <w:bottom w:val="none" w:sz="0" w:space="0" w:color="auto"/>
        <w:right w:val="none" w:sz="0" w:space="0" w:color="auto"/>
      </w:divBdr>
      <w:divsChild>
        <w:div w:id="1985426110">
          <w:marLeft w:val="0"/>
          <w:marRight w:val="0"/>
          <w:marTop w:val="0"/>
          <w:marBottom w:val="0"/>
          <w:divBdr>
            <w:top w:val="none" w:sz="0" w:space="0" w:color="auto"/>
            <w:left w:val="none" w:sz="0" w:space="0" w:color="auto"/>
            <w:bottom w:val="none" w:sz="0" w:space="0" w:color="auto"/>
            <w:right w:val="none" w:sz="0" w:space="0" w:color="auto"/>
          </w:divBdr>
          <w:divsChild>
            <w:div w:id="14180931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99205661">
      <w:bodyDiv w:val="1"/>
      <w:marLeft w:val="0"/>
      <w:marRight w:val="0"/>
      <w:marTop w:val="0"/>
      <w:marBottom w:val="0"/>
      <w:divBdr>
        <w:top w:val="none" w:sz="0" w:space="0" w:color="auto"/>
        <w:left w:val="none" w:sz="0" w:space="0" w:color="auto"/>
        <w:bottom w:val="none" w:sz="0" w:space="0" w:color="auto"/>
        <w:right w:val="none" w:sz="0" w:space="0" w:color="auto"/>
      </w:divBdr>
    </w:div>
    <w:div w:id="752972623">
      <w:bodyDiv w:val="1"/>
      <w:marLeft w:val="0"/>
      <w:marRight w:val="0"/>
      <w:marTop w:val="0"/>
      <w:marBottom w:val="0"/>
      <w:divBdr>
        <w:top w:val="none" w:sz="0" w:space="0" w:color="auto"/>
        <w:left w:val="none" w:sz="0" w:space="0" w:color="auto"/>
        <w:bottom w:val="none" w:sz="0" w:space="0" w:color="auto"/>
        <w:right w:val="none" w:sz="0" w:space="0" w:color="auto"/>
      </w:divBdr>
    </w:div>
    <w:div w:id="762917075">
      <w:bodyDiv w:val="1"/>
      <w:marLeft w:val="0"/>
      <w:marRight w:val="0"/>
      <w:marTop w:val="0"/>
      <w:marBottom w:val="0"/>
      <w:divBdr>
        <w:top w:val="none" w:sz="0" w:space="0" w:color="auto"/>
        <w:left w:val="none" w:sz="0" w:space="0" w:color="auto"/>
        <w:bottom w:val="none" w:sz="0" w:space="0" w:color="auto"/>
        <w:right w:val="none" w:sz="0" w:space="0" w:color="auto"/>
      </w:divBdr>
    </w:div>
    <w:div w:id="764418697">
      <w:bodyDiv w:val="1"/>
      <w:marLeft w:val="0"/>
      <w:marRight w:val="0"/>
      <w:marTop w:val="0"/>
      <w:marBottom w:val="0"/>
      <w:divBdr>
        <w:top w:val="none" w:sz="0" w:space="0" w:color="auto"/>
        <w:left w:val="none" w:sz="0" w:space="0" w:color="auto"/>
        <w:bottom w:val="none" w:sz="0" w:space="0" w:color="auto"/>
        <w:right w:val="none" w:sz="0" w:space="0" w:color="auto"/>
      </w:divBdr>
    </w:div>
    <w:div w:id="825319223">
      <w:bodyDiv w:val="1"/>
      <w:marLeft w:val="0"/>
      <w:marRight w:val="0"/>
      <w:marTop w:val="0"/>
      <w:marBottom w:val="0"/>
      <w:divBdr>
        <w:top w:val="none" w:sz="0" w:space="0" w:color="auto"/>
        <w:left w:val="none" w:sz="0" w:space="0" w:color="auto"/>
        <w:bottom w:val="none" w:sz="0" w:space="0" w:color="auto"/>
        <w:right w:val="none" w:sz="0" w:space="0" w:color="auto"/>
      </w:divBdr>
    </w:div>
    <w:div w:id="851450648">
      <w:bodyDiv w:val="1"/>
      <w:marLeft w:val="0"/>
      <w:marRight w:val="0"/>
      <w:marTop w:val="0"/>
      <w:marBottom w:val="0"/>
      <w:divBdr>
        <w:top w:val="none" w:sz="0" w:space="0" w:color="auto"/>
        <w:left w:val="none" w:sz="0" w:space="0" w:color="auto"/>
        <w:bottom w:val="none" w:sz="0" w:space="0" w:color="auto"/>
        <w:right w:val="none" w:sz="0" w:space="0" w:color="auto"/>
      </w:divBdr>
    </w:div>
    <w:div w:id="870415646">
      <w:bodyDiv w:val="1"/>
      <w:marLeft w:val="0"/>
      <w:marRight w:val="0"/>
      <w:marTop w:val="0"/>
      <w:marBottom w:val="0"/>
      <w:divBdr>
        <w:top w:val="none" w:sz="0" w:space="0" w:color="auto"/>
        <w:left w:val="none" w:sz="0" w:space="0" w:color="auto"/>
        <w:bottom w:val="none" w:sz="0" w:space="0" w:color="auto"/>
        <w:right w:val="none" w:sz="0" w:space="0" w:color="auto"/>
      </w:divBdr>
    </w:div>
    <w:div w:id="901713909">
      <w:bodyDiv w:val="1"/>
      <w:marLeft w:val="0"/>
      <w:marRight w:val="0"/>
      <w:marTop w:val="0"/>
      <w:marBottom w:val="0"/>
      <w:divBdr>
        <w:top w:val="none" w:sz="0" w:space="0" w:color="auto"/>
        <w:left w:val="none" w:sz="0" w:space="0" w:color="auto"/>
        <w:bottom w:val="none" w:sz="0" w:space="0" w:color="auto"/>
        <w:right w:val="none" w:sz="0" w:space="0" w:color="auto"/>
      </w:divBdr>
    </w:div>
    <w:div w:id="913705091">
      <w:bodyDiv w:val="1"/>
      <w:marLeft w:val="0"/>
      <w:marRight w:val="0"/>
      <w:marTop w:val="0"/>
      <w:marBottom w:val="0"/>
      <w:divBdr>
        <w:top w:val="none" w:sz="0" w:space="0" w:color="auto"/>
        <w:left w:val="none" w:sz="0" w:space="0" w:color="auto"/>
        <w:bottom w:val="none" w:sz="0" w:space="0" w:color="auto"/>
        <w:right w:val="none" w:sz="0" w:space="0" w:color="auto"/>
      </w:divBdr>
    </w:div>
    <w:div w:id="915046262">
      <w:bodyDiv w:val="1"/>
      <w:marLeft w:val="0"/>
      <w:marRight w:val="0"/>
      <w:marTop w:val="0"/>
      <w:marBottom w:val="0"/>
      <w:divBdr>
        <w:top w:val="none" w:sz="0" w:space="0" w:color="auto"/>
        <w:left w:val="none" w:sz="0" w:space="0" w:color="auto"/>
        <w:bottom w:val="none" w:sz="0" w:space="0" w:color="auto"/>
        <w:right w:val="none" w:sz="0" w:space="0" w:color="auto"/>
      </w:divBdr>
    </w:div>
    <w:div w:id="925697910">
      <w:bodyDiv w:val="1"/>
      <w:marLeft w:val="0"/>
      <w:marRight w:val="0"/>
      <w:marTop w:val="0"/>
      <w:marBottom w:val="0"/>
      <w:divBdr>
        <w:top w:val="none" w:sz="0" w:space="0" w:color="auto"/>
        <w:left w:val="none" w:sz="0" w:space="0" w:color="auto"/>
        <w:bottom w:val="none" w:sz="0" w:space="0" w:color="auto"/>
        <w:right w:val="none" w:sz="0" w:space="0" w:color="auto"/>
      </w:divBdr>
    </w:div>
    <w:div w:id="952400240">
      <w:bodyDiv w:val="1"/>
      <w:marLeft w:val="0"/>
      <w:marRight w:val="0"/>
      <w:marTop w:val="0"/>
      <w:marBottom w:val="0"/>
      <w:divBdr>
        <w:top w:val="none" w:sz="0" w:space="0" w:color="auto"/>
        <w:left w:val="none" w:sz="0" w:space="0" w:color="auto"/>
        <w:bottom w:val="none" w:sz="0" w:space="0" w:color="auto"/>
        <w:right w:val="none" w:sz="0" w:space="0" w:color="auto"/>
      </w:divBdr>
    </w:div>
    <w:div w:id="956065831">
      <w:bodyDiv w:val="1"/>
      <w:marLeft w:val="0"/>
      <w:marRight w:val="0"/>
      <w:marTop w:val="0"/>
      <w:marBottom w:val="0"/>
      <w:divBdr>
        <w:top w:val="none" w:sz="0" w:space="0" w:color="auto"/>
        <w:left w:val="none" w:sz="0" w:space="0" w:color="auto"/>
        <w:bottom w:val="none" w:sz="0" w:space="0" w:color="auto"/>
        <w:right w:val="none" w:sz="0" w:space="0" w:color="auto"/>
      </w:divBdr>
    </w:div>
    <w:div w:id="985276470">
      <w:bodyDiv w:val="1"/>
      <w:marLeft w:val="0"/>
      <w:marRight w:val="0"/>
      <w:marTop w:val="0"/>
      <w:marBottom w:val="0"/>
      <w:divBdr>
        <w:top w:val="none" w:sz="0" w:space="0" w:color="auto"/>
        <w:left w:val="none" w:sz="0" w:space="0" w:color="auto"/>
        <w:bottom w:val="none" w:sz="0" w:space="0" w:color="auto"/>
        <w:right w:val="none" w:sz="0" w:space="0" w:color="auto"/>
      </w:divBdr>
    </w:div>
    <w:div w:id="991982492">
      <w:bodyDiv w:val="1"/>
      <w:marLeft w:val="0"/>
      <w:marRight w:val="0"/>
      <w:marTop w:val="0"/>
      <w:marBottom w:val="0"/>
      <w:divBdr>
        <w:top w:val="none" w:sz="0" w:space="0" w:color="auto"/>
        <w:left w:val="none" w:sz="0" w:space="0" w:color="auto"/>
        <w:bottom w:val="none" w:sz="0" w:space="0" w:color="auto"/>
        <w:right w:val="none" w:sz="0" w:space="0" w:color="auto"/>
      </w:divBdr>
    </w:div>
    <w:div w:id="1009260170">
      <w:bodyDiv w:val="1"/>
      <w:marLeft w:val="0"/>
      <w:marRight w:val="0"/>
      <w:marTop w:val="0"/>
      <w:marBottom w:val="0"/>
      <w:divBdr>
        <w:top w:val="none" w:sz="0" w:space="0" w:color="auto"/>
        <w:left w:val="none" w:sz="0" w:space="0" w:color="auto"/>
        <w:bottom w:val="none" w:sz="0" w:space="0" w:color="auto"/>
        <w:right w:val="none" w:sz="0" w:space="0" w:color="auto"/>
      </w:divBdr>
    </w:div>
    <w:div w:id="1055205001">
      <w:bodyDiv w:val="1"/>
      <w:marLeft w:val="0"/>
      <w:marRight w:val="0"/>
      <w:marTop w:val="0"/>
      <w:marBottom w:val="0"/>
      <w:divBdr>
        <w:top w:val="none" w:sz="0" w:space="0" w:color="auto"/>
        <w:left w:val="none" w:sz="0" w:space="0" w:color="auto"/>
        <w:bottom w:val="none" w:sz="0" w:space="0" w:color="auto"/>
        <w:right w:val="none" w:sz="0" w:space="0" w:color="auto"/>
      </w:divBdr>
    </w:div>
    <w:div w:id="1060635496">
      <w:bodyDiv w:val="1"/>
      <w:marLeft w:val="0"/>
      <w:marRight w:val="0"/>
      <w:marTop w:val="0"/>
      <w:marBottom w:val="0"/>
      <w:divBdr>
        <w:top w:val="none" w:sz="0" w:space="0" w:color="auto"/>
        <w:left w:val="none" w:sz="0" w:space="0" w:color="auto"/>
        <w:bottom w:val="none" w:sz="0" w:space="0" w:color="auto"/>
        <w:right w:val="none" w:sz="0" w:space="0" w:color="auto"/>
      </w:divBdr>
    </w:div>
    <w:div w:id="1091777748">
      <w:bodyDiv w:val="1"/>
      <w:marLeft w:val="0"/>
      <w:marRight w:val="0"/>
      <w:marTop w:val="0"/>
      <w:marBottom w:val="0"/>
      <w:divBdr>
        <w:top w:val="none" w:sz="0" w:space="0" w:color="auto"/>
        <w:left w:val="none" w:sz="0" w:space="0" w:color="auto"/>
        <w:bottom w:val="none" w:sz="0" w:space="0" w:color="auto"/>
        <w:right w:val="none" w:sz="0" w:space="0" w:color="auto"/>
      </w:divBdr>
    </w:div>
    <w:div w:id="1092899464">
      <w:bodyDiv w:val="1"/>
      <w:marLeft w:val="0"/>
      <w:marRight w:val="0"/>
      <w:marTop w:val="0"/>
      <w:marBottom w:val="0"/>
      <w:divBdr>
        <w:top w:val="none" w:sz="0" w:space="0" w:color="auto"/>
        <w:left w:val="none" w:sz="0" w:space="0" w:color="auto"/>
        <w:bottom w:val="none" w:sz="0" w:space="0" w:color="auto"/>
        <w:right w:val="none" w:sz="0" w:space="0" w:color="auto"/>
      </w:divBdr>
    </w:div>
    <w:div w:id="1104303688">
      <w:bodyDiv w:val="1"/>
      <w:marLeft w:val="0"/>
      <w:marRight w:val="0"/>
      <w:marTop w:val="0"/>
      <w:marBottom w:val="0"/>
      <w:divBdr>
        <w:top w:val="none" w:sz="0" w:space="0" w:color="auto"/>
        <w:left w:val="none" w:sz="0" w:space="0" w:color="auto"/>
        <w:bottom w:val="none" w:sz="0" w:space="0" w:color="auto"/>
        <w:right w:val="none" w:sz="0" w:space="0" w:color="auto"/>
      </w:divBdr>
    </w:div>
    <w:div w:id="1108889606">
      <w:bodyDiv w:val="1"/>
      <w:marLeft w:val="0"/>
      <w:marRight w:val="0"/>
      <w:marTop w:val="0"/>
      <w:marBottom w:val="0"/>
      <w:divBdr>
        <w:top w:val="none" w:sz="0" w:space="0" w:color="auto"/>
        <w:left w:val="none" w:sz="0" w:space="0" w:color="auto"/>
        <w:bottom w:val="none" w:sz="0" w:space="0" w:color="auto"/>
        <w:right w:val="none" w:sz="0" w:space="0" w:color="auto"/>
      </w:divBdr>
    </w:div>
    <w:div w:id="1110507950">
      <w:bodyDiv w:val="1"/>
      <w:marLeft w:val="0"/>
      <w:marRight w:val="0"/>
      <w:marTop w:val="0"/>
      <w:marBottom w:val="0"/>
      <w:divBdr>
        <w:top w:val="none" w:sz="0" w:space="0" w:color="auto"/>
        <w:left w:val="none" w:sz="0" w:space="0" w:color="auto"/>
        <w:bottom w:val="none" w:sz="0" w:space="0" w:color="auto"/>
        <w:right w:val="none" w:sz="0" w:space="0" w:color="auto"/>
      </w:divBdr>
    </w:div>
    <w:div w:id="1123811749">
      <w:bodyDiv w:val="1"/>
      <w:marLeft w:val="0"/>
      <w:marRight w:val="0"/>
      <w:marTop w:val="0"/>
      <w:marBottom w:val="0"/>
      <w:divBdr>
        <w:top w:val="none" w:sz="0" w:space="0" w:color="auto"/>
        <w:left w:val="none" w:sz="0" w:space="0" w:color="auto"/>
        <w:bottom w:val="none" w:sz="0" w:space="0" w:color="auto"/>
        <w:right w:val="none" w:sz="0" w:space="0" w:color="auto"/>
      </w:divBdr>
    </w:div>
    <w:div w:id="1134447161">
      <w:bodyDiv w:val="1"/>
      <w:marLeft w:val="0"/>
      <w:marRight w:val="0"/>
      <w:marTop w:val="0"/>
      <w:marBottom w:val="0"/>
      <w:divBdr>
        <w:top w:val="none" w:sz="0" w:space="0" w:color="auto"/>
        <w:left w:val="none" w:sz="0" w:space="0" w:color="auto"/>
        <w:bottom w:val="none" w:sz="0" w:space="0" w:color="auto"/>
        <w:right w:val="none" w:sz="0" w:space="0" w:color="auto"/>
      </w:divBdr>
    </w:div>
    <w:div w:id="1151601292">
      <w:bodyDiv w:val="1"/>
      <w:marLeft w:val="0"/>
      <w:marRight w:val="0"/>
      <w:marTop w:val="0"/>
      <w:marBottom w:val="0"/>
      <w:divBdr>
        <w:top w:val="none" w:sz="0" w:space="0" w:color="auto"/>
        <w:left w:val="none" w:sz="0" w:space="0" w:color="auto"/>
        <w:bottom w:val="none" w:sz="0" w:space="0" w:color="auto"/>
        <w:right w:val="none" w:sz="0" w:space="0" w:color="auto"/>
      </w:divBdr>
    </w:div>
    <w:div w:id="1156259743">
      <w:bodyDiv w:val="1"/>
      <w:marLeft w:val="0"/>
      <w:marRight w:val="0"/>
      <w:marTop w:val="0"/>
      <w:marBottom w:val="0"/>
      <w:divBdr>
        <w:top w:val="none" w:sz="0" w:space="0" w:color="auto"/>
        <w:left w:val="none" w:sz="0" w:space="0" w:color="auto"/>
        <w:bottom w:val="none" w:sz="0" w:space="0" w:color="auto"/>
        <w:right w:val="none" w:sz="0" w:space="0" w:color="auto"/>
      </w:divBdr>
    </w:div>
    <w:div w:id="1173297225">
      <w:bodyDiv w:val="1"/>
      <w:marLeft w:val="0"/>
      <w:marRight w:val="0"/>
      <w:marTop w:val="0"/>
      <w:marBottom w:val="0"/>
      <w:divBdr>
        <w:top w:val="none" w:sz="0" w:space="0" w:color="auto"/>
        <w:left w:val="none" w:sz="0" w:space="0" w:color="auto"/>
        <w:bottom w:val="none" w:sz="0" w:space="0" w:color="auto"/>
        <w:right w:val="none" w:sz="0" w:space="0" w:color="auto"/>
      </w:divBdr>
    </w:div>
    <w:div w:id="1216158923">
      <w:bodyDiv w:val="1"/>
      <w:marLeft w:val="0"/>
      <w:marRight w:val="0"/>
      <w:marTop w:val="0"/>
      <w:marBottom w:val="0"/>
      <w:divBdr>
        <w:top w:val="none" w:sz="0" w:space="0" w:color="auto"/>
        <w:left w:val="none" w:sz="0" w:space="0" w:color="auto"/>
        <w:bottom w:val="none" w:sz="0" w:space="0" w:color="auto"/>
        <w:right w:val="none" w:sz="0" w:space="0" w:color="auto"/>
      </w:divBdr>
    </w:div>
    <w:div w:id="1238899433">
      <w:bodyDiv w:val="1"/>
      <w:marLeft w:val="0"/>
      <w:marRight w:val="0"/>
      <w:marTop w:val="0"/>
      <w:marBottom w:val="0"/>
      <w:divBdr>
        <w:top w:val="none" w:sz="0" w:space="0" w:color="auto"/>
        <w:left w:val="none" w:sz="0" w:space="0" w:color="auto"/>
        <w:bottom w:val="none" w:sz="0" w:space="0" w:color="auto"/>
        <w:right w:val="none" w:sz="0" w:space="0" w:color="auto"/>
      </w:divBdr>
      <w:divsChild>
        <w:div w:id="1381899609">
          <w:marLeft w:val="0"/>
          <w:marRight w:val="0"/>
          <w:marTop w:val="0"/>
          <w:marBottom w:val="0"/>
          <w:divBdr>
            <w:top w:val="none" w:sz="0" w:space="0" w:color="auto"/>
            <w:left w:val="none" w:sz="0" w:space="0" w:color="auto"/>
            <w:bottom w:val="none" w:sz="0" w:space="0" w:color="auto"/>
            <w:right w:val="none" w:sz="0" w:space="0" w:color="auto"/>
          </w:divBdr>
          <w:divsChild>
            <w:div w:id="1244796037">
              <w:marLeft w:val="0"/>
              <w:marRight w:val="0"/>
              <w:marTop w:val="0"/>
              <w:marBottom w:val="0"/>
              <w:divBdr>
                <w:top w:val="none" w:sz="0" w:space="0" w:color="auto"/>
                <w:left w:val="none" w:sz="0" w:space="0" w:color="auto"/>
                <w:bottom w:val="none" w:sz="0" w:space="0" w:color="auto"/>
                <w:right w:val="none" w:sz="0" w:space="0" w:color="auto"/>
              </w:divBdr>
              <w:divsChild>
                <w:div w:id="1999797148">
                  <w:marLeft w:val="0"/>
                  <w:marRight w:val="0"/>
                  <w:marTop w:val="0"/>
                  <w:marBottom w:val="100"/>
                  <w:divBdr>
                    <w:top w:val="none" w:sz="0" w:space="0" w:color="auto"/>
                    <w:left w:val="none" w:sz="0" w:space="0" w:color="auto"/>
                    <w:bottom w:val="none" w:sz="0" w:space="0" w:color="auto"/>
                    <w:right w:val="none" w:sz="0" w:space="0" w:color="auto"/>
                  </w:divBdr>
                  <w:divsChild>
                    <w:div w:id="2141263663">
                      <w:marLeft w:val="0"/>
                      <w:marRight w:val="0"/>
                      <w:marTop w:val="0"/>
                      <w:marBottom w:val="0"/>
                      <w:divBdr>
                        <w:top w:val="none" w:sz="0" w:space="0" w:color="auto"/>
                        <w:left w:val="none" w:sz="0" w:space="0" w:color="auto"/>
                        <w:bottom w:val="none" w:sz="0" w:space="0" w:color="auto"/>
                        <w:right w:val="none" w:sz="0" w:space="0" w:color="auto"/>
                      </w:divBdr>
                      <w:divsChild>
                        <w:div w:id="420807252">
                          <w:marLeft w:val="0"/>
                          <w:marRight w:val="0"/>
                          <w:marTop w:val="0"/>
                          <w:marBottom w:val="0"/>
                          <w:divBdr>
                            <w:top w:val="none" w:sz="0" w:space="0" w:color="auto"/>
                            <w:left w:val="none" w:sz="0" w:space="0" w:color="auto"/>
                            <w:bottom w:val="none" w:sz="0" w:space="0" w:color="auto"/>
                            <w:right w:val="none" w:sz="0" w:space="0" w:color="auto"/>
                          </w:divBdr>
                          <w:divsChild>
                            <w:div w:id="2021814990">
                              <w:marLeft w:val="0"/>
                              <w:marRight w:val="0"/>
                              <w:marTop w:val="0"/>
                              <w:marBottom w:val="0"/>
                              <w:divBdr>
                                <w:top w:val="none" w:sz="0" w:space="0" w:color="auto"/>
                                <w:left w:val="none" w:sz="0" w:space="0" w:color="auto"/>
                                <w:bottom w:val="none" w:sz="0" w:space="0" w:color="auto"/>
                                <w:right w:val="none" w:sz="0" w:space="0" w:color="auto"/>
                              </w:divBdr>
                              <w:divsChild>
                                <w:div w:id="1706100776">
                                  <w:marLeft w:val="0"/>
                                  <w:marRight w:val="0"/>
                                  <w:marTop w:val="0"/>
                                  <w:marBottom w:val="0"/>
                                  <w:divBdr>
                                    <w:top w:val="none" w:sz="0" w:space="0" w:color="auto"/>
                                    <w:left w:val="none" w:sz="0" w:space="0" w:color="auto"/>
                                    <w:bottom w:val="none" w:sz="0" w:space="0" w:color="auto"/>
                                    <w:right w:val="none" w:sz="0" w:space="0" w:color="auto"/>
                                  </w:divBdr>
                                  <w:divsChild>
                                    <w:div w:id="1517694435">
                                      <w:marLeft w:val="0"/>
                                      <w:marRight w:val="0"/>
                                      <w:marTop w:val="0"/>
                                      <w:marBottom w:val="0"/>
                                      <w:divBdr>
                                        <w:top w:val="none" w:sz="0" w:space="0" w:color="auto"/>
                                        <w:left w:val="none" w:sz="0" w:space="0" w:color="auto"/>
                                        <w:bottom w:val="none" w:sz="0" w:space="0" w:color="auto"/>
                                        <w:right w:val="none" w:sz="0" w:space="0" w:color="auto"/>
                                      </w:divBdr>
                                      <w:divsChild>
                                        <w:div w:id="3199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695">
                              <w:marLeft w:val="0"/>
                              <w:marRight w:val="0"/>
                              <w:marTop w:val="0"/>
                              <w:marBottom w:val="0"/>
                              <w:divBdr>
                                <w:top w:val="none" w:sz="0" w:space="0" w:color="auto"/>
                                <w:left w:val="none" w:sz="0" w:space="0" w:color="auto"/>
                                <w:bottom w:val="none" w:sz="0" w:space="0" w:color="auto"/>
                                <w:right w:val="none" w:sz="0" w:space="0" w:color="auto"/>
                              </w:divBdr>
                              <w:divsChild>
                                <w:div w:id="21829198">
                                  <w:marLeft w:val="0"/>
                                  <w:marRight w:val="0"/>
                                  <w:marTop w:val="0"/>
                                  <w:marBottom w:val="0"/>
                                  <w:divBdr>
                                    <w:top w:val="none" w:sz="0" w:space="0" w:color="auto"/>
                                    <w:left w:val="none" w:sz="0" w:space="0" w:color="auto"/>
                                    <w:bottom w:val="none" w:sz="0" w:space="0" w:color="auto"/>
                                    <w:right w:val="none" w:sz="0" w:space="0" w:color="auto"/>
                                  </w:divBdr>
                                </w:div>
                                <w:div w:id="495876870">
                                  <w:marLeft w:val="0"/>
                                  <w:marRight w:val="0"/>
                                  <w:marTop w:val="0"/>
                                  <w:marBottom w:val="0"/>
                                  <w:divBdr>
                                    <w:top w:val="none" w:sz="0" w:space="0" w:color="auto"/>
                                    <w:left w:val="none" w:sz="0" w:space="0" w:color="auto"/>
                                    <w:bottom w:val="none" w:sz="0" w:space="0" w:color="auto"/>
                                    <w:right w:val="none" w:sz="0" w:space="0" w:color="auto"/>
                                  </w:divBdr>
                                  <w:divsChild>
                                    <w:div w:id="8810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6121">
                              <w:marLeft w:val="0"/>
                              <w:marRight w:val="0"/>
                              <w:marTop w:val="180"/>
                              <w:marBottom w:val="0"/>
                              <w:divBdr>
                                <w:top w:val="none" w:sz="0" w:space="0" w:color="auto"/>
                                <w:left w:val="none" w:sz="0" w:space="0" w:color="auto"/>
                                <w:bottom w:val="none" w:sz="0" w:space="0" w:color="auto"/>
                                <w:right w:val="none" w:sz="0" w:space="0" w:color="auto"/>
                              </w:divBdr>
                              <w:divsChild>
                                <w:div w:id="896478416">
                                  <w:marLeft w:val="0"/>
                                  <w:marRight w:val="0"/>
                                  <w:marTop w:val="0"/>
                                  <w:marBottom w:val="0"/>
                                  <w:divBdr>
                                    <w:top w:val="none" w:sz="0" w:space="0" w:color="auto"/>
                                    <w:left w:val="none" w:sz="0" w:space="0" w:color="auto"/>
                                    <w:bottom w:val="none" w:sz="0" w:space="0" w:color="auto"/>
                                    <w:right w:val="none" w:sz="0" w:space="0" w:color="auto"/>
                                  </w:divBdr>
                                </w:div>
                                <w:div w:id="971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315204">
          <w:marLeft w:val="0"/>
          <w:marRight w:val="0"/>
          <w:marTop w:val="0"/>
          <w:marBottom w:val="0"/>
          <w:divBdr>
            <w:top w:val="none" w:sz="0" w:space="0" w:color="auto"/>
            <w:left w:val="none" w:sz="0" w:space="0" w:color="auto"/>
            <w:bottom w:val="none" w:sz="0" w:space="0" w:color="auto"/>
            <w:right w:val="none" w:sz="0" w:space="0" w:color="auto"/>
          </w:divBdr>
          <w:divsChild>
            <w:div w:id="530924900">
              <w:marLeft w:val="0"/>
              <w:marRight w:val="0"/>
              <w:marTop w:val="0"/>
              <w:marBottom w:val="0"/>
              <w:divBdr>
                <w:top w:val="none" w:sz="0" w:space="0" w:color="auto"/>
                <w:left w:val="none" w:sz="0" w:space="0" w:color="auto"/>
                <w:bottom w:val="none" w:sz="0" w:space="0" w:color="auto"/>
                <w:right w:val="none" w:sz="0" w:space="0" w:color="auto"/>
              </w:divBdr>
              <w:divsChild>
                <w:div w:id="1633364892">
                  <w:marLeft w:val="0"/>
                  <w:marRight w:val="0"/>
                  <w:marTop w:val="0"/>
                  <w:marBottom w:val="0"/>
                  <w:divBdr>
                    <w:top w:val="none" w:sz="0" w:space="0" w:color="auto"/>
                    <w:left w:val="none" w:sz="0" w:space="0" w:color="auto"/>
                    <w:bottom w:val="none" w:sz="0" w:space="0" w:color="auto"/>
                    <w:right w:val="none" w:sz="0" w:space="0" w:color="auto"/>
                  </w:divBdr>
                  <w:divsChild>
                    <w:div w:id="1336886666">
                      <w:marLeft w:val="0"/>
                      <w:marRight w:val="0"/>
                      <w:marTop w:val="0"/>
                      <w:marBottom w:val="0"/>
                      <w:divBdr>
                        <w:top w:val="none" w:sz="0" w:space="0" w:color="auto"/>
                        <w:left w:val="none" w:sz="0" w:space="0" w:color="auto"/>
                        <w:bottom w:val="none" w:sz="0" w:space="0" w:color="auto"/>
                        <w:right w:val="none" w:sz="0" w:space="0" w:color="auto"/>
                      </w:divBdr>
                      <w:divsChild>
                        <w:div w:id="20065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84314">
              <w:marLeft w:val="0"/>
              <w:marRight w:val="0"/>
              <w:marTop w:val="0"/>
              <w:marBottom w:val="0"/>
              <w:divBdr>
                <w:top w:val="none" w:sz="0" w:space="0" w:color="auto"/>
                <w:left w:val="none" w:sz="0" w:space="0" w:color="auto"/>
                <w:bottom w:val="none" w:sz="0" w:space="0" w:color="auto"/>
                <w:right w:val="none" w:sz="0" w:space="0" w:color="auto"/>
              </w:divBdr>
              <w:divsChild>
                <w:div w:id="1232541502">
                  <w:marLeft w:val="0"/>
                  <w:marRight w:val="0"/>
                  <w:marTop w:val="0"/>
                  <w:marBottom w:val="0"/>
                  <w:divBdr>
                    <w:top w:val="none" w:sz="0" w:space="0" w:color="auto"/>
                    <w:left w:val="none" w:sz="0" w:space="0" w:color="auto"/>
                    <w:bottom w:val="none" w:sz="0" w:space="0" w:color="auto"/>
                    <w:right w:val="none" w:sz="0" w:space="0" w:color="auto"/>
                  </w:divBdr>
                  <w:divsChild>
                    <w:div w:id="8004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9730">
          <w:marLeft w:val="0"/>
          <w:marRight w:val="0"/>
          <w:marTop w:val="0"/>
          <w:marBottom w:val="0"/>
          <w:divBdr>
            <w:top w:val="none" w:sz="0" w:space="0" w:color="auto"/>
            <w:left w:val="none" w:sz="0" w:space="0" w:color="auto"/>
            <w:bottom w:val="none" w:sz="0" w:space="0" w:color="auto"/>
            <w:right w:val="none" w:sz="0" w:space="0" w:color="auto"/>
          </w:divBdr>
          <w:divsChild>
            <w:div w:id="2017950540">
              <w:marLeft w:val="0"/>
              <w:marRight w:val="0"/>
              <w:marTop w:val="0"/>
              <w:marBottom w:val="0"/>
              <w:divBdr>
                <w:top w:val="none" w:sz="0" w:space="0" w:color="auto"/>
                <w:left w:val="none" w:sz="0" w:space="0" w:color="auto"/>
                <w:bottom w:val="none" w:sz="0" w:space="0" w:color="auto"/>
                <w:right w:val="none" w:sz="0" w:space="0" w:color="auto"/>
              </w:divBdr>
              <w:divsChild>
                <w:div w:id="1057313003">
                  <w:marLeft w:val="0"/>
                  <w:marRight w:val="0"/>
                  <w:marTop w:val="0"/>
                  <w:marBottom w:val="0"/>
                  <w:divBdr>
                    <w:top w:val="none" w:sz="0" w:space="0" w:color="auto"/>
                    <w:left w:val="none" w:sz="0" w:space="0" w:color="auto"/>
                    <w:bottom w:val="none" w:sz="0" w:space="0" w:color="auto"/>
                    <w:right w:val="none" w:sz="0" w:space="0" w:color="auto"/>
                  </w:divBdr>
                  <w:divsChild>
                    <w:div w:id="1522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3118">
      <w:bodyDiv w:val="1"/>
      <w:marLeft w:val="0"/>
      <w:marRight w:val="0"/>
      <w:marTop w:val="0"/>
      <w:marBottom w:val="0"/>
      <w:divBdr>
        <w:top w:val="none" w:sz="0" w:space="0" w:color="auto"/>
        <w:left w:val="none" w:sz="0" w:space="0" w:color="auto"/>
        <w:bottom w:val="none" w:sz="0" w:space="0" w:color="auto"/>
        <w:right w:val="none" w:sz="0" w:space="0" w:color="auto"/>
      </w:divBdr>
    </w:div>
    <w:div w:id="1258296906">
      <w:bodyDiv w:val="1"/>
      <w:marLeft w:val="0"/>
      <w:marRight w:val="0"/>
      <w:marTop w:val="0"/>
      <w:marBottom w:val="0"/>
      <w:divBdr>
        <w:top w:val="none" w:sz="0" w:space="0" w:color="auto"/>
        <w:left w:val="none" w:sz="0" w:space="0" w:color="auto"/>
        <w:bottom w:val="none" w:sz="0" w:space="0" w:color="auto"/>
        <w:right w:val="none" w:sz="0" w:space="0" w:color="auto"/>
      </w:divBdr>
    </w:div>
    <w:div w:id="1277255102">
      <w:bodyDiv w:val="1"/>
      <w:marLeft w:val="0"/>
      <w:marRight w:val="0"/>
      <w:marTop w:val="0"/>
      <w:marBottom w:val="0"/>
      <w:divBdr>
        <w:top w:val="none" w:sz="0" w:space="0" w:color="auto"/>
        <w:left w:val="none" w:sz="0" w:space="0" w:color="auto"/>
        <w:bottom w:val="none" w:sz="0" w:space="0" w:color="auto"/>
        <w:right w:val="none" w:sz="0" w:space="0" w:color="auto"/>
      </w:divBdr>
    </w:div>
    <w:div w:id="1278755904">
      <w:bodyDiv w:val="1"/>
      <w:marLeft w:val="0"/>
      <w:marRight w:val="0"/>
      <w:marTop w:val="0"/>
      <w:marBottom w:val="0"/>
      <w:divBdr>
        <w:top w:val="none" w:sz="0" w:space="0" w:color="auto"/>
        <w:left w:val="none" w:sz="0" w:space="0" w:color="auto"/>
        <w:bottom w:val="none" w:sz="0" w:space="0" w:color="auto"/>
        <w:right w:val="none" w:sz="0" w:space="0" w:color="auto"/>
      </w:divBdr>
    </w:div>
    <w:div w:id="1288000968">
      <w:bodyDiv w:val="1"/>
      <w:marLeft w:val="0"/>
      <w:marRight w:val="0"/>
      <w:marTop w:val="0"/>
      <w:marBottom w:val="0"/>
      <w:divBdr>
        <w:top w:val="none" w:sz="0" w:space="0" w:color="auto"/>
        <w:left w:val="none" w:sz="0" w:space="0" w:color="auto"/>
        <w:bottom w:val="none" w:sz="0" w:space="0" w:color="auto"/>
        <w:right w:val="none" w:sz="0" w:space="0" w:color="auto"/>
      </w:divBdr>
    </w:div>
    <w:div w:id="1298993845">
      <w:bodyDiv w:val="1"/>
      <w:marLeft w:val="0"/>
      <w:marRight w:val="0"/>
      <w:marTop w:val="0"/>
      <w:marBottom w:val="0"/>
      <w:divBdr>
        <w:top w:val="none" w:sz="0" w:space="0" w:color="auto"/>
        <w:left w:val="none" w:sz="0" w:space="0" w:color="auto"/>
        <w:bottom w:val="none" w:sz="0" w:space="0" w:color="auto"/>
        <w:right w:val="none" w:sz="0" w:space="0" w:color="auto"/>
      </w:divBdr>
    </w:div>
    <w:div w:id="1303653796">
      <w:bodyDiv w:val="1"/>
      <w:marLeft w:val="0"/>
      <w:marRight w:val="0"/>
      <w:marTop w:val="0"/>
      <w:marBottom w:val="0"/>
      <w:divBdr>
        <w:top w:val="none" w:sz="0" w:space="0" w:color="auto"/>
        <w:left w:val="none" w:sz="0" w:space="0" w:color="auto"/>
        <w:bottom w:val="none" w:sz="0" w:space="0" w:color="auto"/>
        <w:right w:val="none" w:sz="0" w:space="0" w:color="auto"/>
      </w:divBdr>
    </w:div>
    <w:div w:id="1308633862">
      <w:bodyDiv w:val="1"/>
      <w:marLeft w:val="0"/>
      <w:marRight w:val="0"/>
      <w:marTop w:val="0"/>
      <w:marBottom w:val="0"/>
      <w:divBdr>
        <w:top w:val="none" w:sz="0" w:space="0" w:color="auto"/>
        <w:left w:val="none" w:sz="0" w:space="0" w:color="auto"/>
        <w:bottom w:val="none" w:sz="0" w:space="0" w:color="auto"/>
        <w:right w:val="none" w:sz="0" w:space="0" w:color="auto"/>
      </w:divBdr>
    </w:div>
    <w:div w:id="1331526129">
      <w:bodyDiv w:val="1"/>
      <w:marLeft w:val="0"/>
      <w:marRight w:val="0"/>
      <w:marTop w:val="0"/>
      <w:marBottom w:val="0"/>
      <w:divBdr>
        <w:top w:val="none" w:sz="0" w:space="0" w:color="auto"/>
        <w:left w:val="none" w:sz="0" w:space="0" w:color="auto"/>
        <w:bottom w:val="none" w:sz="0" w:space="0" w:color="auto"/>
        <w:right w:val="none" w:sz="0" w:space="0" w:color="auto"/>
      </w:divBdr>
    </w:div>
    <w:div w:id="1344628498">
      <w:bodyDiv w:val="1"/>
      <w:marLeft w:val="0"/>
      <w:marRight w:val="0"/>
      <w:marTop w:val="0"/>
      <w:marBottom w:val="0"/>
      <w:divBdr>
        <w:top w:val="none" w:sz="0" w:space="0" w:color="auto"/>
        <w:left w:val="none" w:sz="0" w:space="0" w:color="auto"/>
        <w:bottom w:val="none" w:sz="0" w:space="0" w:color="auto"/>
        <w:right w:val="none" w:sz="0" w:space="0" w:color="auto"/>
      </w:divBdr>
    </w:div>
    <w:div w:id="1345519715">
      <w:bodyDiv w:val="1"/>
      <w:marLeft w:val="0"/>
      <w:marRight w:val="0"/>
      <w:marTop w:val="0"/>
      <w:marBottom w:val="0"/>
      <w:divBdr>
        <w:top w:val="none" w:sz="0" w:space="0" w:color="auto"/>
        <w:left w:val="none" w:sz="0" w:space="0" w:color="auto"/>
        <w:bottom w:val="none" w:sz="0" w:space="0" w:color="auto"/>
        <w:right w:val="none" w:sz="0" w:space="0" w:color="auto"/>
      </w:divBdr>
    </w:div>
    <w:div w:id="1357656620">
      <w:bodyDiv w:val="1"/>
      <w:marLeft w:val="0"/>
      <w:marRight w:val="0"/>
      <w:marTop w:val="0"/>
      <w:marBottom w:val="0"/>
      <w:divBdr>
        <w:top w:val="none" w:sz="0" w:space="0" w:color="auto"/>
        <w:left w:val="none" w:sz="0" w:space="0" w:color="auto"/>
        <w:bottom w:val="none" w:sz="0" w:space="0" w:color="auto"/>
        <w:right w:val="none" w:sz="0" w:space="0" w:color="auto"/>
      </w:divBdr>
    </w:div>
    <w:div w:id="1358853571">
      <w:bodyDiv w:val="1"/>
      <w:marLeft w:val="0"/>
      <w:marRight w:val="0"/>
      <w:marTop w:val="0"/>
      <w:marBottom w:val="0"/>
      <w:divBdr>
        <w:top w:val="none" w:sz="0" w:space="0" w:color="auto"/>
        <w:left w:val="none" w:sz="0" w:space="0" w:color="auto"/>
        <w:bottom w:val="none" w:sz="0" w:space="0" w:color="auto"/>
        <w:right w:val="none" w:sz="0" w:space="0" w:color="auto"/>
      </w:divBdr>
    </w:div>
    <w:div w:id="1363283192">
      <w:bodyDiv w:val="1"/>
      <w:marLeft w:val="0"/>
      <w:marRight w:val="0"/>
      <w:marTop w:val="0"/>
      <w:marBottom w:val="0"/>
      <w:divBdr>
        <w:top w:val="none" w:sz="0" w:space="0" w:color="auto"/>
        <w:left w:val="none" w:sz="0" w:space="0" w:color="auto"/>
        <w:bottom w:val="none" w:sz="0" w:space="0" w:color="auto"/>
        <w:right w:val="none" w:sz="0" w:space="0" w:color="auto"/>
      </w:divBdr>
    </w:div>
    <w:div w:id="1372654419">
      <w:bodyDiv w:val="1"/>
      <w:marLeft w:val="0"/>
      <w:marRight w:val="0"/>
      <w:marTop w:val="0"/>
      <w:marBottom w:val="0"/>
      <w:divBdr>
        <w:top w:val="none" w:sz="0" w:space="0" w:color="auto"/>
        <w:left w:val="none" w:sz="0" w:space="0" w:color="auto"/>
        <w:bottom w:val="none" w:sz="0" w:space="0" w:color="auto"/>
        <w:right w:val="none" w:sz="0" w:space="0" w:color="auto"/>
      </w:divBdr>
    </w:div>
    <w:div w:id="1392576193">
      <w:bodyDiv w:val="1"/>
      <w:marLeft w:val="0"/>
      <w:marRight w:val="0"/>
      <w:marTop w:val="0"/>
      <w:marBottom w:val="0"/>
      <w:divBdr>
        <w:top w:val="none" w:sz="0" w:space="0" w:color="auto"/>
        <w:left w:val="none" w:sz="0" w:space="0" w:color="auto"/>
        <w:bottom w:val="none" w:sz="0" w:space="0" w:color="auto"/>
        <w:right w:val="none" w:sz="0" w:space="0" w:color="auto"/>
      </w:divBdr>
    </w:div>
    <w:div w:id="1397628443">
      <w:bodyDiv w:val="1"/>
      <w:marLeft w:val="0"/>
      <w:marRight w:val="0"/>
      <w:marTop w:val="0"/>
      <w:marBottom w:val="0"/>
      <w:divBdr>
        <w:top w:val="none" w:sz="0" w:space="0" w:color="auto"/>
        <w:left w:val="none" w:sz="0" w:space="0" w:color="auto"/>
        <w:bottom w:val="none" w:sz="0" w:space="0" w:color="auto"/>
        <w:right w:val="none" w:sz="0" w:space="0" w:color="auto"/>
      </w:divBdr>
    </w:div>
    <w:div w:id="1403213602">
      <w:bodyDiv w:val="1"/>
      <w:marLeft w:val="0"/>
      <w:marRight w:val="0"/>
      <w:marTop w:val="0"/>
      <w:marBottom w:val="0"/>
      <w:divBdr>
        <w:top w:val="none" w:sz="0" w:space="0" w:color="auto"/>
        <w:left w:val="none" w:sz="0" w:space="0" w:color="auto"/>
        <w:bottom w:val="none" w:sz="0" w:space="0" w:color="auto"/>
        <w:right w:val="none" w:sz="0" w:space="0" w:color="auto"/>
      </w:divBdr>
    </w:div>
    <w:div w:id="1425807225">
      <w:bodyDiv w:val="1"/>
      <w:marLeft w:val="0"/>
      <w:marRight w:val="0"/>
      <w:marTop w:val="0"/>
      <w:marBottom w:val="0"/>
      <w:divBdr>
        <w:top w:val="none" w:sz="0" w:space="0" w:color="auto"/>
        <w:left w:val="none" w:sz="0" w:space="0" w:color="auto"/>
        <w:bottom w:val="none" w:sz="0" w:space="0" w:color="auto"/>
        <w:right w:val="none" w:sz="0" w:space="0" w:color="auto"/>
      </w:divBdr>
    </w:div>
    <w:div w:id="1479302354">
      <w:bodyDiv w:val="1"/>
      <w:marLeft w:val="0"/>
      <w:marRight w:val="0"/>
      <w:marTop w:val="0"/>
      <w:marBottom w:val="0"/>
      <w:divBdr>
        <w:top w:val="none" w:sz="0" w:space="0" w:color="auto"/>
        <w:left w:val="none" w:sz="0" w:space="0" w:color="auto"/>
        <w:bottom w:val="none" w:sz="0" w:space="0" w:color="auto"/>
        <w:right w:val="none" w:sz="0" w:space="0" w:color="auto"/>
      </w:divBdr>
    </w:div>
    <w:div w:id="1484352955">
      <w:bodyDiv w:val="1"/>
      <w:marLeft w:val="0"/>
      <w:marRight w:val="0"/>
      <w:marTop w:val="0"/>
      <w:marBottom w:val="0"/>
      <w:divBdr>
        <w:top w:val="none" w:sz="0" w:space="0" w:color="auto"/>
        <w:left w:val="none" w:sz="0" w:space="0" w:color="auto"/>
        <w:bottom w:val="none" w:sz="0" w:space="0" w:color="auto"/>
        <w:right w:val="none" w:sz="0" w:space="0" w:color="auto"/>
      </w:divBdr>
    </w:div>
    <w:div w:id="1495343093">
      <w:bodyDiv w:val="1"/>
      <w:marLeft w:val="0"/>
      <w:marRight w:val="0"/>
      <w:marTop w:val="0"/>
      <w:marBottom w:val="0"/>
      <w:divBdr>
        <w:top w:val="none" w:sz="0" w:space="0" w:color="auto"/>
        <w:left w:val="none" w:sz="0" w:space="0" w:color="auto"/>
        <w:bottom w:val="none" w:sz="0" w:space="0" w:color="auto"/>
        <w:right w:val="none" w:sz="0" w:space="0" w:color="auto"/>
      </w:divBdr>
    </w:div>
    <w:div w:id="1497723850">
      <w:bodyDiv w:val="1"/>
      <w:marLeft w:val="0"/>
      <w:marRight w:val="0"/>
      <w:marTop w:val="0"/>
      <w:marBottom w:val="0"/>
      <w:divBdr>
        <w:top w:val="none" w:sz="0" w:space="0" w:color="auto"/>
        <w:left w:val="none" w:sz="0" w:space="0" w:color="auto"/>
        <w:bottom w:val="none" w:sz="0" w:space="0" w:color="auto"/>
        <w:right w:val="none" w:sz="0" w:space="0" w:color="auto"/>
      </w:divBdr>
    </w:div>
    <w:div w:id="1524368316">
      <w:bodyDiv w:val="1"/>
      <w:marLeft w:val="0"/>
      <w:marRight w:val="0"/>
      <w:marTop w:val="0"/>
      <w:marBottom w:val="0"/>
      <w:divBdr>
        <w:top w:val="none" w:sz="0" w:space="0" w:color="auto"/>
        <w:left w:val="none" w:sz="0" w:space="0" w:color="auto"/>
        <w:bottom w:val="none" w:sz="0" w:space="0" w:color="auto"/>
        <w:right w:val="none" w:sz="0" w:space="0" w:color="auto"/>
      </w:divBdr>
    </w:div>
    <w:div w:id="1557543956">
      <w:bodyDiv w:val="1"/>
      <w:marLeft w:val="0"/>
      <w:marRight w:val="0"/>
      <w:marTop w:val="0"/>
      <w:marBottom w:val="0"/>
      <w:divBdr>
        <w:top w:val="none" w:sz="0" w:space="0" w:color="auto"/>
        <w:left w:val="none" w:sz="0" w:space="0" w:color="auto"/>
        <w:bottom w:val="none" w:sz="0" w:space="0" w:color="auto"/>
        <w:right w:val="none" w:sz="0" w:space="0" w:color="auto"/>
      </w:divBdr>
    </w:div>
    <w:div w:id="1561359277">
      <w:bodyDiv w:val="1"/>
      <w:marLeft w:val="0"/>
      <w:marRight w:val="0"/>
      <w:marTop w:val="0"/>
      <w:marBottom w:val="0"/>
      <w:divBdr>
        <w:top w:val="none" w:sz="0" w:space="0" w:color="auto"/>
        <w:left w:val="none" w:sz="0" w:space="0" w:color="auto"/>
        <w:bottom w:val="none" w:sz="0" w:space="0" w:color="auto"/>
        <w:right w:val="none" w:sz="0" w:space="0" w:color="auto"/>
      </w:divBdr>
    </w:div>
    <w:div w:id="1563443474">
      <w:bodyDiv w:val="1"/>
      <w:marLeft w:val="0"/>
      <w:marRight w:val="0"/>
      <w:marTop w:val="0"/>
      <w:marBottom w:val="0"/>
      <w:divBdr>
        <w:top w:val="none" w:sz="0" w:space="0" w:color="auto"/>
        <w:left w:val="none" w:sz="0" w:space="0" w:color="auto"/>
        <w:bottom w:val="none" w:sz="0" w:space="0" w:color="auto"/>
        <w:right w:val="none" w:sz="0" w:space="0" w:color="auto"/>
      </w:divBdr>
    </w:div>
    <w:div w:id="1574773249">
      <w:bodyDiv w:val="1"/>
      <w:marLeft w:val="0"/>
      <w:marRight w:val="0"/>
      <w:marTop w:val="0"/>
      <w:marBottom w:val="0"/>
      <w:divBdr>
        <w:top w:val="none" w:sz="0" w:space="0" w:color="auto"/>
        <w:left w:val="none" w:sz="0" w:space="0" w:color="auto"/>
        <w:bottom w:val="none" w:sz="0" w:space="0" w:color="auto"/>
        <w:right w:val="none" w:sz="0" w:space="0" w:color="auto"/>
      </w:divBdr>
    </w:div>
    <w:div w:id="1578173943">
      <w:bodyDiv w:val="1"/>
      <w:marLeft w:val="0"/>
      <w:marRight w:val="0"/>
      <w:marTop w:val="0"/>
      <w:marBottom w:val="0"/>
      <w:divBdr>
        <w:top w:val="none" w:sz="0" w:space="0" w:color="auto"/>
        <w:left w:val="none" w:sz="0" w:space="0" w:color="auto"/>
        <w:bottom w:val="none" w:sz="0" w:space="0" w:color="auto"/>
        <w:right w:val="none" w:sz="0" w:space="0" w:color="auto"/>
      </w:divBdr>
    </w:div>
    <w:div w:id="1583023280">
      <w:bodyDiv w:val="1"/>
      <w:marLeft w:val="0"/>
      <w:marRight w:val="0"/>
      <w:marTop w:val="0"/>
      <w:marBottom w:val="0"/>
      <w:divBdr>
        <w:top w:val="none" w:sz="0" w:space="0" w:color="auto"/>
        <w:left w:val="none" w:sz="0" w:space="0" w:color="auto"/>
        <w:bottom w:val="none" w:sz="0" w:space="0" w:color="auto"/>
        <w:right w:val="none" w:sz="0" w:space="0" w:color="auto"/>
      </w:divBdr>
    </w:div>
    <w:div w:id="1601990409">
      <w:bodyDiv w:val="1"/>
      <w:marLeft w:val="0"/>
      <w:marRight w:val="0"/>
      <w:marTop w:val="0"/>
      <w:marBottom w:val="0"/>
      <w:divBdr>
        <w:top w:val="none" w:sz="0" w:space="0" w:color="auto"/>
        <w:left w:val="none" w:sz="0" w:space="0" w:color="auto"/>
        <w:bottom w:val="none" w:sz="0" w:space="0" w:color="auto"/>
        <w:right w:val="none" w:sz="0" w:space="0" w:color="auto"/>
      </w:divBdr>
    </w:div>
    <w:div w:id="1617911629">
      <w:bodyDiv w:val="1"/>
      <w:marLeft w:val="0"/>
      <w:marRight w:val="0"/>
      <w:marTop w:val="0"/>
      <w:marBottom w:val="0"/>
      <w:divBdr>
        <w:top w:val="none" w:sz="0" w:space="0" w:color="auto"/>
        <w:left w:val="none" w:sz="0" w:space="0" w:color="auto"/>
        <w:bottom w:val="none" w:sz="0" w:space="0" w:color="auto"/>
        <w:right w:val="none" w:sz="0" w:space="0" w:color="auto"/>
      </w:divBdr>
    </w:div>
    <w:div w:id="1631281262">
      <w:bodyDiv w:val="1"/>
      <w:marLeft w:val="0"/>
      <w:marRight w:val="0"/>
      <w:marTop w:val="0"/>
      <w:marBottom w:val="0"/>
      <w:divBdr>
        <w:top w:val="none" w:sz="0" w:space="0" w:color="auto"/>
        <w:left w:val="none" w:sz="0" w:space="0" w:color="auto"/>
        <w:bottom w:val="none" w:sz="0" w:space="0" w:color="auto"/>
        <w:right w:val="none" w:sz="0" w:space="0" w:color="auto"/>
      </w:divBdr>
    </w:div>
    <w:div w:id="1639332897">
      <w:bodyDiv w:val="1"/>
      <w:marLeft w:val="0"/>
      <w:marRight w:val="0"/>
      <w:marTop w:val="0"/>
      <w:marBottom w:val="0"/>
      <w:divBdr>
        <w:top w:val="none" w:sz="0" w:space="0" w:color="auto"/>
        <w:left w:val="none" w:sz="0" w:space="0" w:color="auto"/>
        <w:bottom w:val="none" w:sz="0" w:space="0" w:color="auto"/>
        <w:right w:val="none" w:sz="0" w:space="0" w:color="auto"/>
      </w:divBdr>
    </w:div>
    <w:div w:id="1668627821">
      <w:bodyDiv w:val="1"/>
      <w:marLeft w:val="0"/>
      <w:marRight w:val="0"/>
      <w:marTop w:val="0"/>
      <w:marBottom w:val="0"/>
      <w:divBdr>
        <w:top w:val="none" w:sz="0" w:space="0" w:color="auto"/>
        <w:left w:val="none" w:sz="0" w:space="0" w:color="auto"/>
        <w:bottom w:val="none" w:sz="0" w:space="0" w:color="auto"/>
        <w:right w:val="none" w:sz="0" w:space="0" w:color="auto"/>
      </w:divBdr>
    </w:div>
    <w:div w:id="1675721229">
      <w:bodyDiv w:val="1"/>
      <w:marLeft w:val="0"/>
      <w:marRight w:val="0"/>
      <w:marTop w:val="0"/>
      <w:marBottom w:val="0"/>
      <w:divBdr>
        <w:top w:val="none" w:sz="0" w:space="0" w:color="auto"/>
        <w:left w:val="none" w:sz="0" w:space="0" w:color="auto"/>
        <w:bottom w:val="none" w:sz="0" w:space="0" w:color="auto"/>
        <w:right w:val="none" w:sz="0" w:space="0" w:color="auto"/>
      </w:divBdr>
    </w:div>
    <w:div w:id="1679498488">
      <w:bodyDiv w:val="1"/>
      <w:marLeft w:val="0"/>
      <w:marRight w:val="0"/>
      <w:marTop w:val="0"/>
      <w:marBottom w:val="0"/>
      <w:divBdr>
        <w:top w:val="none" w:sz="0" w:space="0" w:color="auto"/>
        <w:left w:val="none" w:sz="0" w:space="0" w:color="auto"/>
        <w:bottom w:val="none" w:sz="0" w:space="0" w:color="auto"/>
        <w:right w:val="none" w:sz="0" w:space="0" w:color="auto"/>
      </w:divBdr>
    </w:div>
    <w:div w:id="1794713086">
      <w:bodyDiv w:val="1"/>
      <w:marLeft w:val="0"/>
      <w:marRight w:val="0"/>
      <w:marTop w:val="0"/>
      <w:marBottom w:val="0"/>
      <w:divBdr>
        <w:top w:val="none" w:sz="0" w:space="0" w:color="auto"/>
        <w:left w:val="none" w:sz="0" w:space="0" w:color="auto"/>
        <w:bottom w:val="none" w:sz="0" w:space="0" w:color="auto"/>
        <w:right w:val="none" w:sz="0" w:space="0" w:color="auto"/>
      </w:divBdr>
    </w:div>
    <w:div w:id="1796289102">
      <w:bodyDiv w:val="1"/>
      <w:marLeft w:val="0"/>
      <w:marRight w:val="0"/>
      <w:marTop w:val="0"/>
      <w:marBottom w:val="0"/>
      <w:divBdr>
        <w:top w:val="none" w:sz="0" w:space="0" w:color="auto"/>
        <w:left w:val="none" w:sz="0" w:space="0" w:color="auto"/>
        <w:bottom w:val="none" w:sz="0" w:space="0" w:color="auto"/>
        <w:right w:val="none" w:sz="0" w:space="0" w:color="auto"/>
      </w:divBdr>
    </w:div>
    <w:div w:id="1819178222">
      <w:bodyDiv w:val="1"/>
      <w:marLeft w:val="0"/>
      <w:marRight w:val="0"/>
      <w:marTop w:val="0"/>
      <w:marBottom w:val="0"/>
      <w:divBdr>
        <w:top w:val="none" w:sz="0" w:space="0" w:color="auto"/>
        <w:left w:val="none" w:sz="0" w:space="0" w:color="auto"/>
        <w:bottom w:val="none" w:sz="0" w:space="0" w:color="auto"/>
        <w:right w:val="none" w:sz="0" w:space="0" w:color="auto"/>
      </w:divBdr>
    </w:div>
    <w:div w:id="1829594645">
      <w:bodyDiv w:val="1"/>
      <w:marLeft w:val="0"/>
      <w:marRight w:val="0"/>
      <w:marTop w:val="0"/>
      <w:marBottom w:val="0"/>
      <w:divBdr>
        <w:top w:val="none" w:sz="0" w:space="0" w:color="auto"/>
        <w:left w:val="none" w:sz="0" w:space="0" w:color="auto"/>
        <w:bottom w:val="none" w:sz="0" w:space="0" w:color="auto"/>
        <w:right w:val="none" w:sz="0" w:space="0" w:color="auto"/>
      </w:divBdr>
    </w:div>
    <w:div w:id="1866673612">
      <w:bodyDiv w:val="1"/>
      <w:marLeft w:val="0"/>
      <w:marRight w:val="0"/>
      <w:marTop w:val="0"/>
      <w:marBottom w:val="0"/>
      <w:divBdr>
        <w:top w:val="none" w:sz="0" w:space="0" w:color="auto"/>
        <w:left w:val="none" w:sz="0" w:space="0" w:color="auto"/>
        <w:bottom w:val="none" w:sz="0" w:space="0" w:color="auto"/>
        <w:right w:val="none" w:sz="0" w:space="0" w:color="auto"/>
      </w:divBdr>
    </w:div>
    <w:div w:id="1873611818">
      <w:bodyDiv w:val="1"/>
      <w:marLeft w:val="0"/>
      <w:marRight w:val="0"/>
      <w:marTop w:val="0"/>
      <w:marBottom w:val="0"/>
      <w:divBdr>
        <w:top w:val="none" w:sz="0" w:space="0" w:color="auto"/>
        <w:left w:val="none" w:sz="0" w:space="0" w:color="auto"/>
        <w:bottom w:val="none" w:sz="0" w:space="0" w:color="auto"/>
        <w:right w:val="none" w:sz="0" w:space="0" w:color="auto"/>
      </w:divBdr>
    </w:div>
    <w:div w:id="1916547893">
      <w:bodyDiv w:val="1"/>
      <w:marLeft w:val="0"/>
      <w:marRight w:val="0"/>
      <w:marTop w:val="0"/>
      <w:marBottom w:val="0"/>
      <w:divBdr>
        <w:top w:val="none" w:sz="0" w:space="0" w:color="auto"/>
        <w:left w:val="none" w:sz="0" w:space="0" w:color="auto"/>
        <w:bottom w:val="none" w:sz="0" w:space="0" w:color="auto"/>
        <w:right w:val="none" w:sz="0" w:space="0" w:color="auto"/>
      </w:divBdr>
      <w:divsChild>
        <w:div w:id="1813981428">
          <w:marLeft w:val="0"/>
          <w:marRight w:val="0"/>
          <w:marTop w:val="0"/>
          <w:marBottom w:val="0"/>
          <w:divBdr>
            <w:top w:val="none" w:sz="0" w:space="0" w:color="auto"/>
            <w:left w:val="none" w:sz="0" w:space="0" w:color="auto"/>
            <w:bottom w:val="none" w:sz="0" w:space="0" w:color="auto"/>
            <w:right w:val="none" w:sz="0" w:space="0" w:color="auto"/>
          </w:divBdr>
          <w:divsChild>
            <w:div w:id="344327735">
              <w:marLeft w:val="0"/>
              <w:marRight w:val="0"/>
              <w:marTop w:val="0"/>
              <w:marBottom w:val="0"/>
              <w:divBdr>
                <w:top w:val="none" w:sz="0" w:space="0" w:color="auto"/>
                <w:left w:val="none" w:sz="0" w:space="0" w:color="auto"/>
                <w:bottom w:val="none" w:sz="0" w:space="0" w:color="auto"/>
                <w:right w:val="none" w:sz="0" w:space="0" w:color="auto"/>
              </w:divBdr>
              <w:divsChild>
                <w:div w:id="739598633">
                  <w:marLeft w:val="0"/>
                  <w:marRight w:val="0"/>
                  <w:marTop w:val="0"/>
                  <w:marBottom w:val="100"/>
                  <w:divBdr>
                    <w:top w:val="none" w:sz="0" w:space="0" w:color="auto"/>
                    <w:left w:val="none" w:sz="0" w:space="0" w:color="auto"/>
                    <w:bottom w:val="none" w:sz="0" w:space="0" w:color="auto"/>
                    <w:right w:val="none" w:sz="0" w:space="0" w:color="auto"/>
                  </w:divBdr>
                  <w:divsChild>
                    <w:div w:id="1403675990">
                      <w:marLeft w:val="0"/>
                      <w:marRight w:val="0"/>
                      <w:marTop w:val="0"/>
                      <w:marBottom w:val="0"/>
                      <w:divBdr>
                        <w:top w:val="none" w:sz="0" w:space="0" w:color="auto"/>
                        <w:left w:val="none" w:sz="0" w:space="0" w:color="auto"/>
                        <w:bottom w:val="none" w:sz="0" w:space="0" w:color="auto"/>
                        <w:right w:val="none" w:sz="0" w:space="0" w:color="auto"/>
                      </w:divBdr>
                      <w:divsChild>
                        <w:div w:id="1204054288">
                          <w:marLeft w:val="0"/>
                          <w:marRight w:val="0"/>
                          <w:marTop w:val="0"/>
                          <w:marBottom w:val="0"/>
                          <w:divBdr>
                            <w:top w:val="none" w:sz="0" w:space="0" w:color="auto"/>
                            <w:left w:val="none" w:sz="0" w:space="0" w:color="auto"/>
                            <w:bottom w:val="none" w:sz="0" w:space="0" w:color="auto"/>
                            <w:right w:val="none" w:sz="0" w:space="0" w:color="auto"/>
                          </w:divBdr>
                          <w:divsChild>
                            <w:div w:id="906301099">
                              <w:marLeft w:val="0"/>
                              <w:marRight w:val="0"/>
                              <w:marTop w:val="0"/>
                              <w:marBottom w:val="0"/>
                              <w:divBdr>
                                <w:top w:val="none" w:sz="0" w:space="0" w:color="auto"/>
                                <w:left w:val="none" w:sz="0" w:space="0" w:color="auto"/>
                                <w:bottom w:val="none" w:sz="0" w:space="0" w:color="auto"/>
                                <w:right w:val="none" w:sz="0" w:space="0" w:color="auto"/>
                              </w:divBdr>
                              <w:divsChild>
                                <w:div w:id="1476028388">
                                  <w:marLeft w:val="0"/>
                                  <w:marRight w:val="0"/>
                                  <w:marTop w:val="0"/>
                                  <w:marBottom w:val="0"/>
                                  <w:divBdr>
                                    <w:top w:val="none" w:sz="0" w:space="0" w:color="auto"/>
                                    <w:left w:val="none" w:sz="0" w:space="0" w:color="auto"/>
                                    <w:bottom w:val="none" w:sz="0" w:space="0" w:color="auto"/>
                                    <w:right w:val="none" w:sz="0" w:space="0" w:color="auto"/>
                                  </w:divBdr>
                                  <w:divsChild>
                                    <w:div w:id="1127429643">
                                      <w:marLeft w:val="0"/>
                                      <w:marRight w:val="0"/>
                                      <w:marTop w:val="0"/>
                                      <w:marBottom w:val="0"/>
                                      <w:divBdr>
                                        <w:top w:val="none" w:sz="0" w:space="0" w:color="auto"/>
                                        <w:left w:val="none" w:sz="0" w:space="0" w:color="auto"/>
                                        <w:bottom w:val="none" w:sz="0" w:space="0" w:color="auto"/>
                                        <w:right w:val="none" w:sz="0" w:space="0" w:color="auto"/>
                                      </w:divBdr>
                                      <w:divsChild>
                                        <w:div w:id="8052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28822">
                              <w:marLeft w:val="0"/>
                              <w:marRight w:val="0"/>
                              <w:marTop w:val="0"/>
                              <w:marBottom w:val="0"/>
                              <w:divBdr>
                                <w:top w:val="none" w:sz="0" w:space="0" w:color="auto"/>
                                <w:left w:val="none" w:sz="0" w:space="0" w:color="auto"/>
                                <w:bottom w:val="none" w:sz="0" w:space="0" w:color="auto"/>
                                <w:right w:val="none" w:sz="0" w:space="0" w:color="auto"/>
                              </w:divBdr>
                              <w:divsChild>
                                <w:div w:id="1424371745">
                                  <w:marLeft w:val="0"/>
                                  <w:marRight w:val="0"/>
                                  <w:marTop w:val="0"/>
                                  <w:marBottom w:val="0"/>
                                  <w:divBdr>
                                    <w:top w:val="none" w:sz="0" w:space="0" w:color="auto"/>
                                    <w:left w:val="none" w:sz="0" w:space="0" w:color="auto"/>
                                    <w:bottom w:val="none" w:sz="0" w:space="0" w:color="auto"/>
                                    <w:right w:val="none" w:sz="0" w:space="0" w:color="auto"/>
                                  </w:divBdr>
                                </w:div>
                                <w:div w:id="1636714210">
                                  <w:marLeft w:val="0"/>
                                  <w:marRight w:val="0"/>
                                  <w:marTop w:val="0"/>
                                  <w:marBottom w:val="0"/>
                                  <w:divBdr>
                                    <w:top w:val="none" w:sz="0" w:space="0" w:color="auto"/>
                                    <w:left w:val="none" w:sz="0" w:space="0" w:color="auto"/>
                                    <w:bottom w:val="none" w:sz="0" w:space="0" w:color="auto"/>
                                    <w:right w:val="none" w:sz="0" w:space="0" w:color="auto"/>
                                  </w:divBdr>
                                  <w:divsChild>
                                    <w:div w:id="17695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02945">
                              <w:marLeft w:val="0"/>
                              <w:marRight w:val="0"/>
                              <w:marTop w:val="180"/>
                              <w:marBottom w:val="0"/>
                              <w:divBdr>
                                <w:top w:val="none" w:sz="0" w:space="0" w:color="auto"/>
                                <w:left w:val="none" w:sz="0" w:space="0" w:color="auto"/>
                                <w:bottom w:val="none" w:sz="0" w:space="0" w:color="auto"/>
                                <w:right w:val="none" w:sz="0" w:space="0" w:color="auto"/>
                              </w:divBdr>
                              <w:divsChild>
                                <w:div w:id="2111897616">
                                  <w:marLeft w:val="0"/>
                                  <w:marRight w:val="0"/>
                                  <w:marTop w:val="0"/>
                                  <w:marBottom w:val="0"/>
                                  <w:divBdr>
                                    <w:top w:val="none" w:sz="0" w:space="0" w:color="auto"/>
                                    <w:left w:val="none" w:sz="0" w:space="0" w:color="auto"/>
                                    <w:bottom w:val="none" w:sz="0" w:space="0" w:color="auto"/>
                                    <w:right w:val="none" w:sz="0" w:space="0" w:color="auto"/>
                                  </w:divBdr>
                                </w:div>
                                <w:div w:id="16278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02535">
          <w:marLeft w:val="0"/>
          <w:marRight w:val="0"/>
          <w:marTop w:val="0"/>
          <w:marBottom w:val="0"/>
          <w:divBdr>
            <w:top w:val="none" w:sz="0" w:space="0" w:color="auto"/>
            <w:left w:val="none" w:sz="0" w:space="0" w:color="auto"/>
            <w:bottom w:val="none" w:sz="0" w:space="0" w:color="auto"/>
            <w:right w:val="none" w:sz="0" w:space="0" w:color="auto"/>
          </w:divBdr>
          <w:divsChild>
            <w:div w:id="1195732776">
              <w:marLeft w:val="0"/>
              <w:marRight w:val="0"/>
              <w:marTop w:val="0"/>
              <w:marBottom w:val="0"/>
              <w:divBdr>
                <w:top w:val="none" w:sz="0" w:space="0" w:color="auto"/>
                <w:left w:val="none" w:sz="0" w:space="0" w:color="auto"/>
                <w:bottom w:val="none" w:sz="0" w:space="0" w:color="auto"/>
                <w:right w:val="none" w:sz="0" w:space="0" w:color="auto"/>
              </w:divBdr>
              <w:divsChild>
                <w:div w:id="1510637318">
                  <w:marLeft w:val="0"/>
                  <w:marRight w:val="0"/>
                  <w:marTop w:val="0"/>
                  <w:marBottom w:val="0"/>
                  <w:divBdr>
                    <w:top w:val="none" w:sz="0" w:space="0" w:color="auto"/>
                    <w:left w:val="none" w:sz="0" w:space="0" w:color="auto"/>
                    <w:bottom w:val="none" w:sz="0" w:space="0" w:color="auto"/>
                    <w:right w:val="none" w:sz="0" w:space="0" w:color="auto"/>
                  </w:divBdr>
                  <w:divsChild>
                    <w:div w:id="1981153526">
                      <w:marLeft w:val="0"/>
                      <w:marRight w:val="0"/>
                      <w:marTop w:val="0"/>
                      <w:marBottom w:val="0"/>
                      <w:divBdr>
                        <w:top w:val="none" w:sz="0" w:space="0" w:color="auto"/>
                        <w:left w:val="none" w:sz="0" w:space="0" w:color="auto"/>
                        <w:bottom w:val="none" w:sz="0" w:space="0" w:color="auto"/>
                        <w:right w:val="none" w:sz="0" w:space="0" w:color="auto"/>
                      </w:divBdr>
                      <w:divsChild>
                        <w:div w:id="4561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8870">
              <w:marLeft w:val="0"/>
              <w:marRight w:val="0"/>
              <w:marTop w:val="0"/>
              <w:marBottom w:val="0"/>
              <w:divBdr>
                <w:top w:val="none" w:sz="0" w:space="0" w:color="auto"/>
                <w:left w:val="none" w:sz="0" w:space="0" w:color="auto"/>
                <w:bottom w:val="none" w:sz="0" w:space="0" w:color="auto"/>
                <w:right w:val="none" w:sz="0" w:space="0" w:color="auto"/>
              </w:divBdr>
              <w:divsChild>
                <w:div w:id="381099126">
                  <w:marLeft w:val="0"/>
                  <w:marRight w:val="0"/>
                  <w:marTop w:val="0"/>
                  <w:marBottom w:val="0"/>
                  <w:divBdr>
                    <w:top w:val="none" w:sz="0" w:space="0" w:color="auto"/>
                    <w:left w:val="none" w:sz="0" w:space="0" w:color="auto"/>
                    <w:bottom w:val="none" w:sz="0" w:space="0" w:color="auto"/>
                    <w:right w:val="none" w:sz="0" w:space="0" w:color="auto"/>
                  </w:divBdr>
                  <w:divsChild>
                    <w:div w:id="20206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666158">
          <w:marLeft w:val="0"/>
          <w:marRight w:val="0"/>
          <w:marTop w:val="0"/>
          <w:marBottom w:val="0"/>
          <w:divBdr>
            <w:top w:val="none" w:sz="0" w:space="0" w:color="auto"/>
            <w:left w:val="none" w:sz="0" w:space="0" w:color="auto"/>
            <w:bottom w:val="none" w:sz="0" w:space="0" w:color="auto"/>
            <w:right w:val="none" w:sz="0" w:space="0" w:color="auto"/>
          </w:divBdr>
          <w:divsChild>
            <w:div w:id="1136529433">
              <w:marLeft w:val="0"/>
              <w:marRight w:val="0"/>
              <w:marTop w:val="0"/>
              <w:marBottom w:val="0"/>
              <w:divBdr>
                <w:top w:val="none" w:sz="0" w:space="0" w:color="auto"/>
                <w:left w:val="none" w:sz="0" w:space="0" w:color="auto"/>
                <w:bottom w:val="none" w:sz="0" w:space="0" w:color="auto"/>
                <w:right w:val="none" w:sz="0" w:space="0" w:color="auto"/>
              </w:divBdr>
              <w:divsChild>
                <w:div w:id="1119688641">
                  <w:marLeft w:val="0"/>
                  <w:marRight w:val="0"/>
                  <w:marTop w:val="0"/>
                  <w:marBottom w:val="0"/>
                  <w:divBdr>
                    <w:top w:val="none" w:sz="0" w:space="0" w:color="auto"/>
                    <w:left w:val="none" w:sz="0" w:space="0" w:color="auto"/>
                    <w:bottom w:val="none" w:sz="0" w:space="0" w:color="auto"/>
                    <w:right w:val="none" w:sz="0" w:space="0" w:color="auto"/>
                  </w:divBdr>
                  <w:divsChild>
                    <w:div w:id="10106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992221">
      <w:bodyDiv w:val="1"/>
      <w:marLeft w:val="0"/>
      <w:marRight w:val="0"/>
      <w:marTop w:val="0"/>
      <w:marBottom w:val="0"/>
      <w:divBdr>
        <w:top w:val="none" w:sz="0" w:space="0" w:color="auto"/>
        <w:left w:val="none" w:sz="0" w:space="0" w:color="auto"/>
        <w:bottom w:val="none" w:sz="0" w:space="0" w:color="auto"/>
        <w:right w:val="none" w:sz="0" w:space="0" w:color="auto"/>
      </w:divBdr>
    </w:div>
    <w:div w:id="1980766134">
      <w:bodyDiv w:val="1"/>
      <w:marLeft w:val="0"/>
      <w:marRight w:val="0"/>
      <w:marTop w:val="0"/>
      <w:marBottom w:val="0"/>
      <w:divBdr>
        <w:top w:val="none" w:sz="0" w:space="0" w:color="auto"/>
        <w:left w:val="none" w:sz="0" w:space="0" w:color="auto"/>
        <w:bottom w:val="none" w:sz="0" w:space="0" w:color="auto"/>
        <w:right w:val="none" w:sz="0" w:space="0" w:color="auto"/>
      </w:divBdr>
    </w:div>
    <w:div w:id="1982929095">
      <w:bodyDiv w:val="1"/>
      <w:marLeft w:val="0"/>
      <w:marRight w:val="0"/>
      <w:marTop w:val="0"/>
      <w:marBottom w:val="0"/>
      <w:divBdr>
        <w:top w:val="none" w:sz="0" w:space="0" w:color="auto"/>
        <w:left w:val="none" w:sz="0" w:space="0" w:color="auto"/>
        <w:bottom w:val="none" w:sz="0" w:space="0" w:color="auto"/>
        <w:right w:val="none" w:sz="0" w:space="0" w:color="auto"/>
      </w:divBdr>
    </w:div>
    <w:div w:id="1990475783">
      <w:bodyDiv w:val="1"/>
      <w:marLeft w:val="0"/>
      <w:marRight w:val="0"/>
      <w:marTop w:val="0"/>
      <w:marBottom w:val="0"/>
      <w:divBdr>
        <w:top w:val="none" w:sz="0" w:space="0" w:color="auto"/>
        <w:left w:val="none" w:sz="0" w:space="0" w:color="auto"/>
        <w:bottom w:val="none" w:sz="0" w:space="0" w:color="auto"/>
        <w:right w:val="none" w:sz="0" w:space="0" w:color="auto"/>
      </w:divBdr>
    </w:div>
    <w:div w:id="2004501432">
      <w:bodyDiv w:val="1"/>
      <w:marLeft w:val="0"/>
      <w:marRight w:val="0"/>
      <w:marTop w:val="0"/>
      <w:marBottom w:val="0"/>
      <w:divBdr>
        <w:top w:val="none" w:sz="0" w:space="0" w:color="auto"/>
        <w:left w:val="none" w:sz="0" w:space="0" w:color="auto"/>
        <w:bottom w:val="none" w:sz="0" w:space="0" w:color="auto"/>
        <w:right w:val="none" w:sz="0" w:space="0" w:color="auto"/>
      </w:divBdr>
    </w:div>
    <w:div w:id="2035187277">
      <w:bodyDiv w:val="1"/>
      <w:marLeft w:val="0"/>
      <w:marRight w:val="0"/>
      <w:marTop w:val="0"/>
      <w:marBottom w:val="0"/>
      <w:divBdr>
        <w:top w:val="none" w:sz="0" w:space="0" w:color="auto"/>
        <w:left w:val="none" w:sz="0" w:space="0" w:color="auto"/>
        <w:bottom w:val="none" w:sz="0" w:space="0" w:color="auto"/>
        <w:right w:val="none" w:sz="0" w:space="0" w:color="auto"/>
      </w:divBdr>
    </w:div>
    <w:div w:id="2054110176">
      <w:bodyDiv w:val="1"/>
      <w:marLeft w:val="0"/>
      <w:marRight w:val="0"/>
      <w:marTop w:val="0"/>
      <w:marBottom w:val="0"/>
      <w:divBdr>
        <w:top w:val="none" w:sz="0" w:space="0" w:color="auto"/>
        <w:left w:val="none" w:sz="0" w:space="0" w:color="auto"/>
        <w:bottom w:val="none" w:sz="0" w:space="0" w:color="auto"/>
        <w:right w:val="none" w:sz="0" w:space="0" w:color="auto"/>
      </w:divBdr>
    </w:div>
    <w:div w:id="2077311840">
      <w:bodyDiv w:val="1"/>
      <w:marLeft w:val="0"/>
      <w:marRight w:val="0"/>
      <w:marTop w:val="0"/>
      <w:marBottom w:val="0"/>
      <w:divBdr>
        <w:top w:val="none" w:sz="0" w:space="0" w:color="auto"/>
        <w:left w:val="none" w:sz="0" w:space="0" w:color="auto"/>
        <w:bottom w:val="none" w:sz="0" w:space="0" w:color="auto"/>
        <w:right w:val="none" w:sz="0" w:space="0" w:color="auto"/>
      </w:divBdr>
    </w:div>
    <w:div w:id="2106726527">
      <w:bodyDiv w:val="1"/>
      <w:marLeft w:val="0"/>
      <w:marRight w:val="0"/>
      <w:marTop w:val="0"/>
      <w:marBottom w:val="0"/>
      <w:divBdr>
        <w:top w:val="none" w:sz="0" w:space="0" w:color="auto"/>
        <w:left w:val="none" w:sz="0" w:space="0" w:color="auto"/>
        <w:bottom w:val="none" w:sz="0" w:space="0" w:color="auto"/>
        <w:right w:val="none" w:sz="0" w:space="0" w:color="auto"/>
      </w:divBdr>
    </w:div>
    <w:div w:id="214607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rdeckernet.github.io/website/DH_businessformation_update.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ber.org/papers/w3002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bs.gov.au/articles/restraint-clauses-australia-202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jstor.org/stable/405062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eig.org/noncompetes-research-brief"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787/b524a072-e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hyperlink" Target="https://doi.org/10.1287/mksc.2020.1271"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ministers.treasury.gov.au/ministers/jim-chalmers-2022/media-releases/treasurers-advance-national-economic-reforms"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oecd-en.xsl" StyleName="OECD English" Version="20220221">
  <b:Source>
    <b:Tag>Kappa_075f0153</b:Tag>
    <b:SourceType>BookSection</b:SourceType>
    <b:Title>A revised approach to trend employment projections in long-term scenarios</b:Title>
    <b:Year>2017</b:Year>
    <b:Publisher>OECD Publishing, Paris</b:Publisher>
    <b:Author>
      <b:Author>
        <b:NameList>
          <b:Person>
            <b:Last>Cavalleri</b:Last>
            <b:First>Maria Chiara</b:First>
          </b:Person>
          <b:Person>
            <b:Last>Guillemette</b:Last>
            <b:First>Yvan</b:First>
          </b:Person>
        </b:NameList>
      </b:Author>
    </b:Author>
    <b:ChapterNumber>1384</b:ChapterNumber>
    <b:BookTitle>OECD Economics Department Working Papers</b:BookTitle>
    <b:Medium>Working Paper</b:Medium>
    <b:DOI>10.1787/075f0153-en</b:DOI>
    <b:LCID>en-GB</b:LCID>
    <b:Version>Kappa</b:Version>
    <b:RefOrder>1</b:RefOrder>
  </b:Source>
  <b:Source>
    <b:Tag>Kappa_0b8947e3</b:Tag>
    <b:SourceType>BookSection</b:SourceType>
    <b:Title>A revised approach to productivity convergence in long-term scenarios</b:Title>
    <b:Year>2017</b:Year>
    <b:Publisher>OECD Publishing, Paris</b:Publisher>
    <b:Author>
      <b:Author>
        <b:NameList>
          <b:Person>
            <b:Last>Guillemette</b:Last>
            <b:First>Yvan</b:First>
          </b:Person>
          <b:Person>
            <b:Last>Kopoin</b:Last>
            <b:First>Alexandre</b:First>
          </b:Person>
          <b:Person>
            <b:Last>Turner</b:Last>
            <b:First>David</b:First>
          </b:Person>
          <b:Person>
            <b:Last>De Mauro</b:Last>
            <b:First>Andrea</b:First>
          </b:Person>
        </b:NameList>
      </b:Author>
    </b:Author>
    <b:ChapterNumber>1385</b:ChapterNumber>
    <b:BookTitle>OECD Economics Department Working Papers</b:BookTitle>
    <b:Medium>Working Paper</b:Medium>
    <b:DOI>10.1787/0b8947e3-en</b:DOI>
    <b:LCID>en-GB</b:LCID>
    <b:Version>Kappa</b:Version>
    <b:RefOrder>2</b:RefOrder>
  </b:Source>
  <b:Source>
    <b:Tag>Mendeley_b2SZj7cylTCYej3lWxbC_A</b:Tag>
    <b:SourceType>JournalArticle</b:SourceType>
    <b:Guid>{8F99646F-32B7-3095-987A-3DE55B16C2FC}</b:Guid>
    <b:Title>The KOF Globalisation Index – Revisited</b:Title>
    <b:Year>2019</b:Year>
    <b:Author>
      <b:Author>
        <b:NameList>
          <b:Person>
            <b:Last>Gygli</b:Last>
            <b:First>S</b:First>
          </b:Person>
          <b:Person>
            <b:Last>Haelg</b:Last>
            <b:First>F</b:First>
          </b:Person>
          <b:Person>
            <b:Last>Potrafke</b:Last>
            <b:First>N</b:First>
          </b:Person>
          <b:Person>
            <b:Last>Sturm</b:Last>
            <b:First>J-E</b:First>
          </b:Person>
        </b:NameList>
      </b:Author>
    </b:Author>
    <b:Volume>14</b:Volume>
    <b:BookTitle>Review of International Organizations</b:BookTitle>
    <b:Pages>543-574</b:Pages>
    <b:JournalName>Review of International Organizations</b:JournalName>
    <b:Issue>3</b:Issue>
    <b:LCID>en-US</b:LCID>
    <b:Version>Mendeley</b:Version>
    <b:RefOrder>3</b:RefOrder>
  </b:Source>
  <b:Source>
    <b:Tag>Mendeley_wTLFoFYwnDe0x4_xzcKDeg</b:Tag>
    <b:SourceType>JournalArticle</b:SourceType>
    <b:Guid>{A0C532C1-3056-379C-B4C7-8FF1CDC2837A}</b:Guid>
    <b:Title>Does Globalization Affect Growth? Evidence from a new Index of Globalization</b:Title>
    <b:Year>2006</b:Year>
    <b:Author>
      <b:Author>
        <b:NameList>
          <b:Person>
            <b:Last>Dreher</b:Last>
            <b:First>A</b:First>
          </b:Person>
        </b:NameList>
      </b:Author>
    </b:Author>
    <b:Volume>38</b:Volume>
    <b:BookTitle>Applied Economics</b:BookTitle>
    <b:Pages>1091-1110</b:Pages>
    <b:JournalName>Applied Economics</b:JournalName>
    <b:Issue>10</b:Issue>
    <b:LCID>en-US</b:LCID>
    <b:Version>Mendeley</b:Version>
    <b:RefOrder>4</b:RefOrder>
  </b:Source>
  <b:Source>
    <b:Tag>Mendeley___sdNAw4__uzyZZU_ifmz4GQ</b:Tag>
    <b:SourceType>BookSection</b:SourceType>
    <b:Guid>{034DC7FA-3E0E-3CBB-9965-4FE27E6CF819}</b:Guid>
    <b:Title>The Facts of Economic Growth</b:Title>
    <b:Year>2015</b:Year>
    <b:Publisher>National Bureau of Economic Research</b:Publisher>
    <b:Author>
      <b:Author>
        <b:NameList>
          <b:Person>
            <b:Last>Jones</b:Last>
            <b:First>C.I.</b:First>
          </b:Person>
        </b:NameList>
      </b:Author>
    </b:Author>
    <b:ChapterNumber>21142</b:ChapterNumber>
    <b:BookTitle>NBER Working Papers</b:BookTitle>
    <b:Medium>Working Paper</b:Medium>
    <b:LCID>en-US</b:LCID>
    <b:Version>Mendeley</b:Version>
    <b:RefOrder>5</b:RefOrder>
  </b:Source>
  <b:Source>
    <b:Tag>Mendeley_jX5xg9HlzzSxrA4gqrK6Hg</b:Tag>
    <b:SourceType>BookSection</b:SourceType>
    <b:Guid>{83717E8D-E5D1-34CF-B1AC-0E20AAB2BA1E}</b:Guid>
    <b:Title>Long-term scenarios: incorporating the energy transition</b:Title>
    <b:Year>2023</b:Year>
    <b:Publisher>OECD Publishing, Paris</b:Publisher>
    <b:Author>
      <b:Author>
        <b:NameList>
          <b:Person>
            <b:Last>Guillemette</b:Last>
            <b:First>Y</b:First>
          </b:Person>
          <b:Person>
            <b:Last>Château</b:Last>
            <b:First>J</b:First>
          </b:Person>
        </b:NameList>
      </b:Author>
    </b:Author>
    <b:ChapterNumber>33</b:ChapterNumber>
    <b:BookTitle>OECD Economic Policy Papers</b:BookTitle>
    <b:Medium>Working Paper</b:Medium>
    <b:URL>https://doi.org/10.1787/153ab87c-en</b:URL>
    <b:LCID>en-US</b:LCID>
    <b:Version>Mendeley</b:Version>
    <b:RefOrder>6</b:RefOrder>
  </b:Source>
  <b:Source>
    <b:Tag>Mendeley_8rHoyq3v8TqRAphT_ywkAw</b:Tag>
    <b:SourceType>BookSection</b:SourceType>
    <b:Guid>{CAE8B1F2-EFAD-3AF1-9102-9853FF2C2403}</b:Guid>
    <b:Title>The OECD potential output estimation methodology</b:Title>
    <b:Year>2019</b:Year>
    <b:Publisher>OECD Publishing, Paris</b:Publisher>
    <b:Author>
      <b:Author>
        <b:NameList>
          <b:Person>
            <b:Last>Chalaux</b:Last>
            <b:First>T</b:First>
          </b:Person>
          <b:Person>
            <b:Last>Guillemette</b:Last>
            <b:First>Y</b:First>
          </b:Person>
        </b:NameList>
      </b:Author>
    </b:Author>
    <b:ChapterNumber>1563</b:ChapterNumber>
    <b:BookTitle>OECD Economics Department Working Papers</b:BookTitle>
    <b:Medium>Working Paper</b:Medium>
    <b:URL>https://doi.org/10.1787/4357c723-en</b:URL>
    <b:LCID>en-US</b:LCID>
    <b:Version>Mendeley</b:Version>
    <b:RefOrder>7</b:RefOrder>
  </b:Source>
  <b:Source>
    <b:Tag>Mendeley_qd1cBds2qzyRUxBHk4g9__g</b:Tag>
    <b:SourceType>BookSection</b:SourceType>
    <b:Guid>{055CDDA9-36DB-3CAB-9153-104793883DFA}</b:Guid>
    <b:Title>The Path to 2075 - Slower Global Growth, But Convergence Remains Intact</b:Title>
    <b:Year>2022</b:Year>
    <b:Publisher>Goldman Sachs Economics Research</b:Publisher>
    <b:Author>
      <b:Author>
        <b:NameList>
          <b:Person>
            <b:Last>Daly</b:Last>
            <b:First>K</b:First>
          </b:Person>
          <b:Person>
            <b:Last>Gedminas</b:Last>
            <b:First>T</b:First>
          </b:Person>
        </b:NameList>
      </b:Author>
    </b:Author>
    <b:ChapterNumber>6 December</b:ChapterNumber>
    <b:BookTitle>Global Economics Paper</b:BookTitle>
    <b:Medium>Working Paper</b:Medium>
    <b:LCID>en-US</b:LCID>
    <b:Version>Mendeley</b:Version>
    <b:RefOrder>8</b:RefOrder>
  </b:Source>
  <b:Source>
    <b:Tag>Mendeley_CZ_HwwY5CTqtYMwcH6YBRQ</b:Tag>
    <b:SourceType>BookSection</b:SourceType>
    <b:Guid>{C3C79F09-3906-3A09-AD60-CC1C1FA60145}</b:Guid>
    <b:Title>A Proposal to Improve Country-level Data on Total Factor Productivity Growth</b:Title>
    <b:Year>2024</b:Year>
    <b:Publisher>International Monetary Fund, Washington, DC</b:Publisher>
    <b:Author>
      <b:Author>
        <b:NameList>
          <b:Person>
            <b:Last>Warner</b:Last>
            <b:First>A</b:First>
          </b:Person>
        </b:NameList>
      </b:Author>
    </b:Author>
    <b:ChapterNumber>WP/24/67</b:ChapterNumber>
    <b:BookTitle>IMF Working Paper</b:BookTitle>
    <b:Medium>Working Paper</b:Medium>
    <b:LCID>en-US</b:LCID>
    <b:Version>Mendeley</b:Version>
    <b:RefOrder>9</b:RefOrder>
  </b:Source>
  <b:Source>
    <b:Tag>Mendeley_v7AzjRVwSTy0sJCyMeHhrA</b:Tag>
    <b:SourceType>JournalArticle</b:SourceType>
    <b:Guid>{8D33B0BF-7015-3C49-B4B0-90B231E1E1AC}</b:Guid>
    <b:Title>What remains of cross-country convergence?</b:Title>
    <b:Year>2020</b:Year>
    <b:Author>
      <b:Author>
        <b:NameList>
          <b:Person>
            <b:Last>Johnson</b:Last>
            <b:First>Paul</b:First>
          </b:Person>
          <b:Person>
            <b:Last>Papageorgiou</b:Last>
            <b:First>Chris</b:First>
          </b:Person>
        </b:NameList>
      </b:Author>
    </b:Author>
    <b:Volume>58</b:Volume>
    <b:BookTitle>Journal of Economic Literature</b:BookTitle>
    <b:JournalName>Journal of Economic Literature</b:JournalName>
    <b:DOI>10.1257/JEL.20181207</b:DOI>
    <b:Issue>1</b:Issue>
    <b:LCID>en-US</b:LCID>
    <b:Version>Mendeley</b:Version>
    <b:RefOrder>10</b:RefOrder>
  </b:Source>
  <b:Source>
    <b:Tag>Mendeley_ufE_CPvRizi4rA6fy__sm_w</b:Tag>
    <b:SourceType>JournalArticle</b:SourceType>
    <b:Guid>{083FF1B9-D1FB-388B-B8AC-0E9FCBEB26FF}</b:Guid>
    <b:Title>Convergence and modernisation</b:Title>
    <b:Year>2015</b:Year>
    <b:Author>
      <b:Author>
        <b:NameList>
          <b:Person>
            <b:Last>Barro</b:Last>
            <b:First>Robert J.</b:First>
          </b:Person>
        </b:NameList>
      </b:Author>
    </b:Author>
    <b:Volume>125</b:Volume>
    <b:BookTitle>Economic Journal</b:BookTitle>
    <b:JournalName>Economic Journal</b:JournalName>
    <b:DOI>10.1111/ecoj.12247</b:DOI>
    <b:Issue>585</b:Issue>
    <b:LCID>en-US</b:LCID>
    <b:Version>Mendeley</b:Version>
    <b:RefOrder>11</b:RefOrder>
  </b:Source>
  <b:Source>
    <b:Tag>Mendeley_jLxsYNp37TqDJx9eCkHjCg</b:Tag>
    <b:SourceType>JournalArticle</b:SourceType>
    <b:Guid>{606CBC8C-77DA-3AED-8327-1F5E0A41E30A}</b:Guid>
    <b:Title>The evidence on globalisation</b:Title>
    <b:Year>2015</b:Year>
    <b:Author>
      <b:Author>
        <b:NameList>
          <b:Person>
            <b:Last>Potrafke</b:Last>
            <b:First>Niklas</b:First>
          </b:Person>
        </b:NameList>
      </b:Author>
    </b:Author>
    <b:Volume>38</b:Volume>
    <b:BookTitle>World Economy</b:BookTitle>
    <b:JournalName>World Economy</b:JournalName>
    <b:DOI>10.1111/twec.12174</b:DOI>
    <b:Issue>3</b:Issue>
    <b:LCID>en-US</b:LCID>
    <b:Version>Mendeley</b:Version>
    <b:RefOrder>12</b:RefOrder>
  </b:Source>
  <b:Source>
    <b:Tag>Mendeley_B9xXQZzEnT2BCjYGJHiw4g</b:Tag>
    <b:SourceType>Book</b:SourceType>
    <b:Guid>{4157DC07-C49C-3D9D-810A-36062478B0E2}</b:Guid>
    <b:Title>Measuring Globalisation: Gauging Its Consequences</b:Title>
    <b:Year>2008</b:Year>
    <b:Publisher>Springer</b:Publisher>
    <b:Author>
      <b:Author>
        <b:NameList>
          <b:Person>
            <b:Last>Dreher</b:Last>
            <b:First>A</b:First>
          </b:Person>
          <b:Person>
            <b:Last>Gaston</b:Last>
            <b:First>N</b:First>
          </b:Person>
          <b:Person>
            <b:Last>Martens</b:Last>
            <b:First>P</b:First>
          </b:Person>
        </b:NameList>
      </b:Author>
    </b:Author>
    <b:LCID>en-US</b:LCID>
    <b:Version>Mendeley</b:Version>
    <b:RefOrder>13</b:RefOrder>
  </b:Source>
  <b:Source>
    <b:Tag>Mendeley_4QXB1rTxYTmAFIi7J61hGQ</b:Tag>
    <b:SourceType>BookSection</b:SourceType>
    <b:Guid>{D6C105E1-F1B4-3961-8014-88BB27AD6119}</b:Guid>
    <b:Title>The Worldwide Governance Indicators</b:Title>
    <b:Year>2010</b:Year>
    <b:Publisher>World Bank, Washington, D.C.</b:Publisher>
    <b:Author>
      <b:Author>
        <b:NameList>
          <b:Person>
            <b:Last>Kaufmann</b:Last>
            <b:First>D.</b:First>
          </b:Person>
          <b:Person>
            <b:Last>Kraay</b:Last>
            <b:First>A.</b:First>
          </b:Person>
          <b:Person>
            <b:Last>Mastruzzi</b:Last>
            <b:First>M.</b:First>
          </b:Person>
        </b:NameList>
      </b:Author>
    </b:Author>
    <b:ChapterNumber>5430</b:ChapterNumber>
    <b:BookTitle>World Bank Policy Research Working Papers</b:BookTitle>
    <b:Medium>Working Paper</b:Medium>
    <b:LCID>en-US</b:LCID>
    <b:Version>Mendeley</b:Version>
    <b:RefOrder>14</b:RefOrder>
  </b:Source>
  <b:Source>
    <b:Tag>Mendeley_Y8SttIQlPDKu8HkZiPaJQQ</b:Tag>
    <b:SourceType>BookSection</b:SourceType>
    <b:Guid>{B4ADC463-2584-323C-AEF0-791988F68941}</b:Guid>
    <b:Title>An Overview of the OECD ENV-Linkages Model: Version 3</b:Title>
    <b:Year>2014</b:Year>
    <b:Publisher>OECD Publishing, Paris</b:Publisher>
    <b:Author>
      <b:Author>
        <b:NameList>
          <b:Person>
            <b:Last>Château</b:Last>
            <b:First>J</b:First>
          </b:Person>
          <b:Person>
            <b:Last>Dellink</b:Last>
            <b:First>R</b:First>
          </b:Person>
          <b:Person>
            <b:Last>Lanzi</b:Last>
            <b:First>E</b:First>
          </b:Person>
        </b:NameList>
      </b:Author>
    </b:Author>
    <b:ChapterNumber>65</b:ChapterNumber>
    <b:BookTitle>OECD Environment Working Papers</b:BookTitle>
    <b:Medium>Working Paper</b:Medium>
    <b:URL>https://doi.org/10.1787/5jz2qck2b2vd-en</b:URL>
    <b:LCID>en-US</b:LCID>
    <b:Version>Mendeley</b:Version>
    <b:RefOrder>15</b:RefOrder>
  </b:Source>
</b:Sources>
</file>

<file path=customXml/itemProps1.xml><?xml version="1.0" encoding="utf-8"?>
<ds:datastoreItem xmlns:ds="http://schemas.openxmlformats.org/officeDocument/2006/customXml" ds:itemID="{BA9B2B95-81CE-4040-8183-7001E82D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4934</Words>
  <Characters>27279</Characters>
  <Application>Microsoft Office Word</Application>
  <DocSecurity>0</DocSecurity>
  <Lines>405</Lines>
  <Paragraphs>101</Paragraphs>
  <ScaleCrop>false</ScaleCrop>
  <HeadingPairs>
    <vt:vector size="2" baseType="variant">
      <vt:variant>
        <vt:lpstr>Title</vt:lpstr>
      </vt:variant>
      <vt:variant>
        <vt:i4>1</vt:i4>
      </vt:variant>
    </vt:vector>
  </HeadingPairs>
  <TitlesOfParts>
    <vt:vector size="1" baseType="lpstr">
      <vt:lpstr>Adapting competition regulation to a changing economy</vt:lpstr>
    </vt:vector>
  </TitlesOfParts>
  <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Adapting competition regulation to a changing economy</dc:title>
  <dc:subject/>
  <dc:creator>Mr Dan Andrews</dc:creator>
  <cp:keywords/>
  <dc:description/>
  <cp:lastModifiedBy/>
  <cp:revision>1</cp:revision>
  <dcterms:created xsi:type="dcterms:W3CDTF">2025-10-03T05:09:00Z</dcterms:created>
  <dcterms:modified xsi:type="dcterms:W3CDTF">2025-10-03T05:10:00Z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2025-10-03T05:10:07Z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521be6c6-9c81-474d-ba55-5405c9284ca3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