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F82C0" w14:textId="7E570653" w:rsidR="00554461" w:rsidRDefault="001F6BF7" w:rsidP="0017477D">
      <w:pPr>
        <w:pStyle w:val="Bullet"/>
        <w:numPr>
          <w:ilvl w:val="0"/>
          <w:numId w:val="0"/>
        </w:numPr>
      </w:pPr>
      <w:r>
        <w:rPr>
          <w:noProof/>
        </w:rPr>
        <w:drawing>
          <wp:anchor distT="0" distB="0" distL="114300" distR="114300" simplePos="0" relativeHeight="251658240" behindDoc="1" locked="0" layoutInCell="1" allowOverlap="1" wp14:anchorId="4C36CEC1" wp14:editId="20DE61C8">
            <wp:simplePos x="0" y="0"/>
            <wp:positionH relativeFrom="page">
              <wp:align>left</wp:align>
            </wp:positionH>
            <wp:positionV relativeFrom="page">
              <wp:posOffset>-958</wp:posOffset>
            </wp:positionV>
            <wp:extent cx="10700849" cy="7565025"/>
            <wp:effectExtent l="0" t="0" r="5715" b="0"/>
            <wp:wrapNone/>
            <wp:docPr id="8" name="Picture 8" descr="Australian Government - The Treasury. Regulatory Initiatives Grid. Edition 2 &#10;September 2025.">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ustralian Government - The Treasury. Regulatory Initiatives Grid. Edition 2 &#10;September 2025.">
                      <a:extLst>
                        <a:ext uri="{C183D7F6-B498-43B3-948B-1728B52AA6E4}">
                          <adec:decorative xmlns:adec="http://schemas.microsoft.com/office/drawing/2017/decorative" val="0"/>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10700849" cy="7565025"/>
                    </a:xfrm>
                    <a:prstGeom prst="rect">
                      <a:avLst/>
                    </a:prstGeom>
                  </pic:spPr>
                </pic:pic>
              </a:graphicData>
            </a:graphic>
            <wp14:sizeRelH relativeFrom="margin">
              <wp14:pctWidth>0</wp14:pctWidth>
            </wp14:sizeRelH>
            <wp14:sizeRelV relativeFrom="margin">
              <wp14:pctHeight>0</wp14:pctHeight>
            </wp14:sizeRelV>
          </wp:anchor>
        </w:drawing>
      </w:r>
    </w:p>
    <w:p w14:paraId="771F101B" w14:textId="0E29028C" w:rsidR="00A97160" w:rsidRDefault="000F1955" w:rsidP="0017477D">
      <w:pPr>
        <w:tabs>
          <w:tab w:val="left" w:pos="12090"/>
        </w:tabs>
      </w:pPr>
      <w:sdt>
        <w:sdtPr>
          <w:id w:val="-1442289537"/>
          <w:docPartObj>
            <w:docPartGallery w:val="Cover Pages"/>
            <w:docPartUnique/>
          </w:docPartObj>
        </w:sdtPr>
        <w:sdtEndPr/>
        <w:sdtContent>
          <w:r w:rsidR="00A97160">
            <w:br w:type="page"/>
          </w:r>
        </w:sdtContent>
      </w:sdt>
    </w:p>
    <w:p w14:paraId="381FB2C9" w14:textId="307890E4" w:rsidR="00AA09F4" w:rsidRDefault="00353592" w:rsidP="00AA09F4">
      <w:pPr>
        <w:spacing w:before="0" w:after="160"/>
        <w:rPr>
          <w:sz w:val="18"/>
          <w:szCs w:val="16"/>
        </w:rPr>
        <w:sectPr w:rsidR="00AA09F4" w:rsidSect="0000027C">
          <w:headerReference w:type="even" r:id="rId8"/>
          <w:headerReference w:type="default" r:id="rId9"/>
          <w:footerReference w:type="even" r:id="rId10"/>
          <w:footerReference w:type="default" r:id="rId11"/>
          <w:headerReference w:type="first" r:id="rId12"/>
          <w:footerReference w:type="first" r:id="rId13"/>
          <w:pgSz w:w="16838" w:h="11906" w:orient="landscape" w:code="9"/>
          <w:pgMar w:top="1418" w:right="1418" w:bottom="1418" w:left="1418" w:header="709" w:footer="709" w:gutter="0"/>
          <w:pgNumType w:fmt="lowerRoman" w:start="0"/>
          <w:cols w:space="708"/>
          <w:titlePg/>
          <w:docGrid w:linePitch="360"/>
        </w:sectPr>
      </w:pPr>
      <w:r>
        <w:rPr>
          <w:sz w:val="18"/>
          <w:szCs w:val="16"/>
        </w:rPr>
        <w:lastRenderedPageBreak/>
        <w:t xml:space="preserve"> </w:t>
      </w:r>
    </w:p>
    <w:p w14:paraId="5B776116" w14:textId="610188AA" w:rsidR="00E07027" w:rsidRDefault="005D2503" w:rsidP="009E1ED1">
      <w:pPr>
        <w:pStyle w:val="CreativeCommons"/>
        <w:spacing w:before="0" w:after="0"/>
        <w:rPr>
          <w:szCs w:val="17"/>
        </w:rPr>
      </w:pPr>
      <w:r>
        <w:br w:type="column"/>
      </w:r>
      <w:r w:rsidR="009B5EA5" w:rsidRPr="00571A20">
        <w:rPr>
          <w:szCs w:val="17"/>
        </w:rPr>
        <w:t>© Commonwealth of Australia 202</w:t>
      </w:r>
      <w:r w:rsidR="00F226F1">
        <w:rPr>
          <w:szCs w:val="17"/>
        </w:rPr>
        <w:t>5</w:t>
      </w:r>
    </w:p>
    <w:p w14:paraId="6260153E" w14:textId="37E9A44C" w:rsidR="009B5EA5" w:rsidRPr="00E07027" w:rsidRDefault="009B5EA5" w:rsidP="009E1ED1">
      <w:pPr>
        <w:pStyle w:val="CreativeCommons"/>
        <w:spacing w:before="0"/>
        <w:rPr>
          <w:szCs w:val="17"/>
        </w:rPr>
      </w:pPr>
      <w:r w:rsidRPr="00F35BD5">
        <w:t>ISBN:</w:t>
      </w:r>
      <w:r w:rsidR="00F35BD5" w:rsidRPr="00F35BD5">
        <w:t xml:space="preserve"> </w:t>
      </w:r>
      <w:r w:rsidR="00F226F1" w:rsidRPr="00F226F1">
        <w:t>978</w:t>
      </w:r>
      <w:r w:rsidR="003D486F">
        <w:noBreakHyphen/>
      </w:r>
      <w:r w:rsidR="00F226F1" w:rsidRPr="00F226F1">
        <w:t>1</w:t>
      </w:r>
      <w:r w:rsidR="003D486F">
        <w:noBreakHyphen/>
      </w:r>
      <w:r w:rsidR="00F226F1" w:rsidRPr="00F226F1">
        <w:t>923278</w:t>
      </w:r>
      <w:r w:rsidR="003D486F">
        <w:noBreakHyphen/>
      </w:r>
      <w:r w:rsidR="00F226F1" w:rsidRPr="00F226F1">
        <w:t>20</w:t>
      </w:r>
      <w:r w:rsidR="003D486F">
        <w:noBreakHyphen/>
      </w:r>
      <w:r w:rsidR="00F226F1" w:rsidRPr="00F226F1">
        <w:t>2</w:t>
      </w:r>
    </w:p>
    <w:p w14:paraId="1B1BCCC8" w14:textId="25E0F638" w:rsidR="009B5EA5" w:rsidRPr="00571A20" w:rsidRDefault="009B5EA5" w:rsidP="009B5EA5">
      <w:pPr>
        <w:pStyle w:val="CreativeCommons"/>
        <w:rPr>
          <w:szCs w:val="17"/>
        </w:rPr>
      </w:pPr>
      <w:r w:rsidRPr="00571A20">
        <w:rPr>
          <w:szCs w:val="17"/>
        </w:rPr>
        <w:t xml:space="preserve">This publication is available for your use under a </w:t>
      </w:r>
      <w:r w:rsidRPr="001545DB">
        <w:rPr>
          <w:rStyle w:val="Hyperlink"/>
          <w:szCs w:val="17"/>
        </w:rPr>
        <w:t>Creative Commons Attribution 4.0 International</w:t>
      </w:r>
      <w:r w:rsidRPr="001545DB">
        <w:rPr>
          <w:sz w:val="18"/>
          <w:szCs w:val="18"/>
        </w:rPr>
        <w:t xml:space="preserve"> </w:t>
      </w:r>
      <w:r w:rsidRPr="00571A20">
        <w:rPr>
          <w:szCs w:val="17"/>
        </w:rPr>
        <w:t xml:space="preserve">licence, </w:t>
      </w:r>
      <w:proofErr w:type="gramStart"/>
      <w:r w:rsidRPr="00571A20">
        <w:rPr>
          <w:szCs w:val="17"/>
        </w:rPr>
        <w:t>with the exception of</w:t>
      </w:r>
      <w:proofErr w:type="gramEnd"/>
      <w:r w:rsidRPr="00571A20">
        <w:rPr>
          <w:szCs w:val="17"/>
        </w:rPr>
        <w:t xml:space="preserve"> the Commonwealth Coat of Arms, the Treasury logo, photographs, images, third party materials, materials protected by a</w:t>
      </w:r>
      <w:r w:rsidR="00223305" w:rsidRPr="00571A20">
        <w:rPr>
          <w:szCs w:val="17"/>
        </w:rPr>
        <w:t> </w:t>
      </w:r>
      <w:r w:rsidRPr="00571A20">
        <w:rPr>
          <w:szCs w:val="17"/>
        </w:rPr>
        <w:t xml:space="preserve">trademark, signatures and where otherwise stated. The full licence terms are available from </w:t>
      </w:r>
      <w:r w:rsidRPr="001545DB">
        <w:rPr>
          <w:rStyle w:val="Hyperlink"/>
          <w:szCs w:val="17"/>
        </w:rPr>
        <w:t>creativecommons.org/licenses/by/4.0/</w:t>
      </w:r>
      <w:r w:rsidR="0017477D" w:rsidRPr="001545DB">
        <w:rPr>
          <w:rStyle w:val="Hyperlink"/>
          <w:szCs w:val="17"/>
        </w:rPr>
        <w:t>legal code</w:t>
      </w:r>
      <w:r w:rsidRPr="001545DB">
        <w:rPr>
          <w:sz w:val="18"/>
          <w:szCs w:val="18"/>
        </w:rPr>
        <w:t xml:space="preserve">. </w:t>
      </w:r>
    </w:p>
    <w:p w14:paraId="148BE5A8" w14:textId="7D8C1C95" w:rsidR="009B5EA5" w:rsidRPr="00571A20" w:rsidRDefault="009B5EA5" w:rsidP="009B5EA5">
      <w:pPr>
        <w:pStyle w:val="CreativeCommons"/>
      </w:pPr>
      <w:r w:rsidRPr="00571A20">
        <w:rPr>
          <w:szCs w:val="17"/>
        </w:rPr>
        <w:t xml:space="preserve"> </w:t>
      </w:r>
      <w:r w:rsidRPr="00571A20">
        <w:rPr>
          <w:noProof/>
          <w:szCs w:val="17"/>
        </w:rPr>
        <w:drawing>
          <wp:inline distT="0" distB="0" distL="0" distR="0" wp14:anchorId="03316DFA" wp14:editId="0696F6A4">
            <wp:extent cx="809625" cy="285750"/>
            <wp:effectExtent l="0" t="0" r="9525" b="0"/>
            <wp:docPr id="3" name="Picture 3" descr="Creative Commons badge: 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badge: 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55F61F11" w14:textId="558CFC75" w:rsidR="009B5EA5" w:rsidRPr="00571A20" w:rsidRDefault="009B5EA5" w:rsidP="009B5EA5">
      <w:pPr>
        <w:pStyle w:val="CreativeCommons"/>
        <w:rPr>
          <w:szCs w:val="17"/>
        </w:rPr>
      </w:pPr>
      <w:r w:rsidRPr="00571A20">
        <w:rPr>
          <w:szCs w:val="17"/>
        </w:rPr>
        <w:t xml:space="preserve">Use of Treasury material under a </w:t>
      </w:r>
      <w:r w:rsidRPr="001545DB">
        <w:rPr>
          <w:rStyle w:val="Hyperlink"/>
          <w:szCs w:val="17"/>
        </w:rPr>
        <w:t>Creative Commons Attribution 4.0 International</w:t>
      </w:r>
      <w:r w:rsidRPr="001545DB">
        <w:rPr>
          <w:sz w:val="18"/>
          <w:szCs w:val="18"/>
        </w:rPr>
        <w:t xml:space="preserve"> </w:t>
      </w:r>
      <w:r w:rsidRPr="00571A20">
        <w:rPr>
          <w:szCs w:val="17"/>
        </w:rPr>
        <w:t>licence requires you to attribute the work (but not in any way that suggests that the Treasury endorses you or your use of the work).</w:t>
      </w:r>
    </w:p>
    <w:p w14:paraId="5E12C27D" w14:textId="5D4F50E4" w:rsidR="009B5EA5" w:rsidRPr="00571A20" w:rsidRDefault="009B5EA5" w:rsidP="00571A20">
      <w:pPr>
        <w:pStyle w:val="CreativeCommons"/>
        <w:spacing w:before="180"/>
        <w:rPr>
          <w:rStyle w:val="Strong"/>
          <w:szCs w:val="17"/>
        </w:rPr>
      </w:pPr>
      <w:r w:rsidRPr="00571A20">
        <w:rPr>
          <w:rStyle w:val="Strong"/>
          <w:szCs w:val="17"/>
        </w:rPr>
        <w:t xml:space="preserve">Treasury material used </w:t>
      </w:r>
      <w:r w:rsidR="003D486F">
        <w:rPr>
          <w:rStyle w:val="Strong"/>
          <w:szCs w:val="17"/>
        </w:rPr>
        <w:t>‘</w:t>
      </w:r>
      <w:r w:rsidRPr="00571A20">
        <w:rPr>
          <w:rStyle w:val="Strong"/>
          <w:szCs w:val="17"/>
        </w:rPr>
        <w:t>as supplied</w:t>
      </w:r>
      <w:r w:rsidR="003D486F">
        <w:rPr>
          <w:rStyle w:val="Strong"/>
          <w:szCs w:val="17"/>
        </w:rPr>
        <w:t>’</w:t>
      </w:r>
    </w:p>
    <w:p w14:paraId="10BC2428" w14:textId="77777777" w:rsidR="009B5EA5" w:rsidRPr="00571A20" w:rsidRDefault="009B5EA5" w:rsidP="009B5EA5">
      <w:pPr>
        <w:pStyle w:val="CreativeCommons"/>
        <w:rPr>
          <w:szCs w:val="17"/>
        </w:rPr>
      </w:pPr>
      <w:r w:rsidRPr="00571A20">
        <w:rPr>
          <w:szCs w:val="17"/>
        </w:rPr>
        <w:t xml:space="preserve">Provided you have not modified or transformed Treasury material in any way including, for example, by changing the Treasury text; calculating percentage changes; graphing or charting data; or deriving new statistics from published Treasury statistics – then Treasury prefers the following attribution: </w:t>
      </w:r>
    </w:p>
    <w:p w14:paraId="1CC3D7D8" w14:textId="5D75127D" w:rsidR="009B5EA5" w:rsidRPr="00571A20" w:rsidRDefault="009B5EA5" w:rsidP="00571A20">
      <w:pPr>
        <w:pStyle w:val="CreativeCommons"/>
        <w:rPr>
          <w:i/>
          <w:iCs/>
          <w:szCs w:val="17"/>
        </w:rPr>
      </w:pPr>
      <w:r w:rsidRPr="00571A20">
        <w:rPr>
          <w:i/>
          <w:iCs/>
          <w:szCs w:val="17"/>
        </w:rPr>
        <w:t xml:space="preserve">Source: The </w:t>
      </w:r>
      <w:r w:rsidR="007A5FD4" w:rsidRPr="007A5FD4">
        <w:rPr>
          <w:i/>
          <w:iCs/>
          <w:szCs w:val="17"/>
        </w:rPr>
        <w:t>Australian Government</w:t>
      </w:r>
      <w:r w:rsidR="007A5FD4">
        <w:rPr>
          <w:i/>
          <w:iCs/>
          <w:szCs w:val="17"/>
        </w:rPr>
        <w:t xml:space="preserve"> the </w:t>
      </w:r>
      <w:r w:rsidR="00571A20" w:rsidRPr="00571A20">
        <w:rPr>
          <w:i/>
          <w:iCs/>
          <w:szCs w:val="17"/>
        </w:rPr>
        <w:t xml:space="preserve">Treasury, Australian Taxation Office (ATO) Australian Securities and Investments Commission (ASIC), </w:t>
      </w:r>
      <w:r w:rsidR="00CF271D">
        <w:rPr>
          <w:i/>
          <w:iCs/>
          <w:szCs w:val="17"/>
        </w:rPr>
        <w:t>Department of Home Affairs</w:t>
      </w:r>
      <w:r w:rsidR="00571A20" w:rsidRPr="00571A20">
        <w:rPr>
          <w:i/>
          <w:iCs/>
          <w:szCs w:val="17"/>
        </w:rPr>
        <w:t xml:space="preserve"> (</w:t>
      </w:r>
      <w:r w:rsidR="00CF271D">
        <w:rPr>
          <w:i/>
          <w:iCs/>
          <w:szCs w:val="17"/>
        </w:rPr>
        <w:t>Home Affairs</w:t>
      </w:r>
      <w:r w:rsidR="00571A20" w:rsidRPr="00571A20">
        <w:rPr>
          <w:i/>
          <w:iCs/>
          <w:szCs w:val="17"/>
        </w:rPr>
        <w:t>), Australian Prudential Regulation Authority (APRA), Australian Transaction Reports and Analysis Centre (AUSTRAC), Reserve Bank of Australia (RBA), Australian Financial Security Authority (AFSA) and the Australian Competition and Consumer Commission (ACCC)</w:t>
      </w:r>
      <w:r w:rsidR="007B1691">
        <w:rPr>
          <w:i/>
          <w:iCs/>
          <w:szCs w:val="17"/>
        </w:rPr>
        <w:t>.</w:t>
      </w:r>
    </w:p>
    <w:p w14:paraId="203C2D9F" w14:textId="77777777" w:rsidR="009B5EA5" w:rsidRPr="00571A20" w:rsidRDefault="009B5EA5" w:rsidP="00571A20">
      <w:pPr>
        <w:pStyle w:val="CreativeCommons"/>
        <w:spacing w:before="180"/>
        <w:rPr>
          <w:rStyle w:val="Strong"/>
          <w:szCs w:val="17"/>
        </w:rPr>
      </w:pPr>
      <w:r w:rsidRPr="00571A20">
        <w:rPr>
          <w:rStyle w:val="Strong"/>
          <w:szCs w:val="17"/>
        </w:rPr>
        <w:t>Derivative material</w:t>
      </w:r>
    </w:p>
    <w:p w14:paraId="354A39E6" w14:textId="0080AB00" w:rsidR="009B5EA5" w:rsidRPr="00E07027" w:rsidRDefault="009B5EA5" w:rsidP="00571A20">
      <w:pPr>
        <w:pStyle w:val="CreativeCommons"/>
        <w:rPr>
          <w:szCs w:val="17"/>
        </w:rPr>
      </w:pPr>
      <w:r w:rsidRPr="00571A20">
        <w:rPr>
          <w:szCs w:val="17"/>
        </w:rPr>
        <w:t xml:space="preserve">If you have modified or transformed Treasury </w:t>
      </w:r>
      <w:proofErr w:type="gramStart"/>
      <w:r w:rsidRPr="00571A20">
        <w:rPr>
          <w:szCs w:val="17"/>
        </w:rPr>
        <w:t>material, or</w:t>
      </w:r>
      <w:proofErr w:type="gramEnd"/>
      <w:r w:rsidRPr="00571A20">
        <w:rPr>
          <w:szCs w:val="17"/>
        </w:rPr>
        <w:t xml:space="preserve"> derived new material from those of the Treasury in any way, then Treasury prefers the following </w:t>
      </w:r>
      <w:r w:rsidR="009E1ED1" w:rsidRPr="00571A20">
        <w:rPr>
          <w:szCs w:val="17"/>
        </w:rPr>
        <w:t>attribution:</w:t>
      </w:r>
      <w:r w:rsidR="009E1ED1" w:rsidRPr="00571A20">
        <w:rPr>
          <w:i/>
          <w:iCs/>
          <w:szCs w:val="17"/>
        </w:rPr>
        <w:t xml:space="preserve"> Based</w:t>
      </w:r>
      <w:r w:rsidRPr="00571A20">
        <w:rPr>
          <w:i/>
          <w:iCs/>
          <w:szCs w:val="17"/>
        </w:rPr>
        <w:t xml:space="preserve"> on Commonwealth of Australia data.</w:t>
      </w:r>
    </w:p>
    <w:p w14:paraId="7B9BFE26" w14:textId="77777777" w:rsidR="009B5EA5" w:rsidRPr="00571A20" w:rsidRDefault="009B5EA5" w:rsidP="00571A20">
      <w:pPr>
        <w:pStyle w:val="CreativeCommons"/>
        <w:spacing w:before="180"/>
        <w:rPr>
          <w:rStyle w:val="Strong"/>
          <w:szCs w:val="17"/>
        </w:rPr>
      </w:pPr>
      <w:r w:rsidRPr="00571A20">
        <w:rPr>
          <w:rStyle w:val="Strong"/>
          <w:szCs w:val="17"/>
        </w:rPr>
        <w:t>Use of the Coat of Arms</w:t>
      </w:r>
    </w:p>
    <w:p w14:paraId="2A71F097" w14:textId="5FB1E873" w:rsidR="009B5EA5" w:rsidRPr="00571A20" w:rsidRDefault="009B5EA5" w:rsidP="009B5EA5">
      <w:pPr>
        <w:pStyle w:val="CreativeCommons"/>
        <w:rPr>
          <w:szCs w:val="17"/>
        </w:rPr>
      </w:pPr>
      <w:r w:rsidRPr="00571A20">
        <w:rPr>
          <w:szCs w:val="17"/>
        </w:rPr>
        <w:t>The terms under which the Coat of Arms can be used are set out on the Department of the Prime Minister and Cabinet website (see</w:t>
      </w:r>
      <w:r w:rsidR="001545DB">
        <w:rPr>
          <w:szCs w:val="17"/>
        </w:rPr>
        <w:t> </w:t>
      </w:r>
      <w:r w:rsidRPr="001545DB">
        <w:rPr>
          <w:rStyle w:val="Hyperlink"/>
          <w:szCs w:val="17"/>
        </w:rPr>
        <w:t>www.pmc.gov.au/government/commonwealth</w:t>
      </w:r>
      <w:r w:rsidR="003D486F">
        <w:rPr>
          <w:rStyle w:val="Hyperlink"/>
          <w:szCs w:val="17"/>
        </w:rPr>
        <w:noBreakHyphen/>
      </w:r>
      <w:r w:rsidRPr="001545DB">
        <w:rPr>
          <w:rStyle w:val="Hyperlink"/>
          <w:szCs w:val="17"/>
        </w:rPr>
        <w:t>coat</w:t>
      </w:r>
      <w:r w:rsidR="003D486F">
        <w:rPr>
          <w:rStyle w:val="Hyperlink"/>
          <w:szCs w:val="17"/>
        </w:rPr>
        <w:noBreakHyphen/>
      </w:r>
      <w:r w:rsidRPr="001545DB">
        <w:rPr>
          <w:rStyle w:val="Hyperlink"/>
          <w:szCs w:val="17"/>
        </w:rPr>
        <w:t>arms</w:t>
      </w:r>
      <w:r w:rsidRPr="00571A20">
        <w:rPr>
          <w:szCs w:val="17"/>
        </w:rPr>
        <w:t>).</w:t>
      </w:r>
    </w:p>
    <w:p w14:paraId="7027A333" w14:textId="77777777" w:rsidR="009B5EA5" w:rsidRPr="00571A20" w:rsidRDefault="009B5EA5" w:rsidP="00571A20">
      <w:pPr>
        <w:pStyle w:val="CreativeCommons"/>
        <w:spacing w:before="180"/>
        <w:rPr>
          <w:rStyle w:val="Strong"/>
          <w:szCs w:val="17"/>
        </w:rPr>
      </w:pPr>
      <w:r w:rsidRPr="00571A20">
        <w:rPr>
          <w:rStyle w:val="Strong"/>
          <w:szCs w:val="17"/>
        </w:rPr>
        <w:t>Other uses</w:t>
      </w:r>
    </w:p>
    <w:p w14:paraId="3BACCD45" w14:textId="77777777" w:rsidR="009B5EA5" w:rsidRPr="00571A20" w:rsidRDefault="009B5EA5" w:rsidP="009B5EA5">
      <w:pPr>
        <w:pStyle w:val="CreativeCommons"/>
        <w:rPr>
          <w:szCs w:val="17"/>
        </w:rPr>
      </w:pPr>
      <w:r w:rsidRPr="00571A20">
        <w:rPr>
          <w:szCs w:val="17"/>
        </w:rPr>
        <w:t>Enquiries regarding this licence and any other use of this document are welcome at:</w:t>
      </w:r>
    </w:p>
    <w:p w14:paraId="4B5CFB0D" w14:textId="5A73C41A" w:rsidR="009B5EA5" w:rsidRPr="00571A20" w:rsidRDefault="009B5EA5" w:rsidP="00571A20">
      <w:pPr>
        <w:pStyle w:val="CreativeCommons"/>
        <w:spacing w:after="0"/>
        <w:rPr>
          <w:szCs w:val="17"/>
        </w:rPr>
      </w:pPr>
      <w:r w:rsidRPr="00571A20">
        <w:rPr>
          <w:szCs w:val="17"/>
        </w:rPr>
        <w:t>Manager, Media Unit</w:t>
      </w:r>
      <w:r w:rsidR="00571A20">
        <w:rPr>
          <w:szCs w:val="17"/>
        </w:rPr>
        <w:br/>
      </w:r>
      <w:r w:rsidRPr="00571A20">
        <w:rPr>
          <w:szCs w:val="17"/>
        </w:rPr>
        <w:t>The Treasury</w:t>
      </w:r>
    </w:p>
    <w:p w14:paraId="3690C6B4" w14:textId="74C8CE0F" w:rsidR="009B5EA5" w:rsidRPr="00571A20" w:rsidRDefault="009B5EA5" w:rsidP="009B5EA5">
      <w:pPr>
        <w:pStyle w:val="CreativeCommons"/>
        <w:spacing w:before="0" w:after="0"/>
        <w:rPr>
          <w:szCs w:val="17"/>
        </w:rPr>
      </w:pPr>
      <w:r w:rsidRPr="00571A20">
        <w:rPr>
          <w:szCs w:val="17"/>
        </w:rPr>
        <w:t>Langton Crescent</w:t>
      </w:r>
      <w:r w:rsidR="00571A20" w:rsidRPr="00571A20">
        <w:rPr>
          <w:szCs w:val="17"/>
        </w:rPr>
        <w:t>,</w:t>
      </w:r>
      <w:r w:rsidRPr="00571A20">
        <w:rPr>
          <w:szCs w:val="17"/>
        </w:rPr>
        <w:t xml:space="preserve"> Parkes</w:t>
      </w:r>
      <w:r w:rsidR="00571A20" w:rsidRPr="00571A20">
        <w:rPr>
          <w:szCs w:val="17"/>
        </w:rPr>
        <w:t xml:space="preserve">, </w:t>
      </w:r>
      <w:r w:rsidRPr="00571A20">
        <w:rPr>
          <w:szCs w:val="17"/>
        </w:rPr>
        <w:t>AC</w:t>
      </w:r>
      <w:r w:rsidR="00571A20" w:rsidRPr="00571A20">
        <w:rPr>
          <w:szCs w:val="17"/>
        </w:rPr>
        <w:t>T</w:t>
      </w:r>
      <w:r w:rsidRPr="00571A20">
        <w:rPr>
          <w:szCs w:val="17"/>
        </w:rPr>
        <w:t xml:space="preserve"> 2600</w:t>
      </w:r>
    </w:p>
    <w:p w14:paraId="6B23B5EA" w14:textId="77777777" w:rsidR="009B5EA5" w:rsidRPr="001545DB" w:rsidRDefault="009B5EA5" w:rsidP="009B5EA5">
      <w:pPr>
        <w:pStyle w:val="CreativeCommons"/>
        <w:spacing w:before="0"/>
        <w:rPr>
          <w:szCs w:val="17"/>
        </w:rPr>
      </w:pPr>
      <w:r w:rsidRPr="00571A20">
        <w:rPr>
          <w:szCs w:val="17"/>
        </w:rPr>
        <w:t xml:space="preserve">Email: </w:t>
      </w:r>
      <w:r w:rsidRPr="001545DB">
        <w:rPr>
          <w:rStyle w:val="Hyperlink"/>
          <w:szCs w:val="17"/>
        </w:rPr>
        <w:t>media@treasury.gov.au</w:t>
      </w:r>
    </w:p>
    <w:p w14:paraId="17E537B2" w14:textId="77777777" w:rsidR="00635703" w:rsidRPr="00571A20" w:rsidRDefault="009B5EA5" w:rsidP="009B5EA5">
      <w:pPr>
        <w:pStyle w:val="CreativeCommons"/>
        <w:rPr>
          <w:szCs w:val="17"/>
        </w:rPr>
        <w:sectPr w:rsidR="00635703" w:rsidRPr="00571A20" w:rsidSect="0000027C">
          <w:headerReference w:type="even" r:id="rId15"/>
          <w:headerReference w:type="default" r:id="rId16"/>
          <w:footerReference w:type="even" r:id="rId17"/>
          <w:footerReference w:type="default" r:id="rId18"/>
          <w:headerReference w:type="first" r:id="rId19"/>
          <w:footerReference w:type="first" r:id="rId20"/>
          <w:type w:val="continuous"/>
          <w:pgSz w:w="16838" w:h="11906" w:orient="landscape" w:code="9"/>
          <w:pgMar w:top="1418" w:right="1418" w:bottom="1418" w:left="1418" w:header="709" w:footer="709" w:gutter="0"/>
          <w:pgNumType w:fmt="lowerRoman" w:start="0"/>
          <w:cols w:num="2" w:space="1755" w:equalWidth="0">
            <w:col w:w="3175" w:space="1755"/>
            <w:col w:w="9072"/>
          </w:cols>
          <w:titlePg/>
          <w:docGrid w:linePitch="360"/>
        </w:sectPr>
      </w:pPr>
      <w:r w:rsidRPr="00571A20">
        <w:rPr>
          <w:szCs w:val="17"/>
        </w:rPr>
        <w:t>In the spirit of reconciliation, the Treasury acknowledges the Traditional Custodians of country throughout Australia and their connections to land, sea and community. We pay our respect to their Elders past and present and extend that respect to all Aboriginal and Torres Strait Islander peoples.</w:t>
      </w:r>
    </w:p>
    <w:p w14:paraId="3B9A67F2" w14:textId="77777777" w:rsidR="00542846" w:rsidRDefault="000E0B74" w:rsidP="00A4740C">
      <w:pPr>
        <w:pStyle w:val="Heading1"/>
        <w:spacing w:before="0"/>
        <w:rPr>
          <w:rStyle w:val="Heading1Char"/>
          <w:bCs/>
        </w:rPr>
      </w:pPr>
      <w:bookmarkStart w:id="0" w:name="_Toc111026801"/>
      <w:bookmarkStart w:id="1" w:name="_Toc173760498"/>
      <w:bookmarkStart w:id="2" w:name="_Toc177049569"/>
      <w:bookmarkStart w:id="3" w:name="_Toc183095601"/>
      <w:bookmarkStart w:id="4" w:name="_Toc203651280"/>
      <w:bookmarkStart w:id="5" w:name="_Toc209785804"/>
      <w:bookmarkStart w:id="6" w:name="_Toc210050720"/>
      <w:r w:rsidRPr="00EF3274">
        <w:rPr>
          <w:rStyle w:val="Heading1Char"/>
          <w:b/>
        </w:rPr>
        <w:lastRenderedPageBreak/>
        <w:t>Contents</w:t>
      </w:r>
      <w:bookmarkEnd w:id="0"/>
      <w:bookmarkEnd w:id="1"/>
      <w:bookmarkEnd w:id="2"/>
      <w:bookmarkEnd w:id="3"/>
      <w:bookmarkEnd w:id="4"/>
      <w:bookmarkEnd w:id="5"/>
      <w:bookmarkEnd w:id="6"/>
    </w:p>
    <w:p w14:paraId="7D8C867A" w14:textId="77777777" w:rsidR="00120E5D" w:rsidRDefault="00542846" w:rsidP="00DF73F9">
      <w:pPr>
        <w:pStyle w:val="GhostLine"/>
        <w:rPr>
          <w:noProof/>
        </w:rPr>
      </w:pPr>
      <w:r>
        <w:rPr>
          <w:rStyle w:val="Heading1Char"/>
          <w:b w:val="0"/>
          <w:bCs/>
        </w:rPr>
        <w:br w:type="column"/>
      </w:r>
      <w:bookmarkStart w:id="7" w:name="_Toc432067103"/>
      <w:bookmarkStart w:id="8" w:name="_Toc452635030"/>
      <w:r w:rsidR="00DF73F9">
        <w:fldChar w:fldCharType="begin"/>
      </w:r>
      <w:r w:rsidR="00DF73F9">
        <w:instrText xml:space="preserve"> TOC \o "1-2" \h \z \u </w:instrText>
      </w:r>
      <w:r w:rsidR="00DF73F9">
        <w:fldChar w:fldCharType="separate"/>
      </w:r>
    </w:p>
    <w:p w14:paraId="675CF9D2" w14:textId="4C2D65BB" w:rsidR="00120E5D" w:rsidRDefault="00120E5D">
      <w:pPr>
        <w:pStyle w:val="TOC1"/>
        <w:rPr>
          <w:rFonts w:asciiTheme="minorHAnsi" w:eastAsiaTheme="minorEastAsia" w:hAnsiTheme="minorHAnsi" w:cstheme="minorBidi"/>
          <w:b w:val="0"/>
          <w:color w:val="auto"/>
          <w:kern w:val="2"/>
          <w:sz w:val="24"/>
          <w:szCs w:val="24"/>
          <w14:ligatures w14:val="standardContextual"/>
        </w:rPr>
      </w:pPr>
      <w:hyperlink w:anchor="_Toc210050721" w:history="1">
        <w:r w:rsidRPr="0089703B">
          <w:rPr>
            <w:rStyle w:val="Hyperlink"/>
          </w:rPr>
          <w:t>Foreword</w:t>
        </w:r>
        <w:r>
          <w:rPr>
            <w:webHidden/>
          </w:rPr>
          <w:tab/>
        </w:r>
        <w:r>
          <w:rPr>
            <w:webHidden/>
          </w:rPr>
          <w:fldChar w:fldCharType="begin"/>
        </w:r>
        <w:r>
          <w:rPr>
            <w:webHidden/>
          </w:rPr>
          <w:instrText xml:space="preserve"> PAGEREF _Toc210050721 \h </w:instrText>
        </w:r>
        <w:r>
          <w:rPr>
            <w:webHidden/>
          </w:rPr>
        </w:r>
        <w:r>
          <w:rPr>
            <w:webHidden/>
          </w:rPr>
          <w:fldChar w:fldCharType="separate"/>
        </w:r>
        <w:r w:rsidR="009E4589">
          <w:rPr>
            <w:webHidden/>
          </w:rPr>
          <w:t>1</w:t>
        </w:r>
        <w:r>
          <w:rPr>
            <w:webHidden/>
          </w:rPr>
          <w:fldChar w:fldCharType="end"/>
        </w:r>
      </w:hyperlink>
    </w:p>
    <w:p w14:paraId="74E8D4FD" w14:textId="6B942DD7" w:rsidR="00120E5D" w:rsidRDefault="00120E5D">
      <w:pPr>
        <w:pStyle w:val="TOC1"/>
        <w:rPr>
          <w:rFonts w:asciiTheme="minorHAnsi" w:eastAsiaTheme="minorEastAsia" w:hAnsiTheme="minorHAnsi" w:cstheme="minorBidi"/>
          <w:b w:val="0"/>
          <w:color w:val="auto"/>
          <w:kern w:val="2"/>
          <w:sz w:val="24"/>
          <w:szCs w:val="24"/>
          <w14:ligatures w14:val="standardContextual"/>
        </w:rPr>
      </w:pPr>
      <w:hyperlink w:anchor="_Toc210050722" w:history="1">
        <w:r w:rsidRPr="0089703B">
          <w:rPr>
            <w:rStyle w:val="Hyperlink"/>
          </w:rPr>
          <w:t>Snapshot of regulatory initiatives</w:t>
        </w:r>
        <w:r>
          <w:rPr>
            <w:webHidden/>
          </w:rPr>
          <w:tab/>
        </w:r>
        <w:r>
          <w:rPr>
            <w:webHidden/>
          </w:rPr>
          <w:fldChar w:fldCharType="begin"/>
        </w:r>
        <w:r>
          <w:rPr>
            <w:webHidden/>
          </w:rPr>
          <w:instrText xml:space="preserve"> PAGEREF _Toc210050722 \h </w:instrText>
        </w:r>
        <w:r>
          <w:rPr>
            <w:webHidden/>
          </w:rPr>
        </w:r>
        <w:r>
          <w:rPr>
            <w:webHidden/>
          </w:rPr>
          <w:fldChar w:fldCharType="separate"/>
        </w:r>
        <w:r w:rsidR="009E4589">
          <w:rPr>
            <w:webHidden/>
          </w:rPr>
          <w:t>2</w:t>
        </w:r>
        <w:r>
          <w:rPr>
            <w:webHidden/>
          </w:rPr>
          <w:fldChar w:fldCharType="end"/>
        </w:r>
      </w:hyperlink>
    </w:p>
    <w:p w14:paraId="233FD6BD" w14:textId="1DA33543" w:rsidR="00120E5D" w:rsidRDefault="00120E5D">
      <w:pPr>
        <w:pStyle w:val="TOC1"/>
        <w:rPr>
          <w:rFonts w:asciiTheme="minorHAnsi" w:eastAsiaTheme="minorEastAsia" w:hAnsiTheme="minorHAnsi" w:cstheme="minorBidi"/>
          <w:b w:val="0"/>
          <w:color w:val="auto"/>
          <w:kern w:val="2"/>
          <w:sz w:val="24"/>
          <w:szCs w:val="24"/>
          <w14:ligatures w14:val="standardContextual"/>
        </w:rPr>
      </w:pPr>
      <w:hyperlink w:anchor="_Toc210050723" w:history="1">
        <w:r w:rsidRPr="0089703B">
          <w:rPr>
            <w:rStyle w:val="Hyperlink"/>
          </w:rPr>
          <w:t>Introduction</w:t>
        </w:r>
        <w:r>
          <w:rPr>
            <w:webHidden/>
          </w:rPr>
          <w:tab/>
        </w:r>
        <w:r>
          <w:rPr>
            <w:webHidden/>
          </w:rPr>
          <w:fldChar w:fldCharType="begin"/>
        </w:r>
        <w:r>
          <w:rPr>
            <w:webHidden/>
          </w:rPr>
          <w:instrText xml:space="preserve"> PAGEREF _Toc210050723 \h </w:instrText>
        </w:r>
        <w:r>
          <w:rPr>
            <w:webHidden/>
          </w:rPr>
        </w:r>
        <w:r>
          <w:rPr>
            <w:webHidden/>
          </w:rPr>
          <w:fldChar w:fldCharType="separate"/>
        </w:r>
        <w:r w:rsidR="009E4589">
          <w:rPr>
            <w:webHidden/>
          </w:rPr>
          <w:t>4</w:t>
        </w:r>
        <w:r>
          <w:rPr>
            <w:webHidden/>
          </w:rPr>
          <w:fldChar w:fldCharType="end"/>
        </w:r>
      </w:hyperlink>
    </w:p>
    <w:p w14:paraId="631DC8A1" w14:textId="242F2228" w:rsidR="00120E5D" w:rsidRDefault="00120E5D">
      <w:pPr>
        <w:pStyle w:val="TOC1"/>
        <w:rPr>
          <w:rFonts w:asciiTheme="minorHAnsi" w:eastAsiaTheme="minorEastAsia" w:hAnsiTheme="minorHAnsi" w:cstheme="minorBidi"/>
          <w:b w:val="0"/>
          <w:color w:val="auto"/>
          <w:kern w:val="2"/>
          <w:sz w:val="24"/>
          <w:szCs w:val="24"/>
          <w14:ligatures w14:val="standardContextual"/>
        </w:rPr>
      </w:pPr>
      <w:hyperlink w:anchor="_Toc210050724" w:history="1">
        <w:r w:rsidRPr="0089703B">
          <w:rPr>
            <w:rStyle w:val="Hyperlink"/>
          </w:rPr>
          <w:t>Supporting improved regulatory coordination</w:t>
        </w:r>
        <w:r>
          <w:rPr>
            <w:webHidden/>
          </w:rPr>
          <w:tab/>
        </w:r>
        <w:r>
          <w:rPr>
            <w:webHidden/>
          </w:rPr>
          <w:fldChar w:fldCharType="begin"/>
        </w:r>
        <w:r>
          <w:rPr>
            <w:webHidden/>
          </w:rPr>
          <w:instrText xml:space="preserve"> PAGEREF _Toc210050724 \h </w:instrText>
        </w:r>
        <w:r>
          <w:rPr>
            <w:webHidden/>
          </w:rPr>
        </w:r>
        <w:r>
          <w:rPr>
            <w:webHidden/>
          </w:rPr>
          <w:fldChar w:fldCharType="separate"/>
        </w:r>
        <w:r w:rsidR="009E4589">
          <w:rPr>
            <w:webHidden/>
          </w:rPr>
          <w:t>5</w:t>
        </w:r>
        <w:r>
          <w:rPr>
            <w:webHidden/>
          </w:rPr>
          <w:fldChar w:fldCharType="end"/>
        </w:r>
      </w:hyperlink>
    </w:p>
    <w:p w14:paraId="08A6BCA1" w14:textId="4BAA0B87" w:rsidR="00120E5D" w:rsidRDefault="00120E5D">
      <w:pPr>
        <w:pStyle w:val="TOC2"/>
        <w:rPr>
          <w:rFonts w:asciiTheme="minorHAnsi" w:eastAsiaTheme="minorEastAsia" w:hAnsiTheme="minorHAnsi" w:cstheme="minorBidi"/>
          <w:color w:val="auto"/>
          <w:kern w:val="2"/>
          <w:sz w:val="24"/>
          <w:szCs w:val="24"/>
          <w14:ligatures w14:val="standardContextual"/>
        </w:rPr>
      </w:pPr>
      <w:hyperlink w:anchor="_Toc210050725" w:history="1">
        <w:r w:rsidRPr="0089703B">
          <w:rPr>
            <w:rStyle w:val="Hyperlink"/>
          </w:rPr>
          <w:t>Existing coordination mechanisms and examples</w:t>
        </w:r>
        <w:r>
          <w:rPr>
            <w:webHidden/>
          </w:rPr>
          <w:tab/>
        </w:r>
        <w:r>
          <w:rPr>
            <w:webHidden/>
          </w:rPr>
          <w:fldChar w:fldCharType="begin"/>
        </w:r>
        <w:r>
          <w:rPr>
            <w:webHidden/>
          </w:rPr>
          <w:instrText xml:space="preserve"> PAGEREF _Toc210050725 \h </w:instrText>
        </w:r>
        <w:r>
          <w:rPr>
            <w:webHidden/>
          </w:rPr>
        </w:r>
        <w:r>
          <w:rPr>
            <w:webHidden/>
          </w:rPr>
          <w:fldChar w:fldCharType="separate"/>
        </w:r>
        <w:r w:rsidR="009E4589">
          <w:rPr>
            <w:webHidden/>
          </w:rPr>
          <w:t>7</w:t>
        </w:r>
        <w:r>
          <w:rPr>
            <w:webHidden/>
          </w:rPr>
          <w:fldChar w:fldCharType="end"/>
        </w:r>
      </w:hyperlink>
    </w:p>
    <w:p w14:paraId="7F9F34CA" w14:textId="04B30EF6" w:rsidR="00120E5D" w:rsidRDefault="00120E5D">
      <w:pPr>
        <w:pStyle w:val="TOC2"/>
        <w:rPr>
          <w:rFonts w:asciiTheme="minorHAnsi" w:eastAsiaTheme="minorEastAsia" w:hAnsiTheme="minorHAnsi" w:cstheme="minorBidi"/>
          <w:color w:val="auto"/>
          <w:kern w:val="2"/>
          <w:sz w:val="24"/>
          <w:szCs w:val="24"/>
          <w14:ligatures w14:val="standardContextual"/>
        </w:rPr>
      </w:pPr>
      <w:hyperlink w:anchor="_Toc210050726" w:history="1">
        <w:r w:rsidRPr="0089703B">
          <w:rPr>
            <w:rStyle w:val="Hyperlink"/>
          </w:rPr>
          <w:t>Sectors</w:t>
        </w:r>
        <w:r>
          <w:rPr>
            <w:webHidden/>
          </w:rPr>
          <w:tab/>
        </w:r>
        <w:r>
          <w:rPr>
            <w:webHidden/>
          </w:rPr>
          <w:fldChar w:fldCharType="begin"/>
        </w:r>
        <w:r>
          <w:rPr>
            <w:webHidden/>
          </w:rPr>
          <w:instrText xml:space="preserve"> PAGEREF _Toc210050726 \h </w:instrText>
        </w:r>
        <w:r>
          <w:rPr>
            <w:webHidden/>
          </w:rPr>
        </w:r>
        <w:r>
          <w:rPr>
            <w:webHidden/>
          </w:rPr>
          <w:fldChar w:fldCharType="separate"/>
        </w:r>
        <w:r w:rsidR="009E4589">
          <w:rPr>
            <w:webHidden/>
          </w:rPr>
          <w:t>9</w:t>
        </w:r>
        <w:r>
          <w:rPr>
            <w:webHidden/>
          </w:rPr>
          <w:fldChar w:fldCharType="end"/>
        </w:r>
      </w:hyperlink>
    </w:p>
    <w:p w14:paraId="19B93474" w14:textId="2BEA9919" w:rsidR="00120E5D" w:rsidRDefault="00120E5D">
      <w:pPr>
        <w:pStyle w:val="TOC2"/>
        <w:rPr>
          <w:rFonts w:asciiTheme="minorHAnsi" w:eastAsiaTheme="minorEastAsia" w:hAnsiTheme="minorHAnsi" w:cstheme="minorBidi"/>
          <w:color w:val="auto"/>
          <w:kern w:val="2"/>
          <w:sz w:val="24"/>
          <w:szCs w:val="24"/>
          <w14:ligatures w14:val="standardContextual"/>
        </w:rPr>
      </w:pPr>
      <w:hyperlink w:anchor="_Toc210050727" w:history="1">
        <w:r w:rsidRPr="0089703B">
          <w:rPr>
            <w:rStyle w:val="Hyperlink"/>
          </w:rPr>
          <w:t>Categories</w:t>
        </w:r>
        <w:r>
          <w:rPr>
            <w:webHidden/>
          </w:rPr>
          <w:tab/>
        </w:r>
        <w:r>
          <w:rPr>
            <w:webHidden/>
          </w:rPr>
          <w:fldChar w:fldCharType="begin"/>
        </w:r>
        <w:r>
          <w:rPr>
            <w:webHidden/>
          </w:rPr>
          <w:instrText xml:space="preserve"> PAGEREF _Toc210050727 \h </w:instrText>
        </w:r>
        <w:r>
          <w:rPr>
            <w:webHidden/>
          </w:rPr>
        </w:r>
        <w:r>
          <w:rPr>
            <w:webHidden/>
          </w:rPr>
          <w:fldChar w:fldCharType="separate"/>
        </w:r>
        <w:r w:rsidR="009E4589">
          <w:rPr>
            <w:webHidden/>
          </w:rPr>
          <w:t>9</w:t>
        </w:r>
        <w:r>
          <w:rPr>
            <w:webHidden/>
          </w:rPr>
          <w:fldChar w:fldCharType="end"/>
        </w:r>
      </w:hyperlink>
    </w:p>
    <w:p w14:paraId="711DFE69" w14:textId="3AC675BA" w:rsidR="00120E5D" w:rsidRDefault="00120E5D">
      <w:pPr>
        <w:pStyle w:val="TOC2"/>
        <w:rPr>
          <w:rFonts w:asciiTheme="minorHAnsi" w:eastAsiaTheme="minorEastAsia" w:hAnsiTheme="minorHAnsi" w:cstheme="minorBidi"/>
          <w:color w:val="auto"/>
          <w:kern w:val="2"/>
          <w:sz w:val="24"/>
          <w:szCs w:val="24"/>
          <w14:ligatures w14:val="standardContextual"/>
        </w:rPr>
      </w:pPr>
      <w:hyperlink w:anchor="_Toc210050728" w:history="1">
        <w:r w:rsidRPr="0089703B">
          <w:rPr>
            <w:rStyle w:val="Hyperlink"/>
          </w:rPr>
          <w:t>Contributing agencies</w:t>
        </w:r>
        <w:r>
          <w:rPr>
            <w:webHidden/>
          </w:rPr>
          <w:tab/>
        </w:r>
        <w:r>
          <w:rPr>
            <w:webHidden/>
          </w:rPr>
          <w:fldChar w:fldCharType="begin"/>
        </w:r>
        <w:r>
          <w:rPr>
            <w:webHidden/>
          </w:rPr>
          <w:instrText xml:space="preserve"> PAGEREF _Toc210050728 \h </w:instrText>
        </w:r>
        <w:r>
          <w:rPr>
            <w:webHidden/>
          </w:rPr>
        </w:r>
        <w:r>
          <w:rPr>
            <w:webHidden/>
          </w:rPr>
          <w:fldChar w:fldCharType="separate"/>
        </w:r>
        <w:r w:rsidR="009E4589">
          <w:rPr>
            <w:webHidden/>
          </w:rPr>
          <w:t>10</w:t>
        </w:r>
        <w:r>
          <w:rPr>
            <w:webHidden/>
          </w:rPr>
          <w:fldChar w:fldCharType="end"/>
        </w:r>
      </w:hyperlink>
    </w:p>
    <w:p w14:paraId="26B5EBCC" w14:textId="79DE3C52" w:rsidR="00120E5D" w:rsidRDefault="00120E5D">
      <w:pPr>
        <w:pStyle w:val="TOC2"/>
        <w:rPr>
          <w:rFonts w:asciiTheme="minorHAnsi" w:eastAsiaTheme="minorEastAsia" w:hAnsiTheme="minorHAnsi" w:cstheme="minorBidi"/>
          <w:color w:val="auto"/>
          <w:kern w:val="2"/>
          <w:sz w:val="24"/>
          <w:szCs w:val="24"/>
          <w14:ligatures w14:val="standardContextual"/>
        </w:rPr>
      </w:pPr>
      <w:hyperlink w:anchor="_Toc210050729" w:history="1">
        <w:r w:rsidRPr="0089703B">
          <w:rPr>
            <w:rStyle w:val="Hyperlink"/>
          </w:rPr>
          <w:t>Scope</w:t>
        </w:r>
        <w:r>
          <w:rPr>
            <w:webHidden/>
          </w:rPr>
          <w:tab/>
        </w:r>
        <w:r>
          <w:rPr>
            <w:webHidden/>
          </w:rPr>
          <w:fldChar w:fldCharType="begin"/>
        </w:r>
        <w:r>
          <w:rPr>
            <w:webHidden/>
          </w:rPr>
          <w:instrText xml:space="preserve"> PAGEREF _Toc210050729 \h </w:instrText>
        </w:r>
        <w:r>
          <w:rPr>
            <w:webHidden/>
          </w:rPr>
        </w:r>
        <w:r>
          <w:rPr>
            <w:webHidden/>
          </w:rPr>
          <w:fldChar w:fldCharType="separate"/>
        </w:r>
        <w:r w:rsidR="009E4589">
          <w:rPr>
            <w:webHidden/>
          </w:rPr>
          <w:t>11</w:t>
        </w:r>
        <w:r>
          <w:rPr>
            <w:webHidden/>
          </w:rPr>
          <w:fldChar w:fldCharType="end"/>
        </w:r>
      </w:hyperlink>
    </w:p>
    <w:p w14:paraId="2C23A915" w14:textId="3A82DD20" w:rsidR="00120E5D" w:rsidRDefault="00120E5D">
      <w:pPr>
        <w:pStyle w:val="TOC2"/>
        <w:rPr>
          <w:rFonts w:asciiTheme="minorHAnsi" w:eastAsiaTheme="minorEastAsia" w:hAnsiTheme="minorHAnsi" w:cstheme="minorBidi"/>
          <w:color w:val="auto"/>
          <w:kern w:val="2"/>
          <w:sz w:val="24"/>
          <w:szCs w:val="24"/>
          <w14:ligatures w14:val="standardContextual"/>
        </w:rPr>
      </w:pPr>
      <w:hyperlink w:anchor="_Toc210050730" w:history="1">
        <w:r w:rsidRPr="0089703B">
          <w:rPr>
            <w:rStyle w:val="Hyperlink"/>
          </w:rPr>
          <w:t>How to read the RIG</w:t>
        </w:r>
        <w:r>
          <w:rPr>
            <w:webHidden/>
          </w:rPr>
          <w:tab/>
        </w:r>
        <w:r>
          <w:rPr>
            <w:webHidden/>
          </w:rPr>
          <w:fldChar w:fldCharType="begin"/>
        </w:r>
        <w:r>
          <w:rPr>
            <w:webHidden/>
          </w:rPr>
          <w:instrText xml:space="preserve"> PAGEREF _Toc210050730 \h </w:instrText>
        </w:r>
        <w:r>
          <w:rPr>
            <w:webHidden/>
          </w:rPr>
        </w:r>
        <w:r>
          <w:rPr>
            <w:webHidden/>
          </w:rPr>
          <w:fldChar w:fldCharType="separate"/>
        </w:r>
        <w:r w:rsidR="009E4589">
          <w:rPr>
            <w:webHidden/>
          </w:rPr>
          <w:t>12</w:t>
        </w:r>
        <w:r>
          <w:rPr>
            <w:webHidden/>
          </w:rPr>
          <w:fldChar w:fldCharType="end"/>
        </w:r>
      </w:hyperlink>
    </w:p>
    <w:p w14:paraId="6F1A5867" w14:textId="00D132B1" w:rsidR="00120E5D" w:rsidRDefault="00120E5D">
      <w:pPr>
        <w:pStyle w:val="TOC2"/>
        <w:rPr>
          <w:rFonts w:asciiTheme="minorHAnsi" w:eastAsiaTheme="minorEastAsia" w:hAnsiTheme="minorHAnsi" w:cstheme="minorBidi"/>
          <w:color w:val="auto"/>
          <w:kern w:val="2"/>
          <w:sz w:val="24"/>
          <w:szCs w:val="24"/>
          <w14:ligatures w14:val="standardContextual"/>
        </w:rPr>
      </w:pPr>
      <w:hyperlink w:anchor="_Toc210050731" w:history="1">
        <w:r w:rsidRPr="0089703B">
          <w:rPr>
            <w:rStyle w:val="Hyperlink"/>
          </w:rPr>
          <w:t>Feedback</w:t>
        </w:r>
        <w:r>
          <w:rPr>
            <w:webHidden/>
          </w:rPr>
          <w:tab/>
        </w:r>
        <w:r>
          <w:rPr>
            <w:webHidden/>
          </w:rPr>
          <w:fldChar w:fldCharType="begin"/>
        </w:r>
        <w:r>
          <w:rPr>
            <w:webHidden/>
          </w:rPr>
          <w:instrText xml:space="preserve"> PAGEREF _Toc210050731 \h </w:instrText>
        </w:r>
        <w:r>
          <w:rPr>
            <w:webHidden/>
          </w:rPr>
        </w:r>
        <w:r>
          <w:rPr>
            <w:webHidden/>
          </w:rPr>
          <w:fldChar w:fldCharType="separate"/>
        </w:r>
        <w:r w:rsidR="009E4589">
          <w:rPr>
            <w:webHidden/>
          </w:rPr>
          <w:t>13</w:t>
        </w:r>
        <w:r>
          <w:rPr>
            <w:webHidden/>
          </w:rPr>
          <w:fldChar w:fldCharType="end"/>
        </w:r>
      </w:hyperlink>
    </w:p>
    <w:p w14:paraId="60BE5616" w14:textId="2C2D9BF2" w:rsidR="00120E5D" w:rsidRDefault="00120E5D">
      <w:pPr>
        <w:pStyle w:val="TOC2"/>
        <w:rPr>
          <w:rFonts w:asciiTheme="minorHAnsi" w:eastAsiaTheme="minorEastAsia" w:hAnsiTheme="minorHAnsi" w:cstheme="minorBidi"/>
          <w:color w:val="auto"/>
          <w:kern w:val="2"/>
          <w:sz w:val="24"/>
          <w:szCs w:val="24"/>
          <w14:ligatures w14:val="standardContextual"/>
        </w:rPr>
      </w:pPr>
      <w:hyperlink w:anchor="_Toc210050732" w:history="1">
        <w:r w:rsidRPr="0089703B">
          <w:rPr>
            <w:rStyle w:val="Hyperlink"/>
          </w:rPr>
          <w:t>Future updates</w:t>
        </w:r>
        <w:r>
          <w:rPr>
            <w:webHidden/>
          </w:rPr>
          <w:tab/>
        </w:r>
        <w:r>
          <w:rPr>
            <w:webHidden/>
          </w:rPr>
          <w:fldChar w:fldCharType="begin"/>
        </w:r>
        <w:r>
          <w:rPr>
            <w:webHidden/>
          </w:rPr>
          <w:instrText xml:space="preserve"> PAGEREF _Toc210050732 \h </w:instrText>
        </w:r>
        <w:r>
          <w:rPr>
            <w:webHidden/>
          </w:rPr>
        </w:r>
        <w:r>
          <w:rPr>
            <w:webHidden/>
          </w:rPr>
          <w:fldChar w:fldCharType="separate"/>
        </w:r>
        <w:r w:rsidR="009E4589">
          <w:rPr>
            <w:webHidden/>
          </w:rPr>
          <w:t>13</w:t>
        </w:r>
        <w:r>
          <w:rPr>
            <w:webHidden/>
          </w:rPr>
          <w:fldChar w:fldCharType="end"/>
        </w:r>
      </w:hyperlink>
    </w:p>
    <w:p w14:paraId="00F96EC6" w14:textId="44BB4EBC" w:rsidR="00120E5D" w:rsidRDefault="00120E5D">
      <w:pPr>
        <w:pStyle w:val="TOC1"/>
        <w:tabs>
          <w:tab w:val="left" w:pos="720"/>
        </w:tabs>
        <w:rPr>
          <w:rFonts w:asciiTheme="minorHAnsi" w:eastAsiaTheme="minorEastAsia" w:hAnsiTheme="minorHAnsi" w:cstheme="minorBidi"/>
          <w:b w:val="0"/>
          <w:color w:val="auto"/>
          <w:kern w:val="2"/>
          <w:sz w:val="24"/>
          <w:szCs w:val="24"/>
          <w14:ligatures w14:val="standardContextual"/>
        </w:rPr>
      </w:pPr>
      <w:hyperlink w:anchor="_Toc210050733" w:history="1">
        <w:r w:rsidRPr="0089703B">
          <w:rPr>
            <w:rStyle w:val="Hyperlink"/>
          </w:rPr>
          <w:t>1.</w:t>
        </w:r>
        <w:r>
          <w:rPr>
            <w:rFonts w:asciiTheme="minorHAnsi" w:eastAsiaTheme="minorEastAsia" w:hAnsiTheme="minorHAnsi" w:cstheme="minorBidi"/>
            <w:b w:val="0"/>
            <w:color w:val="auto"/>
            <w:kern w:val="2"/>
            <w:sz w:val="24"/>
            <w:szCs w:val="24"/>
            <w14:ligatures w14:val="standardContextual"/>
          </w:rPr>
          <w:t xml:space="preserve"> </w:t>
        </w:r>
        <w:r w:rsidRPr="0089703B">
          <w:rPr>
            <w:rStyle w:val="Hyperlink"/>
          </w:rPr>
          <w:t>Policy development</w:t>
        </w:r>
        <w:r>
          <w:rPr>
            <w:webHidden/>
          </w:rPr>
          <w:tab/>
        </w:r>
        <w:r>
          <w:rPr>
            <w:webHidden/>
          </w:rPr>
          <w:fldChar w:fldCharType="begin"/>
        </w:r>
        <w:r>
          <w:rPr>
            <w:webHidden/>
          </w:rPr>
          <w:instrText xml:space="preserve"> PAGEREF _Toc210050733 \h </w:instrText>
        </w:r>
        <w:r>
          <w:rPr>
            <w:webHidden/>
          </w:rPr>
        </w:r>
        <w:r>
          <w:rPr>
            <w:webHidden/>
          </w:rPr>
          <w:fldChar w:fldCharType="separate"/>
        </w:r>
        <w:r w:rsidR="009E4589">
          <w:rPr>
            <w:webHidden/>
          </w:rPr>
          <w:t>14</w:t>
        </w:r>
        <w:r>
          <w:rPr>
            <w:webHidden/>
          </w:rPr>
          <w:fldChar w:fldCharType="end"/>
        </w:r>
      </w:hyperlink>
    </w:p>
    <w:p w14:paraId="7C1B612A" w14:textId="03C26287" w:rsidR="00120E5D" w:rsidRDefault="00120E5D">
      <w:pPr>
        <w:pStyle w:val="TOC1"/>
        <w:tabs>
          <w:tab w:val="left" w:pos="720"/>
        </w:tabs>
        <w:rPr>
          <w:rFonts w:asciiTheme="minorHAnsi" w:eastAsiaTheme="minorEastAsia" w:hAnsiTheme="minorHAnsi" w:cstheme="minorBidi"/>
          <w:b w:val="0"/>
          <w:color w:val="auto"/>
          <w:kern w:val="2"/>
          <w:sz w:val="24"/>
          <w:szCs w:val="24"/>
          <w14:ligatures w14:val="standardContextual"/>
        </w:rPr>
      </w:pPr>
      <w:hyperlink w:anchor="_Toc210050734" w:history="1">
        <w:r w:rsidRPr="0089703B">
          <w:rPr>
            <w:rStyle w:val="Hyperlink"/>
          </w:rPr>
          <w:t>2.</w:t>
        </w:r>
        <w:r>
          <w:rPr>
            <w:rFonts w:asciiTheme="minorHAnsi" w:eastAsiaTheme="minorEastAsia" w:hAnsiTheme="minorHAnsi" w:cstheme="minorBidi"/>
            <w:b w:val="0"/>
            <w:color w:val="auto"/>
            <w:kern w:val="2"/>
            <w:sz w:val="24"/>
            <w:szCs w:val="24"/>
            <w14:ligatures w14:val="standardContextual"/>
          </w:rPr>
          <w:t xml:space="preserve"> </w:t>
        </w:r>
        <w:r w:rsidRPr="0089703B">
          <w:rPr>
            <w:rStyle w:val="Hyperlink"/>
          </w:rPr>
          <w:t>Development of legislation, regulations and instruments</w:t>
        </w:r>
        <w:r>
          <w:rPr>
            <w:webHidden/>
          </w:rPr>
          <w:tab/>
        </w:r>
        <w:r>
          <w:rPr>
            <w:webHidden/>
          </w:rPr>
          <w:fldChar w:fldCharType="begin"/>
        </w:r>
        <w:r>
          <w:rPr>
            <w:webHidden/>
          </w:rPr>
          <w:instrText xml:space="preserve"> PAGEREF _Toc210050734 \h </w:instrText>
        </w:r>
        <w:r>
          <w:rPr>
            <w:webHidden/>
          </w:rPr>
        </w:r>
        <w:r>
          <w:rPr>
            <w:webHidden/>
          </w:rPr>
          <w:fldChar w:fldCharType="separate"/>
        </w:r>
        <w:r w:rsidR="009E4589">
          <w:rPr>
            <w:webHidden/>
          </w:rPr>
          <w:t>17</w:t>
        </w:r>
        <w:r>
          <w:rPr>
            <w:webHidden/>
          </w:rPr>
          <w:fldChar w:fldCharType="end"/>
        </w:r>
      </w:hyperlink>
    </w:p>
    <w:p w14:paraId="416B9426" w14:textId="6A8A08D6" w:rsidR="00120E5D" w:rsidRDefault="00120E5D">
      <w:pPr>
        <w:pStyle w:val="TOC1"/>
        <w:tabs>
          <w:tab w:val="left" w:pos="720"/>
        </w:tabs>
        <w:rPr>
          <w:rFonts w:asciiTheme="minorHAnsi" w:eastAsiaTheme="minorEastAsia" w:hAnsiTheme="minorHAnsi" w:cstheme="minorBidi"/>
          <w:b w:val="0"/>
          <w:color w:val="auto"/>
          <w:kern w:val="2"/>
          <w:sz w:val="24"/>
          <w:szCs w:val="24"/>
          <w14:ligatures w14:val="standardContextual"/>
        </w:rPr>
      </w:pPr>
      <w:hyperlink w:anchor="_Toc210050735" w:history="1">
        <w:r w:rsidRPr="0089703B">
          <w:rPr>
            <w:rStyle w:val="Hyperlink"/>
          </w:rPr>
          <w:t>3.</w:t>
        </w:r>
        <w:r>
          <w:rPr>
            <w:rFonts w:asciiTheme="minorHAnsi" w:eastAsiaTheme="minorEastAsia" w:hAnsiTheme="minorHAnsi" w:cstheme="minorBidi"/>
            <w:b w:val="0"/>
            <w:color w:val="auto"/>
            <w:kern w:val="2"/>
            <w:sz w:val="24"/>
            <w:szCs w:val="24"/>
            <w14:ligatures w14:val="standardContextual"/>
          </w:rPr>
          <w:t xml:space="preserve"> </w:t>
        </w:r>
        <w:r w:rsidRPr="0089703B">
          <w:rPr>
            <w:rStyle w:val="Hyperlink"/>
          </w:rPr>
          <w:t>Ongoing program implementation</w:t>
        </w:r>
        <w:r>
          <w:rPr>
            <w:webHidden/>
          </w:rPr>
          <w:tab/>
        </w:r>
        <w:r>
          <w:rPr>
            <w:webHidden/>
          </w:rPr>
          <w:fldChar w:fldCharType="begin"/>
        </w:r>
        <w:r>
          <w:rPr>
            <w:webHidden/>
          </w:rPr>
          <w:instrText xml:space="preserve"> PAGEREF _Toc210050735 \h </w:instrText>
        </w:r>
        <w:r>
          <w:rPr>
            <w:webHidden/>
          </w:rPr>
        </w:r>
        <w:r>
          <w:rPr>
            <w:webHidden/>
          </w:rPr>
          <w:fldChar w:fldCharType="separate"/>
        </w:r>
        <w:r w:rsidR="009E4589">
          <w:rPr>
            <w:webHidden/>
          </w:rPr>
          <w:t>29</w:t>
        </w:r>
        <w:r>
          <w:rPr>
            <w:webHidden/>
          </w:rPr>
          <w:fldChar w:fldCharType="end"/>
        </w:r>
      </w:hyperlink>
    </w:p>
    <w:p w14:paraId="571F5FFA" w14:textId="2D313AB2" w:rsidR="00120E5D" w:rsidRDefault="00120E5D">
      <w:pPr>
        <w:pStyle w:val="TOC1"/>
        <w:tabs>
          <w:tab w:val="left" w:pos="720"/>
        </w:tabs>
        <w:rPr>
          <w:rFonts w:asciiTheme="minorHAnsi" w:eastAsiaTheme="minorEastAsia" w:hAnsiTheme="minorHAnsi" w:cstheme="minorBidi"/>
          <w:b w:val="0"/>
          <w:color w:val="auto"/>
          <w:kern w:val="2"/>
          <w:sz w:val="24"/>
          <w:szCs w:val="24"/>
          <w14:ligatures w14:val="standardContextual"/>
        </w:rPr>
      </w:pPr>
      <w:hyperlink w:anchor="_Toc210050736" w:history="1">
        <w:r w:rsidRPr="0089703B">
          <w:rPr>
            <w:rStyle w:val="Hyperlink"/>
          </w:rPr>
          <w:t>4.</w:t>
        </w:r>
        <w:r>
          <w:rPr>
            <w:rFonts w:asciiTheme="minorHAnsi" w:eastAsiaTheme="minorEastAsia" w:hAnsiTheme="minorHAnsi" w:cstheme="minorBidi"/>
            <w:b w:val="0"/>
            <w:color w:val="auto"/>
            <w:kern w:val="2"/>
            <w:sz w:val="24"/>
            <w:szCs w:val="24"/>
            <w14:ligatures w14:val="standardContextual"/>
          </w:rPr>
          <w:t xml:space="preserve"> </w:t>
        </w:r>
        <w:r w:rsidRPr="0089703B">
          <w:rPr>
            <w:rStyle w:val="Hyperlink"/>
          </w:rPr>
          <w:t>Review and evaluation</w:t>
        </w:r>
        <w:r>
          <w:rPr>
            <w:webHidden/>
          </w:rPr>
          <w:tab/>
        </w:r>
        <w:r>
          <w:rPr>
            <w:webHidden/>
          </w:rPr>
          <w:fldChar w:fldCharType="begin"/>
        </w:r>
        <w:r>
          <w:rPr>
            <w:webHidden/>
          </w:rPr>
          <w:instrText xml:space="preserve"> PAGEREF _Toc210050736 \h </w:instrText>
        </w:r>
        <w:r>
          <w:rPr>
            <w:webHidden/>
          </w:rPr>
        </w:r>
        <w:r>
          <w:rPr>
            <w:webHidden/>
          </w:rPr>
          <w:fldChar w:fldCharType="separate"/>
        </w:r>
        <w:r w:rsidR="009E4589">
          <w:rPr>
            <w:webHidden/>
          </w:rPr>
          <w:t>37</w:t>
        </w:r>
        <w:r>
          <w:rPr>
            <w:webHidden/>
          </w:rPr>
          <w:fldChar w:fldCharType="end"/>
        </w:r>
      </w:hyperlink>
    </w:p>
    <w:p w14:paraId="69B1E26B" w14:textId="6F8DA1E5" w:rsidR="00120E5D" w:rsidRDefault="00120E5D">
      <w:pPr>
        <w:pStyle w:val="TOC1"/>
        <w:rPr>
          <w:rFonts w:asciiTheme="minorHAnsi" w:eastAsiaTheme="minorEastAsia" w:hAnsiTheme="minorHAnsi" w:cstheme="minorBidi"/>
          <w:b w:val="0"/>
          <w:color w:val="auto"/>
          <w:kern w:val="2"/>
          <w:sz w:val="24"/>
          <w:szCs w:val="24"/>
          <w14:ligatures w14:val="standardContextual"/>
        </w:rPr>
      </w:pPr>
      <w:hyperlink w:anchor="_Toc210050737" w:history="1">
        <w:r w:rsidRPr="0089703B">
          <w:rPr>
            <w:rStyle w:val="Hyperlink"/>
          </w:rPr>
          <w:t>Changes to initiatives included in Edition 1</w:t>
        </w:r>
        <w:r>
          <w:rPr>
            <w:webHidden/>
          </w:rPr>
          <w:tab/>
        </w:r>
        <w:r>
          <w:rPr>
            <w:webHidden/>
          </w:rPr>
          <w:fldChar w:fldCharType="begin"/>
        </w:r>
        <w:r>
          <w:rPr>
            <w:webHidden/>
          </w:rPr>
          <w:instrText xml:space="preserve"> PAGEREF _Toc210050737 \h </w:instrText>
        </w:r>
        <w:r>
          <w:rPr>
            <w:webHidden/>
          </w:rPr>
        </w:r>
        <w:r>
          <w:rPr>
            <w:webHidden/>
          </w:rPr>
          <w:fldChar w:fldCharType="separate"/>
        </w:r>
        <w:r w:rsidR="009E4589">
          <w:rPr>
            <w:webHidden/>
          </w:rPr>
          <w:t>42</w:t>
        </w:r>
        <w:r>
          <w:rPr>
            <w:webHidden/>
          </w:rPr>
          <w:fldChar w:fldCharType="end"/>
        </w:r>
      </w:hyperlink>
    </w:p>
    <w:p w14:paraId="3682F864" w14:textId="3693D8A0" w:rsidR="00B775EE" w:rsidRPr="00A343D5" w:rsidRDefault="00DF73F9" w:rsidP="00DF73F9">
      <w:pPr>
        <w:pStyle w:val="GhostLine"/>
        <w:sectPr w:rsidR="00B775EE" w:rsidRPr="00A343D5" w:rsidSect="00395588">
          <w:headerReference w:type="even" r:id="rId21"/>
          <w:headerReference w:type="default" r:id="rId22"/>
          <w:footerReference w:type="even" r:id="rId23"/>
          <w:footerReference w:type="default" r:id="rId24"/>
          <w:headerReference w:type="first" r:id="rId25"/>
          <w:footerReference w:type="first" r:id="rId26"/>
          <w:pgSz w:w="16838" w:h="11906" w:orient="landscape" w:code="9"/>
          <w:pgMar w:top="1843" w:right="1418" w:bottom="1021" w:left="1418" w:header="709" w:footer="397" w:gutter="0"/>
          <w:pgNumType w:fmt="lowerRoman" w:start="3"/>
          <w:cols w:num="2" w:space="1755" w:equalWidth="0">
            <w:col w:w="3175" w:space="1755"/>
            <w:col w:w="9072"/>
          </w:cols>
          <w:titlePg/>
          <w:docGrid w:linePitch="360"/>
        </w:sectPr>
      </w:pPr>
      <w:r>
        <w:fldChar w:fldCharType="end"/>
      </w:r>
    </w:p>
    <w:p w14:paraId="597FF4E9" w14:textId="160E5DE4" w:rsidR="00475085" w:rsidRPr="00A343D5" w:rsidRDefault="00475085" w:rsidP="00A343D5">
      <w:pPr>
        <w:pStyle w:val="Heading1"/>
        <w:spacing w:before="0"/>
      </w:pPr>
      <w:bookmarkStart w:id="9" w:name="_Toc210050721"/>
      <w:r w:rsidRPr="00A343D5">
        <w:lastRenderedPageBreak/>
        <w:t>Foreword</w:t>
      </w:r>
      <w:bookmarkEnd w:id="7"/>
      <w:bookmarkEnd w:id="8"/>
      <w:bookmarkEnd w:id="9"/>
    </w:p>
    <w:p w14:paraId="3EE9009F" w14:textId="77035779" w:rsidR="00B00884" w:rsidRDefault="00141113" w:rsidP="00B00884">
      <w:pPr>
        <w:rPr>
          <w:rFonts w:eastAsia="Calibri Light" w:cs="Arial"/>
          <w:szCs w:val="24"/>
        </w:rPr>
      </w:pPr>
      <w:r>
        <w:rPr>
          <w:rFonts w:cs="Arial"/>
          <w:bCs/>
          <w:szCs w:val="24"/>
        </w:rPr>
        <w:br w:type="column"/>
      </w:r>
      <w:r w:rsidR="00B00884">
        <w:rPr>
          <w:rFonts w:eastAsia="Calibri Light" w:cs="Arial"/>
          <w:szCs w:val="24"/>
        </w:rPr>
        <w:t xml:space="preserve">At the heart of the Albanese Labor </w:t>
      </w:r>
      <w:r w:rsidR="00163BCD">
        <w:rPr>
          <w:rFonts w:eastAsia="Calibri Light" w:cs="Arial"/>
          <w:szCs w:val="24"/>
        </w:rPr>
        <w:t>g</w:t>
      </w:r>
      <w:r w:rsidR="00B00884">
        <w:rPr>
          <w:rFonts w:eastAsia="Calibri Light" w:cs="Arial"/>
          <w:szCs w:val="24"/>
        </w:rPr>
        <w:t>overnment</w:t>
      </w:r>
      <w:r w:rsidR="003D486F">
        <w:rPr>
          <w:rFonts w:eastAsia="Calibri Light" w:cs="Arial"/>
          <w:szCs w:val="24"/>
        </w:rPr>
        <w:t>’</w:t>
      </w:r>
      <w:r w:rsidR="00B00884">
        <w:rPr>
          <w:rFonts w:eastAsia="Calibri Light" w:cs="Arial"/>
          <w:szCs w:val="24"/>
        </w:rPr>
        <w:t>s second term economic agenda is productivity.</w:t>
      </w:r>
    </w:p>
    <w:p w14:paraId="5C92BEF4" w14:textId="62BF284D" w:rsidR="00B00884" w:rsidRDefault="00B00884" w:rsidP="00B00884">
      <w:pPr>
        <w:rPr>
          <w:rFonts w:eastAsia="Calibri Light" w:cs="Arial"/>
          <w:szCs w:val="24"/>
        </w:rPr>
      </w:pPr>
      <w:r>
        <w:rPr>
          <w:rFonts w:eastAsia="Calibri Light" w:cs="Arial"/>
          <w:szCs w:val="24"/>
        </w:rPr>
        <w:t>That</w:t>
      </w:r>
      <w:r w:rsidR="003D486F">
        <w:rPr>
          <w:rFonts w:eastAsia="Calibri Light" w:cs="Arial"/>
          <w:szCs w:val="24"/>
        </w:rPr>
        <w:t>’</w:t>
      </w:r>
      <w:r>
        <w:rPr>
          <w:rFonts w:eastAsia="Calibri Light" w:cs="Arial"/>
          <w:szCs w:val="24"/>
        </w:rPr>
        <w:t>s because we recognise lifting p</w:t>
      </w:r>
      <w:r w:rsidRPr="005A2C10">
        <w:rPr>
          <w:rFonts w:eastAsia="Calibri Light" w:cs="Arial"/>
          <w:szCs w:val="24"/>
        </w:rPr>
        <w:t xml:space="preserve">roductivity is the key to lifting living standards and wages </w:t>
      </w:r>
      <w:r>
        <w:rPr>
          <w:rFonts w:eastAsia="Calibri Light" w:cs="Arial"/>
          <w:szCs w:val="24"/>
        </w:rPr>
        <w:t xml:space="preserve">for working Australians right around the country </w:t>
      </w:r>
      <w:r w:rsidRPr="005A2C10">
        <w:rPr>
          <w:rFonts w:eastAsia="Calibri Light" w:cs="Arial"/>
          <w:szCs w:val="24"/>
        </w:rPr>
        <w:t>in the long term.</w:t>
      </w:r>
      <w:r>
        <w:rPr>
          <w:rFonts w:eastAsia="Calibri Light" w:cs="Arial"/>
          <w:szCs w:val="24"/>
        </w:rPr>
        <w:t xml:space="preserve"> </w:t>
      </w:r>
    </w:p>
    <w:p w14:paraId="3B320A98" w14:textId="0F37D718" w:rsidR="00B00884" w:rsidRDefault="00B00884" w:rsidP="00B00884">
      <w:pPr>
        <w:rPr>
          <w:rFonts w:eastAsia="Calibri Light" w:cs="Arial"/>
          <w:szCs w:val="24"/>
        </w:rPr>
      </w:pPr>
      <w:r>
        <w:rPr>
          <w:rFonts w:eastAsia="Calibri Light" w:cs="Arial"/>
          <w:szCs w:val="24"/>
        </w:rPr>
        <w:t xml:space="preserve">An important part of making our economy more productive and our society more prosperous is regulation. </w:t>
      </w:r>
    </w:p>
    <w:p w14:paraId="5BA93F91" w14:textId="5DFCB003" w:rsidR="00B00884" w:rsidRDefault="00B00884" w:rsidP="00B00884">
      <w:pPr>
        <w:rPr>
          <w:rFonts w:eastAsia="Calibri Light" w:cs="Arial"/>
          <w:szCs w:val="24"/>
        </w:rPr>
      </w:pPr>
      <w:r>
        <w:rPr>
          <w:rFonts w:eastAsia="Calibri Light" w:cs="Arial"/>
          <w:szCs w:val="24"/>
        </w:rPr>
        <w:t>Better regulation was a clear focus at the Economic Reform Roundtable I convened earlier this year and it was one of the ten areas where there was clear consensus across those three days more reform was needed.</w:t>
      </w:r>
    </w:p>
    <w:p w14:paraId="246EC6E6" w14:textId="7F25ACF8" w:rsidR="00B00884" w:rsidRPr="00841E6D" w:rsidRDefault="00B00884" w:rsidP="00B00884">
      <w:pPr>
        <w:rPr>
          <w:rFonts w:eastAsia="Calibri Light" w:cs="Arial"/>
          <w:szCs w:val="24"/>
        </w:rPr>
      </w:pPr>
      <w:r w:rsidRPr="00841E6D">
        <w:rPr>
          <w:rFonts w:eastAsia="Calibri Light" w:cs="Arial"/>
          <w:szCs w:val="24"/>
        </w:rPr>
        <w:t>Cutting red tape where we responsibly can helps ease the burden on businesses and consumers and helps make our economy more prosperous and productive.</w:t>
      </w:r>
    </w:p>
    <w:p w14:paraId="3B3A9AB7" w14:textId="0912844A" w:rsidR="00B00884" w:rsidRPr="00841E6D" w:rsidRDefault="00B00884" w:rsidP="00B00884">
      <w:pPr>
        <w:rPr>
          <w:rFonts w:eastAsia="Calibri Light" w:cs="Arial"/>
        </w:rPr>
      </w:pPr>
      <w:r w:rsidRPr="00841E6D">
        <w:rPr>
          <w:rFonts w:eastAsia="Calibri Light" w:cs="Arial"/>
        </w:rPr>
        <w:t>That is why I am pleased to publish the second edition of the financial sector Regulatory Initiatives Grid (RIG). The RIG is all about making sure the standard business of regulation is carried out in a more transparent and coordinated way across the financial sector.</w:t>
      </w:r>
    </w:p>
    <w:p w14:paraId="4966DE72" w14:textId="3CB0DC2A" w:rsidR="00B00884" w:rsidRPr="00841E6D" w:rsidRDefault="00B00884" w:rsidP="00B00884">
      <w:pPr>
        <w:rPr>
          <w:rFonts w:eastAsia="Calibri Light" w:cs="Arial"/>
        </w:rPr>
      </w:pPr>
      <w:r w:rsidRPr="00841E6D">
        <w:rPr>
          <w:rFonts w:eastAsia="Calibri Light" w:cs="Arial"/>
        </w:rPr>
        <w:t xml:space="preserve">It helps financial services businesses engage with the </w:t>
      </w:r>
      <w:r w:rsidR="00163BCD">
        <w:rPr>
          <w:rFonts w:eastAsia="Calibri Light" w:cs="Arial"/>
        </w:rPr>
        <w:t>g</w:t>
      </w:r>
      <w:r w:rsidRPr="00841E6D">
        <w:rPr>
          <w:rFonts w:eastAsia="Calibri Light" w:cs="Arial"/>
        </w:rPr>
        <w:t>overnment and regulators more effectively and supports regulators to avoid unnecessary duplication.</w:t>
      </w:r>
    </w:p>
    <w:p w14:paraId="3FE97EB0" w14:textId="146EA3CD" w:rsidR="00B00884" w:rsidRPr="00841E6D" w:rsidRDefault="00B00884" w:rsidP="00B00884">
      <w:pPr>
        <w:rPr>
          <w:rFonts w:eastAsia="Calibri Light" w:cs="Arial"/>
        </w:rPr>
      </w:pPr>
      <w:r w:rsidRPr="00841E6D">
        <w:rPr>
          <w:rFonts w:eastAsia="Calibri Light" w:cs="Arial"/>
        </w:rPr>
        <w:t>This second edition also establishes a set of Coordination Principles, to guide how regulatory agencies across government work with one another to avoid unnecessary regulatory burdens. More coordination will improve efficiency and productivity for regulatory agencies and businesses.</w:t>
      </w:r>
    </w:p>
    <w:p w14:paraId="78919E67" w14:textId="67117865" w:rsidR="00B00884" w:rsidRDefault="00B00884" w:rsidP="00B00884">
      <w:pPr>
        <w:rPr>
          <w:rFonts w:eastAsia="Calibri Light"/>
        </w:rPr>
      </w:pPr>
      <w:r w:rsidRPr="00841E6D">
        <w:rPr>
          <w:rFonts w:eastAsia="Calibri Light" w:cs="Arial"/>
        </w:rPr>
        <w:t>I thank the financial sector and stakeholders for their ongoing and constructive engagement in the design and operation of the RIG.</w:t>
      </w:r>
    </w:p>
    <w:p w14:paraId="7BC1DE7A" w14:textId="06C3E2E8" w:rsidR="00B00884" w:rsidRDefault="00B00884" w:rsidP="00B00884">
      <w:r w:rsidRPr="00841E6D">
        <w:rPr>
          <w:rFonts w:eastAsia="Calibri Light"/>
        </w:rPr>
        <w:t>With better regulation as a clear reform direction, I look forward to continuing to engage with the sector as the RIG progresses.</w:t>
      </w:r>
      <w:r>
        <w:t xml:space="preserve"> </w:t>
      </w:r>
    </w:p>
    <w:p w14:paraId="7ED1E073" w14:textId="6BF74F24" w:rsidR="00E0372F" w:rsidRPr="00E0372F" w:rsidRDefault="00E0372F" w:rsidP="009E068A">
      <w:r>
        <w:rPr>
          <w:noProof/>
        </w:rPr>
        <w:drawing>
          <wp:inline distT="0" distB="0" distL="0" distR="0" wp14:anchorId="2B8D26E7" wp14:editId="7D610469">
            <wp:extent cx="2016125" cy="614680"/>
            <wp:effectExtent l="0" t="0" r="3175" b="0"/>
            <wp:docPr id="1949292043" name="Picture 1949292043" descr="Signature of The Hon Dr Jim Chalmers M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92043" name="Picture 1949292043" descr="Signature of The Hon Dr Jim Chalmers MP">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16125" cy="614680"/>
                    </a:xfrm>
                    <a:prstGeom prst="rect">
                      <a:avLst/>
                    </a:prstGeom>
                  </pic:spPr>
                </pic:pic>
              </a:graphicData>
            </a:graphic>
          </wp:inline>
        </w:drawing>
      </w:r>
    </w:p>
    <w:p w14:paraId="3FB7C7D1" w14:textId="5B3E445F" w:rsidR="00E0372F" w:rsidRPr="00710C01" w:rsidRDefault="00E0372F" w:rsidP="00E0372F">
      <w:pPr>
        <w:rPr>
          <w:b/>
          <w:bCs/>
        </w:rPr>
      </w:pPr>
      <w:r>
        <w:rPr>
          <w:b/>
          <w:bCs/>
        </w:rPr>
        <w:t>The Hon Dr Jim Chalmers MP</w:t>
      </w:r>
    </w:p>
    <w:p w14:paraId="0879799E" w14:textId="77777777" w:rsidR="00E0372F" w:rsidRDefault="00E0372F" w:rsidP="00E0372F">
      <w:r>
        <w:t xml:space="preserve">Treasurer </w:t>
      </w:r>
    </w:p>
    <w:p w14:paraId="0B633F76" w14:textId="2DBEB817" w:rsidR="00ED5A20" w:rsidRDefault="00ED5A20" w:rsidP="00A343D5">
      <w:pPr>
        <w:sectPr w:rsidR="00ED5A20" w:rsidSect="00E10AB3">
          <w:headerReference w:type="even" r:id="rId28"/>
          <w:headerReference w:type="default" r:id="rId29"/>
          <w:footerReference w:type="even" r:id="rId30"/>
          <w:headerReference w:type="first" r:id="rId31"/>
          <w:footerReference w:type="first" r:id="rId32"/>
          <w:pgSz w:w="16838" w:h="11906" w:orient="landscape" w:code="9"/>
          <w:pgMar w:top="1843" w:right="1418" w:bottom="1021" w:left="1418" w:header="709" w:footer="397" w:gutter="0"/>
          <w:pgNumType w:start="1"/>
          <w:cols w:num="2" w:space="1755" w:equalWidth="0">
            <w:col w:w="3175" w:space="1755"/>
            <w:col w:w="9072"/>
          </w:cols>
          <w:docGrid w:linePitch="360"/>
        </w:sectPr>
      </w:pPr>
    </w:p>
    <w:p w14:paraId="41E3358A" w14:textId="5A497205" w:rsidR="00C11026" w:rsidRDefault="00A26577" w:rsidP="00F7708A">
      <w:pPr>
        <w:pStyle w:val="Heading1"/>
        <w:spacing w:before="0"/>
      </w:pPr>
      <w:bookmarkStart w:id="10" w:name="_Toc210050722"/>
      <w:r>
        <w:lastRenderedPageBreak/>
        <w:t>Snapshot of regulatory initiatives</w:t>
      </w:r>
      <w:bookmarkEnd w:id="10"/>
      <w:r w:rsidR="000D6A8C">
        <w:t xml:space="preserve"> </w:t>
      </w:r>
    </w:p>
    <w:p w14:paraId="2CE0571C" w14:textId="0C44552E" w:rsidR="00E91862" w:rsidRDefault="00093696">
      <w:pPr>
        <w:spacing w:before="0" w:after="160" w:line="259" w:lineRule="auto"/>
        <w:rPr>
          <w:color w:val="004A7F"/>
          <w:sz w:val="20"/>
        </w:rPr>
      </w:pPr>
      <w:r>
        <w:rPr>
          <w:noProof/>
        </w:rPr>
        <w:drawing>
          <wp:inline distT="0" distB="0" distL="0" distR="0" wp14:anchorId="34848267" wp14:editId="14DFEA7B">
            <wp:extent cx="8885926" cy="5317490"/>
            <wp:effectExtent l="0" t="0" r="0" b="0"/>
            <wp:docPr id="1626982057" name="Picture 3" descr="77 total initiatives. Initiatives by category: Policy development: 9; Development of legislation, regulations and instruments: 28; Ongoing program implementation: 23; Review and evaluation: 17. 22 Initiatives with data collection. 27 Initiatives expected to involve consultation. Consultation timing: 20 initiatives in Q4 of 2025; 4 initiatives in Q1 2026, 2 initiatives in Q2 2026; 1 initiatives in Q3 2026.  . Note: some initiatives involve more than 1 consultation. What percentage of initiatives is each agency involved in? TSY: 57%; ASIC: 14%; APRA: 12%; ACCC: 1%; RBA: 6%; ATO: 3%; Home Affairs: 4%; AFSA: 0%; AUSTRAC: 1%; Other: 1%. Note: some initiatives involve multiple agenc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982057" name="Picture 3" descr="77 total initiatives. Initiatives by category: Policy development: 9; Development of legislation, regulations and instruments: 28; Ongoing program implementation: 23; Review and evaluation: 17. 22 Initiatives with data collection. 27 Initiatives expected to involve consultation. Consultation timing: 20 initiatives in Q4 of 2025; 4 initiatives in Q1 2026, 2 initiatives in Q2 2026; 1 initiatives in Q3 2026.  . Note: some initiatives involve more than 1 consultation. What percentage of initiatives is each agency involved in? TSY: 57%; ASIC: 14%; APRA: 12%; ACCC: 1%; RBA: 6%; ATO: 3%; Home Affairs: 4%; AFSA: 0%; AUSTRAC: 1%; Other: 1%. Note: some initiatives involve multiple agencies.&#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885926" cy="5317490"/>
                    </a:xfrm>
                    <a:prstGeom prst="rect">
                      <a:avLst/>
                    </a:prstGeom>
                  </pic:spPr>
                </pic:pic>
              </a:graphicData>
            </a:graphic>
          </wp:inline>
        </w:drawing>
      </w:r>
      <w:r w:rsidR="00E91862">
        <w:br w:type="page"/>
      </w:r>
    </w:p>
    <w:p w14:paraId="5FA46A13" w14:textId="29333761" w:rsidR="003F0624" w:rsidRDefault="00E91862" w:rsidP="00E91862">
      <w:pPr>
        <w:pStyle w:val="ChartGraphic"/>
        <w:jc w:val="left"/>
      </w:pPr>
      <w:r>
        <w:rPr>
          <w:noProof/>
        </w:rPr>
        <w:lastRenderedPageBreak/>
        <w:drawing>
          <wp:inline distT="0" distB="0" distL="0" distR="0" wp14:anchorId="6CB07930" wp14:editId="5FC7A335">
            <wp:extent cx="8885825" cy="5017769"/>
            <wp:effectExtent l="0" t="0" r="0" b="0"/>
            <wp:docPr id="1288015547" name="Picture 1" descr="Initiatives in each sector. Number of initiatives that only impact each sector: All:15; Banking, Credit and Lending: 19; Collective management and investment management: 0; Financial advice: 6; Financial markets: 6;  Insurance and reinsurance: 6; Payment services and digital assets: 10; Superannuation and retirement income: 13; Other: 0. Total number of initiatives by category in each sector. Sector: Banking, Credit and Lending. Initiatives by category: Policy development: 3; Development of legislation, regulations and instruments: 12; Ongoing program implementation: 9; Review and evaluation: 15. Sector: Collective management and investment management. Initiatives by category: Policy development: 2; Development of legislation, regulations and instruments: 5; Ongoing program implementation: 10; Review and evaluation: 4. Sector: Financial advice. Initiatives by category: Policy development: 2: Development of legislation, regulations and instruments: 7; Ongoing program implementation: 8; Review and evaluation: 5. Sector: Financial markets. Initiatives by category: Policy development: 2; Development of legislation, regulations and instruments: 8; Ongoing program implementation: 9; Review and evaluation: 5. Sector: Insurance and reinsurance. Initiatives by category: Policy development: 2; Development of legislation, regulations and instruments: 8; Ongoing program implementation: 4; Review and evaluation: 5. Sector: Payment services and digital assets. Initiatives by category: Policy development: 3: Development of legislation, regulations and instruments: 9; Ongoing program implementation: 8; Review and evaluation: 6. Sector: Superannuation and retirement income. Initiatives by category: Policy development: 3; Development of legislation, regulations and instruments: 13; Ongoing program implementation: 11; Review and evaluation: 6. Sector: Other. Initiatives by category: Development of legislation, regulations and instruments: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15547" name="Picture 1" descr="Initiatives in each sector. Number of initiatives that only impact each sector: All:15; Banking, Credit and Lending: 19; Collective management and investment management: 0; Financial advice: 6; Financial markets: 6;  Insurance and reinsurance: 6; Payment services and digital assets: 10; Superannuation and retirement income: 13; Other: 0. Total number of initiatives by category in each sector. Sector: Banking, Credit and Lending. Initiatives by category: Policy development: 3; Development of legislation, regulations and instruments: 12; Ongoing program implementation: 9; Review and evaluation: 15. Sector: Collective management and investment management. Initiatives by category: Policy development: 2; Development of legislation, regulations and instruments: 5; Ongoing program implementation: 10; Review and evaluation: 4. Sector: Financial advice. Initiatives by category: Policy development: 2: Development of legislation, regulations and instruments: 7; Ongoing program implementation: 8; Review and evaluation: 5. Sector: Financial markets. Initiatives by category: Policy development: 2; Development of legislation, regulations and instruments: 8; Ongoing program implementation: 9; Review and evaluation: 5. Sector: Insurance and reinsurance. Initiatives by category: Policy development: 2; Development of legislation, regulations and instruments: 8; Ongoing program implementation: 4; Review and evaluation: 5. Sector: Payment services and digital assets. Initiatives by category: Policy development: 3: Development of legislation, regulations and instruments: 9; Ongoing program implementation: 8; Review and evaluation: 6. Sector: Superannuation and retirement income. Initiatives by category: Policy development: 3; Development of legislation, regulations and instruments: 13; Ongoing program implementation: 11; Review and evaluation: 6. Sector: Other. Initiatives by category: Development of legislation, regulations and instruments:1.&#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885825" cy="5017769"/>
                    </a:xfrm>
                    <a:prstGeom prst="rect">
                      <a:avLst/>
                    </a:prstGeom>
                  </pic:spPr>
                </pic:pic>
              </a:graphicData>
            </a:graphic>
          </wp:inline>
        </w:drawing>
      </w:r>
    </w:p>
    <w:p w14:paraId="2D9ADDB3" w14:textId="0FDC48AC" w:rsidR="00825CBB" w:rsidRDefault="00825CBB">
      <w:pPr>
        <w:spacing w:before="0" w:after="160" w:line="259" w:lineRule="auto"/>
        <w:rPr>
          <w:color w:val="004A7F"/>
          <w:sz w:val="24"/>
          <w:szCs w:val="24"/>
        </w:rPr>
      </w:pPr>
    </w:p>
    <w:p w14:paraId="4BC9833B" w14:textId="77777777" w:rsidR="003F0624" w:rsidRPr="0069353D" w:rsidRDefault="003F0624" w:rsidP="0086668B">
      <w:pPr>
        <w:pStyle w:val="ChartGraphic"/>
        <w:jc w:val="left"/>
        <w:rPr>
          <w:sz w:val="24"/>
          <w:szCs w:val="24"/>
        </w:rPr>
        <w:sectPr w:rsidR="003F0624" w:rsidRPr="0069353D" w:rsidSect="0000027C">
          <w:headerReference w:type="even" r:id="rId35"/>
          <w:headerReference w:type="default" r:id="rId36"/>
          <w:footerReference w:type="even" r:id="rId37"/>
          <w:footerReference w:type="default" r:id="rId38"/>
          <w:headerReference w:type="first" r:id="rId39"/>
          <w:footerReference w:type="first" r:id="rId40"/>
          <w:pgSz w:w="16838" w:h="11906" w:orient="landscape" w:code="9"/>
          <w:pgMar w:top="1843" w:right="1418" w:bottom="1021" w:left="1418" w:header="709" w:footer="397" w:gutter="0"/>
          <w:cols w:space="708"/>
          <w:docGrid w:linePitch="360"/>
        </w:sectPr>
      </w:pPr>
      <w:bookmarkStart w:id="11" w:name="_Toc172625999"/>
      <w:bookmarkStart w:id="12" w:name="_Toc1843991616"/>
      <w:bookmarkStart w:id="13" w:name="_Toc173243833"/>
    </w:p>
    <w:p w14:paraId="7C24C084" w14:textId="4288912E" w:rsidR="00FD557E" w:rsidRDefault="00FD557E" w:rsidP="00E0372F">
      <w:pPr>
        <w:pStyle w:val="Heading1"/>
        <w:spacing w:before="0"/>
      </w:pPr>
      <w:bookmarkStart w:id="14" w:name="_Toc210050723"/>
      <w:r>
        <w:lastRenderedPageBreak/>
        <w:t>Introduction</w:t>
      </w:r>
      <w:bookmarkEnd w:id="11"/>
      <w:bookmarkEnd w:id="12"/>
      <w:bookmarkEnd w:id="13"/>
      <w:bookmarkEnd w:id="14"/>
    </w:p>
    <w:p w14:paraId="0AB11C59" w14:textId="27004605" w:rsidR="59BFFCD3" w:rsidRDefault="005E2AF9" w:rsidP="76623014">
      <w:pPr>
        <w:rPr>
          <w:rFonts w:eastAsia="Calibri Light" w:cs="Calibri Light"/>
        </w:rPr>
      </w:pPr>
      <w:bookmarkStart w:id="15" w:name="_Toc173243834"/>
      <w:r>
        <w:br w:type="column"/>
      </w:r>
      <w:r w:rsidR="59BFFCD3" w:rsidRPr="6347E16A">
        <w:rPr>
          <w:rFonts w:eastAsia="Calibri Light" w:cs="Calibri Light"/>
        </w:rPr>
        <w:t xml:space="preserve">This update to the Regulatory Initiatives Grid </w:t>
      </w:r>
      <w:r w:rsidR="008D05DA">
        <w:rPr>
          <w:rFonts w:eastAsia="Calibri Light" w:cs="Calibri Light"/>
        </w:rPr>
        <w:t xml:space="preserve">(RIG) </w:t>
      </w:r>
      <w:r w:rsidR="59BFFCD3" w:rsidRPr="6347E16A">
        <w:rPr>
          <w:rFonts w:eastAsia="Calibri Light" w:cs="Calibri Light"/>
        </w:rPr>
        <w:t xml:space="preserve">aligns with the Australian </w:t>
      </w:r>
      <w:r w:rsidR="00163BCD">
        <w:rPr>
          <w:rFonts w:eastAsia="Calibri Light" w:cs="Calibri Light"/>
        </w:rPr>
        <w:t>g</w:t>
      </w:r>
      <w:r w:rsidR="59BFFCD3" w:rsidRPr="6347E16A">
        <w:rPr>
          <w:rFonts w:eastAsia="Calibri Light" w:cs="Calibri Light"/>
        </w:rPr>
        <w:t>overnment</w:t>
      </w:r>
      <w:r w:rsidR="003D486F">
        <w:rPr>
          <w:rFonts w:eastAsia="Calibri Light" w:cs="Calibri Light"/>
        </w:rPr>
        <w:t>’</w:t>
      </w:r>
      <w:r w:rsidR="59BFFCD3" w:rsidRPr="6347E16A">
        <w:rPr>
          <w:rFonts w:eastAsia="Calibri Light" w:cs="Calibri Light"/>
        </w:rPr>
        <w:t>s continued commitment to reducing regulatory burden and improving the effectiveness of oversight across the economy—including within the financial sector.</w:t>
      </w:r>
    </w:p>
    <w:p w14:paraId="5430B65E" w14:textId="61C091FD" w:rsidR="00020066" w:rsidRDefault="00BD0FD8" w:rsidP="00BD0FD8">
      <w:r>
        <w:t xml:space="preserve">The RIG forms </w:t>
      </w:r>
      <w:r w:rsidRPr="002B6A74">
        <w:t xml:space="preserve">part of the </w:t>
      </w:r>
      <w:r>
        <w:t>go</w:t>
      </w:r>
      <w:r w:rsidRPr="002B6A74">
        <w:t>vernment</w:t>
      </w:r>
      <w:r w:rsidR="003D486F">
        <w:t>’</w:t>
      </w:r>
      <w:r w:rsidRPr="002B6A74">
        <w:t>s broader agenda to enhance productivity and competition</w:t>
      </w:r>
      <w:r w:rsidR="00A30679">
        <w:t xml:space="preserve">. It </w:t>
      </w:r>
      <w:r w:rsidR="00134D49">
        <w:t>support</w:t>
      </w:r>
      <w:r w:rsidR="00A30679">
        <w:t>s</w:t>
      </w:r>
      <w:r w:rsidR="00134D49">
        <w:t xml:space="preserve"> </w:t>
      </w:r>
      <w:r w:rsidR="005B764F" w:rsidRPr="005B764F">
        <w:t xml:space="preserve">more effective engagement between the </w:t>
      </w:r>
      <w:r w:rsidR="005B764F">
        <w:t xml:space="preserve">financial </w:t>
      </w:r>
      <w:r w:rsidR="005B764F" w:rsidRPr="005B764F">
        <w:t>sector, government and regulators</w:t>
      </w:r>
      <w:r w:rsidR="00102EA1">
        <w:t xml:space="preserve">, making it easier to </w:t>
      </w:r>
      <w:r w:rsidR="00697689" w:rsidRPr="00697689">
        <w:t xml:space="preserve">identify </w:t>
      </w:r>
      <w:r w:rsidR="00D1171A">
        <w:t xml:space="preserve">opportunities, </w:t>
      </w:r>
      <w:r w:rsidR="00697689" w:rsidRPr="00697689">
        <w:t xml:space="preserve">common challenges and risks, and </w:t>
      </w:r>
      <w:r w:rsidR="00E51DB4">
        <w:t xml:space="preserve">to </w:t>
      </w:r>
      <w:r w:rsidR="00697689" w:rsidRPr="00697689">
        <w:t>collaborate on priorities</w:t>
      </w:r>
      <w:r>
        <w:t xml:space="preserve">. </w:t>
      </w:r>
      <w:r w:rsidR="00903782" w:rsidRPr="00903782">
        <w:t>This aligns with</w:t>
      </w:r>
      <w:r w:rsidR="6C1FBFF5">
        <w:t xml:space="preserve"> the government</w:t>
      </w:r>
      <w:r w:rsidR="003D486F">
        <w:t>’</w:t>
      </w:r>
      <w:r w:rsidR="6C1FBFF5">
        <w:t xml:space="preserve">s </w:t>
      </w:r>
      <w:r w:rsidR="00903782">
        <w:t>broader</w:t>
      </w:r>
      <w:r w:rsidR="6C1FBFF5">
        <w:t xml:space="preserve"> goal of </w:t>
      </w:r>
      <w:r w:rsidR="6C1FBFF5" w:rsidRPr="00ED3EBE">
        <w:rPr>
          <w:rFonts w:eastAsia="Calibri"/>
        </w:rPr>
        <w:t>building a more dynamic, more resilient, and more inclusive economy</w:t>
      </w:r>
      <w:r w:rsidR="00AF7491">
        <w:t>.</w:t>
      </w:r>
    </w:p>
    <w:p w14:paraId="0D7BFCA3" w14:textId="249C6FF1" w:rsidR="003F255E" w:rsidRDefault="00870212" w:rsidP="0033122E">
      <w:r w:rsidRPr="00CD3640">
        <w:t>The RIG provide</w:t>
      </w:r>
      <w:r w:rsidR="006F310E">
        <w:t>s</w:t>
      </w:r>
      <w:r w:rsidRPr="00CD3640">
        <w:t xml:space="preserve"> transparency of reform priorities and initiatives </w:t>
      </w:r>
      <w:r w:rsidR="00311C17" w:rsidRPr="00311C17">
        <w:t>likely to</w:t>
      </w:r>
      <w:r w:rsidRPr="00CD3640">
        <w:t xml:space="preserve"> affect the financial </w:t>
      </w:r>
      <w:r w:rsidR="00311C17" w:rsidRPr="00311C17">
        <w:t>sector</w:t>
      </w:r>
      <w:r w:rsidR="003D486F">
        <w:t>’</w:t>
      </w:r>
      <w:r w:rsidR="00311C17" w:rsidRPr="00311C17">
        <w:t xml:space="preserve">s </w:t>
      </w:r>
      <w:r w:rsidRPr="00CD3640">
        <w:t xml:space="preserve">regulatory landscape over the next </w:t>
      </w:r>
      <w:r w:rsidR="61A922D8">
        <w:t>two</w:t>
      </w:r>
      <w:r w:rsidRPr="00CD3640">
        <w:t xml:space="preserve"> years</w:t>
      </w:r>
      <w:r w:rsidR="0033122E">
        <w:t xml:space="preserve">, </w:t>
      </w:r>
      <w:r w:rsidR="00CE0543">
        <w:t xml:space="preserve">helping businesses to plan and increasing </w:t>
      </w:r>
      <w:r w:rsidR="00186481" w:rsidRPr="6347E16A">
        <w:rPr>
          <w:rFonts w:eastAsia="Calibri Light" w:cs="Calibri Light"/>
        </w:rPr>
        <w:t>predictability for industry participants</w:t>
      </w:r>
      <w:r w:rsidR="0033122E">
        <w:rPr>
          <w:rFonts w:eastAsia="Calibri Light" w:cs="Calibri Light"/>
        </w:rPr>
        <w:t xml:space="preserve">. </w:t>
      </w:r>
      <w:r w:rsidR="007D777D">
        <w:rPr>
          <w:rFonts w:eastAsia="Calibri Light" w:cs="Calibri Light"/>
        </w:rPr>
        <w:t xml:space="preserve">This </w:t>
      </w:r>
      <w:r w:rsidR="003F255E">
        <w:t>particularly support</w:t>
      </w:r>
      <w:r w:rsidR="00CD5A08">
        <w:t>s</w:t>
      </w:r>
      <w:r w:rsidR="003F255E">
        <w:t xml:space="preserve"> smaller firms to plan with greater confidence and engage with proposed reforms and regulatory efforts more effectively. </w:t>
      </w:r>
    </w:p>
    <w:p w14:paraId="59414F1C" w14:textId="5F0C2D86" w:rsidR="76623014" w:rsidRDefault="004B6F4D" w:rsidP="0033122E">
      <w:r>
        <w:rPr>
          <w:rFonts w:eastAsia="Calibri Light" w:cs="Calibri Light"/>
        </w:rPr>
        <w:t>In addition</w:t>
      </w:r>
      <w:r w:rsidR="00BF1334">
        <w:rPr>
          <w:rFonts w:eastAsia="Calibri Light" w:cs="Calibri Light"/>
        </w:rPr>
        <w:t>,</w:t>
      </w:r>
      <w:r>
        <w:rPr>
          <w:rFonts w:eastAsia="Calibri Light" w:cs="Calibri Light"/>
        </w:rPr>
        <w:t xml:space="preserve"> </w:t>
      </w:r>
      <w:r w:rsidR="00BF1334">
        <w:rPr>
          <w:rFonts w:eastAsia="Calibri Light" w:cs="Calibri Light"/>
        </w:rPr>
        <w:t xml:space="preserve">the </w:t>
      </w:r>
      <w:r w:rsidR="00BF1334">
        <w:t xml:space="preserve">second edition of the RIG </w:t>
      </w:r>
      <w:r w:rsidR="00CE3088">
        <w:t>introduc</w:t>
      </w:r>
      <w:r w:rsidR="00BF1334">
        <w:t xml:space="preserve">es </w:t>
      </w:r>
      <w:r w:rsidR="00CE3088">
        <w:t>principles to support better coordination between regulators</w:t>
      </w:r>
      <w:r w:rsidR="006D5738">
        <w:t xml:space="preserve">. This </w:t>
      </w:r>
      <w:r w:rsidR="004D4571">
        <w:rPr>
          <w:rFonts w:eastAsia="Calibri Light" w:cs="Calibri Light"/>
        </w:rPr>
        <w:t xml:space="preserve">will </w:t>
      </w:r>
      <w:r w:rsidR="0043687D">
        <w:rPr>
          <w:rFonts w:eastAsia="Calibri Light" w:cs="Calibri Light"/>
        </w:rPr>
        <w:t>incre</w:t>
      </w:r>
      <w:r w:rsidR="004D4571">
        <w:rPr>
          <w:rFonts w:eastAsia="Calibri Light" w:cs="Calibri Light"/>
        </w:rPr>
        <w:t>a</w:t>
      </w:r>
      <w:r w:rsidR="0043687D">
        <w:rPr>
          <w:rFonts w:eastAsia="Calibri Light" w:cs="Calibri Light"/>
        </w:rPr>
        <w:t xml:space="preserve">singly </w:t>
      </w:r>
      <w:r w:rsidR="00D02A4E">
        <w:rPr>
          <w:rFonts w:eastAsia="Calibri Light" w:cs="Calibri Light"/>
        </w:rPr>
        <w:t>facilitat</w:t>
      </w:r>
      <w:r w:rsidR="00C8673A">
        <w:rPr>
          <w:rFonts w:eastAsia="Calibri Light" w:cs="Calibri Light"/>
        </w:rPr>
        <w:t>e</w:t>
      </w:r>
      <w:r w:rsidR="00D02A4E">
        <w:rPr>
          <w:rFonts w:eastAsia="Calibri Light" w:cs="Calibri Light"/>
        </w:rPr>
        <w:t xml:space="preserve"> </w:t>
      </w:r>
      <w:r w:rsidR="001C7DA8">
        <w:rPr>
          <w:rFonts w:eastAsia="Calibri Light" w:cs="Calibri Light"/>
        </w:rPr>
        <w:t xml:space="preserve">the </w:t>
      </w:r>
      <w:r w:rsidR="08E4A6C2" w:rsidRPr="6347E16A">
        <w:rPr>
          <w:rFonts w:eastAsia="Calibri Light" w:cs="Calibri Light"/>
        </w:rPr>
        <w:t>streamlin</w:t>
      </w:r>
      <w:r w:rsidR="001C7DA8">
        <w:rPr>
          <w:rFonts w:eastAsia="Calibri Light" w:cs="Calibri Light"/>
        </w:rPr>
        <w:t xml:space="preserve">ing of </w:t>
      </w:r>
      <w:r w:rsidR="08E4A6C2" w:rsidRPr="6347E16A">
        <w:rPr>
          <w:rFonts w:eastAsia="Calibri Light" w:cs="Calibri Light"/>
        </w:rPr>
        <w:t>regulatory processes</w:t>
      </w:r>
      <w:r w:rsidR="0097385A">
        <w:rPr>
          <w:rFonts w:eastAsia="Calibri Light" w:cs="Calibri Light"/>
        </w:rPr>
        <w:t>,</w:t>
      </w:r>
      <w:r w:rsidR="08E4A6C2">
        <w:rPr>
          <w:rFonts w:eastAsia="Calibri Light" w:cs="Calibri Light"/>
        </w:rPr>
        <w:t xml:space="preserve"> </w:t>
      </w:r>
      <w:r w:rsidR="08E4A6C2" w:rsidRPr="6347E16A">
        <w:rPr>
          <w:rFonts w:eastAsia="Calibri Light" w:cs="Calibri Light"/>
        </w:rPr>
        <w:t>reduc</w:t>
      </w:r>
      <w:r w:rsidR="00955B8F">
        <w:rPr>
          <w:rFonts w:eastAsia="Calibri Light" w:cs="Calibri Light"/>
        </w:rPr>
        <w:t>ing</w:t>
      </w:r>
      <w:r w:rsidR="08E4A6C2" w:rsidRPr="6347E16A">
        <w:rPr>
          <w:rFonts w:eastAsia="Calibri Light" w:cs="Calibri Light"/>
        </w:rPr>
        <w:t xml:space="preserve"> duplication</w:t>
      </w:r>
      <w:r w:rsidR="004C291A">
        <w:rPr>
          <w:rFonts w:eastAsia="Calibri Light" w:cs="Calibri Light"/>
        </w:rPr>
        <w:t xml:space="preserve"> and </w:t>
      </w:r>
      <w:r w:rsidR="002A3D86">
        <w:rPr>
          <w:rFonts w:eastAsia="Calibri Light" w:cs="Calibri Light"/>
        </w:rPr>
        <w:t>regulatory burden</w:t>
      </w:r>
      <w:r w:rsidR="08E4A6C2" w:rsidRPr="6347E16A">
        <w:rPr>
          <w:rFonts w:eastAsia="Calibri Light" w:cs="Calibri Light"/>
        </w:rPr>
        <w:t>.</w:t>
      </w:r>
      <w:r w:rsidR="00CE3088">
        <w:rPr>
          <w:rFonts w:eastAsia="Calibri Light" w:cs="Calibri Light"/>
        </w:rPr>
        <w:t xml:space="preserve"> </w:t>
      </w:r>
    </w:p>
    <w:p w14:paraId="2A0D1FCD" w14:textId="4998759E" w:rsidR="00AD72B6" w:rsidRPr="00AF4684" w:rsidRDefault="008839A0" w:rsidP="008E6B44">
      <w:pPr>
        <w:rPr>
          <w:rFonts w:eastAsia="Calibri Light" w:cs="Calibri Light"/>
          <w:szCs w:val="22"/>
        </w:rPr>
      </w:pPr>
      <w:r>
        <w:t xml:space="preserve">Treasury has </w:t>
      </w:r>
      <w:r w:rsidR="00212577">
        <w:t xml:space="preserve">received feedback from </w:t>
      </w:r>
      <w:r>
        <w:t xml:space="preserve">stakeholders </w:t>
      </w:r>
      <w:r w:rsidR="005F58A9" w:rsidRPr="00AF4684">
        <w:t>about</w:t>
      </w:r>
      <w:r>
        <w:t xml:space="preserve"> the design and operation</w:t>
      </w:r>
      <w:r w:rsidR="00403E86" w:rsidRPr="00AF4684">
        <w:t xml:space="preserve"> of the RIG</w:t>
      </w:r>
      <w:r w:rsidR="003D486F">
        <w:t>’</w:t>
      </w:r>
      <w:r w:rsidR="00403E86" w:rsidRPr="00AF4684">
        <w:t>s first edition</w:t>
      </w:r>
      <w:r w:rsidRPr="00AF4684">
        <w:t>.</w:t>
      </w:r>
      <w:r w:rsidR="008E6B44" w:rsidRPr="00AF4684">
        <w:rPr>
          <w:rFonts w:eastAsia="Calibri Light" w:cs="Calibri Light"/>
        </w:rPr>
        <w:t xml:space="preserve"> </w:t>
      </w:r>
      <w:r w:rsidR="5F338F06" w:rsidRPr="00AF4684">
        <w:rPr>
          <w:rFonts w:eastAsia="Calibri Light" w:cs="Calibri Light"/>
        </w:rPr>
        <w:t>S</w:t>
      </w:r>
      <w:r w:rsidR="00212577" w:rsidRPr="00AF4684">
        <w:rPr>
          <w:rFonts w:eastAsia="Calibri Light" w:cs="Calibri Light"/>
        </w:rPr>
        <w:t>takeholders are</w:t>
      </w:r>
      <w:r w:rsidR="00736A76" w:rsidRPr="00AF4684" w:rsidDel="00212577">
        <w:rPr>
          <w:rFonts w:eastAsia="Calibri Light" w:cs="Calibri Light"/>
        </w:rPr>
        <w:t xml:space="preserve"> </w:t>
      </w:r>
      <w:r w:rsidR="00736A76">
        <w:t xml:space="preserve">broadly supportive </w:t>
      </w:r>
      <w:r w:rsidR="00EA1DC8">
        <w:t xml:space="preserve">and </w:t>
      </w:r>
      <w:r w:rsidR="006806F9">
        <w:t xml:space="preserve">provided targeted </w:t>
      </w:r>
      <w:r w:rsidR="2177A929">
        <w:t xml:space="preserve">feedback </w:t>
      </w:r>
      <w:r w:rsidR="006806F9">
        <w:t xml:space="preserve">to further enhance </w:t>
      </w:r>
      <w:r w:rsidR="008878E3" w:rsidRPr="00AF4684">
        <w:t>the RIG</w:t>
      </w:r>
      <w:r w:rsidR="003D486F">
        <w:t>’</w:t>
      </w:r>
      <w:r w:rsidR="008878E3" w:rsidRPr="00AF4684">
        <w:t xml:space="preserve">s </w:t>
      </w:r>
      <w:r w:rsidR="006806F9" w:rsidRPr="00AF4684">
        <w:t xml:space="preserve">design. </w:t>
      </w:r>
      <w:r w:rsidR="00485196">
        <w:rPr>
          <w:rFonts w:eastAsia="Calibri Light" w:cs="Calibri Light"/>
          <w:szCs w:val="22"/>
        </w:rPr>
        <w:t>S</w:t>
      </w:r>
      <w:r w:rsidR="008E6B44" w:rsidRPr="00AF4684">
        <w:rPr>
          <w:rFonts w:eastAsia="Calibri Light" w:cs="Calibri Light"/>
          <w:szCs w:val="22"/>
        </w:rPr>
        <w:t xml:space="preserve">everal </w:t>
      </w:r>
      <w:r w:rsidR="00AC2410" w:rsidRPr="00AF4684">
        <w:rPr>
          <w:rFonts w:eastAsia="Calibri Light" w:cs="Calibri Light"/>
          <w:szCs w:val="22"/>
        </w:rPr>
        <w:t xml:space="preserve">technical </w:t>
      </w:r>
      <w:r w:rsidR="008E6B44" w:rsidRPr="00AF4684">
        <w:rPr>
          <w:rFonts w:eastAsia="Calibri Light" w:cs="Calibri Light"/>
          <w:szCs w:val="22"/>
        </w:rPr>
        <w:t xml:space="preserve">changes to </w:t>
      </w:r>
      <w:r w:rsidR="00AF4684" w:rsidRPr="00AF4684">
        <w:rPr>
          <w:rFonts w:eastAsia="Calibri Light" w:cs="Calibri Light"/>
          <w:szCs w:val="22"/>
        </w:rPr>
        <w:t>the interactive dashboard</w:t>
      </w:r>
      <w:r w:rsidR="00485196">
        <w:rPr>
          <w:rFonts w:eastAsia="Calibri Light" w:cs="Calibri Light"/>
          <w:szCs w:val="22"/>
        </w:rPr>
        <w:t xml:space="preserve"> </w:t>
      </w:r>
      <w:r w:rsidR="00AD1F65">
        <w:rPr>
          <w:rFonts w:eastAsia="Calibri Light" w:cs="Calibri Light"/>
          <w:szCs w:val="22"/>
        </w:rPr>
        <w:t xml:space="preserve">and </w:t>
      </w:r>
      <w:r w:rsidR="00AD1F65" w:rsidRPr="00AF4684">
        <w:rPr>
          <w:rFonts w:eastAsia="Calibri Light" w:cs="Calibri Light"/>
          <w:szCs w:val="22"/>
        </w:rPr>
        <w:t>the RIG excel spreadsheet</w:t>
      </w:r>
      <w:r w:rsidR="00485196">
        <w:rPr>
          <w:rFonts w:eastAsia="Calibri Light" w:cs="Calibri Light"/>
          <w:szCs w:val="22"/>
        </w:rPr>
        <w:t xml:space="preserve"> have been made in response to feedback</w:t>
      </w:r>
      <w:r w:rsidR="00AF4684" w:rsidRPr="00AF4684">
        <w:rPr>
          <w:rFonts w:eastAsia="Calibri Light" w:cs="Calibri Light"/>
          <w:szCs w:val="22"/>
        </w:rPr>
        <w:t xml:space="preserve">. </w:t>
      </w:r>
    </w:p>
    <w:p w14:paraId="7BB0944E" w14:textId="503FBD69" w:rsidR="0019155C" w:rsidRDefault="00BD0FD8" w:rsidP="00BD0FD8">
      <w:r>
        <w:br w:type="page"/>
      </w:r>
    </w:p>
    <w:p w14:paraId="5E1CFCEA" w14:textId="78B9B024" w:rsidR="002D494D" w:rsidRDefault="005C5F7C" w:rsidP="002D494D">
      <w:pPr>
        <w:pStyle w:val="Heading1"/>
      </w:pPr>
      <w:bookmarkStart w:id="16" w:name="_Toc210050724"/>
      <w:r>
        <w:lastRenderedPageBreak/>
        <w:t>Supporting improved regulatory c</w:t>
      </w:r>
      <w:r w:rsidR="002D494D">
        <w:t>oordination</w:t>
      </w:r>
      <w:bookmarkEnd w:id="16"/>
    </w:p>
    <w:p w14:paraId="2029FBD2" w14:textId="063A752C" w:rsidR="006B62BD" w:rsidRDefault="002D494D" w:rsidP="00DD58E6">
      <w:r>
        <w:br w:type="column"/>
      </w:r>
      <w:r w:rsidR="006F3792">
        <w:t xml:space="preserve">This edition establishes the </w:t>
      </w:r>
      <w:r w:rsidR="00676FF8">
        <w:t xml:space="preserve">RIG Coordination Principles </w:t>
      </w:r>
      <w:r w:rsidR="00A77EF5">
        <w:t xml:space="preserve">(the </w:t>
      </w:r>
      <w:proofErr w:type="gramStart"/>
      <w:r w:rsidR="00A77EF5">
        <w:t>Principles</w:t>
      </w:r>
      <w:proofErr w:type="gramEnd"/>
      <w:r w:rsidR="00A77EF5">
        <w:t>)</w:t>
      </w:r>
      <w:r w:rsidR="00676FF8">
        <w:t xml:space="preserve"> </w:t>
      </w:r>
      <w:r w:rsidR="006F3792">
        <w:t xml:space="preserve">to </w:t>
      </w:r>
      <w:r w:rsidR="00676FF8">
        <w:t xml:space="preserve">underpin and operationalise the </w:t>
      </w:r>
      <w:r w:rsidR="7DC5704D">
        <w:t xml:space="preserve">RIG coordination function. </w:t>
      </w:r>
      <w:r w:rsidR="00A77EF5">
        <w:t xml:space="preserve">The </w:t>
      </w:r>
      <w:proofErr w:type="gramStart"/>
      <w:r w:rsidR="00A77EF5">
        <w:t>Principles</w:t>
      </w:r>
      <w:proofErr w:type="gramEnd"/>
      <w:r w:rsidR="00A77EF5">
        <w:t xml:space="preserve"> are fundamental to </w:t>
      </w:r>
      <w:r w:rsidR="2707676A">
        <w:t>the RIG</w:t>
      </w:r>
      <w:r w:rsidR="003D486F">
        <w:t>’</w:t>
      </w:r>
      <w:r w:rsidR="2707676A">
        <w:t xml:space="preserve">s ongoing operation and </w:t>
      </w:r>
      <w:r w:rsidR="00A77EF5">
        <w:t>set</w:t>
      </w:r>
      <w:r w:rsidR="2707676A">
        <w:t xml:space="preserve"> the foundation for agencies to further strengthen regulatory coordination</w:t>
      </w:r>
      <w:r w:rsidR="004051E0">
        <w:t>.</w:t>
      </w:r>
    </w:p>
    <w:p w14:paraId="737E2C5A" w14:textId="2458EA40" w:rsidR="00076738" w:rsidRDefault="3778A8E9" w:rsidP="00A16ECA">
      <w:pPr>
        <w:rPr>
          <w:rFonts w:eastAsia="Calibri Light"/>
        </w:rPr>
      </w:pPr>
      <w:r w:rsidRPr="00670CE9">
        <w:t xml:space="preserve">Following the Economic Reform Roundtable, the Treasurer tasked the CFR agencies to work together to enhance regulatory coordination in the financial sector, including by </w:t>
      </w:r>
      <w:r w:rsidR="00C133B9" w:rsidRPr="00670CE9">
        <w:t xml:space="preserve">identifying opportunities to </w:t>
      </w:r>
      <w:r w:rsidRPr="00670CE9">
        <w:t>streamlin</w:t>
      </w:r>
      <w:r w:rsidR="00C133B9" w:rsidRPr="00670CE9">
        <w:t>e</w:t>
      </w:r>
      <w:r w:rsidRPr="00670CE9">
        <w:t xml:space="preserve"> and harmonis</w:t>
      </w:r>
      <w:r w:rsidR="00C133B9" w:rsidRPr="00670CE9">
        <w:t>e</w:t>
      </w:r>
      <w:r w:rsidRPr="00670CE9">
        <w:t xml:space="preserve"> data collection and data sharing amongst</w:t>
      </w:r>
      <w:r w:rsidRPr="00670CE9">
        <w:rPr>
          <w:rFonts w:eastAsia="Aptos"/>
        </w:rPr>
        <w:t xml:space="preserve"> </w:t>
      </w:r>
      <w:r w:rsidRPr="00670CE9">
        <w:t xml:space="preserve">financial sector regulators. The </w:t>
      </w:r>
      <w:proofErr w:type="gramStart"/>
      <w:r w:rsidRPr="00670CE9">
        <w:t>Principles</w:t>
      </w:r>
      <w:proofErr w:type="gramEnd"/>
      <w:r w:rsidRPr="00670CE9">
        <w:t xml:space="preserve"> will support</w:t>
      </w:r>
      <w:r w:rsidR="00B00884" w:rsidRPr="00670CE9">
        <w:t xml:space="preserve"> this work and</w:t>
      </w:r>
      <w:r w:rsidRPr="00670CE9">
        <w:t xml:space="preserve"> the government</w:t>
      </w:r>
      <w:r w:rsidR="003D486F">
        <w:t>’</w:t>
      </w:r>
      <w:r w:rsidRPr="00670CE9">
        <w:t>s priority to support a more productive financial sector</w:t>
      </w:r>
      <w:r w:rsidR="00FF2B98" w:rsidRPr="00670CE9">
        <w:t xml:space="preserve"> through </w:t>
      </w:r>
      <w:r w:rsidR="00D36C6A" w:rsidRPr="00670CE9">
        <w:t>improving regulation and reducing unnecessary compliance burdens</w:t>
      </w:r>
      <w:r w:rsidR="000B6F71" w:rsidRPr="00670CE9">
        <w:t xml:space="preserve">, whilst </w:t>
      </w:r>
      <w:r w:rsidR="00A16ECA" w:rsidRPr="00670CE9">
        <w:t>continuing to promote and achieve regulatory outcomes including those that relate to financial system resilience and consumer protection</w:t>
      </w:r>
      <w:r w:rsidRPr="00670CE9">
        <w:t>.</w:t>
      </w:r>
      <w:r>
        <w:t xml:space="preserve"> </w:t>
      </w:r>
    </w:p>
    <w:p w14:paraId="2F683741" w14:textId="43454928" w:rsidR="00076738" w:rsidRDefault="00346934" w:rsidP="003326D7">
      <w:r>
        <w:t xml:space="preserve">The </w:t>
      </w:r>
      <w:proofErr w:type="gramStart"/>
      <w:r w:rsidR="00624120">
        <w:t>Principles</w:t>
      </w:r>
      <w:proofErr w:type="gramEnd"/>
      <w:r w:rsidR="00624120">
        <w:t xml:space="preserve"> </w:t>
      </w:r>
      <w:r w:rsidR="00BB0CF3">
        <w:t>strike a</w:t>
      </w:r>
      <w:r w:rsidR="007376C4" w:rsidRPr="007376C4">
        <w:t xml:space="preserve"> balance </w:t>
      </w:r>
      <w:r w:rsidR="00BB0CF3">
        <w:t>between</w:t>
      </w:r>
      <w:r w:rsidR="007376C4" w:rsidRPr="007376C4">
        <w:t xml:space="preserve"> the desire to progress regulatory activities </w:t>
      </w:r>
      <w:r w:rsidR="00BB3598">
        <w:t>and</w:t>
      </w:r>
      <w:r w:rsidR="007376C4" w:rsidRPr="007376C4">
        <w:t xml:space="preserve"> industry</w:t>
      </w:r>
      <w:r w:rsidR="003D486F">
        <w:t>’</w:t>
      </w:r>
      <w:r w:rsidR="007376C4" w:rsidRPr="007376C4">
        <w:t>s capacity to effectively engage and implement</w:t>
      </w:r>
      <w:r w:rsidR="00BB3598">
        <w:t xml:space="preserve"> them. </w:t>
      </w:r>
      <w:r w:rsidR="002F6F90" w:rsidRPr="002F6F90">
        <w:t>This helps ensure</w:t>
      </w:r>
      <w:r w:rsidR="002F6F90">
        <w:t xml:space="preserve"> </w:t>
      </w:r>
      <w:r w:rsidR="00F431A0">
        <w:t xml:space="preserve">the RIG does not </w:t>
      </w:r>
      <w:r w:rsidR="001B41BF">
        <w:t xml:space="preserve">undermine </w:t>
      </w:r>
      <w:r w:rsidR="00674EC7">
        <w:t>agencies</w:t>
      </w:r>
      <w:r w:rsidR="003D486F">
        <w:t>’</w:t>
      </w:r>
      <w:r w:rsidR="008304D7">
        <w:t xml:space="preserve"> ability </w:t>
      </w:r>
      <w:r w:rsidR="001B41BF">
        <w:t xml:space="preserve">to progress activities </w:t>
      </w:r>
      <w:r w:rsidR="007376C4" w:rsidRPr="007376C4">
        <w:t>in a timely way</w:t>
      </w:r>
      <w:r w:rsidR="005F15C4">
        <w:t xml:space="preserve">, </w:t>
      </w:r>
      <w:r w:rsidR="009C424F">
        <w:t xml:space="preserve">which is </w:t>
      </w:r>
      <w:r w:rsidR="00076738" w:rsidRPr="00076738">
        <w:t>particularly important for activities addressing market stability, systemic or consumer risks, and activities relating to broader government priorities</w:t>
      </w:r>
      <w:r w:rsidR="003D486F">
        <w:t xml:space="preserve">. </w:t>
      </w:r>
    </w:p>
    <w:p w14:paraId="3D9BAA66" w14:textId="6199177F" w:rsidR="003326D7" w:rsidRPr="00A16CBF" w:rsidRDefault="00EE11B1" w:rsidP="003326D7">
      <w:r>
        <w:t>Agencies</w:t>
      </w:r>
      <w:r w:rsidDel="00E55682">
        <w:t xml:space="preserve"> </w:t>
      </w:r>
      <w:r w:rsidR="00E55682">
        <w:t xml:space="preserve">are </w:t>
      </w:r>
      <w:r>
        <w:t xml:space="preserve">responsible for embedding the </w:t>
      </w:r>
      <w:proofErr w:type="gramStart"/>
      <w:r>
        <w:t>Principles</w:t>
      </w:r>
      <w:proofErr w:type="gramEnd"/>
      <w:r>
        <w:t xml:space="preserve"> </w:t>
      </w:r>
      <w:r w:rsidR="000A6AE3">
        <w:t>in</w:t>
      </w:r>
      <w:r>
        <w:t xml:space="preserve"> internal planning processes</w:t>
      </w:r>
      <w:r w:rsidR="00FF58FC">
        <w:t xml:space="preserve"> with the objective to – where possible – generate the following outcomes</w:t>
      </w:r>
      <w:r w:rsidR="000A6AE3">
        <w:t>.</w:t>
      </w:r>
    </w:p>
    <w:p w14:paraId="1296A9C1" w14:textId="5A35F8D2" w:rsidR="003D486F" w:rsidRPr="003D486F" w:rsidRDefault="00DD58E6" w:rsidP="003D486F">
      <w:pPr>
        <w:pStyle w:val="Bullet"/>
      </w:pPr>
      <w:r w:rsidRPr="003D486F">
        <w:rPr>
          <w:b/>
          <w:bCs/>
        </w:rPr>
        <w:t>Principle 1:</w:t>
      </w:r>
      <w:r w:rsidRPr="003D486F">
        <w:t xml:space="preserve"> Minimise instances where significant consultation or material non</w:t>
      </w:r>
      <w:r w:rsidR="003D486F" w:rsidRPr="003D486F">
        <w:noBreakHyphen/>
      </w:r>
      <w:r w:rsidRPr="003D486F">
        <w:t>routine data collection activities are progressed concurrently</w:t>
      </w:r>
      <w:r w:rsidR="00C03193" w:rsidRPr="003D486F" w:rsidDel="00C03193">
        <w:t xml:space="preserve"> </w:t>
      </w:r>
    </w:p>
    <w:p w14:paraId="146E8B67" w14:textId="7FC12417" w:rsidR="00DD58E6" w:rsidRPr="003D486F" w:rsidRDefault="00DD58E6" w:rsidP="003D486F">
      <w:pPr>
        <w:pStyle w:val="Bullet"/>
      </w:pPr>
      <w:r w:rsidRPr="003D486F">
        <w:rPr>
          <w:b/>
          <w:bCs/>
        </w:rPr>
        <w:t>Principle 2:</w:t>
      </w:r>
      <w:r w:rsidRPr="003D486F">
        <w:t xml:space="preserve"> </w:t>
      </w:r>
      <w:r w:rsidR="00947FB5" w:rsidRPr="003D486F">
        <w:t>Support the appropriate sequencing and timing of activities amongst linked initiatives</w:t>
      </w:r>
      <w:r w:rsidR="00947FB5" w:rsidRPr="003D486F" w:rsidDel="00947FB5">
        <w:t xml:space="preserve"> </w:t>
      </w:r>
    </w:p>
    <w:p w14:paraId="7D53A611" w14:textId="51A4779D" w:rsidR="00DD58E6" w:rsidRPr="003D486F" w:rsidRDefault="00DD58E6" w:rsidP="003D486F">
      <w:pPr>
        <w:pStyle w:val="Bullet"/>
      </w:pPr>
      <w:r w:rsidRPr="003D486F">
        <w:rPr>
          <w:b/>
          <w:bCs/>
        </w:rPr>
        <w:t>Principle 3:</w:t>
      </w:r>
      <w:r w:rsidRPr="003D486F">
        <w:t xml:space="preserve"> Reduce unnecessary duplication in collecting data when progressing non</w:t>
      </w:r>
      <w:r w:rsidR="003D486F" w:rsidRPr="003D486F">
        <w:noBreakHyphen/>
      </w:r>
      <w:r w:rsidRPr="003D486F">
        <w:t>routine data collection processes</w:t>
      </w:r>
      <w:r w:rsidR="00A37C51" w:rsidRPr="003D486F">
        <w:t>, including through considering opportunities to share data</w:t>
      </w:r>
    </w:p>
    <w:p w14:paraId="1D4F11E4" w14:textId="10B4DCA9" w:rsidR="00714573" w:rsidRDefault="00714573" w:rsidP="000A16B7">
      <w:pPr>
        <w:rPr>
          <w:rFonts w:eastAsia="Calibri Light"/>
        </w:rPr>
      </w:pPr>
      <w:r>
        <w:t xml:space="preserve">These </w:t>
      </w:r>
      <w:r w:rsidR="00D25727">
        <w:t>P</w:t>
      </w:r>
      <w:r>
        <w:t>rinciples</w:t>
      </w:r>
      <w:r w:rsidR="00F76FCF">
        <w:t xml:space="preserve"> complement existing </w:t>
      </w:r>
      <w:r w:rsidR="00FF5121">
        <w:t xml:space="preserve">arrangements to support ongoing coordination of regulatory effort, particularly </w:t>
      </w:r>
      <w:r w:rsidR="00587BD2">
        <w:t xml:space="preserve">by </w:t>
      </w:r>
      <w:r w:rsidR="00FF5121">
        <w:t>the CFR</w:t>
      </w:r>
      <w:r w:rsidR="009D537B">
        <w:t xml:space="preserve"> and </w:t>
      </w:r>
      <w:r w:rsidR="00BC3E55">
        <w:t xml:space="preserve">in </w:t>
      </w:r>
      <w:r w:rsidR="009D537B">
        <w:t>ongoing bilateral fora.</w:t>
      </w:r>
      <w:r w:rsidR="3C41E59E">
        <w:t xml:space="preserve"> </w:t>
      </w:r>
    </w:p>
    <w:p w14:paraId="4DB94F47" w14:textId="18ADA238" w:rsidR="00CE2D80" w:rsidRPr="00C35489" w:rsidRDefault="009D537B" w:rsidP="000A16B7">
      <w:r>
        <w:t>T</w:t>
      </w:r>
      <w:r w:rsidR="00CE2D80">
        <w:t xml:space="preserve">he </w:t>
      </w:r>
      <w:proofErr w:type="gramStart"/>
      <w:r w:rsidR="00CE2D80">
        <w:t>Principles</w:t>
      </w:r>
      <w:proofErr w:type="gramEnd"/>
      <w:r w:rsidR="00CE2D80">
        <w:t xml:space="preserve"> </w:t>
      </w:r>
      <w:r w:rsidR="00FE11DF">
        <w:t xml:space="preserve">are now </w:t>
      </w:r>
      <w:r w:rsidR="000A6AE3">
        <w:t>included</w:t>
      </w:r>
      <w:r w:rsidR="00FE11DF">
        <w:t xml:space="preserve"> </w:t>
      </w:r>
      <w:r w:rsidR="00CE2D80">
        <w:t xml:space="preserve">in the RIG Terms of Reference. </w:t>
      </w:r>
    </w:p>
    <w:p w14:paraId="1F1BA8C1" w14:textId="2D372B53" w:rsidR="003D486F" w:rsidRDefault="00DF73F9" w:rsidP="003D486F">
      <w:r>
        <w:br w:type="column"/>
      </w:r>
      <w:r>
        <w:lastRenderedPageBreak/>
        <w:br w:type="column"/>
      </w:r>
      <w:r w:rsidR="003D486F">
        <w:t>The RIG also reflects the changes to the Administrative Arrangements Order (AAO) the Government has made since the release of the first edition in December 2024. Matters that were the responsibility of the Attorney</w:t>
      </w:r>
      <w:r w:rsidR="003D486F">
        <w:noBreakHyphen/>
        <w:t>General have now been transferred as follows:</w:t>
      </w:r>
    </w:p>
    <w:p w14:paraId="03B816A7" w14:textId="77777777" w:rsidR="00C97C94" w:rsidRDefault="00C97C94" w:rsidP="003D486F">
      <w:pPr>
        <w:pStyle w:val="Bullet"/>
      </w:pPr>
      <w:r>
        <w:t>Responsibility for matters relating to regulatory frameworks administered by the Australian Financial Security Authority (</w:t>
      </w:r>
      <w:r w:rsidRPr="00F44E47">
        <w:t>AFSA</w:t>
      </w:r>
      <w:r>
        <w:t>)</w:t>
      </w:r>
      <w:r w:rsidRPr="00F44E47">
        <w:t xml:space="preserve"> – the personal insolvency and bankruptcy regimes, and the Personal Property Securities Register</w:t>
      </w:r>
      <w:r>
        <w:t xml:space="preserve"> – is now the responsibility of the Treasurer.</w:t>
      </w:r>
    </w:p>
    <w:p w14:paraId="2C54825A" w14:textId="77777777" w:rsidR="002A5B1A" w:rsidRDefault="002A5B1A" w:rsidP="003D486F">
      <w:pPr>
        <w:pStyle w:val="Bullet"/>
      </w:pPr>
      <w:r>
        <w:t xml:space="preserve">Responsibility for matters </w:t>
      </w:r>
      <w:r w:rsidRPr="00F44E47">
        <w:t xml:space="preserve">relating to the regulatory frameworks administered by </w:t>
      </w:r>
      <w:r w:rsidRPr="001E3DFC">
        <w:t xml:space="preserve">Australian Transaction Reports and Analysis Centre </w:t>
      </w:r>
      <w:r>
        <w:t>(</w:t>
      </w:r>
      <w:r w:rsidRPr="00F44E47">
        <w:t>AUSTRAC</w:t>
      </w:r>
      <w:r>
        <w:t>)</w:t>
      </w:r>
      <w:r w:rsidRPr="00F44E47">
        <w:t xml:space="preserve"> </w:t>
      </w:r>
      <w:r>
        <w:t xml:space="preserve">– </w:t>
      </w:r>
      <w:r w:rsidRPr="00F44E47">
        <w:t>money laundering, terrorism financing, and other financial crimes frameworks</w:t>
      </w:r>
      <w:r>
        <w:t xml:space="preserve"> – is now the responsibility of the Minister for Home Affairs.</w:t>
      </w:r>
    </w:p>
    <w:p w14:paraId="0E679760" w14:textId="74E6FFD6" w:rsidR="484D5C05" w:rsidRDefault="002A5B1A" w:rsidP="002A5B1A">
      <w:r>
        <w:t>AFSA and AUSTRAC have also been respectively transferred to the Treasury and Home Affairs</w:t>
      </w:r>
      <w:r w:rsidR="00965462">
        <w:t xml:space="preserve"> portfolios</w:t>
      </w:r>
      <w:r w:rsidR="0094636B">
        <w:t>.</w:t>
      </w:r>
    </w:p>
    <w:p w14:paraId="1622E201" w14:textId="44188BAA" w:rsidR="00DD58E6" w:rsidRPr="00DF73F9" w:rsidRDefault="00DF73F9" w:rsidP="00975965">
      <w:pPr>
        <w:pStyle w:val="Heading2"/>
      </w:pPr>
      <w:r>
        <w:br w:type="column"/>
      </w:r>
      <w:bookmarkStart w:id="17" w:name="_Toc210050725"/>
      <w:r w:rsidR="00EE7108" w:rsidRPr="00DF73F9">
        <w:lastRenderedPageBreak/>
        <w:t xml:space="preserve">Existing </w:t>
      </w:r>
      <w:r w:rsidR="00F305B2" w:rsidRPr="00DF73F9">
        <w:t>coordination mechanisms and examples</w:t>
      </w:r>
      <w:bookmarkEnd w:id="17"/>
    </w:p>
    <w:p w14:paraId="1F85DA3C" w14:textId="2E754E75" w:rsidR="2AF5A751" w:rsidRDefault="00DF73F9" w:rsidP="2AF5A751">
      <w:r>
        <w:br w:type="column"/>
      </w:r>
      <w:r w:rsidR="142CF1DF">
        <w:rPr>
          <w:rFonts w:eastAsia="Aptos"/>
        </w:rPr>
        <w:t xml:space="preserve">The </w:t>
      </w:r>
      <w:r w:rsidR="142CF1DF">
        <w:t>RIG</w:t>
      </w:r>
      <w:r w:rsidR="003D486F">
        <w:t>’</w:t>
      </w:r>
      <w:r w:rsidR="00B473F5">
        <w:t>s</w:t>
      </w:r>
      <w:r w:rsidR="0FDA5059">
        <w:t xml:space="preserve"> </w:t>
      </w:r>
      <w:r w:rsidR="00B473F5">
        <w:t xml:space="preserve">objective extends </w:t>
      </w:r>
      <w:r w:rsidR="61F9FCD5">
        <w:t>beyond transparency</w:t>
      </w:r>
      <w:r w:rsidR="142CF1DF">
        <w:t xml:space="preserve"> </w:t>
      </w:r>
      <w:r w:rsidR="00B473F5">
        <w:t xml:space="preserve">and includes </w:t>
      </w:r>
      <w:r w:rsidR="001D7AFE">
        <w:t xml:space="preserve">supporting ongoing </w:t>
      </w:r>
      <w:r w:rsidR="142CF1DF">
        <w:t>coordination among</w:t>
      </w:r>
      <w:r w:rsidR="001D7AFE">
        <w:t>st</w:t>
      </w:r>
      <w:r w:rsidR="142CF1DF">
        <w:t xml:space="preserve"> government agencies </w:t>
      </w:r>
      <w:r w:rsidR="001D7AFE">
        <w:t xml:space="preserve">and regulators </w:t>
      </w:r>
      <w:r w:rsidR="142CF1DF">
        <w:t xml:space="preserve">to reduce </w:t>
      </w:r>
      <w:r w:rsidR="142CF1DF">
        <w:rPr>
          <w:rFonts w:eastAsia="Aptos"/>
        </w:rPr>
        <w:t xml:space="preserve">the </w:t>
      </w:r>
      <w:r w:rsidR="142CF1DF">
        <w:t>compliance burden on industry</w:t>
      </w:r>
      <w:r w:rsidR="15549F1A">
        <w:t xml:space="preserve">. </w:t>
      </w:r>
      <w:r w:rsidR="00DA6647">
        <w:t>Outlined below are existing coordination mechanisms and specific examples of collaboration.</w:t>
      </w:r>
    </w:p>
    <w:p w14:paraId="42432956" w14:textId="0EF35A85" w:rsidR="009161E9" w:rsidRPr="009161E9" w:rsidRDefault="009161E9" w:rsidP="2AF5A751">
      <w:pPr>
        <w:rPr>
          <w:rFonts w:eastAsia="Calibri Light" w:cs="Calibri Light"/>
        </w:rPr>
      </w:pPr>
      <w:r w:rsidRPr="2BCE92D0">
        <w:rPr>
          <w:rFonts w:eastAsia="Calibri Light" w:cs="Calibri Light"/>
        </w:rPr>
        <w:t xml:space="preserve">Looking ahead, </w:t>
      </w:r>
      <w:r w:rsidR="008C750E">
        <w:rPr>
          <w:rFonts w:eastAsia="Calibri Light" w:cs="Calibri Light"/>
        </w:rPr>
        <w:t xml:space="preserve">the </w:t>
      </w:r>
      <w:r w:rsidR="00163BCD">
        <w:rPr>
          <w:rFonts w:eastAsia="Calibri Light" w:cs="Calibri Light"/>
        </w:rPr>
        <w:t>g</w:t>
      </w:r>
      <w:r w:rsidR="008C750E">
        <w:rPr>
          <w:rFonts w:eastAsia="Calibri Light" w:cs="Calibri Light"/>
        </w:rPr>
        <w:t>overnment intends</w:t>
      </w:r>
      <w:r w:rsidRPr="2BCE92D0">
        <w:rPr>
          <w:rFonts w:eastAsia="Calibri Light" w:cs="Calibri Light"/>
        </w:rPr>
        <w:t xml:space="preserve"> to strengthen this coordination further, with a view to minimising duplication, enhancing engagement with regulated entities, and promoting a more strategic, system</w:t>
      </w:r>
      <w:r w:rsidR="003D486F">
        <w:rPr>
          <w:rFonts w:eastAsia="Calibri Light" w:cs="Calibri Light"/>
        </w:rPr>
        <w:noBreakHyphen/>
      </w:r>
      <w:r w:rsidRPr="2BCE92D0">
        <w:rPr>
          <w:rFonts w:eastAsia="Calibri Light" w:cs="Calibri Light"/>
        </w:rPr>
        <w:t>wide approach to regulatory implementation. As the financial system continues to evolve, greater alignment and collaboration among regulators will be key to delivering efficient, proportionate, and well</w:t>
      </w:r>
      <w:r w:rsidR="003D486F">
        <w:rPr>
          <w:rFonts w:eastAsia="Calibri Light" w:cs="Calibri Light"/>
        </w:rPr>
        <w:noBreakHyphen/>
      </w:r>
      <w:r w:rsidRPr="2BCE92D0">
        <w:rPr>
          <w:rFonts w:eastAsia="Calibri Light" w:cs="Calibri Light"/>
        </w:rPr>
        <w:t>targeted regulation.</w:t>
      </w:r>
    </w:p>
    <w:p w14:paraId="60AA1621" w14:textId="31A89565" w:rsidR="00AD54C6" w:rsidRPr="00831C85" w:rsidRDefault="00074DB6" w:rsidP="006E3CC1">
      <w:pPr>
        <w:spacing w:before="0" w:after="0" w:line="278" w:lineRule="auto"/>
        <w:rPr>
          <w:rFonts w:eastAsia="Aptos" w:cs="Calibri Light"/>
          <w:kern w:val="2"/>
          <w:szCs w:val="22"/>
          <w:lang w:eastAsia="en-US"/>
          <w14:ligatures w14:val="standardContextual"/>
        </w:rPr>
      </w:pPr>
      <w:r>
        <w:rPr>
          <w:rFonts w:eastAsia="Aptos" w:cs="Calibri Light"/>
          <w:kern w:val="2"/>
          <w:szCs w:val="22"/>
          <w:lang w:eastAsia="en-US"/>
          <w14:ligatures w14:val="standardContextual"/>
        </w:rPr>
        <w:t xml:space="preserve">The </w:t>
      </w:r>
      <w:r w:rsidR="004913F1">
        <w:rPr>
          <w:rFonts w:eastAsia="Aptos" w:cs="Calibri Light"/>
          <w:kern w:val="2"/>
          <w:szCs w:val="22"/>
          <w:lang w:eastAsia="en-US"/>
          <w14:ligatures w14:val="standardContextual"/>
        </w:rPr>
        <w:t xml:space="preserve">RIG </w:t>
      </w:r>
      <w:r w:rsidR="00257237" w:rsidRPr="00257237">
        <w:rPr>
          <w:rFonts w:eastAsia="Aptos" w:cs="Calibri Light"/>
          <w:kern w:val="2"/>
          <w:szCs w:val="22"/>
          <w:lang w:eastAsia="en-US"/>
          <w14:ligatures w14:val="standardContextual"/>
        </w:rPr>
        <w:t>complement</w:t>
      </w:r>
      <w:r w:rsidR="00021D68">
        <w:rPr>
          <w:rFonts w:eastAsia="Aptos" w:cs="Calibri Light"/>
          <w:kern w:val="2"/>
          <w:szCs w:val="22"/>
          <w:lang w:eastAsia="en-US"/>
          <w14:ligatures w14:val="standardContextual"/>
        </w:rPr>
        <w:t>s</w:t>
      </w:r>
      <w:r w:rsidR="00257237" w:rsidRPr="00257237">
        <w:rPr>
          <w:rFonts w:eastAsia="Aptos" w:cs="Calibri Light"/>
          <w:kern w:val="2"/>
          <w:szCs w:val="22"/>
          <w:lang w:eastAsia="en-US"/>
          <w14:ligatures w14:val="standardContextual"/>
        </w:rPr>
        <w:t xml:space="preserve"> existing arrangements </w:t>
      </w:r>
      <w:r w:rsidR="00562EBD">
        <w:rPr>
          <w:rFonts w:eastAsia="Aptos" w:cs="Calibri Light"/>
          <w:kern w:val="2"/>
          <w:szCs w:val="22"/>
          <w:lang w:eastAsia="en-US"/>
          <w14:ligatures w14:val="standardContextual"/>
        </w:rPr>
        <w:t xml:space="preserve">that already </w:t>
      </w:r>
      <w:r w:rsidR="00257237" w:rsidRPr="00257237">
        <w:rPr>
          <w:rFonts w:eastAsia="Aptos" w:cs="Calibri Light"/>
          <w:kern w:val="2"/>
          <w:szCs w:val="22"/>
          <w:lang w:eastAsia="en-US"/>
          <w14:ligatures w14:val="standardContextual"/>
        </w:rPr>
        <w:t>support ongoing coordination of regulatory effort</w:t>
      </w:r>
      <w:r w:rsidR="00562EBD">
        <w:rPr>
          <w:rFonts w:eastAsia="Aptos" w:cs="Calibri Light"/>
          <w:kern w:val="2"/>
          <w:szCs w:val="22"/>
          <w:lang w:eastAsia="en-US"/>
          <w14:ligatures w14:val="standardContextual"/>
        </w:rPr>
        <w:t>, including:</w:t>
      </w:r>
      <w:r w:rsidR="00257237" w:rsidRPr="00257237">
        <w:rPr>
          <w:rFonts w:eastAsia="Aptos" w:cs="Calibri Light"/>
          <w:kern w:val="2"/>
          <w:szCs w:val="22"/>
          <w:lang w:eastAsia="en-US"/>
          <w14:ligatures w14:val="standardContextual"/>
        </w:rPr>
        <w:t xml:space="preserve"> </w:t>
      </w:r>
    </w:p>
    <w:p w14:paraId="781FCFBE" w14:textId="3B8B7A3B" w:rsidR="0086478E" w:rsidRPr="00831C85" w:rsidRDefault="00AD54C6" w:rsidP="003D486F">
      <w:pPr>
        <w:pStyle w:val="Bullet"/>
        <w:rPr>
          <w:rFonts w:eastAsia="Aptos"/>
          <w:lang w:eastAsia="en-US"/>
        </w:rPr>
      </w:pPr>
      <w:r w:rsidRPr="00831C85">
        <w:rPr>
          <w:rFonts w:eastAsia="Aptos"/>
          <w:b/>
          <w:bCs/>
          <w:lang w:eastAsia="en-US"/>
        </w:rPr>
        <w:t>ASIC–APRA Memorandum of Understanding (MoU)</w:t>
      </w:r>
      <w:r w:rsidRPr="00831C85">
        <w:rPr>
          <w:rFonts w:eastAsia="Aptos"/>
          <w:lang w:eastAsia="en-US"/>
        </w:rPr>
        <w:t xml:space="preserve">: </w:t>
      </w:r>
      <w:r w:rsidR="000812F8" w:rsidRPr="00831C85">
        <w:rPr>
          <w:rFonts w:eastAsia="Aptos"/>
          <w:lang w:eastAsia="en-US"/>
        </w:rPr>
        <w:t>The</w:t>
      </w:r>
      <w:r w:rsidRPr="00831C85">
        <w:rPr>
          <w:rFonts w:eastAsia="Aptos"/>
          <w:lang w:eastAsia="en-US"/>
        </w:rPr>
        <w:t xml:space="preserve"> MoU outlines a framework for engagement and coordination</w:t>
      </w:r>
      <w:r w:rsidR="008E32DB" w:rsidRPr="00831C85">
        <w:rPr>
          <w:rFonts w:eastAsia="Aptos"/>
          <w:lang w:eastAsia="en-US"/>
        </w:rPr>
        <w:t>. It</w:t>
      </w:r>
      <w:r w:rsidRPr="00831C85">
        <w:rPr>
          <w:rFonts w:eastAsia="Aptos"/>
          <w:lang w:eastAsia="en-US"/>
        </w:rPr>
        <w:t xml:space="preserve"> </w:t>
      </w:r>
      <w:r w:rsidR="00D331B2" w:rsidRPr="00831C85">
        <w:rPr>
          <w:rFonts w:eastAsia="Aptos"/>
          <w:lang w:eastAsia="en-US"/>
        </w:rPr>
        <w:t>recognises</w:t>
      </w:r>
      <w:r w:rsidRPr="00831C85">
        <w:rPr>
          <w:rFonts w:eastAsia="Aptos"/>
          <w:lang w:eastAsia="en-US"/>
        </w:rPr>
        <w:t xml:space="preserve"> both agencies</w:t>
      </w:r>
      <w:r w:rsidR="003D486F">
        <w:rPr>
          <w:rFonts w:eastAsia="Aptos"/>
          <w:lang w:eastAsia="en-US"/>
        </w:rPr>
        <w:t>’</w:t>
      </w:r>
      <w:r w:rsidR="00B50CC0">
        <w:rPr>
          <w:rFonts w:eastAsia="Aptos"/>
          <w:lang w:eastAsia="en-US"/>
        </w:rPr>
        <w:t xml:space="preserve"> </w:t>
      </w:r>
      <w:r w:rsidRPr="00831C85">
        <w:rPr>
          <w:rFonts w:eastAsia="Aptos"/>
          <w:lang w:eastAsia="en-US"/>
        </w:rPr>
        <w:t xml:space="preserve">shared commitment to financial system resilience and stability, while respecting their distinct regulatory roles. </w:t>
      </w:r>
      <w:r w:rsidR="00295937" w:rsidRPr="00831C85">
        <w:rPr>
          <w:rFonts w:eastAsia="Aptos"/>
          <w:lang w:eastAsia="en-US"/>
        </w:rPr>
        <w:t xml:space="preserve">Under the MoU, </w:t>
      </w:r>
      <w:r w:rsidR="00122B0B" w:rsidRPr="00831C85">
        <w:rPr>
          <w:rFonts w:eastAsia="Aptos"/>
          <w:lang w:eastAsia="en-US"/>
        </w:rPr>
        <w:t>a</w:t>
      </w:r>
      <w:r w:rsidR="006F17F0" w:rsidRPr="00831C85">
        <w:rPr>
          <w:rFonts w:eastAsia="Aptos"/>
          <w:lang w:eastAsia="en-US"/>
        </w:rPr>
        <w:t xml:space="preserve"> joint committee of leaders from both agencies meets regularly, supported by smaller groups that focus on specific risks and issues in the financial sector.</w:t>
      </w:r>
    </w:p>
    <w:p w14:paraId="1E756D60" w14:textId="6A29A238" w:rsidR="0086478E" w:rsidRPr="00831C85" w:rsidRDefault="0086478E" w:rsidP="003D486F">
      <w:pPr>
        <w:pStyle w:val="Bullet"/>
        <w:rPr>
          <w:rFonts w:eastAsia="Aptos"/>
          <w:lang w:eastAsia="en-US"/>
        </w:rPr>
      </w:pPr>
      <w:r w:rsidRPr="00831C85">
        <w:rPr>
          <w:rFonts w:eastAsia="Aptos"/>
          <w:b/>
          <w:bCs/>
          <w:lang w:eastAsia="en-US"/>
        </w:rPr>
        <w:t xml:space="preserve">CFR </w:t>
      </w:r>
      <w:r w:rsidR="002E18C3">
        <w:rPr>
          <w:rFonts w:eastAsia="Aptos"/>
          <w:b/>
          <w:bCs/>
          <w:lang w:eastAsia="en-US"/>
        </w:rPr>
        <w:t>working groups</w:t>
      </w:r>
      <w:r w:rsidR="003327AD">
        <w:rPr>
          <w:rFonts w:eastAsia="Aptos"/>
          <w:b/>
          <w:bCs/>
          <w:lang w:eastAsia="en-US"/>
        </w:rPr>
        <w:t>:</w:t>
      </w:r>
      <w:r w:rsidRPr="00831C85">
        <w:rPr>
          <w:rFonts w:eastAsia="Aptos"/>
          <w:lang w:eastAsia="en-US"/>
        </w:rPr>
        <w:t xml:space="preserve"> </w:t>
      </w:r>
      <w:r w:rsidR="0013263C" w:rsidRPr="0013263C">
        <w:rPr>
          <w:rFonts w:eastAsia="Aptos"/>
          <w:lang w:eastAsia="en-US"/>
        </w:rPr>
        <w:t>Between quarterly meetings, the CFR</w:t>
      </w:r>
      <w:r w:rsidR="003D486F">
        <w:rPr>
          <w:rFonts w:eastAsia="Aptos"/>
          <w:lang w:eastAsia="en-US"/>
        </w:rPr>
        <w:t>’</w:t>
      </w:r>
      <w:r w:rsidR="0013263C" w:rsidRPr="0013263C">
        <w:rPr>
          <w:rFonts w:eastAsia="Aptos"/>
          <w:lang w:eastAsia="en-US"/>
        </w:rPr>
        <w:t>s work continues through various working groups guided by Steering Committees. These groups focus on specific policy issues, develop discussion papers, and may advise on CFR positions. They operate under agreed terms of reference and usually include representatives from the four CFR agencies, with occasional input from non</w:t>
      </w:r>
      <w:r w:rsidR="003D486F">
        <w:rPr>
          <w:rFonts w:eastAsia="Aptos"/>
          <w:lang w:eastAsia="en-US"/>
        </w:rPr>
        <w:noBreakHyphen/>
      </w:r>
      <w:r w:rsidR="0013263C" w:rsidRPr="0013263C">
        <w:rPr>
          <w:rFonts w:eastAsia="Aptos"/>
          <w:lang w:eastAsia="en-US"/>
        </w:rPr>
        <w:t>member experts.</w:t>
      </w:r>
    </w:p>
    <w:p w14:paraId="7771B178" w14:textId="7E5810EE" w:rsidR="00AD54C6" w:rsidRPr="00831C85" w:rsidRDefault="00AD54C6" w:rsidP="003D486F">
      <w:pPr>
        <w:pStyle w:val="Bullet"/>
        <w:rPr>
          <w:rFonts w:eastAsia="Aptos"/>
          <w:lang w:eastAsia="en-US"/>
        </w:rPr>
      </w:pPr>
      <w:r w:rsidRPr="00831C85">
        <w:rPr>
          <w:rFonts w:eastAsia="Aptos"/>
          <w:b/>
          <w:bCs/>
          <w:lang w:eastAsia="en-US"/>
        </w:rPr>
        <w:t xml:space="preserve">Payments System Board </w:t>
      </w:r>
      <w:r w:rsidR="00576C3B" w:rsidRPr="00831C85">
        <w:rPr>
          <w:rFonts w:eastAsia="Aptos"/>
          <w:b/>
          <w:bCs/>
          <w:lang w:eastAsia="en-US"/>
        </w:rPr>
        <w:t>m</w:t>
      </w:r>
      <w:r w:rsidRPr="00831C85">
        <w:rPr>
          <w:rFonts w:eastAsia="Aptos"/>
          <w:b/>
          <w:bCs/>
          <w:lang w:eastAsia="en-US"/>
        </w:rPr>
        <w:t>embership</w:t>
      </w:r>
      <w:r w:rsidRPr="00831C85">
        <w:rPr>
          <w:rFonts w:eastAsia="Aptos"/>
          <w:lang w:eastAsia="en-US"/>
        </w:rPr>
        <w:t>: The Chairs of APRA and the ACCC are members of the RBA Payments System Board, enabling executive</w:t>
      </w:r>
      <w:r w:rsidR="003D486F">
        <w:rPr>
          <w:rFonts w:eastAsia="Aptos"/>
          <w:lang w:eastAsia="en-US"/>
        </w:rPr>
        <w:noBreakHyphen/>
      </w:r>
      <w:r w:rsidRPr="00831C85">
        <w:rPr>
          <w:rFonts w:eastAsia="Aptos"/>
          <w:lang w:eastAsia="en-US"/>
        </w:rPr>
        <w:t>level coordination on policy and regulation.</w:t>
      </w:r>
    </w:p>
    <w:p w14:paraId="5FB235C3" w14:textId="43F2E4BD" w:rsidR="00AD54C6" w:rsidRPr="00831C85" w:rsidRDefault="00AD54C6" w:rsidP="003D486F">
      <w:pPr>
        <w:pStyle w:val="Bullet"/>
        <w:rPr>
          <w:rFonts w:eastAsia="Aptos"/>
          <w:lang w:eastAsia="en-US"/>
        </w:rPr>
      </w:pPr>
      <w:r w:rsidRPr="00831C85">
        <w:rPr>
          <w:rFonts w:eastAsia="Aptos"/>
          <w:b/>
          <w:bCs/>
          <w:lang w:eastAsia="en-US"/>
        </w:rPr>
        <w:t>Inter</w:t>
      </w:r>
      <w:r w:rsidR="003D486F">
        <w:rPr>
          <w:rFonts w:eastAsia="Aptos"/>
          <w:b/>
          <w:bCs/>
          <w:lang w:eastAsia="en-US"/>
        </w:rPr>
        <w:noBreakHyphen/>
      </w:r>
      <w:r w:rsidRPr="00831C85">
        <w:rPr>
          <w:rFonts w:eastAsia="Aptos"/>
          <w:b/>
          <w:bCs/>
          <w:lang w:eastAsia="en-US"/>
        </w:rPr>
        <w:t xml:space="preserve">agency </w:t>
      </w:r>
      <w:r w:rsidR="00576C3B" w:rsidRPr="00831C85">
        <w:rPr>
          <w:rFonts w:eastAsia="Aptos"/>
          <w:b/>
          <w:bCs/>
          <w:lang w:eastAsia="en-US"/>
        </w:rPr>
        <w:t>e</w:t>
      </w:r>
      <w:r w:rsidRPr="00831C85">
        <w:rPr>
          <w:rFonts w:eastAsia="Aptos"/>
          <w:b/>
          <w:bCs/>
          <w:lang w:eastAsia="en-US"/>
        </w:rPr>
        <w:t>ngagement</w:t>
      </w:r>
      <w:r w:rsidRPr="00831C85">
        <w:rPr>
          <w:rFonts w:eastAsia="Aptos"/>
          <w:lang w:eastAsia="en-US"/>
        </w:rPr>
        <w:t xml:space="preserve">: </w:t>
      </w:r>
      <w:r w:rsidR="00CF2E09" w:rsidRPr="00831C85">
        <w:rPr>
          <w:rFonts w:eastAsia="Aptos"/>
          <w:lang w:eastAsia="en-US"/>
        </w:rPr>
        <w:t xml:space="preserve">Staff of the </w:t>
      </w:r>
      <w:r w:rsidRPr="00831C85">
        <w:rPr>
          <w:rFonts w:eastAsia="Aptos"/>
          <w:lang w:eastAsia="en-US"/>
        </w:rPr>
        <w:t>RBA</w:t>
      </w:r>
      <w:r w:rsidR="009544F0" w:rsidRPr="00831C85">
        <w:rPr>
          <w:rFonts w:eastAsia="Aptos"/>
          <w:lang w:eastAsia="en-US"/>
        </w:rPr>
        <w:t>,</w:t>
      </w:r>
      <w:r w:rsidRPr="00831C85">
        <w:rPr>
          <w:rFonts w:eastAsia="Aptos"/>
          <w:lang w:eastAsia="en-US"/>
        </w:rPr>
        <w:t xml:space="preserve"> ACCC, APRA, ASIC, </w:t>
      </w:r>
      <w:r w:rsidR="00EB4FA0">
        <w:rPr>
          <w:rFonts w:eastAsia="Aptos"/>
          <w:lang w:eastAsia="en-US"/>
        </w:rPr>
        <w:t>AFSA</w:t>
      </w:r>
      <w:r w:rsidR="0073228D">
        <w:rPr>
          <w:rFonts w:eastAsia="Aptos"/>
          <w:lang w:eastAsia="en-US"/>
        </w:rPr>
        <w:t xml:space="preserve">, </w:t>
      </w:r>
      <w:r w:rsidR="00E217F6">
        <w:rPr>
          <w:rFonts w:eastAsia="Aptos"/>
          <w:lang w:eastAsia="en-US"/>
        </w:rPr>
        <w:t xml:space="preserve">ATO, AUSTRAC </w:t>
      </w:r>
      <w:r w:rsidRPr="00831C85">
        <w:rPr>
          <w:rFonts w:eastAsia="Aptos"/>
          <w:lang w:eastAsia="en-US"/>
        </w:rPr>
        <w:t>and Treasury</w:t>
      </w:r>
      <w:r w:rsidR="005B7E23" w:rsidRPr="00831C85">
        <w:rPr>
          <w:rFonts w:eastAsia="Aptos"/>
          <w:lang w:eastAsia="en-US"/>
        </w:rPr>
        <w:t xml:space="preserve"> meet regular</w:t>
      </w:r>
      <w:r w:rsidR="004957DD" w:rsidRPr="00831C85">
        <w:rPr>
          <w:rFonts w:eastAsia="Aptos"/>
          <w:lang w:eastAsia="en-US"/>
        </w:rPr>
        <w:t>ly</w:t>
      </w:r>
      <w:r w:rsidRPr="00831C85">
        <w:rPr>
          <w:rFonts w:eastAsia="Aptos"/>
          <w:lang w:eastAsia="en-US"/>
        </w:rPr>
        <w:t xml:space="preserve"> to share information and coordinate on </w:t>
      </w:r>
      <w:r w:rsidR="000B5083" w:rsidRPr="00831C85">
        <w:rPr>
          <w:rFonts w:eastAsia="Aptos"/>
          <w:lang w:eastAsia="en-US"/>
        </w:rPr>
        <w:t>policy and regulation</w:t>
      </w:r>
      <w:r w:rsidRPr="00831C85">
        <w:rPr>
          <w:rFonts w:eastAsia="Aptos"/>
          <w:lang w:eastAsia="en-US"/>
        </w:rPr>
        <w:t>. These standing meetings address a wide range of topics, such as payment reforms, cross</w:t>
      </w:r>
      <w:r w:rsidR="003D486F">
        <w:rPr>
          <w:rFonts w:eastAsia="Aptos"/>
          <w:lang w:eastAsia="en-US"/>
        </w:rPr>
        <w:noBreakHyphen/>
      </w:r>
      <w:r w:rsidRPr="00831C85">
        <w:rPr>
          <w:rFonts w:eastAsia="Aptos"/>
          <w:lang w:eastAsia="en-US"/>
        </w:rPr>
        <w:t>border transactions, account</w:t>
      </w:r>
      <w:r w:rsidR="003D486F">
        <w:rPr>
          <w:rFonts w:eastAsia="Aptos"/>
          <w:lang w:eastAsia="en-US"/>
        </w:rPr>
        <w:noBreakHyphen/>
      </w:r>
      <w:r w:rsidRPr="00831C85">
        <w:rPr>
          <w:rFonts w:eastAsia="Aptos"/>
          <w:lang w:eastAsia="en-US"/>
        </w:rPr>
        <w:t>to</w:t>
      </w:r>
      <w:r w:rsidR="003D486F">
        <w:rPr>
          <w:rFonts w:eastAsia="Aptos"/>
          <w:lang w:eastAsia="en-US"/>
        </w:rPr>
        <w:noBreakHyphen/>
      </w:r>
      <w:r w:rsidRPr="00831C85">
        <w:rPr>
          <w:rFonts w:eastAsia="Aptos"/>
          <w:lang w:eastAsia="en-US"/>
        </w:rPr>
        <w:t>account payments, and financial market infrastructure supervision.</w:t>
      </w:r>
    </w:p>
    <w:p w14:paraId="4CA682D7" w14:textId="5E3E5951" w:rsidR="002670F7" w:rsidRPr="0026720A" w:rsidRDefault="00DF73F9" w:rsidP="0026720A">
      <w:pPr>
        <w:spacing w:before="0" w:after="0" w:line="278" w:lineRule="auto"/>
        <w:rPr>
          <w:rFonts w:eastAsia="Aptos" w:cs="Calibri Light"/>
          <w:kern w:val="2"/>
          <w:lang w:eastAsia="en-US"/>
          <w14:ligatures w14:val="standardContextual"/>
        </w:rPr>
      </w:pPr>
      <w:r>
        <w:rPr>
          <w:rFonts w:eastAsia="Aptos" w:cs="Arial"/>
          <w:color w:val="4D7861" w:themeColor="accent2"/>
          <w:kern w:val="32"/>
          <w:sz w:val="24"/>
          <w:szCs w:val="26"/>
          <w:lang w:eastAsia="en-US"/>
        </w:rPr>
        <w:br w:type="column"/>
      </w:r>
      <w:r>
        <w:rPr>
          <w:rFonts w:eastAsia="Aptos" w:cs="Arial"/>
          <w:color w:val="4D7861" w:themeColor="accent2"/>
          <w:kern w:val="32"/>
          <w:sz w:val="24"/>
          <w:szCs w:val="26"/>
          <w:lang w:eastAsia="en-US"/>
        </w:rPr>
        <w:lastRenderedPageBreak/>
        <w:br w:type="column"/>
      </w:r>
      <w:r w:rsidR="008C50CC" w:rsidRPr="26790962">
        <w:rPr>
          <w:rFonts w:eastAsia="Aptos" w:cs="Calibri Light"/>
          <w:kern w:val="2"/>
          <w:lang w:eastAsia="en-US"/>
          <w14:ligatures w14:val="standardContextual"/>
        </w:rPr>
        <w:t xml:space="preserve">The following </w:t>
      </w:r>
      <w:r w:rsidR="41CC6F08" w:rsidRPr="26790962">
        <w:rPr>
          <w:rFonts w:eastAsia="Aptos" w:cs="Calibri Light"/>
          <w:kern w:val="2"/>
          <w:lang w:eastAsia="en-US"/>
          <w14:ligatures w14:val="standardContextual"/>
        </w:rPr>
        <w:t>are examples of</w:t>
      </w:r>
      <w:r w:rsidR="002670F7" w:rsidRPr="26790962">
        <w:rPr>
          <w:rFonts w:eastAsia="Aptos" w:cs="Calibri Light"/>
          <w:kern w:val="2"/>
          <w:lang w:eastAsia="en-US"/>
          <w14:ligatures w14:val="standardContextual"/>
        </w:rPr>
        <w:t xml:space="preserve"> </w:t>
      </w:r>
      <w:r w:rsidR="2697627B" w:rsidRPr="26790962">
        <w:rPr>
          <w:rFonts w:eastAsia="Aptos" w:cs="Calibri Light"/>
          <w:kern w:val="2"/>
          <w:lang w:eastAsia="en-US"/>
          <w14:ligatures w14:val="standardContextual"/>
        </w:rPr>
        <w:t>existing</w:t>
      </w:r>
      <w:r w:rsidR="002670F7" w:rsidRPr="26790962">
        <w:rPr>
          <w:rFonts w:eastAsia="Aptos" w:cs="Calibri Light"/>
          <w:kern w:val="2"/>
          <w:lang w:eastAsia="en-US"/>
          <w14:ligatures w14:val="standardContextual"/>
        </w:rPr>
        <w:t xml:space="preserve"> specific cross</w:t>
      </w:r>
      <w:r w:rsidR="003D486F">
        <w:rPr>
          <w:rFonts w:eastAsia="Aptos" w:cs="Calibri Light"/>
          <w:kern w:val="2"/>
          <w:lang w:eastAsia="en-US"/>
          <w14:ligatures w14:val="standardContextual"/>
        </w:rPr>
        <w:noBreakHyphen/>
      </w:r>
      <w:r w:rsidR="002670F7" w:rsidRPr="26790962">
        <w:rPr>
          <w:rFonts w:eastAsia="Aptos" w:cs="Calibri Light"/>
          <w:kern w:val="2"/>
          <w:lang w:eastAsia="en-US"/>
          <w14:ligatures w14:val="standardContextual"/>
        </w:rPr>
        <w:t>agency collaboration:</w:t>
      </w:r>
    </w:p>
    <w:p w14:paraId="2A3B5DFB" w14:textId="77777777" w:rsidR="00510596" w:rsidRPr="00893574" w:rsidRDefault="00AD54C6" w:rsidP="003D486F">
      <w:pPr>
        <w:pStyle w:val="Bullet"/>
        <w:spacing w:after="60"/>
        <w:rPr>
          <w:rFonts w:eastAsia="Aptos"/>
          <w:b/>
          <w:i/>
          <w:lang w:eastAsia="en-US"/>
        </w:rPr>
      </w:pPr>
      <w:r w:rsidRPr="0026720A">
        <w:rPr>
          <w:rFonts w:eastAsia="Aptos"/>
          <w:b/>
          <w:bCs/>
          <w:lang w:eastAsia="en-US"/>
        </w:rPr>
        <w:t>Digital Finance Advisory Panel</w:t>
      </w:r>
      <w:r w:rsidRPr="0026720A">
        <w:rPr>
          <w:rFonts w:eastAsia="Aptos"/>
          <w:lang w:eastAsia="en-US"/>
        </w:rPr>
        <w:t xml:space="preserve">: </w:t>
      </w:r>
      <w:r w:rsidR="00510596" w:rsidRPr="00510596">
        <w:rPr>
          <w:rFonts w:eastAsia="Aptos"/>
          <w:lang w:eastAsia="en-US"/>
        </w:rPr>
        <w:t>ASIC and the RBA are part of this panel, which includes both industry and regulators. It helps ASIC understand where to focus in the fintech space by sharing information on digital finance and regulation.</w:t>
      </w:r>
    </w:p>
    <w:p w14:paraId="742F714A" w14:textId="18EB5197" w:rsidR="002C1335" w:rsidRPr="0026720A" w:rsidRDefault="002C1335" w:rsidP="003D486F">
      <w:pPr>
        <w:pStyle w:val="Bullet"/>
        <w:spacing w:after="60"/>
        <w:rPr>
          <w:rFonts w:eastAsia="Aptos"/>
          <w:b/>
          <w:bCs/>
          <w:i/>
          <w:iCs/>
          <w:lang w:eastAsia="en-US"/>
        </w:rPr>
      </w:pPr>
      <w:r>
        <w:rPr>
          <w:rFonts w:eastAsia="Aptos"/>
          <w:b/>
          <w:bCs/>
          <w:lang w:eastAsia="en-US"/>
        </w:rPr>
        <w:t>APRA and ASIC thematic review</w:t>
      </w:r>
      <w:r w:rsidR="00816372" w:rsidRPr="0079737B">
        <w:rPr>
          <w:rFonts w:eastAsia="Aptos"/>
          <w:lang w:eastAsia="en-US"/>
        </w:rPr>
        <w:t xml:space="preserve">: </w:t>
      </w:r>
      <w:r w:rsidR="00597333" w:rsidRPr="0079737B">
        <w:rPr>
          <w:rFonts w:eastAsia="Aptos"/>
          <w:lang w:eastAsia="en-US"/>
        </w:rPr>
        <w:t xml:space="preserve">ASIC and APRA </w:t>
      </w:r>
      <w:r w:rsidR="00A331AB" w:rsidRPr="0079737B">
        <w:rPr>
          <w:rFonts w:eastAsia="Aptos"/>
          <w:lang w:eastAsia="en-US"/>
        </w:rPr>
        <w:t xml:space="preserve">completed a joint thematic review </w:t>
      </w:r>
      <w:r w:rsidR="00013E04">
        <w:rPr>
          <w:rFonts w:eastAsia="Aptos"/>
          <w:lang w:eastAsia="en-US"/>
        </w:rPr>
        <w:t>how superannuation trustees are supporting their members under the Retirement Income Covenant</w:t>
      </w:r>
      <w:r w:rsidR="00A331AB" w:rsidRPr="0079737B">
        <w:rPr>
          <w:rFonts w:eastAsia="Aptos"/>
          <w:lang w:eastAsia="en-US"/>
        </w:rPr>
        <w:t xml:space="preserve">. </w:t>
      </w:r>
      <w:r w:rsidR="004540DF">
        <w:rPr>
          <w:rFonts w:eastAsia="Aptos"/>
          <w:lang w:eastAsia="en-US"/>
        </w:rPr>
        <w:t xml:space="preserve">The joint review </w:t>
      </w:r>
      <w:r w:rsidR="001115B1">
        <w:rPr>
          <w:rFonts w:eastAsia="Aptos"/>
          <w:lang w:eastAsia="en-US"/>
        </w:rPr>
        <w:t xml:space="preserve">allowed for the sharing of early learnings and experience across the industry, call out areas where industry needs to accelerate its implementation efforts and encourage innovation. </w:t>
      </w:r>
    </w:p>
    <w:p w14:paraId="778CD682" w14:textId="1813D8D9" w:rsidR="0085609B" w:rsidRPr="0026720A" w:rsidRDefault="0085609B" w:rsidP="003D486F">
      <w:pPr>
        <w:pStyle w:val="Bullet"/>
        <w:spacing w:after="60"/>
        <w:rPr>
          <w:rFonts w:eastAsia="Aptos"/>
          <w:b/>
          <w:bCs/>
          <w:i/>
          <w:iCs/>
          <w:lang w:eastAsia="en-US"/>
        </w:rPr>
      </w:pPr>
      <w:r w:rsidRPr="0026720A">
        <w:rPr>
          <w:rFonts w:eastAsia="Aptos"/>
          <w:b/>
          <w:bCs/>
          <w:lang w:eastAsia="en-US"/>
        </w:rPr>
        <w:t xml:space="preserve">Supervision of </w:t>
      </w:r>
      <w:r w:rsidR="006C6A48" w:rsidRPr="00510596">
        <w:rPr>
          <w:rFonts w:eastAsia="Aptos"/>
          <w:b/>
          <w:bCs/>
          <w:lang w:eastAsia="en-US"/>
        </w:rPr>
        <w:t xml:space="preserve">Clearing and Settlement (CS) </w:t>
      </w:r>
      <w:r w:rsidRPr="0026720A">
        <w:rPr>
          <w:rFonts w:eastAsia="Aptos"/>
          <w:b/>
          <w:bCs/>
          <w:lang w:eastAsia="en-US"/>
        </w:rPr>
        <w:t>facilities</w:t>
      </w:r>
      <w:r w:rsidRPr="00510596">
        <w:rPr>
          <w:rFonts w:eastAsia="Aptos"/>
          <w:b/>
          <w:bCs/>
          <w:lang w:eastAsia="en-US"/>
        </w:rPr>
        <w:t>:</w:t>
      </w:r>
      <w:r w:rsidRPr="0026720A">
        <w:rPr>
          <w:rFonts w:eastAsia="Aptos"/>
          <w:lang w:eastAsia="en-US"/>
        </w:rPr>
        <w:t xml:space="preserve"> ASIC and the RBA are co</w:t>
      </w:r>
      <w:r w:rsidR="003D486F">
        <w:rPr>
          <w:rFonts w:eastAsia="Aptos"/>
          <w:lang w:eastAsia="en-US"/>
        </w:rPr>
        <w:noBreakHyphen/>
      </w:r>
      <w:r w:rsidRPr="0026720A">
        <w:rPr>
          <w:rFonts w:eastAsia="Aptos"/>
          <w:lang w:eastAsia="en-US"/>
        </w:rPr>
        <w:t>supervisors of CS facilities and communicate and coordinate their supervision activities frequently.</w:t>
      </w:r>
    </w:p>
    <w:p w14:paraId="2E891CE0" w14:textId="57BB00FC" w:rsidR="00022936" w:rsidRPr="0026720A" w:rsidRDefault="00022936" w:rsidP="003D486F">
      <w:pPr>
        <w:pStyle w:val="Bullet"/>
        <w:spacing w:after="60"/>
        <w:rPr>
          <w:rFonts w:eastAsia="Aptos"/>
          <w:b/>
          <w:bCs/>
          <w:i/>
          <w:iCs/>
          <w:lang w:eastAsia="en-US"/>
        </w:rPr>
      </w:pPr>
      <w:r w:rsidRPr="0026720A">
        <w:rPr>
          <w:rFonts w:eastAsia="Aptos"/>
          <w:b/>
          <w:bCs/>
          <w:lang w:eastAsia="en-US"/>
        </w:rPr>
        <w:t>The Industry Resilience Initiative</w:t>
      </w:r>
      <w:r>
        <w:rPr>
          <w:rFonts w:eastAsia="Aptos"/>
          <w:b/>
          <w:bCs/>
          <w:lang w:eastAsia="en-US"/>
        </w:rPr>
        <w:t>:</w:t>
      </w:r>
      <w:r w:rsidRPr="00022936">
        <w:rPr>
          <w:rFonts w:eastAsia="Aptos"/>
          <w:b/>
          <w:bCs/>
          <w:i/>
          <w:iCs/>
          <w:lang w:eastAsia="en-US"/>
        </w:rPr>
        <w:t xml:space="preserve"> </w:t>
      </w:r>
      <w:r w:rsidR="00D37E6B" w:rsidRPr="00D37E6B">
        <w:rPr>
          <w:rFonts w:eastAsia="Aptos"/>
          <w:lang w:eastAsia="en-US"/>
        </w:rPr>
        <w:t>APRA and the RBA are working with banks and other financial institutions to plan for major outages that could disrupt payments and reduce public trust.</w:t>
      </w:r>
    </w:p>
    <w:p w14:paraId="488AD3FD" w14:textId="53568496" w:rsidR="003140C2" w:rsidRPr="0026720A" w:rsidRDefault="003140C2" w:rsidP="003D486F">
      <w:pPr>
        <w:pStyle w:val="Bullet"/>
        <w:spacing w:after="60"/>
        <w:rPr>
          <w:rFonts w:eastAsia="Aptos"/>
          <w:b/>
          <w:bCs/>
          <w:i/>
          <w:iCs/>
          <w:lang w:eastAsia="en-US"/>
        </w:rPr>
      </w:pPr>
      <w:r w:rsidRPr="0026720A">
        <w:rPr>
          <w:rFonts w:eastAsia="Aptos"/>
          <w:b/>
          <w:bCs/>
          <w:lang w:eastAsia="en-US"/>
        </w:rPr>
        <w:t>Security of Critical Infrastructure (SOCI)</w:t>
      </w:r>
      <w:r>
        <w:rPr>
          <w:rFonts w:eastAsia="Aptos"/>
          <w:b/>
          <w:bCs/>
          <w:lang w:eastAsia="en-US"/>
        </w:rPr>
        <w:t>:</w:t>
      </w:r>
      <w:r w:rsidRPr="003140C2">
        <w:rPr>
          <w:rFonts w:eastAsia="Aptos"/>
          <w:b/>
          <w:bCs/>
          <w:i/>
          <w:iCs/>
          <w:lang w:eastAsia="en-US"/>
        </w:rPr>
        <w:t xml:space="preserve"> </w:t>
      </w:r>
      <w:r w:rsidR="000C5DEC" w:rsidRPr="000C5DEC">
        <w:rPr>
          <w:rFonts w:eastAsia="Aptos"/>
          <w:lang w:eastAsia="en-US"/>
        </w:rPr>
        <w:t xml:space="preserve">The RBA oversees key payment systems like NPP, </w:t>
      </w:r>
      <w:r w:rsidR="003C7597" w:rsidRPr="003C7597">
        <w:rPr>
          <w:rFonts w:eastAsia="Aptos"/>
          <w:lang w:eastAsia="en-US"/>
        </w:rPr>
        <w:t>EFTPOS</w:t>
      </w:r>
      <w:r w:rsidR="000C5DEC" w:rsidRPr="000C5DEC">
        <w:rPr>
          <w:rFonts w:eastAsia="Aptos"/>
          <w:lang w:eastAsia="en-US"/>
        </w:rPr>
        <w:t>, Visa, and Mastercard. It gets yearly reports on how these systems manage risks and shares them with the Department of Home Affairs. The two agencies have a</w:t>
      </w:r>
      <w:r w:rsidR="000C5DEC">
        <w:rPr>
          <w:rFonts w:eastAsia="Aptos"/>
          <w:lang w:eastAsia="en-US"/>
        </w:rPr>
        <w:t xml:space="preserve"> memorandum of understanding</w:t>
      </w:r>
      <w:r w:rsidR="000C5DEC" w:rsidRPr="000C5DEC">
        <w:rPr>
          <w:rFonts w:eastAsia="Aptos"/>
          <w:lang w:eastAsia="en-US"/>
        </w:rPr>
        <w:t xml:space="preserve"> to work closely together on this.</w:t>
      </w:r>
    </w:p>
    <w:p w14:paraId="38BAF6BF" w14:textId="389A0448" w:rsidR="00BF5CFD" w:rsidRPr="0026720A" w:rsidRDefault="00BF5CFD" w:rsidP="003D486F">
      <w:pPr>
        <w:pStyle w:val="Bullet"/>
        <w:spacing w:after="60"/>
        <w:rPr>
          <w:rFonts w:eastAsia="Aptos"/>
          <w:b/>
          <w:bCs/>
          <w:i/>
          <w:iCs/>
          <w:lang w:eastAsia="en-US"/>
        </w:rPr>
      </w:pPr>
      <w:r w:rsidRPr="00BF5CFD">
        <w:rPr>
          <w:rFonts w:eastAsia="Aptos"/>
          <w:b/>
          <w:bCs/>
          <w:lang w:eastAsia="en-US"/>
        </w:rPr>
        <w:t>Financial Accountability Regime</w:t>
      </w:r>
      <w:r w:rsidR="00AF627C">
        <w:rPr>
          <w:rFonts w:eastAsia="Aptos"/>
          <w:b/>
          <w:bCs/>
          <w:lang w:eastAsia="en-US"/>
        </w:rPr>
        <w:t xml:space="preserve"> (FAR)</w:t>
      </w:r>
      <w:r w:rsidRPr="00BF5CFD">
        <w:rPr>
          <w:rFonts w:eastAsia="Aptos"/>
          <w:b/>
          <w:bCs/>
          <w:lang w:eastAsia="en-US"/>
        </w:rPr>
        <w:t xml:space="preserve">: </w:t>
      </w:r>
      <w:r w:rsidR="004D0132">
        <w:rPr>
          <w:rFonts w:eastAsia="Aptos"/>
          <w:lang w:eastAsia="en-US"/>
        </w:rPr>
        <w:t xml:space="preserve">ASIC and APRA work </w:t>
      </w:r>
      <w:r w:rsidRPr="0026720A">
        <w:rPr>
          <w:rFonts w:eastAsia="Aptos"/>
          <w:lang w:eastAsia="en-US"/>
        </w:rPr>
        <w:t>closely together in the joint administration of the FAR</w:t>
      </w:r>
      <w:r w:rsidR="003F465A">
        <w:rPr>
          <w:rFonts w:eastAsia="Aptos"/>
          <w:lang w:eastAsia="en-US"/>
        </w:rPr>
        <w:t xml:space="preserve"> </w:t>
      </w:r>
      <w:r w:rsidR="00B46E48">
        <w:rPr>
          <w:rFonts w:eastAsia="Aptos"/>
          <w:lang w:eastAsia="en-US"/>
        </w:rPr>
        <w:t>that applies</w:t>
      </w:r>
      <w:r w:rsidRPr="0026720A">
        <w:rPr>
          <w:rFonts w:eastAsia="Aptos"/>
          <w:lang w:eastAsia="en-US"/>
        </w:rPr>
        <w:t xml:space="preserve"> to the banking, insurance and superannuation sectors</w:t>
      </w:r>
      <w:r w:rsidR="0059033D">
        <w:rPr>
          <w:rFonts w:eastAsia="Aptos"/>
          <w:lang w:eastAsia="en-US"/>
        </w:rPr>
        <w:t>.</w:t>
      </w:r>
    </w:p>
    <w:p w14:paraId="4D87B01D" w14:textId="6B4C458B" w:rsidR="00DC4A16" w:rsidRDefault="00CD605F" w:rsidP="003D486F">
      <w:pPr>
        <w:pStyle w:val="Bullet"/>
        <w:spacing w:after="60"/>
        <w:rPr>
          <w:rFonts w:eastAsia="Aptos"/>
          <w:lang w:eastAsia="en-US"/>
        </w:rPr>
      </w:pPr>
      <w:r w:rsidRPr="0026720A">
        <w:rPr>
          <w:rFonts w:eastAsia="Aptos"/>
          <w:b/>
          <w:bCs/>
          <w:lang w:eastAsia="en-US"/>
        </w:rPr>
        <w:t>Stored</w:t>
      </w:r>
      <w:r w:rsidR="003D486F">
        <w:rPr>
          <w:rFonts w:eastAsia="Aptos"/>
          <w:b/>
          <w:bCs/>
          <w:lang w:eastAsia="en-US"/>
        </w:rPr>
        <w:noBreakHyphen/>
      </w:r>
      <w:r w:rsidRPr="0026720A">
        <w:rPr>
          <w:rFonts w:eastAsia="Aptos"/>
          <w:b/>
          <w:bCs/>
          <w:lang w:eastAsia="en-US"/>
        </w:rPr>
        <w:t>value facilities, stablecoins and providers of purchased payment facilities (PPF)</w:t>
      </w:r>
      <w:r w:rsidR="00C76E06">
        <w:rPr>
          <w:rFonts w:eastAsia="Aptos"/>
          <w:b/>
          <w:bCs/>
          <w:lang w:eastAsia="en-US"/>
        </w:rPr>
        <w:t>:</w:t>
      </w:r>
      <w:r w:rsidRPr="0026720A">
        <w:rPr>
          <w:rFonts w:eastAsia="Aptos"/>
          <w:lang w:eastAsia="en-US"/>
        </w:rPr>
        <w:t xml:space="preserve"> As an area of joint regulatory responsibility, APRA and</w:t>
      </w:r>
      <w:r w:rsidR="0059033D">
        <w:rPr>
          <w:rFonts w:eastAsia="Aptos"/>
          <w:lang w:eastAsia="en-US"/>
        </w:rPr>
        <w:t xml:space="preserve"> the</w:t>
      </w:r>
      <w:r w:rsidRPr="0026720A">
        <w:rPr>
          <w:rFonts w:eastAsia="Aptos"/>
          <w:lang w:eastAsia="en-US"/>
        </w:rPr>
        <w:t xml:space="preserve"> RBA are coordinating their interactions with PPF issuers on regulatory requirements.</w:t>
      </w:r>
    </w:p>
    <w:p w14:paraId="31833AAC" w14:textId="12B0620E" w:rsidR="00DA783D" w:rsidRDefault="00536B7D" w:rsidP="003D486F">
      <w:pPr>
        <w:pStyle w:val="Bullet"/>
        <w:spacing w:after="60"/>
        <w:rPr>
          <w:rFonts w:eastAsia="Aptos"/>
          <w:lang w:eastAsia="en-US"/>
        </w:rPr>
      </w:pPr>
      <w:r w:rsidRPr="00536B7D">
        <w:rPr>
          <w:rFonts w:eastAsia="Aptos"/>
          <w:b/>
          <w:bCs/>
          <w:lang w:eastAsia="en-US"/>
        </w:rPr>
        <w:t>Project Acacia</w:t>
      </w:r>
      <w:r w:rsidR="00C76E06">
        <w:rPr>
          <w:rFonts w:eastAsia="Aptos"/>
          <w:b/>
          <w:bCs/>
          <w:lang w:eastAsia="en-US"/>
        </w:rPr>
        <w:t>:</w:t>
      </w:r>
      <w:r w:rsidRPr="00536B7D">
        <w:rPr>
          <w:rFonts w:eastAsia="Aptos"/>
          <w:lang w:eastAsia="en-US"/>
        </w:rPr>
        <w:t xml:space="preserve"> </w:t>
      </w:r>
      <w:r w:rsidR="00F304EE" w:rsidRPr="00F304EE">
        <w:rPr>
          <w:rFonts w:eastAsia="Aptos"/>
          <w:lang w:eastAsia="en-US"/>
        </w:rPr>
        <w:t>This project looks at how digital money and current systems could support a market for tokenised assets in Australia.</w:t>
      </w:r>
      <w:r w:rsidR="00994DF1" w:rsidRPr="00994DF1">
        <w:t xml:space="preserve"> </w:t>
      </w:r>
      <w:r w:rsidR="00994DF1" w:rsidRPr="00994DF1">
        <w:rPr>
          <w:rFonts w:eastAsia="Aptos"/>
          <w:lang w:eastAsia="en-US"/>
        </w:rPr>
        <w:t>Treasury, ASIC, APRA and the RBA are on the project</w:t>
      </w:r>
      <w:r w:rsidR="003D486F">
        <w:rPr>
          <w:rFonts w:eastAsia="Aptos"/>
          <w:lang w:eastAsia="en-US"/>
        </w:rPr>
        <w:t>’</w:t>
      </w:r>
      <w:r w:rsidR="00994DF1" w:rsidRPr="00994DF1">
        <w:rPr>
          <w:rFonts w:eastAsia="Aptos"/>
          <w:lang w:eastAsia="en-US"/>
        </w:rPr>
        <w:t>s Steering Committee.</w:t>
      </w:r>
    </w:p>
    <w:p w14:paraId="1D9C53A2" w14:textId="23EF3C01" w:rsidR="000C691D" w:rsidRPr="000C691D" w:rsidRDefault="000C691D" w:rsidP="000C691D">
      <w:pPr>
        <w:rPr>
          <w:rFonts w:eastAsia="Aptos" w:cs="Calibri Light"/>
          <w:kern w:val="2"/>
          <w:lang w:eastAsia="en-US"/>
          <w14:ligatures w14:val="standardContextual"/>
        </w:rPr>
      </w:pPr>
      <w:r w:rsidRPr="26790962">
        <w:rPr>
          <w:rFonts w:eastAsia="Aptos" w:cs="Calibri Light"/>
          <w:kern w:val="2"/>
          <w:lang w:eastAsia="en-US"/>
          <w14:ligatures w14:val="standardContextual"/>
        </w:rPr>
        <w:t xml:space="preserve">Further examples of regulatory coordination can be found in the annual reports of contributing agencies. </w:t>
      </w:r>
      <w:r w:rsidR="00C960F7" w:rsidRPr="26790962">
        <w:rPr>
          <w:rFonts w:eastAsia="Aptos" w:cs="Calibri Light"/>
          <w:kern w:val="2"/>
          <w:lang w:eastAsia="en-US"/>
          <w14:ligatures w14:val="standardContextual"/>
        </w:rPr>
        <w:t>Altogether,</w:t>
      </w:r>
      <w:r w:rsidRPr="26790962">
        <w:rPr>
          <w:rFonts w:eastAsia="Aptos" w:cs="Calibri Light"/>
          <w:kern w:val="2"/>
          <w:lang w:eastAsia="en-US"/>
          <w14:ligatures w14:val="standardContextual"/>
        </w:rPr>
        <w:t xml:space="preserve"> the RIG seeks to strengthen collaboration on data collection and the sequencing of initiatives, supporting the </w:t>
      </w:r>
      <w:r w:rsidR="00E06033" w:rsidRPr="26790962">
        <w:rPr>
          <w:rFonts w:eastAsia="Aptos" w:cs="Calibri Light"/>
          <w:kern w:val="2"/>
          <w:lang w:eastAsia="en-US"/>
          <w14:ligatures w14:val="standardContextual"/>
        </w:rPr>
        <w:t>g</w:t>
      </w:r>
      <w:r w:rsidRPr="26790962">
        <w:rPr>
          <w:rFonts w:eastAsia="Aptos" w:cs="Calibri Light"/>
          <w:kern w:val="2"/>
          <w:lang w:eastAsia="en-US"/>
          <w14:ligatures w14:val="standardContextual"/>
        </w:rPr>
        <w:t>overnment</w:t>
      </w:r>
      <w:r w:rsidR="003D486F">
        <w:rPr>
          <w:rFonts w:eastAsia="Aptos" w:cs="Calibri Light"/>
          <w:kern w:val="2"/>
          <w:lang w:eastAsia="en-US"/>
          <w14:ligatures w14:val="standardContextual"/>
        </w:rPr>
        <w:t>’</w:t>
      </w:r>
      <w:r w:rsidRPr="26790962">
        <w:rPr>
          <w:rFonts w:eastAsia="Aptos" w:cs="Calibri Light"/>
          <w:kern w:val="2"/>
          <w:lang w:eastAsia="en-US"/>
          <w14:ligatures w14:val="standardContextual"/>
        </w:rPr>
        <w:t>s objective of fostering a more dynamic and resilient economy.</w:t>
      </w:r>
    </w:p>
    <w:p w14:paraId="23385B91" w14:textId="7BB9C5D0" w:rsidR="00516A40" w:rsidRDefault="00FD557E" w:rsidP="008E3E11">
      <w:pPr>
        <w:pStyle w:val="Heading2"/>
      </w:pPr>
      <w:r>
        <w:br w:type="column"/>
      </w:r>
      <w:bookmarkStart w:id="18" w:name="_Toc176175984"/>
      <w:bookmarkStart w:id="19" w:name="_Toc183095605"/>
      <w:bookmarkEnd w:id="15"/>
      <w:r w:rsidR="003D486F">
        <w:lastRenderedPageBreak/>
        <w:br w:type="column"/>
      </w:r>
      <w:bookmarkStart w:id="20" w:name="_Toc210050726"/>
      <w:r w:rsidR="00516A40">
        <w:t>Sectors</w:t>
      </w:r>
      <w:bookmarkEnd w:id="18"/>
      <w:bookmarkEnd w:id="19"/>
      <w:bookmarkEnd w:id="20"/>
      <w:r w:rsidR="00516A40">
        <w:t xml:space="preserve"> </w:t>
      </w:r>
    </w:p>
    <w:p w14:paraId="6954B7BF" w14:textId="3E502215" w:rsidR="005F2B94" w:rsidRPr="00E90DC9" w:rsidRDefault="0013023B" w:rsidP="00CC277D">
      <w:r>
        <w:t>The</w:t>
      </w:r>
      <w:r w:rsidR="00506C1B">
        <w:t xml:space="preserve"> RIG</w:t>
      </w:r>
      <w:r>
        <w:t xml:space="preserve"> divides the </w:t>
      </w:r>
      <w:r w:rsidR="00030EFF">
        <w:t xml:space="preserve">financial </w:t>
      </w:r>
      <w:r w:rsidR="005B6F4A">
        <w:t>system</w:t>
      </w:r>
      <w:r w:rsidR="00D30008">
        <w:t xml:space="preserve"> into</w:t>
      </w:r>
      <w:r>
        <w:t xml:space="preserve"> 8</w:t>
      </w:r>
      <w:r w:rsidR="007C7B75">
        <w:t xml:space="preserve"> </w:t>
      </w:r>
      <w:r w:rsidR="00506C1B">
        <w:t>sectors</w:t>
      </w:r>
      <w:r w:rsidR="0062101B">
        <w:t>:</w:t>
      </w:r>
    </w:p>
    <w:p w14:paraId="26C5C144" w14:textId="77777777" w:rsidR="000648D8" w:rsidRPr="003D486F" w:rsidRDefault="000648D8" w:rsidP="003D486F">
      <w:pPr>
        <w:pStyle w:val="Bullet"/>
      </w:pPr>
      <w:r w:rsidRPr="003D486F">
        <w:t>B</w:t>
      </w:r>
      <w:bookmarkStart w:id="21" w:name="_Hlk174713691"/>
      <w:r w:rsidRPr="003D486F">
        <w:t>anking, credit and lending</w:t>
      </w:r>
    </w:p>
    <w:p w14:paraId="0B9404C7" w14:textId="77777777" w:rsidR="000648D8" w:rsidRPr="003D486F" w:rsidRDefault="000648D8" w:rsidP="003D486F">
      <w:pPr>
        <w:pStyle w:val="Bullet"/>
      </w:pPr>
      <w:r w:rsidRPr="003D486F">
        <w:t>Collective management and investment management</w:t>
      </w:r>
    </w:p>
    <w:p w14:paraId="48880D2D" w14:textId="77777777" w:rsidR="000648D8" w:rsidRPr="003D486F" w:rsidRDefault="000648D8" w:rsidP="003D486F">
      <w:pPr>
        <w:pStyle w:val="Bullet"/>
      </w:pPr>
      <w:r w:rsidRPr="003D486F">
        <w:t xml:space="preserve">Financial advice </w:t>
      </w:r>
    </w:p>
    <w:p w14:paraId="266E4ABF" w14:textId="77777777" w:rsidR="000648D8" w:rsidRPr="003D486F" w:rsidRDefault="000648D8" w:rsidP="003D486F">
      <w:pPr>
        <w:pStyle w:val="Bullet"/>
      </w:pPr>
      <w:r w:rsidRPr="003D486F">
        <w:t>Financial markets</w:t>
      </w:r>
    </w:p>
    <w:p w14:paraId="70363B3B" w14:textId="77777777" w:rsidR="000648D8" w:rsidRPr="003D486F" w:rsidRDefault="000648D8" w:rsidP="003D486F">
      <w:pPr>
        <w:pStyle w:val="Bullet"/>
      </w:pPr>
      <w:r w:rsidRPr="003D486F">
        <w:t>Insurance and reinsurance</w:t>
      </w:r>
    </w:p>
    <w:p w14:paraId="6B8B28F6" w14:textId="77777777" w:rsidR="000648D8" w:rsidRPr="003D486F" w:rsidRDefault="000648D8" w:rsidP="003D486F">
      <w:pPr>
        <w:pStyle w:val="Bullet"/>
      </w:pPr>
      <w:r w:rsidRPr="003D486F">
        <w:t>Payment services and digital assets</w:t>
      </w:r>
    </w:p>
    <w:p w14:paraId="54AF602C" w14:textId="0761BDBA" w:rsidR="000648D8" w:rsidRPr="003D486F" w:rsidRDefault="000648D8" w:rsidP="003D486F">
      <w:pPr>
        <w:pStyle w:val="Bullet"/>
      </w:pPr>
      <w:r w:rsidRPr="003D486F">
        <w:t>Superannuation and retirement income</w:t>
      </w:r>
    </w:p>
    <w:p w14:paraId="67096D18" w14:textId="390E0450" w:rsidR="000648D8" w:rsidRPr="003D486F" w:rsidRDefault="000648D8" w:rsidP="003D486F">
      <w:pPr>
        <w:pStyle w:val="Bullet"/>
      </w:pPr>
      <w:r w:rsidRPr="003D486F">
        <w:t>Other</w:t>
      </w:r>
    </w:p>
    <w:p w14:paraId="3CA2153B" w14:textId="76850466" w:rsidR="00437CE6" w:rsidRPr="00500284" w:rsidRDefault="00437CE6" w:rsidP="00437CE6">
      <w:pPr>
        <w:pStyle w:val="Heading2"/>
      </w:pPr>
      <w:bookmarkStart w:id="22" w:name="_Toc210050727"/>
      <w:r w:rsidRPr="00500284">
        <w:t>Categories</w:t>
      </w:r>
      <w:bookmarkEnd w:id="22"/>
    </w:p>
    <w:p w14:paraId="519F8D90" w14:textId="2703E8E5" w:rsidR="00437CE6" w:rsidRPr="00500284" w:rsidRDefault="00664D4F" w:rsidP="00CC277D">
      <w:r>
        <w:t>The RIG divides i</w:t>
      </w:r>
      <w:r w:rsidR="00041100">
        <w:t>nitiatives</w:t>
      </w:r>
      <w:r w:rsidR="008D6E32" w:rsidRPr="00500284" w:rsidDel="00664D4F">
        <w:t xml:space="preserve"> </w:t>
      </w:r>
      <w:r w:rsidR="008D6E32" w:rsidRPr="00500284">
        <w:t xml:space="preserve">into </w:t>
      </w:r>
      <w:r w:rsidR="003051A0">
        <w:t>4 </w:t>
      </w:r>
      <w:r w:rsidR="008D6E32" w:rsidRPr="00500284">
        <w:t xml:space="preserve">categories </w:t>
      </w:r>
      <w:r w:rsidR="001159E0">
        <w:t xml:space="preserve">that </w:t>
      </w:r>
      <w:r w:rsidR="005A091B">
        <w:t xml:space="preserve">reflect </w:t>
      </w:r>
      <w:r w:rsidR="008D6E32" w:rsidRPr="00500284" w:rsidDel="007C7B75">
        <w:t>policy lifecycle</w:t>
      </w:r>
      <w:r w:rsidR="001159E0">
        <w:t xml:space="preserve"> </w:t>
      </w:r>
      <w:r w:rsidR="005A091B">
        <w:t>phases</w:t>
      </w:r>
      <w:r w:rsidR="008D6E32" w:rsidRPr="00500284">
        <w:t>:</w:t>
      </w:r>
    </w:p>
    <w:p w14:paraId="12C62ACE" w14:textId="173F07E1" w:rsidR="008D6E32" w:rsidRPr="003D486F" w:rsidRDefault="00C4144E" w:rsidP="003D486F">
      <w:pPr>
        <w:pStyle w:val="Bullet"/>
      </w:pPr>
      <w:r w:rsidRPr="003D486F">
        <w:t xml:space="preserve">Policy </w:t>
      </w:r>
      <w:r w:rsidR="00556855" w:rsidRPr="003D486F">
        <w:t>d</w:t>
      </w:r>
      <w:r w:rsidRPr="003D486F">
        <w:t>evelopment</w:t>
      </w:r>
      <w:r w:rsidR="0000017B" w:rsidRPr="003D486F">
        <w:t>.</w:t>
      </w:r>
    </w:p>
    <w:p w14:paraId="17E7EA0D" w14:textId="21C2F837" w:rsidR="00C4144E" w:rsidRPr="003D486F" w:rsidRDefault="0089490A" w:rsidP="003D486F">
      <w:pPr>
        <w:pStyle w:val="Bullet"/>
      </w:pPr>
      <w:r w:rsidRPr="003D486F">
        <w:t xml:space="preserve">Development of </w:t>
      </w:r>
      <w:r w:rsidR="00556855" w:rsidRPr="003D486F">
        <w:t>l</w:t>
      </w:r>
      <w:r w:rsidRPr="003D486F">
        <w:t xml:space="preserve">egislation, </w:t>
      </w:r>
      <w:r w:rsidR="00556855" w:rsidRPr="003D486F">
        <w:t>r</w:t>
      </w:r>
      <w:r w:rsidRPr="003D486F">
        <w:t xml:space="preserve">egulations and </w:t>
      </w:r>
      <w:r w:rsidR="00556855" w:rsidRPr="003D486F">
        <w:t>i</w:t>
      </w:r>
      <w:r w:rsidRPr="003D486F">
        <w:t>nstruments</w:t>
      </w:r>
      <w:r w:rsidR="0000017B" w:rsidRPr="003D486F">
        <w:t>.</w:t>
      </w:r>
    </w:p>
    <w:p w14:paraId="5CE8E77B" w14:textId="28A5D357" w:rsidR="00AA55A8" w:rsidRPr="003D486F" w:rsidRDefault="00AA55A8" w:rsidP="003D486F">
      <w:pPr>
        <w:pStyle w:val="Bullet"/>
      </w:pPr>
      <w:r w:rsidRPr="003D486F">
        <w:t xml:space="preserve">Ongoing </w:t>
      </w:r>
      <w:r w:rsidR="00556855" w:rsidRPr="003D486F">
        <w:t>p</w:t>
      </w:r>
      <w:r w:rsidRPr="003D486F">
        <w:t xml:space="preserve">rogram </w:t>
      </w:r>
      <w:r w:rsidR="00556855" w:rsidRPr="003D486F">
        <w:t>i</w:t>
      </w:r>
      <w:r w:rsidRPr="003D486F">
        <w:t>mplementation</w:t>
      </w:r>
      <w:r w:rsidR="0000017B" w:rsidRPr="003D486F">
        <w:t>.</w:t>
      </w:r>
    </w:p>
    <w:p w14:paraId="6CABEB6E" w14:textId="64EE5CD9" w:rsidR="00744912" w:rsidRPr="003D486F" w:rsidRDefault="00744912" w:rsidP="003D486F">
      <w:pPr>
        <w:pStyle w:val="Bullet"/>
      </w:pPr>
      <w:r w:rsidRPr="003D486F">
        <w:t xml:space="preserve">Review and </w:t>
      </w:r>
      <w:r w:rsidR="00556855" w:rsidRPr="003D486F">
        <w:t>e</w:t>
      </w:r>
      <w:r w:rsidRPr="003D486F">
        <w:t>valuation</w:t>
      </w:r>
      <w:r w:rsidR="004922C6" w:rsidRPr="003D486F">
        <w:t>.</w:t>
      </w:r>
    </w:p>
    <w:p w14:paraId="167D1596" w14:textId="48241381" w:rsidR="00E46B8C" w:rsidRDefault="00FD557E" w:rsidP="00E46B8C">
      <w:pPr>
        <w:pStyle w:val="Heading2"/>
      </w:pPr>
      <w:bookmarkStart w:id="23" w:name="_Toc173243837"/>
      <w:bookmarkStart w:id="24" w:name="_Hlk171495044"/>
      <w:bookmarkEnd w:id="21"/>
      <w:r>
        <w:br w:type="column"/>
      </w:r>
      <w:r w:rsidR="001F7943">
        <w:lastRenderedPageBreak/>
        <w:br w:type="column"/>
      </w:r>
      <w:bookmarkStart w:id="25" w:name="_Toc173760504"/>
      <w:bookmarkStart w:id="26" w:name="_Toc176175985"/>
      <w:bookmarkStart w:id="27" w:name="_Toc210050728"/>
      <w:bookmarkEnd w:id="23"/>
      <w:r w:rsidR="00BE2EEA">
        <w:t xml:space="preserve">Contributing </w:t>
      </w:r>
      <w:bookmarkEnd w:id="25"/>
      <w:bookmarkEnd w:id="26"/>
      <w:r w:rsidR="00BE2EEA">
        <w:t>agencies</w:t>
      </w:r>
      <w:bookmarkEnd w:id="27"/>
      <w:r w:rsidR="00BE2EEA">
        <w:t xml:space="preserve"> </w:t>
      </w:r>
    </w:p>
    <w:p w14:paraId="11E5D4A4" w14:textId="45CAFCE6" w:rsidR="000F1B18" w:rsidRPr="000F1B18" w:rsidRDefault="000F1B18" w:rsidP="00E0372F">
      <w:pPr>
        <w:pStyle w:val="ChartGraphic"/>
      </w:pPr>
      <w:r w:rsidRPr="000F1B18">
        <w:rPr>
          <w:noProof/>
        </w:rPr>
        <w:drawing>
          <wp:inline distT="0" distB="0" distL="0" distR="0" wp14:anchorId="2712A335" wp14:editId="3EEF7008">
            <wp:extent cx="4818386" cy="3913748"/>
            <wp:effectExtent l="0" t="0" r="1270" b="0"/>
            <wp:docPr id="711952282" name="Picture 711952282" descr="Logos of: the Treasury, Department of Home Affairs, Australian Transaction Reports and Analysis Centre (AUSTRAC), Australian Financial Security Authority (AFSA), Australian Taxation Office (ATO),  Australian Securities and Investments Commission (ASIC), Reserve Bank of Australia (RBA), Australian Prudential Regulation Authority (APRA), and Australian Competition and Consumer Commission (A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52282" name="Picture 711952282" descr="Logos of: the Treasury, Department of Home Affairs, Australian Transaction Reports and Analysis Centre (AUSTRAC), Australian Financial Security Authority (AFSA), Australian Taxation Office (ATO),  Australian Securities and Investments Commission (ASIC), Reserve Bank of Australia (RBA), Australian Prudential Regulation Authority (APRA), and Australian Competition and Consumer Commission (ACCC)."/>
                    <pic:cNvPicPr/>
                  </pic:nvPicPr>
                  <pic:blipFill>
                    <a:blip r:embed="rId41">
                      <a:extLst>
                        <a:ext uri="{28A0092B-C50C-407E-A947-70E740481C1C}">
                          <a14:useLocalDpi xmlns:a14="http://schemas.microsoft.com/office/drawing/2010/main" val="0"/>
                        </a:ext>
                      </a:extLst>
                    </a:blip>
                    <a:stretch>
                      <a:fillRect/>
                    </a:stretch>
                  </pic:blipFill>
                  <pic:spPr>
                    <a:xfrm>
                      <a:off x="0" y="0"/>
                      <a:ext cx="4818386" cy="3913748"/>
                    </a:xfrm>
                    <a:prstGeom prst="rect">
                      <a:avLst/>
                    </a:prstGeom>
                  </pic:spPr>
                </pic:pic>
              </a:graphicData>
            </a:graphic>
          </wp:inline>
        </w:drawing>
      </w:r>
    </w:p>
    <w:p w14:paraId="5FC716E7" w14:textId="77777777" w:rsidR="006C2B12" w:rsidRPr="00E46B8C" w:rsidRDefault="006C2B12" w:rsidP="006C2B12">
      <w:r>
        <w:t xml:space="preserve">Department of Home Affairs initiatives are limited to matters relating to the regulatory frameworks administered by AUSTRAC. </w:t>
      </w:r>
    </w:p>
    <w:p w14:paraId="73C67A7A" w14:textId="036C84FC" w:rsidR="006C2B12" w:rsidRDefault="006C2B12" w:rsidP="006C2B12">
      <w:r>
        <w:t>Australian Taxation Office initiatives are limited to matters relating to the superannuation guarantee and self</w:t>
      </w:r>
      <w:r w:rsidR="003D486F">
        <w:noBreakHyphen/>
      </w:r>
      <w:r>
        <w:t>managed superannuation funds.</w:t>
      </w:r>
    </w:p>
    <w:p w14:paraId="20557D01" w14:textId="77777777" w:rsidR="006C2B12" w:rsidRPr="00E46B8C" w:rsidRDefault="006C2B12" w:rsidP="006C2B12">
      <w:r>
        <w:t>Australian Competition and Consumer Commission initiatives are limited to matters relating to the financial sector.</w:t>
      </w:r>
    </w:p>
    <w:p w14:paraId="65425E16" w14:textId="30646EF1" w:rsidR="00BE2EEA" w:rsidRPr="0053217C" w:rsidRDefault="00B92331" w:rsidP="00E0372F">
      <w:pPr>
        <w:pStyle w:val="Heading2"/>
        <w:spacing w:before="120"/>
      </w:pPr>
      <w:r>
        <w:br w:type="column"/>
      </w:r>
      <w:r w:rsidR="00E0372F">
        <w:lastRenderedPageBreak/>
        <w:br w:type="column"/>
      </w:r>
      <w:bookmarkStart w:id="28" w:name="_Toc210050729"/>
      <w:r w:rsidR="00BE2EEA" w:rsidRPr="0053217C">
        <w:t>Scope</w:t>
      </w:r>
      <w:bookmarkEnd w:id="28"/>
    </w:p>
    <w:p w14:paraId="6376ED38" w14:textId="663E7431" w:rsidR="00535015" w:rsidRDefault="00535015" w:rsidP="00535015">
      <w:bookmarkStart w:id="29" w:name="_Toc173243838"/>
      <w:bookmarkEnd w:id="24"/>
      <w:r w:rsidRPr="00E90DC9">
        <w:t>The</w:t>
      </w:r>
      <w:r>
        <w:t xml:space="preserve"> RIG</w:t>
      </w:r>
      <w:r w:rsidR="003D486F">
        <w:t>’</w:t>
      </w:r>
      <w:r>
        <w:t>s scope is limited to</w:t>
      </w:r>
      <w:r w:rsidRPr="00E90DC9">
        <w:t xml:space="preserve"> </w:t>
      </w:r>
      <w:r>
        <w:t>publicly communicated</w:t>
      </w:r>
      <w:r w:rsidRPr="00E90DC9">
        <w:t xml:space="preserve"> initiatives</w:t>
      </w:r>
      <w:r>
        <w:t xml:space="preserve"> and activities that will materially affect the financial sector</w:t>
      </w:r>
      <w:r w:rsidRPr="00E90DC9" w:rsidDel="00495688">
        <w:t xml:space="preserve"> </w:t>
      </w:r>
      <w:r>
        <w:t xml:space="preserve">in the 24 months </w:t>
      </w:r>
      <w:r w:rsidRPr="00CC277D">
        <w:t xml:space="preserve">from </w:t>
      </w:r>
      <w:r>
        <w:t>the RIG</w:t>
      </w:r>
      <w:r w:rsidR="003D486F">
        <w:t>’</w:t>
      </w:r>
      <w:r>
        <w:t xml:space="preserve">s publication </w:t>
      </w:r>
      <w:r w:rsidRPr="00CC277D">
        <w:t>date.</w:t>
      </w:r>
    </w:p>
    <w:p w14:paraId="56B5DC1F" w14:textId="08CA0013" w:rsidR="00C85D46" w:rsidRDefault="00535015" w:rsidP="00CE3F02">
      <w:r w:rsidDel="000A1E75">
        <w:t xml:space="preserve">The RIG </w:t>
      </w:r>
      <w:r w:rsidDel="000C6595">
        <w:t xml:space="preserve">has a strategic focus and </w:t>
      </w:r>
      <w:r>
        <w:t>is not intended to be exhaustive. It</w:t>
      </w:r>
      <w:r w:rsidDel="00F53105">
        <w:t xml:space="preserve"> </w:t>
      </w:r>
      <w:r>
        <w:t>does not include day</w:t>
      </w:r>
      <w:r w:rsidR="003D486F">
        <w:noBreakHyphen/>
      </w:r>
      <w:r>
        <w:t>to</w:t>
      </w:r>
      <w:r w:rsidR="003D486F">
        <w:noBreakHyphen/>
      </w:r>
      <w:r>
        <w:t xml:space="preserve">day work undertaken by regulators. The RIG does not </w:t>
      </w:r>
      <w:r w:rsidRPr="00CE3F02">
        <w:t>include:</w:t>
      </w:r>
    </w:p>
    <w:p w14:paraId="53E51164" w14:textId="13EF199A" w:rsidR="00535015" w:rsidRPr="005946AB" w:rsidRDefault="00535015" w:rsidP="00DD7726">
      <w:pPr>
        <w:pStyle w:val="Bullet"/>
        <w:numPr>
          <w:ilvl w:val="0"/>
          <w:numId w:val="52"/>
        </w:numPr>
        <w:spacing w:before="120" w:line="240" w:lineRule="auto"/>
      </w:pPr>
      <w:r>
        <w:t xml:space="preserve">regulatory investigations relating to </w:t>
      </w:r>
      <w:r w:rsidRPr="005946AB">
        <w:t xml:space="preserve">significant compliance or enforcement activities </w:t>
      </w:r>
    </w:p>
    <w:p w14:paraId="15D91142" w14:textId="06550A9A" w:rsidR="00535015" w:rsidRPr="005946AB" w:rsidRDefault="00535015" w:rsidP="00535015">
      <w:pPr>
        <w:pStyle w:val="Bullet"/>
        <w:spacing w:before="120" w:line="240" w:lineRule="auto"/>
      </w:pPr>
      <w:r w:rsidRPr="005946AB">
        <w:t>non</w:t>
      </w:r>
      <w:r w:rsidR="003D486F">
        <w:noBreakHyphen/>
      </w:r>
      <w:r w:rsidRPr="005946AB">
        <w:t>regulatory initiatives and activities (such as undertaking research, strengthening financial literacy, and engaging with the financial sector to explore opportunities to enhance existing systems)</w:t>
      </w:r>
    </w:p>
    <w:p w14:paraId="4377C1FB" w14:textId="7E515FF4" w:rsidR="00535015" w:rsidRPr="005946AB" w:rsidRDefault="00535015" w:rsidP="00535015">
      <w:pPr>
        <w:pStyle w:val="Bullet"/>
        <w:spacing w:before="120" w:line="240" w:lineRule="auto"/>
      </w:pPr>
      <w:r w:rsidRPr="005946AB">
        <w:t>multi</w:t>
      </w:r>
      <w:r w:rsidR="003D486F">
        <w:noBreakHyphen/>
      </w:r>
      <w:r w:rsidRPr="005946AB">
        <w:t>agency simulation activities to test preparedness and crisis response</w:t>
      </w:r>
    </w:p>
    <w:p w14:paraId="64598C14" w14:textId="79DA141C" w:rsidR="00535015" w:rsidRPr="005946AB" w:rsidRDefault="00535015" w:rsidP="00535015">
      <w:pPr>
        <w:pStyle w:val="Bullet"/>
        <w:spacing w:before="120" w:line="240" w:lineRule="auto"/>
      </w:pPr>
      <w:r w:rsidRPr="005946AB">
        <w:t>standard or long</w:t>
      </w:r>
      <w:r w:rsidR="003D486F">
        <w:noBreakHyphen/>
      </w:r>
      <w:r w:rsidRPr="005946AB">
        <w:t>standing processes or activities that are well understood by industry stakeholders</w:t>
      </w:r>
    </w:p>
    <w:p w14:paraId="5A5FC98F" w14:textId="77777777" w:rsidR="00535015" w:rsidRDefault="00535015" w:rsidP="00535015">
      <w:pPr>
        <w:pStyle w:val="Bullet"/>
        <w:spacing w:before="120" w:line="240" w:lineRule="auto"/>
      </w:pPr>
      <w:r w:rsidRPr="005946AB">
        <w:t>initiatives led by international bodies or intern</w:t>
      </w:r>
      <w:r>
        <w:t>ational organisations, unless a contributing agency is responsible for implementing measures that satisfy the inclusion criterion.</w:t>
      </w:r>
    </w:p>
    <w:p w14:paraId="27C45B2D" w14:textId="3D50B389" w:rsidR="00535015" w:rsidRDefault="00535015" w:rsidP="00535015">
      <w:pPr>
        <w:spacing w:after="0"/>
      </w:pPr>
      <w:r>
        <w:t>This</w:t>
      </w:r>
      <w:r w:rsidRPr="00A06307">
        <w:t xml:space="preserve"> information </w:t>
      </w:r>
      <w:r>
        <w:t xml:space="preserve">is also in </w:t>
      </w:r>
      <w:r w:rsidRPr="00A06307">
        <w:t>the RIG Terms of Reference</w:t>
      </w:r>
      <w:r>
        <w:t xml:space="preserve"> at </w:t>
      </w:r>
      <w:hyperlink r:id="rId42" w:history="1">
        <w:r w:rsidRPr="00714965">
          <w:rPr>
            <w:rStyle w:val="Hyperlink"/>
            <w:color w:val="auto"/>
          </w:rPr>
          <w:t>treasury.gov.au/RIG</w:t>
        </w:r>
      </w:hyperlink>
      <w:r>
        <w:t>.</w:t>
      </w:r>
    </w:p>
    <w:p w14:paraId="2441B2C0" w14:textId="19D2A049" w:rsidR="00DB07DC" w:rsidRDefault="00F31CD4" w:rsidP="00F7708A">
      <w:pPr>
        <w:pStyle w:val="Heading2"/>
        <w:spacing w:before="0"/>
      </w:pPr>
      <w:r>
        <w:br w:type="page"/>
      </w:r>
      <w:r w:rsidR="001F7943" w:rsidRPr="007F61A8">
        <w:lastRenderedPageBreak/>
        <w:br w:type="column"/>
      </w:r>
      <w:bookmarkStart w:id="30" w:name="_Toc173760505"/>
      <w:bookmarkStart w:id="31" w:name="_Toc176175986"/>
      <w:bookmarkStart w:id="32" w:name="_Toc210050730"/>
      <w:bookmarkEnd w:id="29"/>
      <w:r w:rsidR="00DB07DC" w:rsidRPr="00E90DC9">
        <w:t xml:space="preserve">How to </w:t>
      </w:r>
      <w:r w:rsidR="00E345EF">
        <w:t xml:space="preserve">read the </w:t>
      </w:r>
      <w:bookmarkEnd w:id="30"/>
      <w:bookmarkEnd w:id="31"/>
      <w:r w:rsidR="00BF53D7">
        <w:t>RIG</w:t>
      </w:r>
      <w:bookmarkEnd w:id="32"/>
    </w:p>
    <w:p w14:paraId="2DA91383" w14:textId="19359172" w:rsidR="00E46E07" w:rsidRPr="005946AB" w:rsidRDefault="00E46E07" w:rsidP="004E4D0B">
      <w:pPr>
        <w:rPr>
          <w:rStyle w:val="Strong"/>
        </w:rPr>
      </w:pPr>
      <w:r w:rsidRPr="005946AB">
        <w:rPr>
          <w:rStyle w:val="Strong"/>
        </w:rPr>
        <w:t xml:space="preserve">The RIG Edition </w:t>
      </w:r>
      <w:r>
        <w:rPr>
          <w:rStyle w:val="Strong"/>
        </w:rPr>
        <w:t>2</w:t>
      </w:r>
      <w:r w:rsidRPr="005946AB">
        <w:rPr>
          <w:rStyle w:val="Strong"/>
        </w:rPr>
        <w:t xml:space="preserve"> </w:t>
      </w:r>
      <w:r w:rsidRPr="00CE3F02">
        <w:rPr>
          <w:rStyle w:val="Strong"/>
        </w:rPr>
        <w:t xml:space="preserve">includes initiatives publicised prior to </w:t>
      </w:r>
      <w:r w:rsidR="0059329B" w:rsidRPr="00CE3F02">
        <w:rPr>
          <w:rStyle w:val="Strong"/>
        </w:rPr>
        <w:t>26</w:t>
      </w:r>
      <w:r w:rsidR="00F6511E" w:rsidRPr="00CE3F02">
        <w:rPr>
          <w:rStyle w:val="Strong"/>
        </w:rPr>
        <w:t xml:space="preserve"> September</w:t>
      </w:r>
      <w:r w:rsidR="0049676B" w:rsidRPr="0059329B">
        <w:rPr>
          <w:rStyle w:val="Strong"/>
        </w:rPr>
        <w:t xml:space="preserve"> </w:t>
      </w:r>
      <w:r w:rsidRPr="0059329B">
        <w:rPr>
          <w:rStyle w:val="Strong"/>
        </w:rPr>
        <w:t>2025</w:t>
      </w:r>
      <w:r w:rsidRPr="005946AB">
        <w:rPr>
          <w:rStyle w:val="Strong"/>
        </w:rPr>
        <w:t xml:space="preserve">. Initiatives publicised after </w:t>
      </w:r>
      <w:r w:rsidR="0059329B" w:rsidRPr="002931AD">
        <w:rPr>
          <w:rStyle w:val="Strong"/>
        </w:rPr>
        <w:t>26</w:t>
      </w:r>
      <w:r w:rsidR="00F6511E" w:rsidRPr="002931AD">
        <w:rPr>
          <w:rStyle w:val="Strong"/>
        </w:rPr>
        <w:t xml:space="preserve"> September </w:t>
      </w:r>
      <w:r w:rsidRPr="002931AD">
        <w:rPr>
          <w:rStyle w:val="Strong"/>
        </w:rPr>
        <w:t xml:space="preserve">2025 </w:t>
      </w:r>
      <w:r w:rsidRPr="005946AB">
        <w:rPr>
          <w:rStyle w:val="Strong"/>
        </w:rPr>
        <w:t xml:space="preserve">are not included in Edition </w:t>
      </w:r>
      <w:r>
        <w:rPr>
          <w:rStyle w:val="Strong"/>
        </w:rPr>
        <w:t>2</w:t>
      </w:r>
      <w:r w:rsidRPr="005946AB">
        <w:rPr>
          <w:rStyle w:val="Strong"/>
        </w:rPr>
        <w:t>.</w:t>
      </w:r>
    </w:p>
    <w:p w14:paraId="4A5E4BCD" w14:textId="77777777" w:rsidR="00E46E07" w:rsidRDefault="00E46E07" w:rsidP="004E4D0B">
      <w:r>
        <w:t>E</w:t>
      </w:r>
      <w:r w:rsidRPr="00E90DC9">
        <w:t xml:space="preserve">ach </w:t>
      </w:r>
      <w:r>
        <w:t>initiative includes</w:t>
      </w:r>
      <w:r w:rsidRPr="00E90DC9">
        <w:t xml:space="preserve"> </w:t>
      </w:r>
      <w:r>
        <w:t>the following information.</w:t>
      </w:r>
    </w:p>
    <w:tbl>
      <w:tblPr>
        <w:tblW w:w="14430" w:type="pct"/>
        <w:tblBorders>
          <w:top w:val="single" w:sz="4" w:space="0" w:color="90B6F0" w:themeColor="accent5"/>
          <w:insideH w:val="single" w:sz="4" w:space="0" w:color="90B6F0" w:themeColor="accent5"/>
        </w:tblBorders>
        <w:tblCellMar>
          <w:left w:w="0" w:type="dxa"/>
          <w:right w:w="0" w:type="dxa"/>
        </w:tblCellMar>
        <w:tblLook w:val="04A0" w:firstRow="1" w:lastRow="0" w:firstColumn="1" w:lastColumn="0" w:noHBand="0" w:noVBand="1"/>
      </w:tblPr>
      <w:tblGrid>
        <w:gridCol w:w="709"/>
        <w:gridCol w:w="1874"/>
        <w:gridCol w:w="6580"/>
      </w:tblGrid>
      <w:tr w:rsidR="00E46E07" w14:paraId="37B23637" w14:textId="77777777" w:rsidTr="00CE3F02">
        <w:trPr>
          <w:trHeight w:val="1334"/>
        </w:trPr>
        <w:tc>
          <w:tcPr>
            <w:tcW w:w="709" w:type="dxa"/>
          </w:tcPr>
          <w:p w14:paraId="1E8ECEB1" w14:textId="77777777" w:rsidR="00E46E07" w:rsidRDefault="00E46E07" w:rsidP="00984E31">
            <w:bookmarkStart w:id="33" w:name="_Toc173243839"/>
            <w:r>
              <w:rPr>
                <w:noProof/>
              </w:rPr>
              <w:drawing>
                <wp:inline distT="0" distB="0" distL="0" distR="0" wp14:anchorId="2E111DD4" wp14:editId="61B212DF">
                  <wp:extent cx="357906" cy="357906"/>
                  <wp:effectExtent l="0" t="0" r="4445" b="444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357906" cy="357906"/>
                          </a:xfrm>
                          <a:prstGeom prst="rect">
                            <a:avLst/>
                          </a:prstGeom>
                        </pic:spPr>
                      </pic:pic>
                    </a:graphicData>
                  </a:graphic>
                </wp:inline>
              </w:drawing>
            </w:r>
          </w:p>
        </w:tc>
        <w:tc>
          <w:tcPr>
            <w:tcW w:w="1874" w:type="dxa"/>
          </w:tcPr>
          <w:p w14:paraId="679C2042" w14:textId="77777777" w:rsidR="00E46E07" w:rsidRPr="00CE3F02" w:rsidRDefault="00E46E07" w:rsidP="00CE3F02">
            <w:pPr>
              <w:spacing w:before="80" w:after="80"/>
              <w:rPr>
                <w:rStyle w:val="Strong"/>
              </w:rPr>
            </w:pPr>
            <w:r w:rsidRPr="00CE3F02">
              <w:rPr>
                <w:rStyle w:val="Strong"/>
              </w:rPr>
              <w:t>Agency</w:t>
            </w:r>
          </w:p>
        </w:tc>
        <w:tc>
          <w:tcPr>
            <w:tcW w:w="6580" w:type="dxa"/>
            <w:tcMar>
              <w:left w:w="85" w:type="dxa"/>
            </w:tcMar>
          </w:tcPr>
          <w:p w14:paraId="6B8E7A83" w14:textId="77777777" w:rsidR="00E46E07" w:rsidRPr="002931AD" w:rsidRDefault="00E46E07" w:rsidP="00CE3F02">
            <w:pPr>
              <w:spacing w:before="80" w:after="80"/>
              <w:rPr>
                <w:sz w:val="20"/>
              </w:rPr>
            </w:pPr>
            <w:r w:rsidRPr="002931AD">
              <w:rPr>
                <w:sz w:val="20"/>
              </w:rPr>
              <w:t>The agency/</w:t>
            </w:r>
            <w:proofErr w:type="spellStart"/>
            <w:r w:rsidRPr="002931AD">
              <w:rPr>
                <w:sz w:val="20"/>
              </w:rPr>
              <w:t>ies</w:t>
            </w:r>
            <w:proofErr w:type="spellEnd"/>
            <w:r w:rsidRPr="002931AD">
              <w:rPr>
                <w:sz w:val="20"/>
              </w:rPr>
              <w:t xml:space="preserve"> responsible for progressing the initiative.</w:t>
            </w:r>
          </w:p>
          <w:p w14:paraId="53FEDB11" w14:textId="77777777" w:rsidR="00E46E07" w:rsidRPr="002931AD" w:rsidRDefault="00E46E07" w:rsidP="00CE3F02">
            <w:pPr>
              <w:spacing w:before="80" w:after="80"/>
              <w:rPr>
                <w:color w:val="000000" w:themeColor="text1"/>
                <w:sz w:val="20"/>
              </w:rPr>
            </w:pPr>
            <w:r w:rsidRPr="002931AD">
              <w:rPr>
                <w:sz w:val="20"/>
              </w:rPr>
              <w:t xml:space="preserve">The lead agency is </w:t>
            </w:r>
            <w:r w:rsidRPr="002931AD">
              <w:rPr>
                <w:color w:val="000000" w:themeColor="text1"/>
                <w:sz w:val="20"/>
              </w:rPr>
              <w:t xml:space="preserve">listed first in </w:t>
            </w:r>
            <w:r w:rsidRPr="002931AD">
              <w:rPr>
                <w:rStyle w:val="Strong"/>
                <w:sz w:val="20"/>
              </w:rPr>
              <w:t>Bold</w:t>
            </w:r>
            <w:r w:rsidRPr="002931AD">
              <w:rPr>
                <w:color w:val="000000" w:themeColor="text1"/>
                <w:sz w:val="20"/>
              </w:rPr>
              <w:t xml:space="preserve">, followed by other agencies involved in the initiative listed in </w:t>
            </w:r>
            <w:r w:rsidRPr="002931AD">
              <w:rPr>
                <w:rStyle w:val="Emphasis"/>
                <w:sz w:val="20"/>
              </w:rPr>
              <w:t>Italic</w:t>
            </w:r>
            <w:r w:rsidRPr="002931AD">
              <w:rPr>
                <w:color w:val="000000" w:themeColor="text1"/>
                <w:sz w:val="20"/>
              </w:rPr>
              <w:t>.</w:t>
            </w:r>
          </w:p>
          <w:p w14:paraId="7326EF2B" w14:textId="52B753F1" w:rsidR="00E46E07" w:rsidRPr="002931AD" w:rsidRDefault="003D486F" w:rsidP="00CE3F02">
            <w:pPr>
              <w:spacing w:before="80" w:after="80"/>
              <w:rPr>
                <w:sz w:val="20"/>
              </w:rPr>
            </w:pPr>
            <w:r>
              <w:rPr>
                <w:color w:val="000000" w:themeColor="text1"/>
                <w:sz w:val="20"/>
              </w:rPr>
              <w:t>‘</w:t>
            </w:r>
            <w:r w:rsidR="00E46E07" w:rsidRPr="002931AD">
              <w:rPr>
                <w:color w:val="000000" w:themeColor="text1"/>
                <w:sz w:val="20"/>
              </w:rPr>
              <w:t>Other</w:t>
            </w:r>
            <w:r>
              <w:rPr>
                <w:color w:val="000000" w:themeColor="text1"/>
                <w:sz w:val="20"/>
              </w:rPr>
              <w:t>’</w:t>
            </w:r>
            <w:r w:rsidR="00E46E07" w:rsidRPr="002931AD">
              <w:rPr>
                <w:color w:val="000000" w:themeColor="text1"/>
                <w:sz w:val="20"/>
              </w:rPr>
              <w:t xml:space="preserve"> refers to government agencies </w:t>
            </w:r>
            <w:r w:rsidR="00E46E07" w:rsidRPr="002931AD">
              <w:rPr>
                <w:sz w:val="20"/>
              </w:rPr>
              <w:t xml:space="preserve">involved in the initiative that are not </w:t>
            </w:r>
            <w:r>
              <w:rPr>
                <w:sz w:val="20"/>
              </w:rPr>
              <w:t>‘</w:t>
            </w:r>
            <w:r w:rsidR="00E46E07" w:rsidRPr="002931AD">
              <w:rPr>
                <w:sz w:val="20"/>
              </w:rPr>
              <w:t>Contributing agencies</w:t>
            </w:r>
            <w:r>
              <w:rPr>
                <w:sz w:val="20"/>
              </w:rPr>
              <w:t>’</w:t>
            </w:r>
            <w:r w:rsidR="00E46E07" w:rsidRPr="002931AD">
              <w:rPr>
                <w:sz w:val="20"/>
              </w:rPr>
              <w:t>.</w:t>
            </w:r>
          </w:p>
        </w:tc>
      </w:tr>
      <w:tr w:rsidR="00E46E07" w14:paraId="0C75A998" w14:textId="77777777" w:rsidTr="00CE3F02">
        <w:trPr>
          <w:trHeight w:val="631"/>
        </w:trPr>
        <w:tc>
          <w:tcPr>
            <w:tcW w:w="709" w:type="dxa"/>
          </w:tcPr>
          <w:p w14:paraId="4AD69D8B" w14:textId="77777777" w:rsidR="00E46E07" w:rsidRDefault="00E46E07" w:rsidP="00984E31">
            <w:r>
              <w:rPr>
                <w:noProof/>
              </w:rPr>
              <w:drawing>
                <wp:inline distT="0" distB="0" distL="0" distR="0" wp14:anchorId="078AF272" wp14:editId="7883B56F">
                  <wp:extent cx="357906" cy="357906"/>
                  <wp:effectExtent l="0" t="0" r="4445" b="444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357906" cy="357906"/>
                          </a:xfrm>
                          <a:prstGeom prst="rect">
                            <a:avLst/>
                          </a:prstGeom>
                        </pic:spPr>
                      </pic:pic>
                    </a:graphicData>
                  </a:graphic>
                </wp:inline>
              </w:drawing>
            </w:r>
          </w:p>
        </w:tc>
        <w:tc>
          <w:tcPr>
            <w:tcW w:w="1874" w:type="dxa"/>
          </w:tcPr>
          <w:p w14:paraId="2666B4DD" w14:textId="77777777" w:rsidR="00E46E07" w:rsidRPr="00CE3F02" w:rsidRDefault="00E46E07" w:rsidP="00CE3F02">
            <w:pPr>
              <w:spacing w:before="80" w:after="80"/>
              <w:rPr>
                <w:rStyle w:val="Strong"/>
              </w:rPr>
            </w:pPr>
            <w:r w:rsidRPr="00CE3F02">
              <w:rPr>
                <w:rStyle w:val="Strong"/>
              </w:rPr>
              <w:t>Sector</w:t>
            </w:r>
          </w:p>
        </w:tc>
        <w:tc>
          <w:tcPr>
            <w:tcW w:w="6580" w:type="dxa"/>
            <w:tcMar>
              <w:left w:w="85" w:type="dxa"/>
            </w:tcMar>
          </w:tcPr>
          <w:p w14:paraId="4D35542E" w14:textId="77777777" w:rsidR="00E46E07" w:rsidRPr="002931AD" w:rsidRDefault="00E46E07" w:rsidP="00CE3F02">
            <w:pPr>
              <w:spacing w:before="80" w:after="80"/>
              <w:rPr>
                <w:sz w:val="20"/>
              </w:rPr>
            </w:pPr>
            <w:r w:rsidRPr="002931AD">
              <w:rPr>
                <w:sz w:val="20"/>
              </w:rPr>
              <w:t>The sector/s that will be materially affected by the initiative.</w:t>
            </w:r>
          </w:p>
          <w:p w14:paraId="11EB5702" w14:textId="77777777" w:rsidR="00E46E07" w:rsidRPr="002931AD" w:rsidRDefault="00E46E07" w:rsidP="00CE3F02">
            <w:pPr>
              <w:spacing w:before="80" w:after="80"/>
              <w:rPr>
                <w:sz w:val="20"/>
              </w:rPr>
            </w:pPr>
            <w:r w:rsidRPr="002931AD">
              <w:rPr>
                <w:sz w:val="20"/>
              </w:rPr>
              <w:t>Initiatives are grouped by sectors in alphabetical order.</w:t>
            </w:r>
          </w:p>
        </w:tc>
      </w:tr>
      <w:tr w:rsidR="00E46E07" w14:paraId="76EB76FF" w14:textId="77777777" w:rsidTr="00A956DD">
        <w:trPr>
          <w:trHeight w:val="814"/>
        </w:trPr>
        <w:tc>
          <w:tcPr>
            <w:tcW w:w="709" w:type="dxa"/>
          </w:tcPr>
          <w:p w14:paraId="18F7D2BC" w14:textId="77777777" w:rsidR="00E46E07" w:rsidRDefault="00E46E07" w:rsidP="005407C9">
            <w:pPr>
              <w:spacing w:after="0"/>
            </w:pPr>
            <w:r>
              <w:rPr>
                <w:noProof/>
              </w:rPr>
              <w:drawing>
                <wp:inline distT="0" distB="0" distL="0" distR="0" wp14:anchorId="6FD4621A" wp14:editId="41C4662C">
                  <wp:extent cx="357906" cy="357906"/>
                  <wp:effectExtent l="0" t="0" r="4445" b="444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357906" cy="357906"/>
                          </a:xfrm>
                          <a:prstGeom prst="rect">
                            <a:avLst/>
                          </a:prstGeom>
                        </pic:spPr>
                      </pic:pic>
                    </a:graphicData>
                  </a:graphic>
                </wp:inline>
              </w:drawing>
            </w:r>
          </w:p>
        </w:tc>
        <w:tc>
          <w:tcPr>
            <w:tcW w:w="1874" w:type="dxa"/>
          </w:tcPr>
          <w:p w14:paraId="765C37B5" w14:textId="77777777" w:rsidR="00E46E07" w:rsidRPr="00CE3F02" w:rsidRDefault="00E46E07" w:rsidP="00CE3F02">
            <w:pPr>
              <w:spacing w:before="80" w:after="80"/>
              <w:rPr>
                <w:rStyle w:val="Strong"/>
              </w:rPr>
            </w:pPr>
            <w:r w:rsidRPr="00CE3F02">
              <w:rPr>
                <w:rStyle w:val="Strong"/>
              </w:rPr>
              <w:t>Initiative</w:t>
            </w:r>
          </w:p>
        </w:tc>
        <w:tc>
          <w:tcPr>
            <w:tcW w:w="6580" w:type="dxa"/>
            <w:tcMar>
              <w:left w:w="85" w:type="dxa"/>
            </w:tcMar>
          </w:tcPr>
          <w:p w14:paraId="4AD20A8C" w14:textId="7784A26F" w:rsidR="00E46E07" w:rsidRPr="002931AD" w:rsidRDefault="00E46E07" w:rsidP="00CE3F02">
            <w:pPr>
              <w:spacing w:before="80" w:after="80"/>
            </w:pPr>
            <w:r w:rsidRPr="00A956DD">
              <w:rPr>
                <w:sz w:val="20"/>
              </w:rPr>
              <w:t>The initiative</w:t>
            </w:r>
            <w:r w:rsidR="003D486F" w:rsidRPr="00A956DD">
              <w:rPr>
                <w:sz w:val="20"/>
              </w:rPr>
              <w:t>’</w:t>
            </w:r>
            <w:r w:rsidRPr="00A956DD">
              <w:rPr>
                <w:sz w:val="20"/>
              </w:rPr>
              <w:t xml:space="preserve">s name and </w:t>
            </w:r>
            <w:proofErr w:type="gramStart"/>
            <w:r w:rsidRPr="00A956DD">
              <w:rPr>
                <w:sz w:val="20"/>
              </w:rPr>
              <w:t>high</w:t>
            </w:r>
            <w:r w:rsidR="5F68EAFF" w:rsidRPr="00A956DD">
              <w:rPr>
                <w:sz w:val="20"/>
              </w:rPr>
              <w:t xml:space="preserve"> </w:t>
            </w:r>
            <w:r w:rsidRPr="00A956DD">
              <w:rPr>
                <w:sz w:val="20"/>
              </w:rPr>
              <w:t>level</w:t>
            </w:r>
            <w:proofErr w:type="gramEnd"/>
            <w:r w:rsidRPr="00A956DD">
              <w:rPr>
                <w:sz w:val="20"/>
              </w:rPr>
              <w:t xml:space="preserve"> description. Where available, a hyperlink will be provided </w:t>
            </w:r>
            <w:r w:rsidR="00EC4211" w:rsidRPr="00A956DD">
              <w:rPr>
                <w:sz w:val="20"/>
              </w:rPr>
              <w:t>for</w:t>
            </w:r>
            <w:r w:rsidRPr="00A956DD">
              <w:rPr>
                <w:sz w:val="20"/>
              </w:rPr>
              <w:t xml:space="preserve"> more information.</w:t>
            </w:r>
            <w:r w:rsidR="00EC4211" w:rsidRPr="00A956DD">
              <w:rPr>
                <w:sz w:val="20"/>
              </w:rPr>
              <w:t xml:space="preserve"> Newly added initiatives are marked as</w:t>
            </w:r>
            <w:r w:rsidR="00EC4211" w:rsidRPr="002931AD">
              <w:t xml:space="preserve"> </w:t>
            </w:r>
            <w:r w:rsidR="00EC4211" w:rsidRPr="00CE3F02">
              <w:rPr>
                <w:rStyle w:val="NewInitiativeChar"/>
              </w:rPr>
              <w:t>(new)</w:t>
            </w:r>
            <w:r w:rsidR="00EC4211" w:rsidRPr="00CE3F02">
              <w:t>.</w:t>
            </w:r>
          </w:p>
        </w:tc>
      </w:tr>
      <w:tr w:rsidR="00E46E07" w14:paraId="066D6099" w14:textId="77777777" w:rsidTr="00CE3F02">
        <w:trPr>
          <w:trHeight w:val="2413"/>
        </w:trPr>
        <w:tc>
          <w:tcPr>
            <w:tcW w:w="709" w:type="dxa"/>
          </w:tcPr>
          <w:p w14:paraId="4241022F" w14:textId="77777777" w:rsidR="00E46E07" w:rsidRDefault="00E46E07" w:rsidP="005407C9">
            <w:pPr>
              <w:spacing w:before="0"/>
            </w:pPr>
            <w:r>
              <w:rPr>
                <w:noProof/>
              </w:rPr>
              <w:drawing>
                <wp:anchor distT="0" distB="0" distL="114300" distR="114300" simplePos="0" relativeHeight="251658241" behindDoc="0" locked="0" layoutInCell="1" allowOverlap="1" wp14:anchorId="26908106" wp14:editId="52E5F455">
                  <wp:simplePos x="0" y="0"/>
                  <wp:positionH relativeFrom="column">
                    <wp:posOffset>1905</wp:posOffset>
                  </wp:positionH>
                  <wp:positionV relativeFrom="paragraph">
                    <wp:posOffset>81887</wp:posOffset>
                  </wp:positionV>
                  <wp:extent cx="357906" cy="357906"/>
                  <wp:effectExtent l="0" t="0" r="4445" b="4445"/>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357906" cy="357906"/>
                          </a:xfrm>
                          <a:prstGeom prst="rect">
                            <a:avLst/>
                          </a:prstGeom>
                        </pic:spPr>
                      </pic:pic>
                    </a:graphicData>
                  </a:graphic>
                  <wp14:sizeRelH relativeFrom="page">
                    <wp14:pctWidth>0</wp14:pctWidth>
                  </wp14:sizeRelH>
                  <wp14:sizeRelV relativeFrom="page">
                    <wp14:pctHeight>0</wp14:pctHeight>
                  </wp14:sizeRelV>
                </wp:anchor>
              </w:drawing>
            </w:r>
          </w:p>
        </w:tc>
        <w:tc>
          <w:tcPr>
            <w:tcW w:w="1874" w:type="dxa"/>
          </w:tcPr>
          <w:p w14:paraId="52FD8E21" w14:textId="77777777" w:rsidR="00E46E07" w:rsidRPr="00CE3F02" w:rsidRDefault="00E46E07" w:rsidP="00CE3F02">
            <w:pPr>
              <w:spacing w:before="80" w:after="80"/>
              <w:rPr>
                <w:rStyle w:val="Strong"/>
              </w:rPr>
            </w:pPr>
            <w:r w:rsidRPr="00CE3F02">
              <w:rPr>
                <w:rStyle w:val="Strong"/>
              </w:rPr>
              <w:t>Forward calendar</w:t>
            </w:r>
          </w:p>
          <w:p w14:paraId="62426D17" w14:textId="2555D15A" w:rsidR="00E46E07" w:rsidRPr="00CE3F02" w:rsidRDefault="00E46E07" w:rsidP="00CE3F02">
            <w:pPr>
              <w:spacing w:before="80" w:after="80"/>
              <w:rPr>
                <w:rStyle w:val="Strong"/>
                <w:rFonts w:cs="Calibri Light"/>
              </w:rPr>
            </w:pPr>
            <w:r w:rsidRPr="00CE3F02">
              <w:rPr>
                <w:rFonts w:cs="Calibri Light"/>
                <w:b/>
                <w:bCs/>
              </w:rPr>
              <w:t>Q4 2025–Q3 2027</w:t>
            </w:r>
          </w:p>
        </w:tc>
        <w:tc>
          <w:tcPr>
            <w:tcW w:w="6580" w:type="dxa"/>
            <w:tcMar>
              <w:left w:w="85" w:type="dxa"/>
            </w:tcMar>
          </w:tcPr>
          <w:p w14:paraId="295FF8C1" w14:textId="16D9FB0C" w:rsidR="00E46E07" w:rsidRPr="00A956DD" w:rsidRDefault="00E46E07" w:rsidP="00CE3F02">
            <w:pPr>
              <w:spacing w:before="80" w:after="80"/>
              <w:rPr>
                <w:sz w:val="20"/>
              </w:rPr>
            </w:pPr>
            <w:r w:rsidRPr="00A956DD">
              <w:rPr>
                <w:sz w:val="20"/>
              </w:rPr>
              <w:t xml:space="preserve">A breakdown of planned activities over the next 24 months </w:t>
            </w:r>
            <w:r w:rsidR="001E6857" w:rsidRPr="00A956DD">
              <w:rPr>
                <w:sz w:val="20"/>
              </w:rPr>
              <w:t>and</w:t>
            </w:r>
            <w:r w:rsidRPr="00A956DD">
              <w:rPr>
                <w:sz w:val="20"/>
              </w:rPr>
              <w:t xml:space="preserve"> is presented in quarter year periods </w:t>
            </w:r>
            <w:r w:rsidRPr="00A956DD">
              <w:rPr>
                <w:rFonts w:cs="Calibri Light"/>
                <w:sz w:val="20"/>
              </w:rPr>
              <w:t>from Q4 2025 (October</w:t>
            </w:r>
            <w:r w:rsidR="003D486F" w:rsidRPr="00A956DD">
              <w:rPr>
                <w:rFonts w:cs="Calibri Light"/>
                <w:sz w:val="20"/>
              </w:rPr>
              <w:noBreakHyphen/>
            </w:r>
            <w:r w:rsidRPr="00A956DD">
              <w:rPr>
                <w:rFonts w:cs="Calibri Light"/>
                <w:sz w:val="20"/>
              </w:rPr>
              <w:t xml:space="preserve">December). </w:t>
            </w:r>
            <w:r w:rsidRPr="00A956DD">
              <w:rPr>
                <w:sz w:val="20"/>
              </w:rPr>
              <w:t>All activities and dates are indicative only and are subject to change by the agency or regulator.</w:t>
            </w:r>
          </w:p>
          <w:p w14:paraId="54CCF778" w14:textId="7D1E083C" w:rsidR="00E46E07" w:rsidRPr="002931AD" w:rsidRDefault="00E46E07" w:rsidP="00CE3F02">
            <w:pPr>
              <w:spacing w:before="80" w:after="80"/>
              <w:rPr>
                <w:rStyle w:val="Strong"/>
                <w:sz w:val="20"/>
              </w:rPr>
            </w:pPr>
            <w:r w:rsidRPr="002931AD">
              <w:rPr>
                <w:rStyle w:val="Strong"/>
                <w:sz w:val="20"/>
              </w:rPr>
              <w:t>If an initiative has no activities in its forward calendar, it means that specific timeframes have not been publicly communicated at the time of the RIG</w:t>
            </w:r>
            <w:r w:rsidR="003D486F">
              <w:rPr>
                <w:rStyle w:val="Strong"/>
                <w:sz w:val="20"/>
              </w:rPr>
              <w:t>’</w:t>
            </w:r>
            <w:r w:rsidRPr="002931AD">
              <w:rPr>
                <w:rStyle w:val="Strong"/>
                <w:sz w:val="20"/>
              </w:rPr>
              <w:t>s publication.</w:t>
            </w:r>
          </w:p>
          <w:p w14:paraId="4DA34381" w14:textId="77777777" w:rsidR="00BB7696" w:rsidRPr="00EC27BF" w:rsidRDefault="00BB7696" w:rsidP="00CE3F02">
            <w:pPr>
              <w:spacing w:before="80" w:after="80"/>
              <w:rPr>
                <w:rStyle w:val="Strong"/>
                <w:sz w:val="20"/>
              </w:rPr>
            </w:pPr>
            <w:r w:rsidRPr="00EC27BF">
              <w:rPr>
                <w:rStyle w:val="Strong"/>
                <w:sz w:val="20"/>
              </w:rPr>
              <w:t xml:space="preserve">A * </w:t>
            </w:r>
            <w:r w:rsidR="00A3256E" w:rsidRPr="00EC27BF">
              <w:rPr>
                <w:rStyle w:val="Strong"/>
                <w:sz w:val="20"/>
              </w:rPr>
              <w:t>indicates</w:t>
            </w:r>
            <w:r w:rsidRPr="00EC27BF">
              <w:rPr>
                <w:rStyle w:val="Strong"/>
                <w:sz w:val="20"/>
              </w:rPr>
              <w:t xml:space="preserve"> a new milestone </w:t>
            </w:r>
            <w:r w:rsidR="00A3256E" w:rsidRPr="00EC27BF">
              <w:rPr>
                <w:rStyle w:val="Strong"/>
                <w:sz w:val="20"/>
              </w:rPr>
              <w:t xml:space="preserve">for an initiative that was included in Edition 1 where progress </w:t>
            </w:r>
            <w:r w:rsidR="009C3BF3" w:rsidRPr="00EC27BF">
              <w:rPr>
                <w:rStyle w:val="Strong"/>
                <w:sz w:val="20"/>
              </w:rPr>
              <w:t xml:space="preserve">on the work has occurred. </w:t>
            </w:r>
          </w:p>
          <w:p w14:paraId="61D6BF15" w14:textId="14575713" w:rsidR="00E46E07" w:rsidRPr="002931AD" w:rsidRDefault="0060116E" w:rsidP="00CE3F02">
            <w:pPr>
              <w:spacing w:before="80"/>
              <w:rPr>
                <w:rStyle w:val="Strong"/>
                <w:sz w:val="20"/>
              </w:rPr>
            </w:pPr>
            <w:r w:rsidRPr="00EC27BF">
              <w:rPr>
                <w:rStyle w:val="Strong"/>
                <w:sz w:val="20"/>
              </w:rPr>
              <w:t xml:space="preserve">A ^ indicates where a milestone has changed from Edition 1 to this </w:t>
            </w:r>
            <w:r w:rsidR="00E34F38" w:rsidRPr="00EC27BF">
              <w:rPr>
                <w:rStyle w:val="Strong"/>
                <w:sz w:val="20"/>
              </w:rPr>
              <w:t>Edition. A changes table at the end of this document explains the</w:t>
            </w:r>
            <w:r w:rsidR="00E34F38">
              <w:rPr>
                <w:rStyle w:val="Strong"/>
                <w:sz w:val="20"/>
              </w:rPr>
              <w:t xml:space="preserve"> change.</w:t>
            </w:r>
          </w:p>
        </w:tc>
      </w:tr>
    </w:tbl>
    <w:p w14:paraId="3CC51C89" w14:textId="56584369" w:rsidR="006E2BE7" w:rsidRPr="005407C9" w:rsidRDefault="00E46E07" w:rsidP="00DF73F9">
      <w:r w:rsidRPr="004E4D0B">
        <w:t>Information contained in the RIG is subject to change. For example, from shifts in government</w:t>
      </w:r>
      <w:r w:rsidRPr="004E4D0B" w:rsidDel="00F45B67">
        <w:t xml:space="preserve"> </w:t>
      </w:r>
      <w:r w:rsidRPr="004E4D0B">
        <w:t>priorities or financial market conditions.</w:t>
      </w:r>
      <w:bookmarkEnd w:id="33"/>
      <w:r w:rsidR="00FD557E" w:rsidRPr="00A21175">
        <w:rPr>
          <w:sz w:val="20"/>
        </w:rPr>
        <w:br w:type="column"/>
      </w:r>
      <w:bookmarkStart w:id="34" w:name="_Toc173760506"/>
      <w:bookmarkStart w:id="35" w:name="_Toc176175987"/>
      <w:bookmarkStart w:id="36" w:name="_Toc183095610"/>
      <w:r w:rsidR="00DF73F9">
        <w:rPr>
          <w:sz w:val="20"/>
        </w:rPr>
        <w:lastRenderedPageBreak/>
        <w:br w:type="column"/>
      </w:r>
      <w:r w:rsidR="006E2BE7" w:rsidRPr="00DF73F9">
        <w:rPr>
          <w:rStyle w:val="Heading2Char"/>
        </w:rPr>
        <w:t xml:space="preserve">RIG </w:t>
      </w:r>
      <w:bookmarkEnd w:id="34"/>
      <w:bookmarkEnd w:id="35"/>
      <w:r w:rsidR="006E2BE7" w:rsidRPr="00DF73F9">
        <w:rPr>
          <w:rStyle w:val="Heading2Char"/>
        </w:rPr>
        <w:t>formats</w:t>
      </w:r>
      <w:bookmarkEnd w:id="36"/>
    </w:p>
    <w:tbl>
      <w:tblPr>
        <w:tblW w:w="9072" w:type="dxa"/>
        <w:shd w:val="clear" w:color="auto" w:fill="E8F0FC" w:themeFill="accent5" w:themeFillTint="33"/>
        <w:tblCellMar>
          <w:top w:w="57" w:type="dxa"/>
          <w:left w:w="284" w:type="dxa"/>
          <w:bottom w:w="57" w:type="dxa"/>
        </w:tblCellMar>
        <w:tblLook w:val="04A0" w:firstRow="1" w:lastRow="0" w:firstColumn="1" w:lastColumn="0" w:noHBand="0" w:noVBand="1"/>
      </w:tblPr>
      <w:tblGrid>
        <w:gridCol w:w="9072"/>
      </w:tblGrid>
      <w:tr w:rsidR="006E2BE7" w14:paraId="07CC515F" w14:textId="77777777" w:rsidTr="00984E31">
        <w:tc>
          <w:tcPr>
            <w:tcW w:w="9072" w:type="dxa"/>
            <w:shd w:val="clear" w:color="auto" w:fill="E8F0FC" w:themeFill="accent5" w:themeFillTint="33"/>
          </w:tcPr>
          <w:p w14:paraId="7E3B956F" w14:textId="77777777" w:rsidR="00112A44" w:rsidRDefault="006E2BE7" w:rsidP="00112A44">
            <w:pPr>
              <w:pStyle w:val="BoxText"/>
              <w:rPr>
                <w:rStyle w:val="Hyperlink"/>
                <w:color w:val="auto"/>
              </w:rPr>
            </w:pPr>
            <w:bookmarkStart w:id="37" w:name="_Toc173243835"/>
            <w:r>
              <w:t xml:space="preserve">The RIG is available on the Treasury website at </w:t>
            </w:r>
            <w:hyperlink r:id="rId47" w:history="1">
              <w:r w:rsidRPr="001576CE">
                <w:rPr>
                  <w:rStyle w:val="Strong"/>
                </w:rPr>
                <w:t>treasury.gov.au/RIG</w:t>
              </w:r>
            </w:hyperlink>
            <w:r w:rsidRPr="001576CE">
              <w:rPr>
                <w:rStyle w:val="Strong"/>
              </w:rPr>
              <w:t>.</w:t>
            </w:r>
            <w:r>
              <w:rPr>
                <w:rStyle w:val="Hyperlink"/>
                <w:color w:val="auto"/>
              </w:rPr>
              <w:t xml:space="preserve"> </w:t>
            </w:r>
          </w:p>
          <w:p w14:paraId="70E47794" w14:textId="29F9EB56" w:rsidR="006E2BE7" w:rsidRPr="00D97847" w:rsidRDefault="00112A44" w:rsidP="008F1F91">
            <w:pPr>
              <w:pStyle w:val="BoxText"/>
            </w:pPr>
            <w:r>
              <w:t>It</w:t>
            </w:r>
            <w:r w:rsidR="006E2BE7">
              <w:t xml:space="preserve"> is available in 3 formats</w:t>
            </w:r>
            <w:r w:rsidR="008F1F91">
              <w:t xml:space="preserve">: </w:t>
            </w:r>
            <w:r w:rsidR="006E2BE7">
              <w:t>a static report</w:t>
            </w:r>
            <w:r w:rsidR="008F1F91">
              <w:t xml:space="preserve">, </w:t>
            </w:r>
            <w:r w:rsidR="006E2BE7">
              <w:t xml:space="preserve">an interactive </w:t>
            </w:r>
            <w:r w:rsidR="00EA2B6A">
              <w:t>dashboard and</w:t>
            </w:r>
            <w:r w:rsidR="008F1F91">
              <w:t xml:space="preserve"> </w:t>
            </w:r>
            <w:r w:rsidR="006E2BE7">
              <w:t>a Microsoft Excel Workbook.</w:t>
            </w:r>
          </w:p>
        </w:tc>
      </w:tr>
    </w:tbl>
    <w:p w14:paraId="445A4C81" w14:textId="77777777" w:rsidR="006E2BE7" w:rsidRPr="00E90DC9" w:rsidRDefault="006E2BE7" w:rsidP="006E2BE7">
      <w:pPr>
        <w:pStyle w:val="Heading2"/>
      </w:pPr>
      <w:bookmarkStart w:id="38" w:name="_Toc173760507"/>
      <w:bookmarkStart w:id="39" w:name="_Toc176175988"/>
      <w:bookmarkStart w:id="40" w:name="_Toc183095611"/>
      <w:bookmarkStart w:id="41" w:name="_Toc210050731"/>
      <w:r w:rsidRPr="00E90DC9">
        <w:t>Feedback</w:t>
      </w:r>
      <w:bookmarkEnd w:id="37"/>
      <w:bookmarkEnd w:id="38"/>
      <w:bookmarkEnd w:id="39"/>
      <w:bookmarkEnd w:id="40"/>
      <w:bookmarkEnd w:id="41"/>
    </w:p>
    <w:p w14:paraId="5735C408" w14:textId="104CF288" w:rsidR="006E2BE7" w:rsidRDefault="006E2BE7" w:rsidP="006E2BE7">
      <w:r w:rsidRPr="00E90DC9">
        <w:t xml:space="preserve">Stakeholder feedback </w:t>
      </w:r>
      <w:r>
        <w:t>on the RIG</w:t>
      </w:r>
      <w:r w:rsidR="003D486F">
        <w:t>’</w:t>
      </w:r>
      <w:r>
        <w:t xml:space="preserve">s design is welcome. Please send your feedback to </w:t>
      </w:r>
      <w:r w:rsidRPr="00BF69D8">
        <w:rPr>
          <w:rStyle w:val="Strong"/>
        </w:rPr>
        <w:t>RIG@</w:t>
      </w:r>
      <w:r>
        <w:rPr>
          <w:rStyle w:val="Strong"/>
        </w:rPr>
        <w:t>t</w:t>
      </w:r>
      <w:r w:rsidRPr="00BF69D8">
        <w:rPr>
          <w:rStyle w:val="Strong"/>
        </w:rPr>
        <w:t>reasury.gov.au.</w:t>
      </w:r>
      <w:r w:rsidRPr="00E90DC9">
        <w:t xml:space="preserve"> </w:t>
      </w:r>
    </w:p>
    <w:p w14:paraId="6F765DAB" w14:textId="0BBFCD6D" w:rsidR="00651627" w:rsidRDefault="00651627" w:rsidP="00651627">
      <w:r>
        <w:t>Treasury will use stakeholder feedback to inform the RIG</w:t>
      </w:r>
      <w:r w:rsidR="003D486F">
        <w:t>’</w:t>
      </w:r>
      <w:r>
        <w:t xml:space="preserve">s ongoing design and to support ongoing </w:t>
      </w:r>
      <w:r w:rsidRPr="009508BB">
        <w:t>agency planning considerations for the upcoming period</w:t>
      </w:r>
      <w:r>
        <w:t>.</w:t>
      </w:r>
    </w:p>
    <w:p w14:paraId="1CA68ADB" w14:textId="4A578050" w:rsidR="00973038" w:rsidRDefault="00973038" w:rsidP="006E2BE7">
      <w:r>
        <w:t xml:space="preserve">Stakeholder feedback on the regulatory landscape </w:t>
      </w:r>
      <w:r w:rsidR="00174F55">
        <w:t>provided to Treasury by April each year will contribute to agency planning considerations for the upcoming period.</w:t>
      </w:r>
    </w:p>
    <w:p w14:paraId="44AE5893" w14:textId="77777777" w:rsidR="006E2BE7" w:rsidRPr="005946AB" w:rsidRDefault="006E2BE7" w:rsidP="006E2BE7">
      <w:r w:rsidRPr="005946AB">
        <w:t>Please indicate in your response whether you agree/do not agree to share the personal data contained in your response (for example, your name and email address) with contributing agencies.</w:t>
      </w:r>
    </w:p>
    <w:p w14:paraId="6D6AEF11" w14:textId="77777777" w:rsidR="006E2BE7" w:rsidRDefault="006E2BE7" w:rsidP="006E2BE7">
      <w:pPr>
        <w:pStyle w:val="Heading2"/>
      </w:pPr>
      <w:bookmarkStart w:id="42" w:name="_Toc183095612"/>
      <w:bookmarkStart w:id="43" w:name="_Toc210050732"/>
      <w:r>
        <w:t>F</w:t>
      </w:r>
      <w:r w:rsidRPr="00E90DC9">
        <w:t>uture updates</w:t>
      </w:r>
      <w:bookmarkEnd w:id="42"/>
      <w:bookmarkEnd w:id="43"/>
    </w:p>
    <w:p w14:paraId="3A6257E3" w14:textId="77777777" w:rsidR="006E2BE7" w:rsidRDefault="006E2BE7" w:rsidP="006E2BE7">
      <w:r>
        <w:t>Treasury intends</w:t>
      </w:r>
      <w:r w:rsidDel="00E425BD">
        <w:t xml:space="preserve"> to </w:t>
      </w:r>
      <w:r>
        <w:t>continuously refine the RIG in response to stakeholder feedback. This will help</w:t>
      </w:r>
      <w:r w:rsidDel="00791E96">
        <w:t xml:space="preserve"> </w:t>
      </w:r>
      <w:r>
        <w:t>ensure it remains</w:t>
      </w:r>
      <w:r w:rsidDel="004D0ED4">
        <w:t xml:space="preserve"> </w:t>
      </w:r>
      <w:r>
        <w:t>fit for purpose</w:t>
      </w:r>
      <w:r w:rsidDel="004D0ED4">
        <w:t>.</w:t>
      </w:r>
    </w:p>
    <w:p w14:paraId="69D26AEA" w14:textId="0680047A" w:rsidR="006E2BE7" w:rsidRDefault="006E2BE7" w:rsidP="006E2BE7">
      <w:pPr>
        <w:sectPr w:rsidR="006E2BE7" w:rsidSect="006E2BE7">
          <w:headerReference w:type="even" r:id="rId48"/>
          <w:headerReference w:type="default" r:id="rId49"/>
          <w:footerReference w:type="even" r:id="rId50"/>
          <w:footerReference w:type="default" r:id="rId51"/>
          <w:headerReference w:type="first" r:id="rId52"/>
          <w:footerReference w:type="first" r:id="rId53"/>
          <w:pgSz w:w="16838" w:h="11906" w:orient="landscape" w:code="9"/>
          <w:pgMar w:top="1843" w:right="1418" w:bottom="1021" w:left="1418" w:header="709" w:footer="397" w:gutter="0"/>
          <w:cols w:num="2" w:space="1755" w:equalWidth="0">
            <w:col w:w="3175" w:space="1755"/>
            <w:col w:w="9072"/>
          </w:cols>
          <w:docGrid w:linePitch="360"/>
        </w:sectPr>
      </w:pPr>
      <w:r>
        <w:t xml:space="preserve">Subsequent editions of </w:t>
      </w:r>
      <w:r w:rsidRPr="0054110B">
        <w:t xml:space="preserve">the RIG will be published </w:t>
      </w:r>
      <w:r>
        <w:t>twice a year (</w:t>
      </w:r>
      <w:r w:rsidRPr="0054110B">
        <w:t>March and September</w:t>
      </w:r>
      <w:r>
        <w:t>)</w:t>
      </w:r>
      <w:r w:rsidRPr="0054110B">
        <w:t>.</w:t>
      </w:r>
    </w:p>
    <w:p w14:paraId="2CC87402" w14:textId="485C8FD7" w:rsidR="00106330" w:rsidRDefault="00106330" w:rsidP="006E2BE7">
      <w:pPr>
        <w:pStyle w:val="Heading2"/>
        <w:sectPr w:rsidR="00106330" w:rsidSect="00A4740C">
          <w:headerReference w:type="even" r:id="rId54"/>
          <w:headerReference w:type="default" r:id="rId55"/>
          <w:footerReference w:type="even" r:id="rId56"/>
          <w:footerReference w:type="default" r:id="rId57"/>
          <w:headerReference w:type="first" r:id="rId58"/>
          <w:footerReference w:type="first" r:id="rId59"/>
          <w:type w:val="continuous"/>
          <w:pgSz w:w="16838" w:h="11906" w:orient="landscape" w:code="9"/>
          <w:pgMar w:top="1843" w:right="1418" w:bottom="1021" w:left="1418" w:header="709" w:footer="397" w:gutter="0"/>
          <w:cols w:space="708"/>
          <w:docGrid w:linePitch="360"/>
        </w:sectPr>
      </w:pPr>
    </w:p>
    <w:p w14:paraId="15090192" w14:textId="37B59832" w:rsidR="00B54CF6" w:rsidRPr="00106330" w:rsidRDefault="00B54CF6" w:rsidP="00F50EDB">
      <w:pPr>
        <w:pStyle w:val="Heading1Numbered"/>
        <w:spacing w:before="0"/>
      </w:pPr>
      <w:bookmarkStart w:id="44" w:name="_Toc210050733"/>
      <w:r w:rsidRPr="00106330">
        <w:lastRenderedPageBreak/>
        <w:t xml:space="preserve">Policy </w:t>
      </w:r>
      <w:r w:rsidR="00DA6D3F" w:rsidRPr="00106330">
        <w:t>d</w:t>
      </w:r>
      <w:r w:rsidRPr="00106330">
        <w:t>evelopment</w:t>
      </w:r>
      <w:bookmarkEnd w:id="44"/>
    </w:p>
    <w:p w14:paraId="1462C458" w14:textId="734C0F72" w:rsidR="00B87D56" w:rsidRDefault="009A5125" w:rsidP="009A5125">
      <w:pPr>
        <w:rPr>
          <w:rFonts w:cs="Calibri Light"/>
          <w:szCs w:val="22"/>
        </w:rPr>
      </w:pPr>
      <w:r w:rsidRPr="00464DE7">
        <w:rPr>
          <w:rFonts w:cs="Calibri Light"/>
          <w:szCs w:val="22"/>
        </w:rPr>
        <w:t>This</w:t>
      </w:r>
      <w:r w:rsidRPr="00464DE7" w:rsidDel="007A415C">
        <w:rPr>
          <w:rFonts w:cs="Calibri Light"/>
          <w:szCs w:val="22"/>
        </w:rPr>
        <w:t xml:space="preserve"> </w:t>
      </w:r>
      <w:r w:rsidR="00C734E8" w:rsidRPr="009A41CA">
        <w:t>category</w:t>
      </w:r>
      <w:r w:rsidRPr="009A41CA">
        <w:t xml:space="preserve"> includes</w:t>
      </w:r>
      <w:r w:rsidRPr="00464DE7" w:rsidDel="009B6078">
        <w:rPr>
          <w:rFonts w:cs="Calibri Light"/>
          <w:szCs w:val="22"/>
        </w:rPr>
        <w:t xml:space="preserve"> </w:t>
      </w:r>
      <w:r w:rsidR="009E2631">
        <w:rPr>
          <w:rStyle w:val="Strong"/>
        </w:rPr>
        <w:t>9</w:t>
      </w:r>
      <w:r w:rsidR="00906631" w:rsidRPr="00464DE7">
        <w:rPr>
          <w:rFonts w:cs="Calibri Light"/>
          <w:szCs w:val="22"/>
        </w:rPr>
        <w:t xml:space="preserve"> </w:t>
      </w:r>
      <w:r w:rsidR="006837E9">
        <w:rPr>
          <w:rFonts w:cs="Calibri Light"/>
          <w:szCs w:val="22"/>
        </w:rPr>
        <w:t>policy</w:t>
      </w:r>
      <w:r w:rsidR="00D06782">
        <w:rPr>
          <w:rFonts w:cs="Calibri Light"/>
          <w:szCs w:val="22"/>
        </w:rPr>
        <w:t xml:space="preserve"> </w:t>
      </w:r>
      <w:r w:rsidR="006837E9">
        <w:rPr>
          <w:rFonts w:cs="Calibri Light"/>
          <w:szCs w:val="22"/>
        </w:rPr>
        <w:t xml:space="preserve">development </w:t>
      </w:r>
      <w:r w:rsidRPr="00464DE7">
        <w:rPr>
          <w:rFonts w:cs="Calibri Light"/>
          <w:szCs w:val="22"/>
        </w:rPr>
        <w:t>initiatives.</w:t>
      </w:r>
      <w:r w:rsidR="00D06782">
        <w:rPr>
          <w:rFonts w:cs="Calibri Light"/>
          <w:szCs w:val="22"/>
        </w:rPr>
        <w:t xml:space="preserve"> </w:t>
      </w:r>
      <w:r w:rsidR="004D127F">
        <w:t>Examples of p</w:t>
      </w:r>
      <w:r w:rsidR="00D06782" w:rsidRPr="009A41CA">
        <w:t xml:space="preserve">olicy development </w:t>
      </w:r>
      <w:r w:rsidR="00AE7903" w:rsidRPr="00AE7903">
        <w:rPr>
          <w:rFonts w:cs="Calibri Light"/>
          <w:szCs w:val="22"/>
        </w:rPr>
        <w:t>activities</w:t>
      </w:r>
      <w:r w:rsidR="004D19BC">
        <w:t xml:space="preserve"> </w:t>
      </w:r>
      <w:r w:rsidR="000872CC" w:rsidRPr="009A41CA">
        <w:t>includ</w:t>
      </w:r>
      <w:r w:rsidR="004D19BC">
        <w:t>e</w:t>
      </w:r>
      <w:r w:rsidR="000872CC" w:rsidRPr="009A41CA">
        <w:t xml:space="preserve"> </w:t>
      </w:r>
      <w:r w:rsidR="00D06782" w:rsidRPr="009A41CA">
        <w:t xml:space="preserve">seeking stakeholder feedback on </w:t>
      </w:r>
      <w:r w:rsidR="006837E9">
        <w:t xml:space="preserve">a </w:t>
      </w:r>
      <w:r w:rsidR="00D06782" w:rsidRPr="009A41CA">
        <w:t>proposed policy and formulating policy statements.</w:t>
      </w:r>
      <w:r w:rsidR="00EC1DC1" w:rsidRPr="009A41CA">
        <w:t xml:space="preserve"> </w:t>
      </w:r>
      <w:r w:rsidR="003E6451">
        <w:t>In</w:t>
      </w:r>
      <w:r w:rsidR="0040148A">
        <w:t>itiative</w:t>
      </w:r>
      <w:r w:rsidR="00647357">
        <w:t>s</w:t>
      </w:r>
      <w:r w:rsidR="0040148A">
        <w:t xml:space="preserve"> </w:t>
      </w:r>
      <w:r w:rsidR="003E6451">
        <w:t xml:space="preserve">that </w:t>
      </w:r>
      <w:r w:rsidR="000D4D44" w:rsidRPr="009A41CA">
        <w:t xml:space="preserve">include </w:t>
      </w:r>
      <w:r w:rsidR="00163D34">
        <w:t xml:space="preserve">both </w:t>
      </w:r>
      <w:r w:rsidR="000D4D44" w:rsidRPr="009A41CA">
        <w:t>p</w:t>
      </w:r>
      <w:r w:rsidR="00EC1DC1" w:rsidRPr="009A41CA">
        <w:t>olicy</w:t>
      </w:r>
      <w:r w:rsidR="003E6451">
        <w:t xml:space="preserve"> </w:t>
      </w:r>
      <w:r w:rsidR="00EC1DC1" w:rsidRPr="009A41CA">
        <w:t>development</w:t>
      </w:r>
      <w:r w:rsidR="000D4D44" w:rsidRPr="009A41CA">
        <w:t xml:space="preserve"> </w:t>
      </w:r>
      <w:r w:rsidR="003E6451">
        <w:t xml:space="preserve">and </w:t>
      </w:r>
      <w:r w:rsidR="00EC1DC1" w:rsidRPr="009A41CA">
        <w:t xml:space="preserve">developing legislation, regulations </w:t>
      </w:r>
      <w:r w:rsidR="00641197">
        <w:t>or</w:t>
      </w:r>
      <w:r w:rsidR="00EC1DC1" w:rsidRPr="009A41CA">
        <w:t xml:space="preserve"> instruments</w:t>
      </w:r>
      <w:r w:rsidR="003E6451">
        <w:t xml:space="preserve"> are </w:t>
      </w:r>
      <w:r w:rsidR="000D4D44" w:rsidRPr="009A41CA">
        <w:t xml:space="preserve">included </w:t>
      </w:r>
      <w:r w:rsidR="00483385" w:rsidRPr="009A41CA">
        <w:t xml:space="preserve">in the </w:t>
      </w:r>
      <w:r w:rsidR="003D486F">
        <w:t>‘</w:t>
      </w:r>
      <w:r w:rsidR="003E6451">
        <w:t>Developing legislation, regulation</w:t>
      </w:r>
      <w:r w:rsidR="00163D34">
        <w:t>s</w:t>
      </w:r>
      <w:r w:rsidR="003E6451">
        <w:t xml:space="preserve"> and instruments</w:t>
      </w:r>
      <w:r w:rsidR="003D486F">
        <w:t>’</w:t>
      </w:r>
      <w:r w:rsidR="003E6451">
        <w:t xml:space="preserve"> </w:t>
      </w:r>
      <w:r w:rsidR="00AC65B6">
        <w:t>category</w:t>
      </w:r>
      <w:r w:rsidR="003D486F">
        <w:t xml:space="preserve">. </w:t>
      </w:r>
    </w:p>
    <w:p w14:paraId="53441465" w14:textId="77777777" w:rsidR="00776E56" w:rsidRPr="00EC27BF" w:rsidRDefault="00776E56" w:rsidP="00776E56">
      <w:pPr>
        <w:spacing w:before="0" w:after="0"/>
        <w:rPr>
          <w:rStyle w:val="Strong"/>
          <w:sz w:val="20"/>
        </w:rPr>
      </w:pPr>
      <w:r w:rsidRPr="00EC27BF">
        <w:rPr>
          <w:rStyle w:val="Strong"/>
          <w:sz w:val="20"/>
        </w:rPr>
        <w:t xml:space="preserve">A * indicates a new milestone for an initiative that was included in Edition 1 where progress on the work has occurred. </w:t>
      </w:r>
    </w:p>
    <w:p w14:paraId="32967081" w14:textId="75CF3789" w:rsidR="00776E56" w:rsidRDefault="00776E56" w:rsidP="00776E56">
      <w:pPr>
        <w:rPr>
          <w:rFonts w:cs="Calibri Light"/>
          <w:szCs w:val="22"/>
        </w:rPr>
      </w:pPr>
      <w:r w:rsidRPr="00EC27BF">
        <w:rPr>
          <w:rStyle w:val="Strong"/>
          <w:sz w:val="20"/>
        </w:rPr>
        <w:t xml:space="preserve">A ^ indicates where a milestone has changed from Edition 1 to this Edition. A changes table at the end of this document </w:t>
      </w:r>
      <w:proofErr w:type="gramStart"/>
      <w:r w:rsidRPr="00EC27BF">
        <w:rPr>
          <w:rStyle w:val="Strong"/>
          <w:sz w:val="20"/>
        </w:rPr>
        <w:t>explains</w:t>
      </w:r>
      <w:proofErr w:type="gramEnd"/>
      <w:r w:rsidRPr="00EC27BF">
        <w:rPr>
          <w:rStyle w:val="Strong"/>
          <w:sz w:val="20"/>
        </w:rPr>
        <w:t xml:space="preserve"> the</w:t>
      </w:r>
      <w:r>
        <w:rPr>
          <w:rStyle w:val="Strong"/>
          <w:sz w:val="20"/>
        </w:rPr>
        <w:t xml:space="preserve"> change.</w:t>
      </w:r>
    </w:p>
    <w:p w14:paraId="1AA77BB9" w14:textId="2F601718" w:rsidR="004125A1" w:rsidRPr="0098521C" w:rsidRDefault="00D670CC" w:rsidP="00283753">
      <w:pPr>
        <w:pStyle w:val="TableMainHeading"/>
        <w:rPr>
          <w:rStyle w:val="Strong"/>
        </w:rPr>
      </w:pPr>
      <w:r w:rsidRPr="0098521C">
        <w:rPr>
          <w:rStyle w:val="Strong"/>
        </w:rPr>
        <w:t>Forward calendar</w:t>
      </w:r>
    </w:p>
    <w:tbl>
      <w:tblPr>
        <w:tblW w:w="5000" w:type="pct"/>
        <w:tblInd w:w="-1" w:type="dxa"/>
        <w:tblBorders>
          <w:bottom w:val="single" w:sz="4" w:space="0" w:color="90B6F0" w:themeColor="accent5"/>
          <w:insideH w:val="single" w:sz="4" w:space="0" w:color="90B6F0" w:themeColor="accent5"/>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794"/>
        <w:gridCol w:w="1334"/>
        <w:gridCol w:w="3260"/>
        <w:gridCol w:w="1417"/>
        <w:gridCol w:w="1134"/>
        <w:gridCol w:w="1134"/>
        <w:gridCol w:w="1276"/>
        <w:gridCol w:w="1276"/>
        <w:gridCol w:w="1130"/>
        <w:gridCol w:w="16"/>
        <w:gridCol w:w="1231"/>
      </w:tblGrid>
      <w:tr w:rsidR="00E6324E" w:rsidRPr="0088394A" w14:paraId="270A1820" w14:textId="77777777" w:rsidTr="00283753">
        <w:trPr>
          <w:cantSplit/>
          <w:trHeight w:val="567"/>
          <w:tblHeader/>
        </w:trPr>
        <w:tc>
          <w:tcPr>
            <w:tcW w:w="794" w:type="dxa"/>
            <w:tcBorders>
              <w:bottom w:val="single" w:sz="4" w:space="0" w:color="90B6F0" w:themeColor="accent5"/>
            </w:tcBorders>
            <w:shd w:val="clear" w:color="auto" w:fill="BCD2F6" w:themeFill="accent5" w:themeFillTint="99"/>
            <w:tcMar>
              <w:left w:w="85" w:type="dxa"/>
              <w:right w:w="85" w:type="dxa"/>
            </w:tcMar>
            <w:vAlign w:val="center"/>
            <w:hideMark/>
          </w:tcPr>
          <w:p w14:paraId="026A0401" w14:textId="77777777" w:rsidR="00AB7955" w:rsidRPr="009831FF" w:rsidRDefault="00AB7955" w:rsidP="005E5C59">
            <w:pPr>
              <w:pStyle w:val="TableColumnHeadingLeft"/>
            </w:pPr>
            <w:r w:rsidRPr="009831FF">
              <w:t>Agency</w:t>
            </w:r>
          </w:p>
        </w:tc>
        <w:tc>
          <w:tcPr>
            <w:tcW w:w="1334" w:type="dxa"/>
            <w:shd w:val="clear" w:color="auto" w:fill="BCD2F6" w:themeFill="accent5" w:themeFillTint="99"/>
            <w:tcMar>
              <w:left w:w="85" w:type="dxa"/>
              <w:right w:w="85" w:type="dxa"/>
            </w:tcMar>
            <w:vAlign w:val="center"/>
          </w:tcPr>
          <w:p w14:paraId="3828436D" w14:textId="77777777" w:rsidR="00AB7955" w:rsidRPr="009831FF" w:rsidRDefault="00AB7955" w:rsidP="005E5C59">
            <w:pPr>
              <w:pStyle w:val="TableColumnHeadingLeft"/>
            </w:pPr>
            <w:r w:rsidRPr="009831FF">
              <w:t>Sector</w:t>
            </w:r>
          </w:p>
        </w:tc>
        <w:tc>
          <w:tcPr>
            <w:tcW w:w="3260" w:type="dxa"/>
            <w:shd w:val="clear" w:color="auto" w:fill="BCD2F6" w:themeFill="accent5" w:themeFillTint="99"/>
            <w:tcMar>
              <w:left w:w="85" w:type="dxa"/>
              <w:right w:w="85" w:type="dxa"/>
            </w:tcMar>
            <w:vAlign w:val="center"/>
          </w:tcPr>
          <w:p w14:paraId="7BAF74C1" w14:textId="77777777" w:rsidR="00AB7955" w:rsidRPr="009831FF" w:rsidRDefault="00AB7955" w:rsidP="005E5C59">
            <w:pPr>
              <w:pStyle w:val="TableColumnHeadingLeft"/>
            </w:pPr>
            <w:r w:rsidRPr="009831FF">
              <w:t>Initiative</w:t>
            </w:r>
          </w:p>
        </w:tc>
        <w:tc>
          <w:tcPr>
            <w:tcW w:w="1417" w:type="dxa"/>
            <w:shd w:val="clear" w:color="auto" w:fill="BCD2F6" w:themeFill="accent5" w:themeFillTint="99"/>
            <w:tcMar>
              <w:left w:w="85" w:type="dxa"/>
              <w:right w:w="85" w:type="dxa"/>
            </w:tcMar>
            <w:vAlign w:val="center"/>
            <w:hideMark/>
          </w:tcPr>
          <w:p w14:paraId="151EFDE3" w14:textId="77777777" w:rsidR="00AB7955" w:rsidRPr="009831FF" w:rsidRDefault="00AB7955" w:rsidP="005E5C59">
            <w:pPr>
              <w:pStyle w:val="TableColumnHeadingLeft"/>
            </w:pPr>
            <w:r w:rsidRPr="009831FF">
              <w:t>Q4 2025 activity</w:t>
            </w:r>
          </w:p>
        </w:tc>
        <w:tc>
          <w:tcPr>
            <w:tcW w:w="1134" w:type="dxa"/>
            <w:shd w:val="clear" w:color="auto" w:fill="BCD2F6" w:themeFill="accent5" w:themeFillTint="99"/>
            <w:tcMar>
              <w:left w:w="85" w:type="dxa"/>
              <w:right w:w="85" w:type="dxa"/>
            </w:tcMar>
            <w:vAlign w:val="center"/>
          </w:tcPr>
          <w:p w14:paraId="60FEA4FC" w14:textId="77777777" w:rsidR="00AB7955" w:rsidRPr="009831FF" w:rsidRDefault="00AB7955" w:rsidP="005E5C59">
            <w:pPr>
              <w:pStyle w:val="TableColumnHeadingLeft"/>
            </w:pPr>
            <w:r w:rsidRPr="009831FF">
              <w:t>Q1</w:t>
            </w:r>
            <w:r w:rsidRPr="009831FF" w:rsidDel="00EB78B6">
              <w:t xml:space="preserve"> </w:t>
            </w:r>
            <w:r w:rsidRPr="009831FF">
              <w:t>2026 activity</w:t>
            </w:r>
          </w:p>
        </w:tc>
        <w:tc>
          <w:tcPr>
            <w:tcW w:w="1134" w:type="dxa"/>
            <w:shd w:val="clear" w:color="auto" w:fill="BCD2F6" w:themeFill="accent5" w:themeFillTint="99"/>
            <w:tcMar>
              <w:left w:w="85" w:type="dxa"/>
              <w:right w:w="85" w:type="dxa"/>
            </w:tcMar>
            <w:vAlign w:val="center"/>
          </w:tcPr>
          <w:p w14:paraId="240C483E" w14:textId="77777777" w:rsidR="00AB7955" w:rsidRPr="009831FF" w:rsidRDefault="00AB7955" w:rsidP="005E5C59">
            <w:pPr>
              <w:pStyle w:val="TableColumnHeadingLeft"/>
            </w:pPr>
            <w:r w:rsidRPr="009831FF">
              <w:t>Q2 2026 activity</w:t>
            </w:r>
          </w:p>
        </w:tc>
        <w:tc>
          <w:tcPr>
            <w:tcW w:w="1276" w:type="dxa"/>
            <w:shd w:val="clear" w:color="auto" w:fill="BCD2F6" w:themeFill="accent5" w:themeFillTint="99"/>
            <w:vAlign w:val="center"/>
          </w:tcPr>
          <w:p w14:paraId="063C2D32" w14:textId="77777777" w:rsidR="00AB7955" w:rsidRPr="009831FF" w:rsidDel="00B60ABB" w:rsidRDefault="00AB7955" w:rsidP="005E5C59">
            <w:pPr>
              <w:pStyle w:val="TableColumnHeadingLeft"/>
            </w:pPr>
            <w:r w:rsidRPr="009831FF">
              <w:t>Q3 2026 activity</w:t>
            </w:r>
          </w:p>
        </w:tc>
        <w:tc>
          <w:tcPr>
            <w:tcW w:w="1276" w:type="dxa"/>
            <w:shd w:val="clear" w:color="auto" w:fill="BCD2F6" w:themeFill="accent5" w:themeFillTint="99"/>
            <w:tcMar>
              <w:left w:w="85" w:type="dxa"/>
              <w:right w:w="85" w:type="dxa"/>
            </w:tcMar>
            <w:vAlign w:val="center"/>
          </w:tcPr>
          <w:p w14:paraId="4D9E9342" w14:textId="77777777" w:rsidR="00AB7955" w:rsidRPr="009831FF" w:rsidRDefault="00AB7955" w:rsidP="005E5C59">
            <w:pPr>
              <w:pStyle w:val="TableColumnHeadingLeft"/>
            </w:pPr>
            <w:r w:rsidRPr="009831FF" w:rsidDel="00B60ABB">
              <w:t xml:space="preserve">Q4 </w:t>
            </w:r>
            <w:r w:rsidRPr="009831FF">
              <w:t>2026 activity</w:t>
            </w:r>
          </w:p>
        </w:tc>
        <w:tc>
          <w:tcPr>
            <w:tcW w:w="1146" w:type="dxa"/>
            <w:gridSpan w:val="2"/>
            <w:shd w:val="clear" w:color="auto" w:fill="BCD2F6" w:themeFill="accent5" w:themeFillTint="99"/>
            <w:tcMar>
              <w:left w:w="85" w:type="dxa"/>
              <w:right w:w="85" w:type="dxa"/>
            </w:tcMar>
            <w:vAlign w:val="center"/>
          </w:tcPr>
          <w:p w14:paraId="57841860" w14:textId="77777777" w:rsidR="00AB7955" w:rsidRPr="009831FF" w:rsidRDefault="00AB7955" w:rsidP="005E5C59">
            <w:pPr>
              <w:pStyle w:val="TableColumnHeadingLeft"/>
            </w:pPr>
            <w:r w:rsidRPr="009831FF">
              <w:t>Q1 2027 activity</w:t>
            </w:r>
          </w:p>
        </w:tc>
        <w:tc>
          <w:tcPr>
            <w:tcW w:w="1231" w:type="dxa"/>
            <w:shd w:val="clear" w:color="auto" w:fill="BCD2F6" w:themeFill="accent5" w:themeFillTint="99"/>
            <w:tcMar>
              <w:left w:w="85" w:type="dxa"/>
              <w:right w:w="85" w:type="dxa"/>
            </w:tcMar>
            <w:vAlign w:val="center"/>
          </w:tcPr>
          <w:p w14:paraId="01A80D12" w14:textId="77777777" w:rsidR="00AB7955" w:rsidRPr="009831FF" w:rsidRDefault="00AB7955" w:rsidP="005E5C59">
            <w:pPr>
              <w:pStyle w:val="TableColumnHeadingLeft"/>
            </w:pPr>
            <w:r w:rsidRPr="009831FF">
              <w:t>Q2</w:t>
            </w:r>
            <w:r>
              <w:t>–</w:t>
            </w:r>
            <w:r w:rsidRPr="009831FF">
              <w:t>3 2027 activity</w:t>
            </w:r>
          </w:p>
        </w:tc>
      </w:tr>
      <w:tr w:rsidR="00E6324E" w:rsidRPr="00AF43B7" w14:paraId="584A95F9" w14:textId="77777777" w:rsidTr="00283753">
        <w:trPr>
          <w:cantSplit/>
          <w:trHeight w:val="20"/>
        </w:trPr>
        <w:tc>
          <w:tcPr>
            <w:tcW w:w="794" w:type="dxa"/>
            <w:tcBorders>
              <w:top w:val="single" w:sz="4" w:space="0" w:color="90B6F0" w:themeColor="accent5"/>
              <w:left w:val="nil"/>
              <w:bottom w:val="single" w:sz="4" w:space="0" w:color="90B6F0" w:themeColor="accent5"/>
              <w:right w:val="nil"/>
            </w:tcBorders>
            <w:tcMar>
              <w:left w:w="85" w:type="dxa"/>
              <w:right w:w="85" w:type="dxa"/>
            </w:tcMar>
          </w:tcPr>
          <w:p w14:paraId="1EC3408E" w14:textId="4209ED1E" w:rsidR="003B0424" w:rsidRPr="00300D4C" w:rsidRDefault="003B0424" w:rsidP="00F52A3F">
            <w:pPr>
              <w:pStyle w:val="TableLeadAgency"/>
              <w:spacing w:before="0" w:after="0"/>
              <w:rPr>
                <w:rFonts w:ascii="Calibri" w:hAnsi="Calibri" w:cs="Calibri"/>
              </w:rPr>
            </w:pPr>
            <w:r>
              <w:rPr>
                <w:rFonts w:ascii="Calibri" w:hAnsi="Calibri" w:cs="Calibri"/>
              </w:rPr>
              <w:t>TSY</w:t>
            </w:r>
          </w:p>
        </w:tc>
        <w:tc>
          <w:tcPr>
            <w:tcW w:w="1334" w:type="dxa"/>
            <w:tcBorders>
              <w:top w:val="single" w:sz="4" w:space="0" w:color="90B6F0" w:themeColor="accent5"/>
              <w:left w:val="nil"/>
              <w:bottom w:val="single" w:sz="4" w:space="0" w:color="90B6F0" w:themeColor="accent5"/>
              <w:right w:val="nil"/>
            </w:tcBorders>
            <w:tcMar>
              <w:left w:w="85" w:type="dxa"/>
              <w:right w:w="85" w:type="dxa"/>
            </w:tcMar>
          </w:tcPr>
          <w:p w14:paraId="43905044" w14:textId="7524AF99" w:rsidR="003B0424" w:rsidRPr="00ED3EBE" w:rsidRDefault="003B0424" w:rsidP="00F52A3F">
            <w:pPr>
              <w:pStyle w:val="TableTextLeft"/>
            </w:pPr>
            <w:r>
              <w:t>Superannuation and retirement income</w:t>
            </w:r>
          </w:p>
        </w:tc>
        <w:tc>
          <w:tcPr>
            <w:tcW w:w="3260" w:type="dxa"/>
            <w:tcBorders>
              <w:top w:val="single" w:sz="4" w:space="0" w:color="90B6F0" w:themeColor="accent5"/>
              <w:left w:val="nil"/>
              <w:bottom w:val="single" w:sz="4" w:space="0" w:color="90B6F0" w:themeColor="accent5"/>
              <w:right w:val="nil"/>
            </w:tcBorders>
            <w:tcMar>
              <w:left w:w="85" w:type="dxa"/>
              <w:right w:w="85" w:type="dxa"/>
            </w:tcMar>
          </w:tcPr>
          <w:p w14:paraId="309D607A" w14:textId="0282A3CC" w:rsidR="003B0424" w:rsidRPr="00CE3F02" w:rsidRDefault="003B0424" w:rsidP="00ED3EBE">
            <w:pPr>
              <w:pStyle w:val="TableLink"/>
              <w:rPr>
                <w:bCs/>
                <w:color w:val="4D7861" w:themeColor="accent2"/>
                <w:szCs w:val="18"/>
                <w:u w:val="none"/>
              </w:rPr>
            </w:pPr>
            <w:r>
              <w:t>Best practice principles</w:t>
            </w:r>
            <w:r w:rsidR="003D486F">
              <w:noBreakHyphen/>
            </w:r>
            <w:r w:rsidR="005B1ABD">
              <w:t xml:space="preserve"> superannuation retirement income solutions</w:t>
            </w:r>
            <w:r w:rsidR="005B1ABD" w:rsidRPr="00CE3F02">
              <w:rPr>
                <w:u w:val="none"/>
              </w:rPr>
              <w:t xml:space="preserve"> </w:t>
            </w:r>
            <w:r w:rsidR="00CE3F02" w:rsidRPr="00283753">
              <w:rPr>
                <w:rStyle w:val="NewInitiativeChar"/>
                <w:b/>
                <w:bCs/>
                <w:sz w:val="16"/>
                <w:szCs w:val="16"/>
                <w:u w:val="none"/>
              </w:rPr>
              <w:t>(new)</w:t>
            </w:r>
          </w:p>
          <w:p w14:paraId="126421E3" w14:textId="18FCCCF9" w:rsidR="005B1ABD" w:rsidRPr="002931AD" w:rsidRDefault="005B1ABD" w:rsidP="00CE3F02">
            <w:pPr>
              <w:pStyle w:val="TableTextLeft"/>
              <w:rPr>
                <w:b/>
              </w:rPr>
            </w:pPr>
            <w:r w:rsidRPr="00B80EF7">
              <w:t xml:space="preserve">The </w:t>
            </w:r>
            <w:r w:rsidR="00163BCD">
              <w:t>g</w:t>
            </w:r>
            <w:r w:rsidRPr="00B80EF7">
              <w:t>overnment has developed</w:t>
            </w:r>
            <w:r w:rsidR="00BD3BF1" w:rsidRPr="00B80EF7">
              <w:t xml:space="preserve"> </w:t>
            </w:r>
            <w:r w:rsidR="0067069E" w:rsidRPr="00B80EF7">
              <w:t xml:space="preserve">voluntary principles to </w:t>
            </w:r>
            <w:r w:rsidR="00A82CAA" w:rsidRPr="00B80EF7">
              <w:t>guide super funds</w:t>
            </w:r>
            <w:r w:rsidR="00932127" w:rsidRPr="00B80EF7">
              <w:t xml:space="preserve"> in designing and delivering high</w:t>
            </w:r>
            <w:r w:rsidR="003D486F">
              <w:rPr>
                <w:b/>
              </w:rPr>
              <w:noBreakHyphen/>
            </w:r>
            <w:r w:rsidR="00932127" w:rsidRPr="00B80EF7">
              <w:t xml:space="preserve">quality retirement income solutions for </w:t>
            </w:r>
            <w:r w:rsidR="00235607" w:rsidRPr="00B80EF7">
              <w:t>their members</w:t>
            </w:r>
            <w:r w:rsidR="009D5FDC" w:rsidRPr="00B80EF7">
              <w:t xml:space="preserve">. </w:t>
            </w:r>
            <w:r w:rsidR="00D92126" w:rsidRPr="00B80EF7">
              <w:t>They were release</w:t>
            </w:r>
            <w:r w:rsidR="00235607" w:rsidRPr="00B80EF7">
              <w:t>d for public consultation from 7</w:t>
            </w:r>
            <w:r w:rsidR="00A956DD">
              <w:t> </w:t>
            </w:r>
            <w:r w:rsidR="00961C81" w:rsidRPr="00B80EF7">
              <w:t>to</w:t>
            </w:r>
            <w:r w:rsidR="00A956DD">
              <w:t> </w:t>
            </w:r>
            <w:r w:rsidR="00FD247A" w:rsidRPr="00B80EF7">
              <w:t>18</w:t>
            </w:r>
            <w:r w:rsidR="00A956DD">
              <w:t> </w:t>
            </w:r>
            <w:r w:rsidR="00FD247A" w:rsidRPr="00B80EF7">
              <w:t>September 2025.</w:t>
            </w:r>
            <w:r w:rsidR="00FD247A">
              <w:rPr>
                <w:bCs/>
              </w:rPr>
              <w:t xml:space="preserve"> </w:t>
            </w:r>
            <w:r w:rsidR="007633A1" w:rsidRPr="007633A1">
              <w:t>Timing for any further work will be announced in due course.</w:t>
            </w:r>
            <w:r w:rsidR="007633A1">
              <w:rPr>
                <w:bCs/>
              </w:rPr>
              <w:t xml:space="preserve"> </w:t>
            </w:r>
          </w:p>
        </w:tc>
        <w:tc>
          <w:tcPr>
            <w:tcW w:w="1417" w:type="dxa"/>
            <w:shd w:val="clear" w:color="auto" w:fill="E8F0FC" w:themeFill="accent5" w:themeFillTint="33"/>
            <w:tcMar>
              <w:left w:w="85" w:type="dxa"/>
              <w:right w:w="85" w:type="dxa"/>
            </w:tcMar>
          </w:tcPr>
          <w:p w14:paraId="2674CB7F" w14:textId="06D83F21" w:rsidR="003B0424" w:rsidRPr="00CE3F02" w:rsidDel="00D97242" w:rsidRDefault="005B1ABD" w:rsidP="00CE3F02">
            <w:pPr>
              <w:pStyle w:val="TableTextLeft"/>
            </w:pPr>
            <w:r w:rsidRPr="00CE3F02">
              <w:t>Public consultation closes</w:t>
            </w:r>
          </w:p>
        </w:tc>
        <w:tc>
          <w:tcPr>
            <w:tcW w:w="1134" w:type="dxa"/>
            <w:shd w:val="clear" w:color="auto" w:fill="E8F0FC" w:themeFill="accent5" w:themeFillTint="33"/>
            <w:tcMar>
              <w:left w:w="85" w:type="dxa"/>
              <w:right w:w="85" w:type="dxa"/>
            </w:tcMar>
          </w:tcPr>
          <w:p w14:paraId="69AF8C4B" w14:textId="77777777" w:rsidR="003B0424" w:rsidRPr="00CE3F02" w:rsidRDefault="003B0424" w:rsidP="00CE3F02">
            <w:pPr>
              <w:pStyle w:val="TableTextLeft"/>
            </w:pPr>
          </w:p>
        </w:tc>
        <w:tc>
          <w:tcPr>
            <w:tcW w:w="1134" w:type="dxa"/>
            <w:shd w:val="clear" w:color="auto" w:fill="E8F0FC" w:themeFill="accent5" w:themeFillTint="33"/>
            <w:tcMar>
              <w:left w:w="85" w:type="dxa"/>
              <w:right w:w="85" w:type="dxa"/>
            </w:tcMar>
          </w:tcPr>
          <w:p w14:paraId="0EA60C30" w14:textId="77777777" w:rsidR="003B0424" w:rsidRPr="00CE3F02" w:rsidRDefault="003B0424" w:rsidP="00CE3F02">
            <w:pPr>
              <w:pStyle w:val="TableTextLeft"/>
            </w:pPr>
          </w:p>
        </w:tc>
        <w:tc>
          <w:tcPr>
            <w:tcW w:w="1276" w:type="dxa"/>
            <w:shd w:val="clear" w:color="auto" w:fill="E8F0FC" w:themeFill="accent5" w:themeFillTint="33"/>
          </w:tcPr>
          <w:p w14:paraId="132E5958" w14:textId="77777777" w:rsidR="003B0424" w:rsidRPr="00CE3F02" w:rsidRDefault="003B0424" w:rsidP="00CE3F02">
            <w:pPr>
              <w:pStyle w:val="TableTextLeft"/>
            </w:pPr>
          </w:p>
        </w:tc>
        <w:tc>
          <w:tcPr>
            <w:tcW w:w="1276" w:type="dxa"/>
            <w:shd w:val="clear" w:color="auto" w:fill="E8F0FC" w:themeFill="accent5" w:themeFillTint="33"/>
            <w:tcMar>
              <w:left w:w="85" w:type="dxa"/>
              <w:right w:w="85" w:type="dxa"/>
            </w:tcMar>
          </w:tcPr>
          <w:p w14:paraId="74263884" w14:textId="77777777" w:rsidR="003B0424" w:rsidRPr="00CE3F02" w:rsidRDefault="003B0424" w:rsidP="00CE3F02">
            <w:pPr>
              <w:pStyle w:val="TableTextLeft"/>
            </w:pPr>
          </w:p>
        </w:tc>
        <w:tc>
          <w:tcPr>
            <w:tcW w:w="1146" w:type="dxa"/>
            <w:gridSpan w:val="2"/>
            <w:shd w:val="clear" w:color="auto" w:fill="F4F8FE"/>
            <w:tcMar>
              <w:left w:w="85" w:type="dxa"/>
              <w:right w:w="85" w:type="dxa"/>
            </w:tcMar>
          </w:tcPr>
          <w:p w14:paraId="79531EF4" w14:textId="77777777" w:rsidR="003B0424" w:rsidRPr="00CE3F02" w:rsidRDefault="003B0424" w:rsidP="00CE3F02">
            <w:pPr>
              <w:pStyle w:val="TableTextLeft"/>
            </w:pPr>
          </w:p>
        </w:tc>
        <w:tc>
          <w:tcPr>
            <w:tcW w:w="1231" w:type="dxa"/>
            <w:shd w:val="clear" w:color="auto" w:fill="F4F8FE"/>
            <w:tcMar>
              <w:left w:w="85" w:type="dxa"/>
              <w:right w:w="85" w:type="dxa"/>
            </w:tcMar>
          </w:tcPr>
          <w:p w14:paraId="04D7725A" w14:textId="77777777" w:rsidR="003B0424" w:rsidRPr="00CE3F02" w:rsidRDefault="003B0424" w:rsidP="00CE3F02">
            <w:pPr>
              <w:pStyle w:val="TableTextLeft"/>
            </w:pPr>
          </w:p>
        </w:tc>
      </w:tr>
      <w:tr w:rsidR="00E6324E" w:rsidRPr="00AF43B7" w14:paraId="34462D44" w14:textId="77777777" w:rsidTr="00283753">
        <w:trPr>
          <w:cantSplit/>
          <w:trHeight w:val="20"/>
        </w:trPr>
        <w:tc>
          <w:tcPr>
            <w:tcW w:w="794" w:type="dxa"/>
            <w:tcBorders>
              <w:top w:val="single" w:sz="4" w:space="0" w:color="90B6F0" w:themeColor="accent5"/>
              <w:left w:val="nil"/>
              <w:bottom w:val="single" w:sz="4" w:space="0" w:color="90B6F0" w:themeColor="accent5"/>
              <w:right w:val="nil"/>
            </w:tcBorders>
            <w:tcMar>
              <w:left w:w="85" w:type="dxa"/>
              <w:right w:w="85" w:type="dxa"/>
            </w:tcMar>
          </w:tcPr>
          <w:p w14:paraId="494C3A06" w14:textId="77777777" w:rsidR="00AB7955" w:rsidRPr="00ED3EBE" w:rsidRDefault="00AB7955" w:rsidP="00F52A3F">
            <w:pPr>
              <w:pStyle w:val="TableLeadAgency"/>
              <w:spacing w:before="0" w:after="0"/>
              <w:rPr>
                <w:rFonts w:ascii="Calibri" w:hAnsi="Calibri" w:cs="Calibri"/>
                <w:b w:val="0"/>
                <w:bCs w:val="0"/>
                <w:i/>
                <w:iCs/>
              </w:rPr>
            </w:pPr>
            <w:r w:rsidRPr="00300D4C">
              <w:rPr>
                <w:rFonts w:ascii="Calibri" w:hAnsi="Calibri" w:cs="Calibri"/>
              </w:rPr>
              <w:t>TSY</w:t>
            </w:r>
            <w:r>
              <w:br/>
            </w:r>
            <w:r w:rsidRPr="00ED3EBE">
              <w:rPr>
                <w:rFonts w:ascii="Calibri" w:hAnsi="Calibri" w:cs="Calibri"/>
                <w:b w:val="0"/>
                <w:bCs w:val="0"/>
                <w:i/>
                <w:iCs/>
              </w:rPr>
              <w:t>RBA</w:t>
            </w:r>
          </w:p>
          <w:p w14:paraId="0C5AD894" w14:textId="77777777" w:rsidR="00AB7955" w:rsidRPr="00ED3EBE" w:rsidRDefault="00AB7955" w:rsidP="00F52A3F">
            <w:pPr>
              <w:pStyle w:val="TableLeadAgency"/>
              <w:spacing w:before="0" w:after="0"/>
              <w:rPr>
                <w:rFonts w:ascii="Calibri" w:hAnsi="Calibri" w:cs="Calibri"/>
                <w:b w:val="0"/>
                <w:bCs w:val="0"/>
                <w:i/>
                <w:iCs/>
              </w:rPr>
            </w:pPr>
            <w:r w:rsidRPr="00ED3EBE">
              <w:rPr>
                <w:rFonts w:ascii="Calibri" w:hAnsi="Calibri" w:cs="Calibri"/>
                <w:b w:val="0"/>
                <w:bCs w:val="0"/>
                <w:i/>
                <w:iCs/>
              </w:rPr>
              <w:t>ACCC</w:t>
            </w:r>
          </w:p>
          <w:p w14:paraId="14336036" w14:textId="77777777" w:rsidR="00AB7955" w:rsidRPr="00ED3EBE" w:rsidRDefault="00AB7955" w:rsidP="00F52A3F">
            <w:pPr>
              <w:pStyle w:val="TableLeadAgency"/>
              <w:spacing w:before="0" w:after="0"/>
              <w:rPr>
                <w:rFonts w:ascii="Calibri" w:hAnsi="Calibri" w:cs="Calibri"/>
                <w:b w:val="0"/>
                <w:bCs w:val="0"/>
                <w:i/>
                <w:iCs/>
              </w:rPr>
            </w:pPr>
            <w:r w:rsidRPr="00ED3EBE">
              <w:rPr>
                <w:rFonts w:ascii="Calibri" w:hAnsi="Calibri" w:cs="Calibri"/>
                <w:b w:val="0"/>
                <w:bCs w:val="0"/>
                <w:i/>
                <w:iCs/>
              </w:rPr>
              <w:t>ASIC</w:t>
            </w:r>
          </w:p>
          <w:p w14:paraId="11FEC52C" w14:textId="77777777" w:rsidR="00AB7955" w:rsidRDefault="00AB7955" w:rsidP="00F52A3F">
            <w:pPr>
              <w:pStyle w:val="TableLeadAgency"/>
            </w:pPr>
            <w:r w:rsidRPr="00ED3EBE">
              <w:rPr>
                <w:rFonts w:ascii="Calibri" w:hAnsi="Calibri" w:cs="Calibri"/>
                <w:b w:val="0"/>
                <w:bCs w:val="0"/>
                <w:i/>
                <w:iCs/>
              </w:rPr>
              <w:t>APRA</w:t>
            </w:r>
          </w:p>
        </w:tc>
        <w:tc>
          <w:tcPr>
            <w:tcW w:w="1334" w:type="dxa"/>
            <w:tcBorders>
              <w:top w:val="single" w:sz="4" w:space="0" w:color="90B6F0" w:themeColor="accent5"/>
              <w:left w:val="nil"/>
              <w:bottom w:val="single" w:sz="4" w:space="0" w:color="90B6F0" w:themeColor="accent5"/>
              <w:right w:val="nil"/>
            </w:tcBorders>
            <w:tcMar>
              <w:left w:w="85" w:type="dxa"/>
              <w:right w:w="85" w:type="dxa"/>
            </w:tcMar>
          </w:tcPr>
          <w:p w14:paraId="75DEDC62" w14:textId="77777777" w:rsidR="00AB7955" w:rsidRPr="002E5418" w:rsidRDefault="00AB7955" w:rsidP="00F52A3F">
            <w:pPr>
              <w:pStyle w:val="TableTextLeft"/>
            </w:pPr>
            <w:r w:rsidRPr="00ED3EBE">
              <w:t>Banking, credit and lending</w:t>
            </w:r>
          </w:p>
        </w:tc>
        <w:tc>
          <w:tcPr>
            <w:tcW w:w="3260" w:type="dxa"/>
            <w:tcBorders>
              <w:top w:val="single" w:sz="4" w:space="0" w:color="90B6F0" w:themeColor="accent5"/>
              <w:left w:val="nil"/>
              <w:bottom w:val="single" w:sz="4" w:space="0" w:color="90B6F0" w:themeColor="accent5"/>
              <w:right w:val="nil"/>
            </w:tcBorders>
            <w:tcMar>
              <w:left w:w="85" w:type="dxa"/>
              <w:right w:w="85" w:type="dxa"/>
            </w:tcMar>
          </w:tcPr>
          <w:p w14:paraId="01B98CAC" w14:textId="77777777" w:rsidR="00AB7955" w:rsidRPr="00CE3F02" w:rsidRDefault="00AB7955" w:rsidP="00CE3F02">
            <w:pPr>
              <w:pStyle w:val="TableLink"/>
              <w:rPr>
                <w:rStyle w:val="NewInitiativeChar"/>
                <w:b/>
                <w:bCs/>
                <w:sz w:val="18"/>
                <w:szCs w:val="18"/>
                <w:u w:val="none"/>
              </w:rPr>
            </w:pPr>
            <w:hyperlink r:id="rId60">
              <w:r w:rsidRPr="00CE3F02">
                <w:rPr>
                  <w:rStyle w:val="Hyperlink"/>
                  <w:color w:val="5D779D" w:themeColor="accent3"/>
                  <w:u w:val="single"/>
                </w:rPr>
                <w:t>Cash Distribution Regulatory Framework Consultation</w:t>
              </w:r>
            </w:hyperlink>
            <w:r w:rsidRPr="00CE3F02">
              <w:t xml:space="preserve"> </w:t>
            </w:r>
            <w:r w:rsidRPr="00283753">
              <w:rPr>
                <w:rStyle w:val="NewInitiativeChar"/>
                <w:b/>
                <w:bCs/>
                <w:sz w:val="16"/>
                <w:szCs w:val="16"/>
                <w:u w:val="none"/>
              </w:rPr>
              <w:t>(new)</w:t>
            </w:r>
          </w:p>
          <w:p w14:paraId="465659B5" w14:textId="4ACA8918" w:rsidR="00AB7955" w:rsidRPr="00ED3EBE" w:rsidRDefault="00AB7955" w:rsidP="00CE3F02">
            <w:pPr>
              <w:pStyle w:val="TableTextLeft"/>
              <w:rPr>
                <w:b/>
              </w:rPr>
            </w:pPr>
            <w:r w:rsidRPr="00ED3EBE">
              <w:t>The CFR and the ACCC are consulting on a proposed regulatory framework to support the long</w:t>
            </w:r>
            <w:r w:rsidR="003D486F">
              <w:rPr>
                <w:b/>
              </w:rPr>
              <w:noBreakHyphen/>
            </w:r>
            <w:r w:rsidRPr="00ED3EBE">
              <w:t>term sustainability of the cash distribution system, to ensure that it operates in the public interest. Public consultation was undertaken in July and August 2025.</w:t>
            </w:r>
          </w:p>
          <w:p w14:paraId="79BC4992" w14:textId="7727A674" w:rsidR="00AB7955" w:rsidRPr="00ED3EBE" w:rsidRDefault="00F15C9E" w:rsidP="00CE3F02">
            <w:pPr>
              <w:pStyle w:val="TableTextLeft"/>
              <w:rPr>
                <w:b/>
              </w:rPr>
            </w:pPr>
            <w:r w:rsidRPr="00F15C9E">
              <w:t xml:space="preserve">The CFR and the ACCC are considering this feedback to inform advice to </w:t>
            </w:r>
            <w:r w:rsidR="00163BCD">
              <w:t>g</w:t>
            </w:r>
            <w:r w:rsidRPr="00F15C9E">
              <w:t>overnment on options</w:t>
            </w:r>
            <w:r w:rsidR="00AB7955" w:rsidRPr="00ED3EBE">
              <w:t>.</w:t>
            </w:r>
          </w:p>
        </w:tc>
        <w:tc>
          <w:tcPr>
            <w:tcW w:w="1417" w:type="dxa"/>
            <w:shd w:val="clear" w:color="auto" w:fill="E8F0FC" w:themeFill="accent5" w:themeFillTint="33"/>
            <w:tcMar>
              <w:left w:w="85" w:type="dxa"/>
              <w:right w:w="85" w:type="dxa"/>
            </w:tcMar>
          </w:tcPr>
          <w:p w14:paraId="475F6E8F" w14:textId="77777777" w:rsidR="00AB7955" w:rsidRPr="00CE3F02" w:rsidDel="00D97242" w:rsidRDefault="00AB7955" w:rsidP="00CE3F02">
            <w:pPr>
              <w:pStyle w:val="TableTextLeft"/>
            </w:pPr>
          </w:p>
        </w:tc>
        <w:tc>
          <w:tcPr>
            <w:tcW w:w="1134" w:type="dxa"/>
            <w:shd w:val="clear" w:color="auto" w:fill="E8F0FC" w:themeFill="accent5" w:themeFillTint="33"/>
            <w:tcMar>
              <w:left w:w="85" w:type="dxa"/>
              <w:right w:w="85" w:type="dxa"/>
            </w:tcMar>
          </w:tcPr>
          <w:p w14:paraId="33213BFE" w14:textId="77777777" w:rsidR="00AB7955" w:rsidRPr="00CE3F02" w:rsidRDefault="00AB7955" w:rsidP="00CE3F02">
            <w:pPr>
              <w:pStyle w:val="TableTextLeft"/>
            </w:pPr>
          </w:p>
        </w:tc>
        <w:tc>
          <w:tcPr>
            <w:tcW w:w="1134" w:type="dxa"/>
            <w:shd w:val="clear" w:color="auto" w:fill="E8F0FC" w:themeFill="accent5" w:themeFillTint="33"/>
            <w:tcMar>
              <w:left w:w="85" w:type="dxa"/>
              <w:right w:w="85" w:type="dxa"/>
            </w:tcMar>
          </w:tcPr>
          <w:p w14:paraId="1D074329" w14:textId="77777777" w:rsidR="00AB7955" w:rsidRPr="00CE3F02" w:rsidRDefault="00AB7955" w:rsidP="00CE3F02">
            <w:pPr>
              <w:pStyle w:val="TableTextLeft"/>
            </w:pPr>
          </w:p>
        </w:tc>
        <w:tc>
          <w:tcPr>
            <w:tcW w:w="1276" w:type="dxa"/>
            <w:shd w:val="clear" w:color="auto" w:fill="E8F0FC" w:themeFill="accent5" w:themeFillTint="33"/>
          </w:tcPr>
          <w:p w14:paraId="3AA8451A" w14:textId="77777777" w:rsidR="00AB7955" w:rsidRPr="00CE3F02" w:rsidRDefault="00AB7955" w:rsidP="00CE3F02">
            <w:pPr>
              <w:pStyle w:val="TableTextLeft"/>
            </w:pPr>
          </w:p>
        </w:tc>
        <w:tc>
          <w:tcPr>
            <w:tcW w:w="1276" w:type="dxa"/>
            <w:shd w:val="clear" w:color="auto" w:fill="E8F0FC" w:themeFill="accent5" w:themeFillTint="33"/>
            <w:tcMar>
              <w:left w:w="85" w:type="dxa"/>
              <w:right w:w="85" w:type="dxa"/>
            </w:tcMar>
          </w:tcPr>
          <w:p w14:paraId="646FBBAD" w14:textId="77777777" w:rsidR="00AB7955" w:rsidRPr="00CE3F02" w:rsidRDefault="00AB7955" w:rsidP="00CE3F02">
            <w:pPr>
              <w:pStyle w:val="TableTextLeft"/>
            </w:pPr>
          </w:p>
        </w:tc>
        <w:tc>
          <w:tcPr>
            <w:tcW w:w="1146" w:type="dxa"/>
            <w:gridSpan w:val="2"/>
            <w:shd w:val="clear" w:color="auto" w:fill="F4F8FE"/>
            <w:tcMar>
              <w:left w:w="85" w:type="dxa"/>
              <w:right w:w="85" w:type="dxa"/>
            </w:tcMar>
          </w:tcPr>
          <w:p w14:paraId="2D7FD5C2" w14:textId="77777777" w:rsidR="00AB7955" w:rsidRPr="00CE3F02" w:rsidRDefault="00AB7955" w:rsidP="00CE3F02">
            <w:pPr>
              <w:pStyle w:val="TableTextLeft"/>
            </w:pPr>
          </w:p>
        </w:tc>
        <w:tc>
          <w:tcPr>
            <w:tcW w:w="1231" w:type="dxa"/>
            <w:shd w:val="clear" w:color="auto" w:fill="F4F8FE"/>
            <w:tcMar>
              <w:left w:w="85" w:type="dxa"/>
              <w:right w:w="85" w:type="dxa"/>
            </w:tcMar>
          </w:tcPr>
          <w:p w14:paraId="1C383B43" w14:textId="77777777" w:rsidR="00AB7955" w:rsidRPr="00CE3F02" w:rsidRDefault="00AB7955" w:rsidP="00CE3F02">
            <w:pPr>
              <w:pStyle w:val="TableTextLeft"/>
            </w:pPr>
          </w:p>
        </w:tc>
      </w:tr>
      <w:tr w:rsidR="00E6324E" w:rsidRPr="00AF43B7" w14:paraId="2630126E" w14:textId="77777777" w:rsidTr="00283753">
        <w:trPr>
          <w:cantSplit/>
          <w:trHeight w:val="20"/>
        </w:trPr>
        <w:tc>
          <w:tcPr>
            <w:tcW w:w="794" w:type="dxa"/>
            <w:tcBorders>
              <w:top w:val="single" w:sz="4" w:space="0" w:color="90B6F0" w:themeColor="accent5"/>
              <w:left w:val="nil"/>
              <w:bottom w:val="single" w:sz="4" w:space="0" w:color="90B6F0" w:themeColor="accent5"/>
              <w:right w:val="nil"/>
            </w:tcBorders>
            <w:tcMar>
              <w:left w:w="85" w:type="dxa"/>
              <w:right w:w="85" w:type="dxa"/>
            </w:tcMar>
          </w:tcPr>
          <w:p w14:paraId="03435ED3" w14:textId="77777777" w:rsidR="00AB7955" w:rsidRDefault="00AB7955" w:rsidP="00F52A3F">
            <w:pPr>
              <w:pStyle w:val="TableLeadAgency"/>
            </w:pPr>
            <w:r>
              <w:lastRenderedPageBreak/>
              <w:t>TSY</w:t>
            </w:r>
          </w:p>
        </w:tc>
        <w:tc>
          <w:tcPr>
            <w:tcW w:w="1334" w:type="dxa"/>
            <w:tcBorders>
              <w:top w:val="single" w:sz="4" w:space="0" w:color="90B6F0" w:themeColor="accent5"/>
              <w:left w:val="nil"/>
              <w:bottom w:val="single" w:sz="4" w:space="0" w:color="90B6F0" w:themeColor="accent5"/>
              <w:right w:val="nil"/>
            </w:tcBorders>
            <w:tcMar>
              <w:left w:w="85" w:type="dxa"/>
              <w:right w:w="85" w:type="dxa"/>
            </w:tcMar>
          </w:tcPr>
          <w:p w14:paraId="4A998551" w14:textId="77777777" w:rsidR="00AB7955" w:rsidRPr="002E5418" w:rsidRDefault="00AB7955" w:rsidP="00F52A3F">
            <w:pPr>
              <w:pStyle w:val="TableTextLeft"/>
            </w:pPr>
            <w:r>
              <w:t>Financial advice</w:t>
            </w:r>
          </w:p>
        </w:tc>
        <w:tc>
          <w:tcPr>
            <w:tcW w:w="3260" w:type="dxa"/>
            <w:tcBorders>
              <w:top w:val="single" w:sz="4" w:space="0" w:color="90B6F0" w:themeColor="accent5"/>
              <w:left w:val="nil"/>
              <w:bottom w:val="single" w:sz="4" w:space="0" w:color="90B6F0" w:themeColor="accent5"/>
              <w:right w:val="nil"/>
            </w:tcBorders>
            <w:tcMar>
              <w:left w:w="85" w:type="dxa"/>
              <w:right w:w="85" w:type="dxa"/>
            </w:tcMar>
          </w:tcPr>
          <w:p w14:paraId="7E9C44E6" w14:textId="7F37D0A8" w:rsidR="00AB7955" w:rsidRPr="00283753" w:rsidRDefault="00AB7955" w:rsidP="00F52A3F">
            <w:pPr>
              <w:pStyle w:val="TableLink"/>
              <w:rPr>
                <w:b w:val="0"/>
                <w:bCs/>
                <w:szCs w:val="16"/>
              </w:rPr>
            </w:pPr>
            <w:hyperlink r:id="rId61" w:history="1">
              <w:r w:rsidRPr="00CE3F02">
                <w:t>Creating a better pathway for financial advisers</w:t>
              </w:r>
            </w:hyperlink>
            <w:r w:rsidRPr="00CE3F02">
              <w:rPr>
                <w:u w:val="none"/>
              </w:rPr>
              <w:t xml:space="preserve"> </w:t>
            </w:r>
            <w:r w:rsidR="00CE3F02" w:rsidRPr="00283753">
              <w:rPr>
                <w:rStyle w:val="NewInitiativeChar"/>
                <w:b/>
                <w:bCs/>
                <w:sz w:val="16"/>
                <w:szCs w:val="16"/>
                <w:u w:val="none"/>
              </w:rPr>
              <w:t>(new)</w:t>
            </w:r>
          </w:p>
          <w:p w14:paraId="4C0C1F8B" w14:textId="04B6DFB2" w:rsidR="00AB7955" w:rsidRPr="00ED3EBE" w:rsidRDefault="00AB7955" w:rsidP="00CE3F02">
            <w:pPr>
              <w:pStyle w:val="TableTextLeft"/>
            </w:pPr>
            <w:r w:rsidRPr="00ED3EBE">
              <w:t xml:space="preserve">The </w:t>
            </w:r>
            <w:r>
              <w:t>g</w:t>
            </w:r>
            <w:r w:rsidRPr="00ED3EBE">
              <w:t xml:space="preserve">overnment will reform education requirements for professional financial advisers to create a sustainable pathway for entry into the profession and help address the declining numbers of advisers. </w:t>
            </w:r>
            <w:r>
              <w:t xml:space="preserve">A </w:t>
            </w:r>
            <w:r w:rsidRPr="00ED3EBE">
              <w:t>Factsheet</w:t>
            </w:r>
            <w:r>
              <w:t xml:space="preserve"> </w:t>
            </w:r>
            <w:r w:rsidRPr="75259C68">
              <w:t>was released</w:t>
            </w:r>
            <w:r>
              <w:t xml:space="preserve"> </w:t>
            </w:r>
            <w:r w:rsidRPr="00ED3EBE">
              <w:t xml:space="preserve">accompanying </w:t>
            </w:r>
            <w:r w:rsidRPr="35E042B2">
              <w:t xml:space="preserve">the </w:t>
            </w:r>
            <w:r w:rsidRPr="00ED3EBE">
              <w:t>announcement.</w:t>
            </w:r>
            <w:r w:rsidR="00CB05B2">
              <w:t xml:space="preserve"> The timing of next steps </w:t>
            </w:r>
            <w:r w:rsidR="00083BDD">
              <w:t>will be announced in due course.</w:t>
            </w:r>
            <w:r w:rsidR="00CB05B2">
              <w:t xml:space="preserve"> </w:t>
            </w:r>
          </w:p>
        </w:tc>
        <w:tc>
          <w:tcPr>
            <w:tcW w:w="1417" w:type="dxa"/>
            <w:shd w:val="clear" w:color="auto" w:fill="E8F0FC" w:themeFill="accent5" w:themeFillTint="33"/>
            <w:tcMar>
              <w:left w:w="85" w:type="dxa"/>
              <w:right w:w="85" w:type="dxa"/>
            </w:tcMar>
          </w:tcPr>
          <w:p w14:paraId="0822F83B" w14:textId="65765A61" w:rsidR="00AB7955" w:rsidRPr="00CE3F02" w:rsidDel="00D97242" w:rsidRDefault="00AB7955" w:rsidP="00CE3F02">
            <w:pPr>
              <w:pStyle w:val="TableTextLeft"/>
            </w:pPr>
          </w:p>
        </w:tc>
        <w:tc>
          <w:tcPr>
            <w:tcW w:w="1134" w:type="dxa"/>
            <w:shd w:val="clear" w:color="auto" w:fill="E8F0FC" w:themeFill="accent5" w:themeFillTint="33"/>
            <w:tcMar>
              <w:left w:w="85" w:type="dxa"/>
              <w:right w:w="85" w:type="dxa"/>
            </w:tcMar>
          </w:tcPr>
          <w:p w14:paraId="4099B604" w14:textId="77777777" w:rsidR="00AB7955" w:rsidRPr="00CE3F02" w:rsidRDefault="00AB7955" w:rsidP="00CE3F02">
            <w:pPr>
              <w:pStyle w:val="TableTextLeft"/>
            </w:pPr>
          </w:p>
        </w:tc>
        <w:tc>
          <w:tcPr>
            <w:tcW w:w="1134" w:type="dxa"/>
            <w:shd w:val="clear" w:color="auto" w:fill="E8F0FC" w:themeFill="accent5" w:themeFillTint="33"/>
            <w:tcMar>
              <w:left w:w="85" w:type="dxa"/>
              <w:right w:w="85" w:type="dxa"/>
            </w:tcMar>
          </w:tcPr>
          <w:p w14:paraId="63E89556" w14:textId="77777777" w:rsidR="00AB7955" w:rsidRPr="00CE3F02" w:rsidRDefault="00AB7955" w:rsidP="00CE3F02">
            <w:pPr>
              <w:pStyle w:val="TableTextLeft"/>
            </w:pPr>
          </w:p>
        </w:tc>
        <w:tc>
          <w:tcPr>
            <w:tcW w:w="1276" w:type="dxa"/>
            <w:shd w:val="clear" w:color="auto" w:fill="E8F0FC" w:themeFill="accent5" w:themeFillTint="33"/>
          </w:tcPr>
          <w:p w14:paraId="6CB5F4EF" w14:textId="77777777" w:rsidR="00AB7955" w:rsidRPr="00CE3F02" w:rsidRDefault="00AB7955" w:rsidP="00CE3F02">
            <w:pPr>
              <w:pStyle w:val="TableTextLeft"/>
            </w:pPr>
          </w:p>
        </w:tc>
        <w:tc>
          <w:tcPr>
            <w:tcW w:w="1276" w:type="dxa"/>
            <w:shd w:val="clear" w:color="auto" w:fill="E8F0FC" w:themeFill="accent5" w:themeFillTint="33"/>
            <w:tcMar>
              <w:left w:w="85" w:type="dxa"/>
              <w:right w:w="85" w:type="dxa"/>
            </w:tcMar>
          </w:tcPr>
          <w:p w14:paraId="1B8255DC" w14:textId="77777777" w:rsidR="00AB7955" w:rsidRPr="00CE3F02" w:rsidRDefault="00AB7955" w:rsidP="00CE3F02">
            <w:pPr>
              <w:pStyle w:val="TableTextLeft"/>
            </w:pPr>
          </w:p>
        </w:tc>
        <w:tc>
          <w:tcPr>
            <w:tcW w:w="1146" w:type="dxa"/>
            <w:gridSpan w:val="2"/>
            <w:shd w:val="clear" w:color="auto" w:fill="F4F8FE"/>
            <w:tcMar>
              <w:left w:w="85" w:type="dxa"/>
              <w:right w:w="85" w:type="dxa"/>
            </w:tcMar>
          </w:tcPr>
          <w:p w14:paraId="72249516" w14:textId="77777777" w:rsidR="00AB7955" w:rsidRPr="00CE3F02" w:rsidRDefault="00AB7955" w:rsidP="00CE3F02">
            <w:pPr>
              <w:pStyle w:val="TableTextLeft"/>
            </w:pPr>
          </w:p>
        </w:tc>
        <w:tc>
          <w:tcPr>
            <w:tcW w:w="1231" w:type="dxa"/>
            <w:shd w:val="clear" w:color="auto" w:fill="F4F8FE"/>
            <w:tcMar>
              <w:left w:w="85" w:type="dxa"/>
              <w:right w:w="85" w:type="dxa"/>
            </w:tcMar>
          </w:tcPr>
          <w:p w14:paraId="007867BB" w14:textId="77777777" w:rsidR="00AB7955" w:rsidRPr="00CE3F02" w:rsidRDefault="00AB7955" w:rsidP="00CE3F02">
            <w:pPr>
              <w:pStyle w:val="TableTextLeft"/>
            </w:pPr>
          </w:p>
        </w:tc>
      </w:tr>
      <w:tr w:rsidR="00E6324E" w:rsidRPr="00AF43B7" w14:paraId="17E922D9" w14:textId="77777777" w:rsidTr="00283753">
        <w:trPr>
          <w:cantSplit/>
          <w:trHeight w:val="20"/>
        </w:trPr>
        <w:tc>
          <w:tcPr>
            <w:tcW w:w="794" w:type="dxa"/>
            <w:tcMar>
              <w:left w:w="85" w:type="dxa"/>
              <w:right w:w="85" w:type="dxa"/>
            </w:tcMar>
          </w:tcPr>
          <w:p w14:paraId="1D3FC0DC" w14:textId="77777777" w:rsidR="00AB7955" w:rsidRPr="009C4097" w:rsidRDefault="00AB7955" w:rsidP="00353FC2">
            <w:pPr>
              <w:pStyle w:val="TableLeadAgency"/>
            </w:pPr>
            <w:r w:rsidRPr="009C4097">
              <w:t>TSY</w:t>
            </w:r>
          </w:p>
        </w:tc>
        <w:tc>
          <w:tcPr>
            <w:tcW w:w="1334" w:type="dxa"/>
            <w:tcMar>
              <w:left w:w="85" w:type="dxa"/>
              <w:right w:w="85" w:type="dxa"/>
            </w:tcMar>
          </w:tcPr>
          <w:p w14:paraId="31D66E0F" w14:textId="77777777" w:rsidR="00AB7955" w:rsidRPr="0052695A" w:rsidRDefault="00AB7955" w:rsidP="00353FC2">
            <w:pPr>
              <w:pStyle w:val="TableTextLeft"/>
            </w:pPr>
            <w:r w:rsidRPr="00301F93">
              <w:t>Insurance and reinsurance</w:t>
            </w:r>
          </w:p>
        </w:tc>
        <w:tc>
          <w:tcPr>
            <w:tcW w:w="3260" w:type="dxa"/>
            <w:tcMar>
              <w:left w:w="85" w:type="dxa"/>
              <w:right w:w="85" w:type="dxa"/>
            </w:tcMar>
          </w:tcPr>
          <w:p w14:paraId="0A490524" w14:textId="77777777" w:rsidR="00AB7955" w:rsidRPr="00CE3F02" w:rsidRDefault="00AB7955" w:rsidP="00CE3F02">
            <w:pPr>
              <w:pStyle w:val="TableLink"/>
              <w:rPr>
                <w:bCs/>
              </w:rPr>
            </w:pPr>
            <w:hyperlink r:id="rId62" w:history="1">
              <w:r w:rsidRPr="00CE3F02">
                <w:rPr>
                  <w:rStyle w:val="Hyperlink"/>
                  <w:u w:val="single"/>
                </w:rPr>
                <w:t>Insurance standard cover and standard term reforms</w:t>
              </w:r>
            </w:hyperlink>
          </w:p>
          <w:p w14:paraId="2E56DD14" w14:textId="6D7F47C9" w:rsidR="00AB7955" w:rsidRPr="00CE3F02" w:rsidRDefault="00AB7955" w:rsidP="00CE3F02">
            <w:pPr>
              <w:pStyle w:val="TableTextLeft"/>
            </w:pPr>
            <w:r w:rsidRPr="00CE3F02">
              <w:t>Treasury consulted on changes to the standard cover regime and/or implementing standard definitions for several claim</w:t>
            </w:r>
            <w:r w:rsidR="003D486F" w:rsidRPr="00CE3F02">
              <w:noBreakHyphen/>
            </w:r>
            <w:r w:rsidR="003D486F" w:rsidRPr="00CE3F02">
              <w:noBreakHyphen/>
            </w:r>
            <w:r w:rsidRPr="00CE3F02">
              <w:t>related terms in insurance contracts to improve understanding and limit unintentional underinsurance. Consultation on options was completed in April 2024 and options are being considered. Timing of any further work will be announced in due course.</w:t>
            </w:r>
          </w:p>
        </w:tc>
        <w:tc>
          <w:tcPr>
            <w:tcW w:w="1417" w:type="dxa"/>
            <w:shd w:val="clear" w:color="auto" w:fill="E8F0FC" w:themeFill="accent5" w:themeFillTint="33"/>
            <w:tcMar>
              <w:left w:w="85" w:type="dxa"/>
              <w:right w:w="85" w:type="dxa"/>
            </w:tcMar>
          </w:tcPr>
          <w:p w14:paraId="556C23CA" w14:textId="77777777" w:rsidR="00AB7955" w:rsidRPr="00CE3F02" w:rsidRDefault="00AB7955" w:rsidP="00CE3F02">
            <w:pPr>
              <w:pStyle w:val="TableTextLeft"/>
            </w:pPr>
          </w:p>
        </w:tc>
        <w:tc>
          <w:tcPr>
            <w:tcW w:w="1134" w:type="dxa"/>
            <w:shd w:val="clear" w:color="auto" w:fill="E8F0FC" w:themeFill="accent5" w:themeFillTint="33"/>
            <w:tcMar>
              <w:left w:w="85" w:type="dxa"/>
              <w:right w:w="85" w:type="dxa"/>
            </w:tcMar>
          </w:tcPr>
          <w:p w14:paraId="30A5E492" w14:textId="77777777" w:rsidR="00AB7955" w:rsidRPr="00CE3F02" w:rsidRDefault="00AB7955" w:rsidP="00CE3F02">
            <w:pPr>
              <w:pStyle w:val="TableTextLeft"/>
            </w:pPr>
          </w:p>
        </w:tc>
        <w:tc>
          <w:tcPr>
            <w:tcW w:w="1134" w:type="dxa"/>
            <w:shd w:val="clear" w:color="auto" w:fill="E8F0FC" w:themeFill="accent5" w:themeFillTint="33"/>
            <w:tcMar>
              <w:left w:w="85" w:type="dxa"/>
              <w:right w:w="85" w:type="dxa"/>
            </w:tcMar>
          </w:tcPr>
          <w:p w14:paraId="673E91A6" w14:textId="77777777" w:rsidR="00AB7955" w:rsidRPr="00CE3F02" w:rsidRDefault="00AB7955" w:rsidP="00CE3F02">
            <w:pPr>
              <w:pStyle w:val="TableTextLeft"/>
            </w:pPr>
          </w:p>
        </w:tc>
        <w:tc>
          <w:tcPr>
            <w:tcW w:w="1276" w:type="dxa"/>
            <w:shd w:val="clear" w:color="auto" w:fill="E8F0FC" w:themeFill="accent5" w:themeFillTint="33"/>
          </w:tcPr>
          <w:p w14:paraId="66667A9F" w14:textId="77777777" w:rsidR="00AB7955" w:rsidRPr="00CE3F02" w:rsidRDefault="00AB7955" w:rsidP="00CE3F02">
            <w:pPr>
              <w:pStyle w:val="TableTextLeft"/>
            </w:pPr>
          </w:p>
        </w:tc>
        <w:tc>
          <w:tcPr>
            <w:tcW w:w="1276" w:type="dxa"/>
            <w:shd w:val="clear" w:color="auto" w:fill="E8F0FC" w:themeFill="accent5" w:themeFillTint="33"/>
            <w:tcMar>
              <w:left w:w="85" w:type="dxa"/>
              <w:right w:w="85" w:type="dxa"/>
            </w:tcMar>
          </w:tcPr>
          <w:p w14:paraId="047B267E" w14:textId="77777777" w:rsidR="00AB7955" w:rsidRPr="00CE3F02" w:rsidRDefault="00AB7955" w:rsidP="00CE3F02">
            <w:pPr>
              <w:pStyle w:val="TableTextLeft"/>
            </w:pPr>
          </w:p>
        </w:tc>
        <w:tc>
          <w:tcPr>
            <w:tcW w:w="1146" w:type="dxa"/>
            <w:gridSpan w:val="2"/>
            <w:shd w:val="clear" w:color="auto" w:fill="F4F8FE"/>
            <w:tcMar>
              <w:left w:w="85" w:type="dxa"/>
              <w:right w:w="85" w:type="dxa"/>
            </w:tcMar>
          </w:tcPr>
          <w:p w14:paraId="03806580" w14:textId="77777777" w:rsidR="00AB7955" w:rsidRPr="00CE3F02" w:rsidRDefault="00AB7955" w:rsidP="00CE3F02">
            <w:pPr>
              <w:pStyle w:val="TableTextLeft"/>
            </w:pPr>
          </w:p>
        </w:tc>
        <w:tc>
          <w:tcPr>
            <w:tcW w:w="1231" w:type="dxa"/>
            <w:shd w:val="clear" w:color="auto" w:fill="F4F8FE"/>
            <w:tcMar>
              <w:left w:w="85" w:type="dxa"/>
              <w:right w:w="85" w:type="dxa"/>
            </w:tcMar>
          </w:tcPr>
          <w:p w14:paraId="6FC29C0A" w14:textId="77777777" w:rsidR="00AB7955" w:rsidRPr="00CE3F02" w:rsidRDefault="00AB7955" w:rsidP="00CE3F02">
            <w:pPr>
              <w:pStyle w:val="TableTextLeft"/>
            </w:pPr>
          </w:p>
        </w:tc>
      </w:tr>
      <w:tr w:rsidR="00E6324E" w:rsidRPr="00AF43B7" w14:paraId="10B2C16C" w14:textId="77777777" w:rsidTr="00283753">
        <w:trPr>
          <w:cantSplit/>
          <w:trHeight w:val="20"/>
        </w:trPr>
        <w:tc>
          <w:tcPr>
            <w:tcW w:w="794" w:type="dxa"/>
            <w:tcMar>
              <w:left w:w="85" w:type="dxa"/>
              <w:right w:w="85" w:type="dxa"/>
            </w:tcMar>
          </w:tcPr>
          <w:p w14:paraId="65EA9202" w14:textId="77777777" w:rsidR="00AB7955" w:rsidRPr="00CE6139" w:rsidRDefault="00AB7955" w:rsidP="00353FC2">
            <w:pPr>
              <w:pStyle w:val="TableTextLeft"/>
              <w:rPr>
                <w:b/>
                <w:bCs/>
                <w:color w:val="000000" w:themeColor="text1"/>
              </w:rPr>
            </w:pPr>
            <w:r w:rsidRPr="004E7617">
              <w:rPr>
                <w:b/>
                <w:bCs/>
                <w:color w:val="000000" w:themeColor="text1"/>
              </w:rPr>
              <w:t>TSY</w:t>
            </w:r>
          </w:p>
          <w:p w14:paraId="72F032E3" w14:textId="77777777" w:rsidR="00AB7955" w:rsidRPr="009C4097" w:rsidRDefault="00AB7955" w:rsidP="00353FC2">
            <w:pPr>
              <w:pStyle w:val="TableSecondaryAgency"/>
            </w:pPr>
            <w:r w:rsidRPr="009C4097">
              <w:t>AFSA</w:t>
            </w:r>
          </w:p>
        </w:tc>
        <w:tc>
          <w:tcPr>
            <w:tcW w:w="1334" w:type="dxa"/>
            <w:tcMar>
              <w:left w:w="85" w:type="dxa"/>
              <w:right w:w="85" w:type="dxa"/>
            </w:tcMar>
          </w:tcPr>
          <w:p w14:paraId="03DD1858" w14:textId="77777777" w:rsidR="00AB7955" w:rsidRPr="00976B89" w:rsidRDefault="00AB7955" w:rsidP="00353FC2">
            <w:pPr>
              <w:pStyle w:val="TableTextLeft"/>
            </w:pPr>
            <w:r w:rsidRPr="00976B89">
              <w:t>Banking, credit and lending</w:t>
            </w:r>
          </w:p>
          <w:p w14:paraId="53FB8E68" w14:textId="77777777" w:rsidR="00AB7955" w:rsidRPr="00B555A9" w:rsidRDefault="00AB7955" w:rsidP="00353FC2">
            <w:pPr>
              <w:pStyle w:val="TableTextLeft"/>
            </w:pPr>
          </w:p>
        </w:tc>
        <w:tc>
          <w:tcPr>
            <w:tcW w:w="3260" w:type="dxa"/>
            <w:tcMar>
              <w:left w:w="85" w:type="dxa"/>
              <w:right w:w="85" w:type="dxa"/>
            </w:tcMar>
          </w:tcPr>
          <w:p w14:paraId="74930C96" w14:textId="77777777" w:rsidR="00AB7955" w:rsidRPr="00CE3F02" w:rsidRDefault="00AB7955" w:rsidP="00CE3F02">
            <w:pPr>
              <w:pStyle w:val="TableLink"/>
              <w:rPr>
                <w:bCs/>
              </w:rPr>
            </w:pPr>
            <w:hyperlink r:id="rId63">
              <w:r w:rsidRPr="00CE3F02">
                <w:rPr>
                  <w:rStyle w:val="Hyperlink"/>
                  <w:u w:val="single"/>
                </w:rPr>
                <w:t>Minimal asset procedure consultation</w:t>
              </w:r>
            </w:hyperlink>
          </w:p>
          <w:p w14:paraId="4856CA68" w14:textId="77777777" w:rsidR="00AB7955" w:rsidRPr="00CE3F02" w:rsidRDefault="00AB7955" w:rsidP="00CE3F02">
            <w:pPr>
              <w:pStyle w:val="TableTextLeft"/>
            </w:pPr>
            <w:r w:rsidRPr="00CE3F02">
              <w:t xml:space="preserve">In 2024, AGD </w:t>
            </w:r>
            <w:r w:rsidRPr="00CE3F02" w:rsidDel="0099571B">
              <w:t>consul</w:t>
            </w:r>
            <w:r w:rsidRPr="00CE3F02" w:rsidDel="00401EEE">
              <w:t>t</w:t>
            </w:r>
            <w:r w:rsidRPr="00CE3F02">
              <w:t>ed on a potential new personal insolvency option proposed for individuals with less than $50,000 in debts and minimal realisable assets to pay those debts. Following the result of the federal election, and Machinery of Government changes, portfolio responsibility for the Minimal Asset Procedure has been moved to Treasury.</w:t>
            </w:r>
          </w:p>
          <w:p w14:paraId="449FD19F" w14:textId="77777777" w:rsidR="00AB7955" w:rsidRPr="00005520" w:rsidRDefault="00AB7955" w:rsidP="00CE3F02">
            <w:pPr>
              <w:pStyle w:val="TableTextLeft"/>
            </w:pPr>
            <w:r w:rsidRPr="00CE3F02">
              <w:t>Timing of any further work will be announced in due course.</w:t>
            </w:r>
          </w:p>
        </w:tc>
        <w:tc>
          <w:tcPr>
            <w:tcW w:w="1417" w:type="dxa"/>
            <w:shd w:val="clear" w:color="auto" w:fill="E8F0FC" w:themeFill="accent5" w:themeFillTint="33"/>
            <w:tcMar>
              <w:left w:w="85" w:type="dxa"/>
              <w:right w:w="85" w:type="dxa"/>
            </w:tcMar>
          </w:tcPr>
          <w:p w14:paraId="4239926F" w14:textId="77777777" w:rsidR="00AB7955" w:rsidRPr="00CE3F02" w:rsidRDefault="00AB7955" w:rsidP="00CE3F02">
            <w:pPr>
              <w:pStyle w:val="TableTextLeft"/>
            </w:pPr>
          </w:p>
        </w:tc>
        <w:tc>
          <w:tcPr>
            <w:tcW w:w="1134" w:type="dxa"/>
            <w:shd w:val="clear" w:color="auto" w:fill="E8F0FC" w:themeFill="accent5" w:themeFillTint="33"/>
            <w:tcMar>
              <w:left w:w="85" w:type="dxa"/>
              <w:right w:w="85" w:type="dxa"/>
            </w:tcMar>
          </w:tcPr>
          <w:p w14:paraId="35B385B7" w14:textId="77777777" w:rsidR="00AB7955" w:rsidRPr="00CE3F02" w:rsidRDefault="00AB7955" w:rsidP="00CE3F02">
            <w:pPr>
              <w:pStyle w:val="TableTextLeft"/>
            </w:pPr>
          </w:p>
        </w:tc>
        <w:tc>
          <w:tcPr>
            <w:tcW w:w="1134" w:type="dxa"/>
            <w:shd w:val="clear" w:color="auto" w:fill="E8F0FC" w:themeFill="accent5" w:themeFillTint="33"/>
            <w:tcMar>
              <w:left w:w="85" w:type="dxa"/>
              <w:right w:w="85" w:type="dxa"/>
            </w:tcMar>
          </w:tcPr>
          <w:p w14:paraId="431D8BB5" w14:textId="77777777" w:rsidR="00AB7955" w:rsidRPr="00CE3F02" w:rsidRDefault="00AB7955" w:rsidP="00CE3F02">
            <w:pPr>
              <w:pStyle w:val="TableTextLeft"/>
            </w:pPr>
          </w:p>
        </w:tc>
        <w:tc>
          <w:tcPr>
            <w:tcW w:w="1276" w:type="dxa"/>
            <w:shd w:val="clear" w:color="auto" w:fill="E8F0FC" w:themeFill="accent5" w:themeFillTint="33"/>
          </w:tcPr>
          <w:p w14:paraId="5F856A81" w14:textId="77777777" w:rsidR="00AB7955" w:rsidRPr="00CE3F02" w:rsidRDefault="00AB7955" w:rsidP="00CE3F02">
            <w:pPr>
              <w:pStyle w:val="TableTextLeft"/>
            </w:pPr>
          </w:p>
        </w:tc>
        <w:tc>
          <w:tcPr>
            <w:tcW w:w="1276" w:type="dxa"/>
            <w:shd w:val="clear" w:color="auto" w:fill="E8F0FC" w:themeFill="accent5" w:themeFillTint="33"/>
            <w:tcMar>
              <w:left w:w="85" w:type="dxa"/>
              <w:right w:w="85" w:type="dxa"/>
            </w:tcMar>
          </w:tcPr>
          <w:p w14:paraId="1C53C935" w14:textId="77777777" w:rsidR="00AB7955" w:rsidRPr="00CE3F02" w:rsidRDefault="00AB7955" w:rsidP="00CE3F02">
            <w:pPr>
              <w:pStyle w:val="TableTextLeft"/>
            </w:pPr>
          </w:p>
        </w:tc>
        <w:tc>
          <w:tcPr>
            <w:tcW w:w="1146" w:type="dxa"/>
            <w:gridSpan w:val="2"/>
            <w:shd w:val="clear" w:color="auto" w:fill="F4F8FE"/>
            <w:tcMar>
              <w:left w:w="85" w:type="dxa"/>
              <w:right w:w="85" w:type="dxa"/>
            </w:tcMar>
          </w:tcPr>
          <w:p w14:paraId="555AB0C6" w14:textId="77777777" w:rsidR="00AB7955" w:rsidRPr="00CE3F02" w:rsidRDefault="00AB7955" w:rsidP="00CE3F02">
            <w:pPr>
              <w:pStyle w:val="TableTextLeft"/>
            </w:pPr>
          </w:p>
        </w:tc>
        <w:tc>
          <w:tcPr>
            <w:tcW w:w="1231" w:type="dxa"/>
            <w:shd w:val="clear" w:color="auto" w:fill="F4F8FE"/>
            <w:tcMar>
              <w:left w:w="85" w:type="dxa"/>
              <w:right w:w="85" w:type="dxa"/>
            </w:tcMar>
          </w:tcPr>
          <w:p w14:paraId="133C7074" w14:textId="77777777" w:rsidR="00AB7955" w:rsidRPr="00CE3F02" w:rsidRDefault="00AB7955" w:rsidP="00CE3F02">
            <w:pPr>
              <w:pStyle w:val="TableTextLeft"/>
            </w:pPr>
          </w:p>
        </w:tc>
      </w:tr>
      <w:tr w:rsidR="00E6324E" w:rsidRPr="00AF43B7" w14:paraId="4B86B998" w14:textId="77777777" w:rsidTr="00283753">
        <w:trPr>
          <w:cantSplit/>
          <w:trHeight w:val="20"/>
        </w:trPr>
        <w:tc>
          <w:tcPr>
            <w:tcW w:w="794" w:type="dxa"/>
            <w:tcBorders>
              <w:top w:val="single" w:sz="4" w:space="0" w:color="90B6F0" w:themeColor="accent5"/>
              <w:left w:val="nil"/>
              <w:bottom w:val="single" w:sz="4" w:space="0" w:color="90B6F0" w:themeColor="accent5"/>
              <w:right w:val="nil"/>
            </w:tcBorders>
            <w:tcMar>
              <w:left w:w="85" w:type="dxa"/>
              <w:right w:w="85" w:type="dxa"/>
            </w:tcMar>
          </w:tcPr>
          <w:p w14:paraId="34B31750" w14:textId="77777777" w:rsidR="00AB7955" w:rsidRPr="4D670C11" w:rsidRDefault="00AB7955" w:rsidP="00353FC2">
            <w:pPr>
              <w:pStyle w:val="TableLeadAgency"/>
            </w:pPr>
            <w:r>
              <w:t>TSY</w:t>
            </w:r>
          </w:p>
        </w:tc>
        <w:tc>
          <w:tcPr>
            <w:tcW w:w="1334" w:type="dxa"/>
            <w:tcBorders>
              <w:top w:val="single" w:sz="4" w:space="0" w:color="90B6F0" w:themeColor="accent5"/>
              <w:left w:val="nil"/>
              <w:bottom w:val="single" w:sz="4" w:space="0" w:color="90B6F0" w:themeColor="accent5"/>
              <w:right w:val="nil"/>
            </w:tcBorders>
            <w:tcMar>
              <w:left w:w="85" w:type="dxa"/>
              <w:right w:w="85" w:type="dxa"/>
            </w:tcMar>
          </w:tcPr>
          <w:p w14:paraId="5592320D" w14:textId="77777777" w:rsidR="00AB7955" w:rsidRPr="0052695A" w:rsidRDefault="00AB7955" w:rsidP="00353FC2">
            <w:pPr>
              <w:pStyle w:val="TableTextLeft"/>
            </w:pPr>
            <w:r>
              <w:t>Superannuation and retirement income</w:t>
            </w:r>
          </w:p>
        </w:tc>
        <w:tc>
          <w:tcPr>
            <w:tcW w:w="3260" w:type="dxa"/>
            <w:tcBorders>
              <w:top w:val="single" w:sz="4" w:space="0" w:color="90B6F0" w:themeColor="accent5"/>
              <w:left w:val="nil"/>
              <w:bottom w:val="single" w:sz="4" w:space="0" w:color="90B6F0" w:themeColor="accent5"/>
              <w:right w:val="nil"/>
            </w:tcBorders>
            <w:tcMar>
              <w:left w:w="85" w:type="dxa"/>
              <w:right w:w="85" w:type="dxa"/>
            </w:tcMar>
          </w:tcPr>
          <w:p w14:paraId="6496FC54" w14:textId="6EDF7283" w:rsidR="00AB7955" w:rsidRPr="00283753" w:rsidRDefault="00AB7955" w:rsidP="00353FC2">
            <w:pPr>
              <w:pStyle w:val="TableLink"/>
              <w:rPr>
                <w:rStyle w:val="NewInitiativeChar"/>
                <w:sz w:val="16"/>
                <w:szCs w:val="16"/>
              </w:rPr>
            </w:pPr>
            <w:hyperlink r:id="rId64" w:history="1">
              <w:r w:rsidRPr="00CE3F02">
                <w:t>Perpetrators of domestic and family violence accessing victims</w:t>
              </w:r>
              <w:r w:rsidR="003D486F" w:rsidRPr="00CE3F02">
                <w:t>’</w:t>
              </w:r>
              <w:r w:rsidRPr="00CE3F02">
                <w:t xml:space="preserve"> superannuation death benefits</w:t>
              </w:r>
            </w:hyperlink>
            <w:r w:rsidRPr="00283753">
              <w:rPr>
                <w:szCs w:val="16"/>
                <w:u w:val="none"/>
              </w:rPr>
              <w:t xml:space="preserve"> </w:t>
            </w:r>
            <w:r w:rsidR="00CE3F02" w:rsidRPr="00283753">
              <w:rPr>
                <w:rStyle w:val="NewInitiativeChar"/>
                <w:b/>
                <w:bCs/>
                <w:sz w:val="16"/>
                <w:szCs w:val="16"/>
                <w:u w:val="none"/>
              </w:rPr>
              <w:t>(new)</w:t>
            </w:r>
          </w:p>
          <w:p w14:paraId="0F5B1A08" w14:textId="146DF118" w:rsidR="00AB7955" w:rsidRDefault="00AB7955" w:rsidP="00353FC2">
            <w:pPr>
              <w:pStyle w:val="TableTextLeft"/>
            </w:pPr>
            <w:r w:rsidRPr="00E16875">
              <w:rPr>
                <w:bCs/>
                <w:color w:val="auto"/>
              </w:rPr>
              <w:t xml:space="preserve">The </w:t>
            </w:r>
            <w:r>
              <w:rPr>
                <w:bCs/>
                <w:color w:val="auto"/>
              </w:rPr>
              <w:t>g</w:t>
            </w:r>
            <w:r w:rsidRPr="00E16875">
              <w:rPr>
                <w:bCs/>
                <w:color w:val="auto"/>
              </w:rPr>
              <w:t xml:space="preserve">overnment will look </w:t>
            </w:r>
            <w:r>
              <w:rPr>
                <w:bCs/>
                <w:color w:val="auto"/>
              </w:rPr>
              <w:t>at</w:t>
            </w:r>
            <w:r w:rsidRPr="00E16875">
              <w:rPr>
                <w:bCs/>
                <w:color w:val="auto"/>
              </w:rPr>
              <w:t xml:space="preserve"> how to stop </w:t>
            </w:r>
            <w:r>
              <w:rPr>
                <w:bCs/>
                <w:color w:val="auto"/>
              </w:rPr>
              <w:t>p</w:t>
            </w:r>
            <w:r w:rsidRPr="00E16875">
              <w:rPr>
                <w:bCs/>
                <w:color w:val="auto"/>
              </w:rPr>
              <w:t>erpetrators of domestic and family violence accessing victims</w:t>
            </w:r>
            <w:r w:rsidR="003D486F">
              <w:rPr>
                <w:bCs/>
                <w:color w:val="auto"/>
              </w:rPr>
              <w:t>’</w:t>
            </w:r>
            <w:r w:rsidRPr="00E16875">
              <w:rPr>
                <w:bCs/>
                <w:color w:val="auto"/>
              </w:rPr>
              <w:t xml:space="preserve"> superannuation death benefits</w:t>
            </w:r>
            <w:r w:rsidR="003D486F">
              <w:rPr>
                <w:bCs/>
                <w:color w:val="auto"/>
              </w:rPr>
              <w:t xml:space="preserve">. </w:t>
            </w:r>
            <w:r w:rsidRPr="00E16875">
              <w:rPr>
                <w:bCs/>
                <w:color w:val="auto"/>
              </w:rPr>
              <w:t xml:space="preserve"> </w:t>
            </w:r>
          </w:p>
        </w:tc>
        <w:tc>
          <w:tcPr>
            <w:tcW w:w="1417" w:type="dxa"/>
            <w:shd w:val="clear" w:color="auto" w:fill="E8F0FC" w:themeFill="accent5" w:themeFillTint="33"/>
            <w:tcMar>
              <w:left w:w="85" w:type="dxa"/>
              <w:right w:w="85" w:type="dxa"/>
            </w:tcMar>
          </w:tcPr>
          <w:p w14:paraId="35024D85" w14:textId="77777777" w:rsidR="00AB7955" w:rsidRPr="0052695A" w:rsidRDefault="00AB7955" w:rsidP="00353FC2">
            <w:pPr>
              <w:pStyle w:val="TableTextLeft"/>
            </w:pPr>
            <w:r>
              <w:t>Initial targeted consultation</w:t>
            </w:r>
          </w:p>
        </w:tc>
        <w:tc>
          <w:tcPr>
            <w:tcW w:w="1134" w:type="dxa"/>
            <w:shd w:val="clear" w:color="auto" w:fill="E8F0FC" w:themeFill="accent5" w:themeFillTint="33"/>
            <w:tcMar>
              <w:left w:w="85" w:type="dxa"/>
              <w:right w:w="85" w:type="dxa"/>
            </w:tcMar>
          </w:tcPr>
          <w:p w14:paraId="3464AC07" w14:textId="77777777" w:rsidR="00AB7955" w:rsidRPr="0052695A" w:rsidRDefault="00AB7955" w:rsidP="00353FC2">
            <w:pPr>
              <w:pStyle w:val="TableTextLeft"/>
            </w:pPr>
            <w:r>
              <w:t>Public consultation</w:t>
            </w:r>
          </w:p>
        </w:tc>
        <w:tc>
          <w:tcPr>
            <w:tcW w:w="1134" w:type="dxa"/>
            <w:shd w:val="clear" w:color="auto" w:fill="E8F0FC" w:themeFill="accent5" w:themeFillTint="33"/>
            <w:tcMar>
              <w:left w:w="85" w:type="dxa"/>
              <w:right w:w="85" w:type="dxa"/>
            </w:tcMar>
          </w:tcPr>
          <w:p w14:paraId="152851AD" w14:textId="77777777" w:rsidR="00AB7955" w:rsidRPr="0052695A" w:rsidRDefault="00AB7955" w:rsidP="00353FC2">
            <w:pPr>
              <w:pStyle w:val="TableTextLeft"/>
            </w:pPr>
          </w:p>
        </w:tc>
        <w:tc>
          <w:tcPr>
            <w:tcW w:w="1276" w:type="dxa"/>
            <w:shd w:val="clear" w:color="auto" w:fill="E8F0FC" w:themeFill="accent5" w:themeFillTint="33"/>
          </w:tcPr>
          <w:p w14:paraId="46D2181D" w14:textId="77777777" w:rsidR="00AB7955" w:rsidRPr="0052695A" w:rsidRDefault="00AB7955" w:rsidP="00353FC2">
            <w:pPr>
              <w:pStyle w:val="TableTextLeft"/>
            </w:pPr>
          </w:p>
        </w:tc>
        <w:tc>
          <w:tcPr>
            <w:tcW w:w="1276" w:type="dxa"/>
            <w:shd w:val="clear" w:color="auto" w:fill="E8F0FC" w:themeFill="accent5" w:themeFillTint="33"/>
            <w:tcMar>
              <w:left w:w="85" w:type="dxa"/>
              <w:right w:w="85" w:type="dxa"/>
            </w:tcMar>
          </w:tcPr>
          <w:p w14:paraId="04F3E835" w14:textId="77777777" w:rsidR="00AB7955" w:rsidRPr="0052695A" w:rsidRDefault="00AB7955" w:rsidP="00353FC2">
            <w:pPr>
              <w:pStyle w:val="TableTextLeft"/>
            </w:pPr>
          </w:p>
        </w:tc>
        <w:tc>
          <w:tcPr>
            <w:tcW w:w="1146" w:type="dxa"/>
            <w:gridSpan w:val="2"/>
            <w:shd w:val="clear" w:color="auto" w:fill="F4F8FE"/>
            <w:tcMar>
              <w:left w:w="85" w:type="dxa"/>
              <w:right w:w="85" w:type="dxa"/>
            </w:tcMar>
          </w:tcPr>
          <w:p w14:paraId="1C1FDA4D" w14:textId="77777777" w:rsidR="00AB7955" w:rsidRPr="0052695A" w:rsidRDefault="00AB7955" w:rsidP="00353FC2">
            <w:pPr>
              <w:pStyle w:val="TableTextLeft"/>
            </w:pPr>
          </w:p>
        </w:tc>
        <w:tc>
          <w:tcPr>
            <w:tcW w:w="1231" w:type="dxa"/>
            <w:shd w:val="clear" w:color="auto" w:fill="F4F8FE"/>
            <w:tcMar>
              <w:left w:w="85" w:type="dxa"/>
              <w:right w:w="85" w:type="dxa"/>
            </w:tcMar>
          </w:tcPr>
          <w:p w14:paraId="0D06736C" w14:textId="77777777" w:rsidR="00AB7955" w:rsidRPr="0052695A" w:rsidRDefault="00AB7955" w:rsidP="00353FC2">
            <w:pPr>
              <w:pStyle w:val="TableTextLeft"/>
            </w:pPr>
          </w:p>
        </w:tc>
      </w:tr>
      <w:tr w:rsidR="00E6324E" w14:paraId="45605C4D" w14:textId="77777777" w:rsidTr="00283753">
        <w:trPr>
          <w:cantSplit/>
          <w:trHeight w:val="20"/>
        </w:trPr>
        <w:tc>
          <w:tcPr>
            <w:tcW w:w="794" w:type="dxa"/>
            <w:tcBorders>
              <w:top w:val="single" w:sz="4" w:space="0" w:color="90B6F0" w:themeColor="accent5"/>
              <w:left w:val="nil"/>
              <w:bottom w:val="single" w:sz="4" w:space="0" w:color="90B6F0" w:themeColor="accent5"/>
              <w:right w:val="nil"/>
            </w:tcBorders>
            <w:tcMar>
              <w:left w:w="85" w:type="dxa"/>
              <w:right w:w="85" w:type="dxa"/>
            </w:tcMar>
          </w:tcPr>
          <w:p w14:paraId="0A8AE160" w14:textId="77777777" w:rsidR="00AB7955" w:rsidRDefault="00AB7955" w:rsidP="005479A1">
            <w:pPr>
              <w:pStyle w:val="TableLeadAgency"/>
            </w:pPr>
            <w:r>
              <w:lastRenderedPageBreak/>
              <w:t>TSY</w:t>
            </w:r>
          </w:p>
          <w:p w14:paraId="0CF4DB99" w14:textId="77777777" w:rsidR="00AB7955" w:rsidRDefault="00AB7955" w:rsidP="479BF900">
            <w:pPr>
              <w:pStyle w:val="TableLeadAgency"/>
              <w:spacing w:before="0" w:after="0"/>
              <w:rPr>
                <w:rFonts w:ascii="Calibri" w:hAnsi="Calibri" w:cs="Calibri"/>
                <w:b w:val="0"/>
                <w:bCs w:val="0"/>
                <w:i/>
                <w:iCs/>
              </w:rPr>
            </w:pPr>
            <w:r w:rsidRPr="479BF900">
              <w:rPr>
                <w:rFonts w:ascii="Calibri" w:hAnsi="Calibri" w:cs="Calibri"/>
                <w:b w:val="0"/>
                <w:bCs w:val="0"/>
                <w:i/>
                <w:iCs/>
              </w:rPr>
              <w:t>RBA</w:t>
            </w:r>
          </w:p>
          <w:p w14:paraId="28992725" w14:textId="22E869A4" w:rsidR="00AB7955" w:rsidRDefault="00AB7955" w:rsidP="479BF900">
            <w:pPr>
              <w:pStyle w:val="TableLeadAgency"/>
              <w:spacing w:before="0" w:after="0"/>
              <w:rPr>
                <w:rFonts w:ascii="Calibri" w:hAnsi="Calibri" w:cs="Calibri"/>
                <w:b w:val="0"/>
                <w:bCs w:val="0"/>
                <w:i/>
                <w:iCs/>
              </w:rPr>
            </w:pPr>
            <w:r w:rsidRPr="479BF900">
              <w:rPr>
                <w:rFonts w:ascii="Calibri" w:hAnsi="Calibri" w:cs="Calibri"/>
                <w:b w:val="0"/>
                <w:bCs w:val="0"/>
                <w:i/>
                <w:iCs/>
              </w:rPr>
              <w:t>ACCC</w:t>
            </w:r>
          </w:p>
          <w:p w14:paraId="167F7084" w14:textId="77777777" w:rsidR="00AB7955" w:rsidRDefault="00AB7955" w:rsidP="479BF900">
            <w:pPr>
              <w:pStyle w:val="TableLeadAgency"/>
            </w:pPr>
          </w:p>
        </w:tc>
        <w:tc>
          <w:tcPr>
            <w:tcW w:w="1334" w:type="dxa"/>
            <w:tcBorders>
              <w:top w:val="single" w:sz="4" w:space="0" w:color="90B6F0" w:themeColor="accent5"/>
              <w:left w:val="nil"/>
              <w:bottom w:val="single" w:sz="4" w:space="0" w:color="90B6F0" w:themeColor="accent5"/>
              <w:right w:val="nil"/>
            </w:tcBorders>
            <w:tcMar>
              <w:left w:w="85" w:type="dxa"/>
              <w:right w:w="85" w:type="dxa"/>
            </w:tcMar>
          </w:tcPr>
          <w:p w14:paraId="320C22AA" w14:textId="40743D9F" w:rsidR="00AB7955" w:rsidRDefault="002520E0" w:rsidP="005479A1">
            <w:pPr>
              <w:pStyle w:val="TableTextLeft"/>
            </w:pPr>
            <w:r w:rsidRPr="002520E0">
              <w:t>Payment services and digital assets</w:t>
            </w:r>
          </w:p>
        </w:tc>
        <w:tc>
          <w:tcPr>
            <w:tcW w:w="3260" w:type="dxa"/>
            <w:tcBorders>
              <w:top w:val="single" w:sz="4" w:space="0" w:color="90B6F0" w:themeColor="accent5"/>
              <w:left w:val="nil"/>
              <w:bottom w:val="single" w:sz="4" w:space="0" w:color="90B6F0" w:themeColor="accent5"/>
              <w:right w:val="nil"/>
            </w:tcBorders>
            <w:tcMar>
              <w:left w:w="85" w:type="dxa"/>
              <w:right w:w="85" w:type="dxa"/>
            </w:tcMar>
          </w:tcPr>
          <w:p w14:paraId="169A9BC4" w14:textId="63C7F126" w:rsidR="00AB7955" w:rsidRPr="00283753" w:rsidRDefault="00AB7955" w:rsidP="00283753">
            <w:pPr>
              <w:pStyle w:val="TableLink"/>
              <w:rPr>
                <w:b w:val="0"/>
                <w:color w:val="4D7861" w:themeColor="accent2"/>
                <w:szCs w:val="16"/>
              </w:rPr>
            </w:pPr>
            <w:r w:rsidRPr="00CE3F02">
              <w:rPr>
                <w:rFonts w:eastAsia="Aptos"/>
              </w:rPr>
              <w:t>Reducing card surcharges for Australians and Small Businesses</w:t>
            </w:r>
            <w:r w:rsidR="00283753" w:rsidRPr="00283753">
              <w:rPr>
                <w:szCs w:val="16"/>
                <w:u w:val="none"/>
              </w:rPr>
              <w:t xml:space="preserve"> </w:t>
            </w:r>
            <w:r w:rsidR="00283753" w:rsidRPr="00283753">
              <w:rPr>
                <w:rStyle w:val="NewInitiativeChar"/>
                <w:b/>
                <w:bCs/>
                <w:sz w:val="16"/>
                <w:szCs w:val="16"/>
                <w:u w:val="none"/>
              </w:rPr>
              <w:t>(new)</w:t>
            </w:r>
          </w:p>
          <w:p w14:paraId="44567709" w14:textId="6321DB52" w:rsidR="00AB7955" w:rsidRDefault="00AB7955" w:rsidP="00CE3F02">
            <w:pPr>
              <w:pStyle w:val="TableTextLeft"/>
              <w:rPr>
                <w:rFonts w:eastAsia="Calibri Light"/>
              </w:rPr>
            </w:pPr>
            <w:r w:rsidRPr="005479A1">
              <w:rPr>
                <w:rFonts w:eastAsia="Calibri Light"/>
              </w:rPr>
              <w:t xml:space="preserve"> On 15 July 2025, the RBA released a consultation paper </w:t>
            </w:r>
            <w:r w:rsidRPr="78D1C3D2">
              <w:rPr>
                <w:rFonts w:eastAsia="Calibri Light"/>
              </w:rPr>
              <w:t>on</w:t>
            </w:r>
            <w:r>
              <w:rPr>
                <w:rFonts w:eastAsia="Calibri Light"/>
              </w:rPr>
              <w:t xml:space="preserve"> </w:t>
            </w:r>
            <w:r w:rsidRPr="78D1C3D2">
              <w:rPr>
                <w:rFonts w:eastAsia="Calibri Light"/>
              </w:rPr>
              <w:t>Retail Payment Regulation</w:t>
            </w:r>
            <w:r w:rsidRPr="005479A1">
              <w:rPr>
                <w:rFonts w:eastAsia="Calibri Light"/>
              </w:rPr>
              <w:t xml:space="preserve"> </w:t>
            </w:r>
            <w:r w:rsidRPr="78D1C3D2">
              <w:rPr>
                <w:rFonts w:eastAsia="Calibri Light"/>
              </w:rPr>
              <w:t xml:space="preserve">with </w:t>
            </w:r>
            <w:r w:rsidRPr="005479A1">
              <w:rPr>
                <w:rFonts w:eastAsia="Calibri Light"/>
              </w:rPr>
              <w:t>the RBA</w:t>
            </w:r>
            <w:r w:rsidR="003D486F">
              <w:rPr>
                <w:rFonts w:eastAsia="Calibri Light"/>
              </w:rPr>
              <w:t>’</w:t>
            </w:r>
            <w:r w:rsidRPr="005479A1">
              <w:rPr>
                <w:rFonts w:eastAsia="Calibri Light"/>
              </w:rPr>
              <w:t xml:space="preserve">s preliminary conclusions and draft revisions to standards. </w:t>
            </w:r>
          </w:p>
          <w:p w14:paraId="44215D06" w14:textId="77777777" w:rsidR="00AB7955" w:rsidRPr="00DD5FB7" w:rsidRDefault="00AB7955" w:rsidP="00CE3F02">
            <w:pPr>
              <w:pStyle w:val="TableTextLeft"/>
              <w:rPr>
                <w:rFonts w:ascii="Aptos" w:eastAsia="Aptos" w:hAnsi="Aptos" w:cs="Aptos"/>
              </w:rPr>
            </w:pPr>
            <w:r w:rsidRPr="727CE2B5">
              <w:rPr>
                <w:rFonts w:eastAsia="Aptos"/>
              </w:rPr>
              <w:t>In 2024, the government announced a disposition to ban debit card surcharging subject to further work by the Reserve Bank of Australia (RBA) and safeguards to ensure both small businesses and consumers can benefit from lower costs.</w:t>
            </w:r>
          </w:p>
        </w:tc>
        <w:tc>
          <w:tcPr>
            <w:tcW w:w="1417" w:type="dxa"/>
            <w:shd w:val="clear" w:color="auto" w:fill="E8F0FC" w:themeFill="accent5" w:themeFillTint="33"/>
            <w:tcMar>
              <w:left w:w="85" w:type="dxa"/>
              <w:right w:w="85" w:type="dxa"/>
            </w:tcMar>
          </w:tcPr>
          <w:p w14:paraId="4EFA9754" w14:textId="0CC4FE3C" w:rsidR="00AB7955" w:rsidRDefault="00AB7955" w:rsidP="177EFE61">
            <w:pPr>
              <w:pStyle w:val="TableTextLeft"/>
            </w:pPr>
            <w:r>
              <w:t xml:space="preserve">RBA due </w:t>
            </w:r>
            <w:r w:rsidR="00E70264">
              <w:t xml:space="preserve">to </w:t>
            </w:r>
            <w:r>
              <w:t>release its conclusions paper.</w:t>
            </w:r>
          </w:p>
          <w:p w14:paraId="7E8C5DC9" w14:textId="77777777" w:rsidR="00AB7955" w:rsidRDefault="00AB7955" w:rsidP="21DEF784">
            <w:pPr>
              <w:pStyle w:val="TableTextLeft"/>
            </w:pPr>
          </w:p>
          <w:p w14:paraId="69F6D3EA" w14:textId="2F29A543" w:rsidR="00AB7955" w:rsidRDefault="00AB7955" w:rsidP="21DEF784">
            <w:pPr>
              <w:pStyle w:val="TableTextLeft"/>
            </w:pPr>
            <w:r>
              <w:t>The review</w:t>
            </w:r>
            <w:r w:rsidR="003D486F">
              <w:t>’</w:t>
            </w:r>
            <w:r>
              <w:t>s conclusions will inform the Government</w:t>
            </w:r>
            <w:r w:rsidR="003D486F">
              <w:t>’</w:t>
            </w:r>
            <w:r>
              <w:t>s response.</w:t>
            </w:r>
          </w:p>
          <w:p w14:paraId="3D2CA76D" w14:textId="77777777" w:rsidR="00AB7955" w:rsidRDefault="00AB7955" w:rsidP="702ABB07">
            <w:pPr>
              <w:pStyle w:val="TableTextLeft"/>
            </w:pPr>
          </w:p>
        </w:tc>
        <w:tc>
          <w:tcPr>
            <w:tcW w:w="1134" w:type="dxa"/>
            <w:shd w:val="clear" w:color="auto" w:fill="E8F0FC" w:themeFill="accent5" w:themeFillTint="33"/>
            <w:tcMar>
              <w:left w:w="85" w:type="dxa"/>
              <w:right w:w="85" w:type="dxa"/>
            </w:tcMar>
          </w:tcPr>
          <w:p w14:paraId="751FDE41" w14:textId="77777777" w:rsidR="00AB7955" w:rsidRDefault="00AB7955" w:rsidP="3213A518">
            <w:pPr>
              <w:pStyle w:val="TableTextLeft"/>
            </w:pPr>
          </w:p>
        </w:tc>
        <w:tc>
          <w:tcPr>
            <w:tcW w:w="1134" w:type="dxa"/>
            <w:shd w:val="clear" w:color="auto" w:fill="E8F0FC" w:themeFill="accent5" w:themeFillTint="33"/>
            <w:tcMar>
              <w:left w:w="85" w:type="dxa"/>
              <w:right w:w="85" w:type="dxa"/>
            </w:tcMar>
          </w:tcPr>
          <w:p w14:paraId="629E65C3" w14:textId="77777777" w:rsidR="00AB7955" w:rsidRDefault="00AB7955" w:rsidP="23FF560E">
            <w:pPr>
              <w:pStyle w:val="TableTextLeft"/>
            </w:pPr>
          </w:p>
        </w:tc>
        <w:tc>
          <w:tcPr>
            <w:tcW w:w="1276" w:type="dxa"/>
            <w:shd w:val="clear" w:color="auto" w:fill="E8F0FC" w:themeFill="accent5" w:themeFillTint="33"/>
          </w:tcPr>
          <w:p w14:paraId="71B2D74F" w14:textId="77777777" w:rsidR="00AB7955" w:rsidRDefault="00AB7955" w:rsidP="23FF560E">
            <w:pPr>
              <w:pStyle w:val="TableTextLeft"/>
            </w:pPr>
          </w:p>
        </w:tc>
        <w:tc>
          <w:tcPr>
            <w:tcW w:w="1276" w:type="dxa"/>
            <w:shd w:val="clear" w:color="auto" w:fill="E8F0FC" w:themeFill="accent5" w:themeFillTint="33"/>
            <w:tcMar>
              <w:left w:w="85" w:type="dxa"/>
              <w:right w:w="85" w:type="dxa"/>
            </w:tcMar>
          </w:tcPr>
          <w:p w14:paraId="74FAD9FF" w14:textId="77777777" w:rsidR="00AB7955" w:rsidRDefault="00AB7955" w:rsidP="23FF560E">
            <w:pPr>
              <w:pStyle w:val="TableTextLeft"/>
            </w:pPr>
          </w:p>
        </w:tc>
        <w:tc>
          <w:tcPr>
            <w:tcW w:w="1146" w:type="dxa"/>
            <w:gridSpan w:val="2"/>
            <w:shd w:val="clear" w:color="auto" w:fill="F4F8FE"/>
            <w:tcMar>
              <w:left w:w="85" w:type="dxa"/>
              <w:right w:w="85" w:type="dxa"/>
            </w:tcMar>
          </w:tcPr>
          <w:p w14:paraId="568A05D8" w14:textId="77777777" w:rsidR="00AB7955" w:rsidRDefault="00AB7955" w:rsidP="23FF560E">
            <w:pPr>
              <w:pStyle w:val="TableTextLeft"/>
            </w:pPr>
          </w:p>
        </w:tc>
        <w:tc>
          <w:tcPr>
            <w:tcW w:w="1231" w:type="dxa"/>
            <w:shd w:val="clear" w:color="auto" w:fill="F4F8FE"/>
            <w:tcMar>
              <w:left w:w="85" w:type="dxa"/>
              <w:right w:w="85" w:type="dxa"/>
            </w:tcMar>
          </w:tcPr>
          <w:p w14:paraId="080F1334" w14:textId="77777777" w:rsidR="00AB7955" w:rsidRDefault="00AB7955" w:rsidP="23FF560E">
            <w:pPr>
              <w:pStyle w:val="TableTextLeft"/>
            </w:pPr>
          </w:p>
        </w:tc>
      </w:tr>
      <w:tr w:rsidR="00E6324E" w:rsidRPr="00AF43B7" w14:paraId="5FE0C663" w14:textId="77777777" w:rsidTr="00283753">
        <w:trPr>
          <w:cantSplit/>
          <w:trHeight w:val="20"/>
        </w:trPr>
        <w:tc>
          <w:tcPr>
            <w:tcW w:w="794" w:type="dxa"/>
            <w:tcBorders>
              <w:top w:val="single" w:sz="4" w:space="0" w:color="90B6F0" w:themeColor="accent5"/>
              <w:bottom w:val="single" w:sz="4" w:space="0" w:color="BCE4CF"/>
            </w:tcBorders>
            <w:tcMar>
              <w:left w:w="85" w:type="dxa"/>
              <w:right w:w="85" w:type="dxa"/>
            </w:tcMar>
          </w:tcPr>
          <w:p w14:paraId="1CC1C879" w14:textId="77777777" w:rsidR="00AB7955" w:rsidRPr="009C4097" w:rsidRDefault="00AB7955" w:rsidP="00353FC2">
            <w:pPr>
              <w:pStyle w:val="TableLeadAgency"/>
            </w:pPr>
            <w:r w:rsidRPr="009C4097">
              <w:t>TSY</w:t>
            </w:r>
          </w:p>
        </w:tc>
        <w:tc>
          <w:tcPr>
            <w:tcW w:w="1334" w:type="dxa"/>
            <w:tcMar>
              <w:top w:w="0" w:type="dxa"/>
              <w:left w:w="85" w:type="dxa"/>
              <w:bottom w:w="0" w:type="dxa"/>
              <w:right w:w="85" w:type="dxa"/>
            </w:tcMar>
          </w:tcPr>
          <w:p w14:paraId="51347CE8" w14:textId="77777777" w:rsidR="00AB7955" w:rsidRPr="00B555A9" w:rsidRDefault="00AB7955" w:rsidP="00353FC2">
            <w:pPr>
              <w:pStyle w:val="TableTextLeft"/>
            </w:pPr>
            <w:r w:rsidRPr="00976B89">
              <w:t>All</w:t>
            </w:r>
          </w:p>
        </w:tc>
        <w:tc>
          <w:tcPr>
            <w:tcW w:w="3260" w:type="dxa"/>
            <w:tcMar>
              <w:left w:w="85" w:type="dxa"/>
              <w:right w:w="85" w:type="dxa"/>
            </w:tcMar>
          </w:tcPr>
          <w:p w14:paraId="65A8BDE6" w14:textId="38EE40D3" w:rsidR="00AB7955" w:rsidRPr="00A956DD" w:rsidRDefault="00AB7955" w:rsidP="00A956DD">
            <w:pPr>
              <w:pStyle w:val="TableLink"/>
              <w:rPr>
                <w:rStyle w:val="Hyperlink"/>
                <w:color w:val="5D779D" w:themeColor="accent3"/>
                <w:u w:val="single"/>
              </w:rPr>
            </w:pPr>
            <w:hyperlink r:id="rId65">
              <w:r w:rsidRPr="00A956DD">
                <w:rPr>
                  <w:rStyle w:val="Hyperlink"/>
                  <w:color w:val="5D779D" w:themeColor="accent3"/>
                  <w:u w:val="single"/>
                </w:rPr>
                <w:t>Reforms to streamline and strengthen Australia</w:t>
              </w:r>
              <w:r w:rsidR="003D486F" w:rsidRPr="00A956DD">
                <w:rPr>
                  <w:rStyle w:val="Hyperlink"/>
                  <w:color w:val="5D779D" w:themeColor="accent3"/>
                  <w:u w:val="single"/>
                </w:rPr>
                <w:t>’</w:t>
              </w:r>
              <w:r w:rsidRPr="00A956DD">
                <w:rPr>
                  <w:rStyle w:val="Hyperlink"/>
                  <w:color w:val="5D779D" w:themeColor="accent3"/>
                  <w:u w:val="single"/>
                </w:rPr>
                <w:t>s foreign investment framework</w:t>
              </w:r>
            </w:hyperlink>
          </w:p>
          <w:p w14:paraId="158A16CB" w14:textId="6B705691" w:rsidR="00AB7955" w:rsidRDefault="00AB7955" w:rsidP="00353FC2">
            <w:pPr>
              <w:pStyle w:val="TableTextLeft"/>
            </w:pPr>
            <w:r w:rsidRPr="009A3724">
              <w:t>On 1</w:t>
            </w:r>
            <w:r>
              <w:t> </w:t>
            </w:r>
            <w:r w:rsidRPr="009A3724">
              <w:t>May</w:t>
            </w:r>
            <w:r>
              <w:t> </w:t>
            </w:r>
            <w:r w:rsidRPr="009A3724">
              <w:t xml:space="preserve">2024, the </w:t>
            </w:r>
            <w:r>
              <w:t>g</w:t>
            </w:r>
            <w:r w:rsidRPr="009A3724">
              <w:t xml:space="preserve">overnment announced reforms to </w:t>
            </w:r>
            <w:r w:rsidRPr="00932103">
              <w:t xml:space="preserve">streamline </w:t>
            </w:r>
            <w:r w:rsidRPr="00301F93">
              <w:t>and</w:t>
            </w:r>
            <w:r w:rsidRPr="00932103">
              <w:t xml:space="preserve"> </w:t>
            </w:r>
            <w:r w:rsidRPr="009A3724">
              <w:t xml:space="preserve">strengthen </w:t>
            </w:r>
            <w:r w:rsidRPr="00932103">
              <w:t>Australia</w:t>
            </w:r>
            <w:r w:rsidR="003D486F">
              <w:t>’</w:t>
            </w:r>
            <w:r w:rsidRPr="00932103">
              <w:t>s</w:t>
            </w:r>
            <w:r w:rsidRPr="009A3724">
              <w:t xml:space="preserve"> foreign investment framework.</w:t>
            </w:r>
            <w:r>
              <w:t xml:space="preserve"> The</w:t>
            </w:r>
            <w:r w:rsidRPr="0093562C">
              <w:t xml:space="preserve"> reforms apply greater scrutiny to </w:t>
            </w:r>
            <w:r w:rsidRPr="0093562C" w:rsidDel="0081764B">
              <w:t>high</w:t>
            </w:r>
            <w:r w:rsidR="003D486F">
              <w:noBreakHyphen/>
            </w:r>
            <w:r>
              <w:t>risk</w:t>
            </w:r>
            <w:r w:rsidRPr="0093562C">
              <w:t xml:space="preserve"> investments</w:t>
            </w:r>
            <w:r>
              <w:t xml:space="preserve"> </w:t>
            </w:r>
            <w:r w:rsidRPr="0093562C">
              <w:t xml:space="preserve">to protect the national interest while streamlining assessment of </w:t>
            </w:r>
            <w:proofErr w:type="gramStart"/>
            <w:r w:rsidRPr="0093562C">
              <w:t>low</w:t>
            </w:r>
            <w:r>
              <w:t xml:space="preserve"> </w:t>
            </w:r>
            <w:r w:rsidRPr="0093562C">
              <w:t>risk</w:t>
            </w:r>
            <w:proofErr w:type="gramEnd"/>
            <w:r w:rsidRPr="0093562C">
              <w:t xml:space="preserve"> investments.</w:t>
            </w:r>
            <w:r>
              <w:t xml:space="preserve"> </w:t>
            </w:r>
          </w:p>
          <w:p w14:paraId="6D993559" w14:textId="77777777" w:rsidR="00AB7955" w:rsidRPr="00005520" w:rsidRDefault="00AB7955" w:rsidP="00353FC2">
            <w:pPr>
              <w:pStyle w:val="TableTextLeft"/>
            </w:pPr>
            <w:r>
              <w:t>The government has commenced i</w:t>
            </w:r>
            <w:r w:rsidRPr="00F456DF">
              <w:t>mplementation</w:t>
            </w:r>
            <w:r>
              <w:t>,</w:t>
            </w:r>
            <w:r w:rsidRPr="00F456DF">
              <w:t xml:space="preserve"> </w:t>
            </w:r>
            <w:r>
              <w:t>which</w:t>
            </w:r>
            <w:r w:rsidRPr="00F456DF">
              <w:t xml:space="preserve"> will continue in 2025</w:t>
            </w:r>
            <w:r>
              <w:t>.</w:t>
            </w:r>
          </w:p>
        </w:tc>
        <w:tc>
          <w:tcPr>
            <w:tcW w:w="1417" w:type="dxa"/>
            <w:shd w:val="clear" w:color="auto" w:fill="E8F0FC" w:themeFill="accent5" w:themeFillTint="33"/>
            <w:tcMar>
              <w:left w:w="85" w:type="dxa"/>
              <w:right w:w="85" w:type="dxa"/>
            </w:tcMar>
          </w:tcPr>
          <w:p w14:paraId="29A07BBD" w14:textId="77777777" w:rsidR="00AB7955" w:rsidRPr="0052695A" w:rsidRDefault="00AB7955" w:rsidP="00353FC2">
            <w:pPr>
              <w:pStyle w:val="TableTextLeft"/>
            </w:pPr>
            <w:r>
              <w:t>Ongoing implementation*</w:t>
            </w:r>
          </w:p>
        </w:tc>
        <w:tc>
          <w:tcPr>
            <w:tcW w:w="1134" w:type="dxa"/>
            <w:shd w:val="clear" w:color="auto" w:fill="E8F0FC" w:themeFill="accent5" w:themeFillTint="33"/>
            <w:tcMar>
              <w:left w:w="85" w:type="dxa"/>
              <w:right w:w="85" w:type="dxa"/>
            </w:tcMar>
          </w:tcPr>
          <w:p w14:paraId="0CB7C46D" w14:textId="77777777" w:rsidR="00AB7955" w:rsidRPr="0052695A" w:rsidRDefault="00AB7955" w:rsidP="00353FC2">
            <w:pPr>
              <w:pStyle w:val="TableTextLeft"/>
            </w:pPr>
          </w:p>
        </w:tc>
        <w:tc>
          <w:tcPr>
            <w:tcW w:w="1134" w:type="dxa"/>
            <w:shd w:val="clear" w:color="auto" w:fill="E8F0FC" w:themeFill="accent5" w:themeFillTint="33"/>
            <w:tcMar>
              <w:left w:w="85" w:type="dxa"/>
              <w:right w:w="85" w:type="dxa"/>
            </w:tcMar>
          </w:tcPr>
          <w:p w14:paraId="00F73702" w14:textId="77777777" w:rsidR="00AB7955" w:rsidRPr="0052695A" w:rsidRDefault="00AB7955" w:rsidP="00353FC2">
            <w:pPr>
              <w:pStyle w:val="TableTextLeft"/>
            </w:pPr>
          </w:p>
        </w:tc>
        <w:tc>
          <w:tcPr>
            <w:tcW w:w="1276" w:type="dxa"/>
            <w:shd w:val="clear" w:color="auto" w:fill="E8F0FC" w:themeFill="accent5" w:themeFillTint="33"/>
          </w:tcPr>
          <w:p w14:paraId="2705FE0D" w14:textId="77777777" w:rsidR="00AB7955" w:rsidRPr="0052695A" w:rsidRDefault="00AB7955" w:rsidP="00353FC2">
            <w:pPr>
              <w:pStyle w:val="TableTextLeft"/>
            </w:pPr>
          </w:p>
        </w:tc>
        <w:tc>
          <w:tcPr>
            <w:tcW w:w="1276" w:type="dxa"/>
            <w:shd w:val="clear" w:color="auto" w:fill="E8F0FC" w:themeFill="accent5" w:themeFillTint="33"/>
            <w:tcMar>
              <w:left w:w="85" w:type="dxa"/>
              <w:right w:w="85" w:type="dxa"/>
            </w:tcMar>
          </w:tcPr>
          <w:p w14:paraId="2BF006A7" w14:textId="77777777" w:rsidR="00AB7955" w:rsidRPr="0052695A" w:rsidRDefault="00AB7955" w:rsidP="00353FC2">
            <w:pPr>
              <w:pStyle w:val="TableTextLeft"/>
            </w:pPr>
          </w:p>
        </w:tc>
        <w:tc>
          <w:tcPr>
            <w:tcW w:w="1146" w:type="dxa"/>
            <w:gridSpan w:val="2"/>
            <w:shd w:val="clear" w:color="auto" w:fill="F4F8FE"/>
            <w:tcMar>
              <w:left w:w="85" w:type="dxa"/>
              <w:right w:w="85" w:type="dxa"/>
            </w:tcMar>
          </w:tcPr>
          <w:p w14:paraId="323BF00D" w14:textId="77777777" w:rsidR="00AB7955" w:rsidRPr="00106330" w:rsidRDefault="00AB7955" w:rsidP="00353FC2">
            <w:pPr>
              <w:pStyle w:val="TableTextLeft"/>
            </w:pPr>
          </w:p>
        </w:tc>
        <w:tc>
          <w:tcPr>
            <w:tcW w:w="1231" w:type="dxa"/>
            <w:shd w:val="clear" w:color="auto" w:fill="F4F8FE"/>
            <w:tcMar>
              <w:left w:w="85" w:type="dxa"/>
              <w:right w:w="85" w:type="dxa"/>
            </w:tcMar>
          </w:tcPr>
          <w:p w14:paraId="4074E778" w14:textId="77777777" w:rsidR="00AB7955" w:rsidRPr="0052695A" w:rsidRDefault="00AB7955" w:rsidP="00353FC2">
            <w:pPr>
              <w:pStyle w:val="TableTextLeft"/>
            </w:pPr>
          </w:p>
        </w:tc>
      </w:tr>
      <w:tr w:rsidR="00E6324E" w:rsidRPr="00AF43B7" w14:paraId="04FAB030" w14:textId="77777777" w:rsidTr="00283753">
        <w:trPr>
          <w:cantSplit/>
          <w:trHeight w:val="20"/>
        </w:trPr>
        <w:tc>
          <w:tcPr>
            <w:tcW w:w="794" w:type="dxa"/>
            <w:tcBorders>
              <w:top w:val="single" w:sz="4" w:space="0" w:color="90B6F0" w:themeColor="accent5"/>
              <w:left w:val="nil"/>
              <w:bottom w:val="single" w:sz="4" w:space="0" w:color="90B6F0" w:themeColor="accent5"/>
              <w:right w:val="nil"/>
            </w:tcBorders>
            <w:tcMar>
              <w:left w:w="85" w:type="dxa"/>
              <w:right w:w="85" w:type="dxa"/>
            </w:tcMar>
          </w:tcPr>
          <w:p w14:paraId="4D27B9C0" w14:textId="77777777" w:rsidR="00AB7955" w:rsidRPr="009C4097" w:rsidRDefault="00AB7955" w:rsidP="00353FC2">
            <w:pPr>
              <w:pStyle w:val="TableLeadAgency"/>
            </w:pPr>
            <w:r w:rsidRPr="4D670C11">
              <w:t xml:space="preserve">TSY </w:t>
            </w:r>
          </w:p>
          <w:p w14:paraId="080DE946" w14:textId="77777777" w:rsidR="00AB7955" w:rsidRPr="009C4097" w:rsidRDefault="00AB7955" w:rsidP="00353FC2">
            <w:pPr>
              <w:pStyle w:val="TableSecondaryAgency"/>
            </w:pPr>
            <w:r w:rsidRPr="009C4097">
              <w:t>ASIC</w:t>
            </w:r>
          </w:p>
        </w:tc>
        <w:tc>
          <w:tcPr>
            <w:tcW w:w="1334" w:type="dxa"/>
            <w:tcBorders>
              <w:top w:val="single" w:sz="4" w:space="0" w:color="90B6F0" w:themeColor="accent5"/>
              <w:left w:val="nil"/>
              <w:bottom w:val="single" w:sz="4" w:space="0" w:color="90B6F0" w:themeColor="accent5"/>
              <w:right w:val="nil"/>
            </w:tcBorders>
            <w:tcMar>
              <w:left w:w="85" w:type="dxa"/>
              <w:right w:w="85" w:type="dxa"/>
            </w:tcMar>
          </w:tcPr>
          <w:p w14:paraId="18BAD2D6" w14:textId="77777777" w:rsidR="00AB7955" w:rsidRPr="00301F93" w:rsidRDefault="00AB7955" w:rsidP="00353FC2">
            <w:pPr>
              <w:pStyle w:val="TableTextLeft"/>
            </w:pPr>
            <w:r w:rsidRPr="00301F93">
              <w:t>Superannuation and retirement income</w:t>
            </w:r>
          </w:p>
          <w:p w14:paraId="52371C41" w14:textId="3326598B" w:rsidR="00AB7955" w:rsidRPr="00DB0C4A" w:rsidRDefault="00DB0C4A" w:rsidP="00353FC2">
            <w:pPr>
              <w:pStyle w:val="TableTextLeft"/>
            </w:pPr>
            <w:r w:rsidRPr="00DB0C4A">
              <w:t>Collective management and investment management</w:t>
            </w:r>
          </w:p>
        </w:tc>
        <w:tc>
          <w:tcPr>
            <w:tcW w:w="3260" w:type="dxa"/>
            <w:tcBorders>
              <w:top w:val="single" w:sz="4" w:space="0" w:color="90B6F0" w:themeColor="accent5"/>
              <w:left w:val="nil"/>
              <w:bottom w:val="single" w:sz="4" w:space="0" w:color="90B6F0" w:themeColor="accent5"/>
              <w:right w:val="nil"/>
            </w:tcBorders>
            <w:tcMar>
              <w:left w:w="85" w:type="dxa"/>
              <w:right w:w="85" w:type="dxa"/>
            </w:tcMar>
          </w:tcPr>
          <w:p w14:paraId="2743D284" w14:textId="77777777" w:rsidR="00AB7955" w:rsidRPr="00283753" w:rsidRDefault="00AB7955" w:rsidP="00283753">
            <w:pPr>
              <w:pStyle w:val="TableLink"/>
            </w:pPr>
            <w:hyperlink r:id="rId66" w:history="1">
              <w:r w:rsidRPr="00283753">
                <w:rPr>
                  <w:rStyle w:val="Hyperlink"/>
                  <w:color w:val="5D779D" w:themeColor="accent3"/>
                  <w:u w:val="single"/>
                </w:rPr>
                <w:t>Sustainable investment product labels</w:t>
              </w:r>
            </w:hyperlink>
          </w:p>
          <w:p w14:paraId="6FEFD0D1" w14:textId="10D83998" w:rsidR="00AB7955" w:rsidRPr="00B555A9" w:rsidRDefault="00AB7955" w:rsidP="00353FC2">
            <w:pPr>
              <w:pStyle w:val="TableTextLeft"/>
            </w:pPr>
            <w:r w:rsidRPr="009A3724">
              <w:t xml:space="preserve">The </w:t>
            </w:r>
            <w:r>
              <w:t>g</w:t>
            </w:r>
            <w:r w:rsidRPr="009A3724">
              <w:t xml:space="preserve">overnment will establish consistent labels and disclosure </w:t>
            </w:r>
            <w:r w:rsidRPr="00301F93">
              <w:t>requirements</w:t>
            </w:r>
            <w:r w:rsidRPr="009A3724">
              <w:t xml:space="preserve"> for investment products marketed as </w:t>
            </w:r>
            <w:r w:rsidR="003D486F">
              <w:t>‘</w:t>
            </w:r>
            <w:r w:rsidRPr="009A3724">
              <w:t>sustainable</w:t>
            </w:r>
            <w:r w:rsidR="003D486F">
              <w:t>’</w:t>
            </w:r>
            <w:r w:rsidRPr="009A3724">
              <w:t xml:space="preserve"> or similar, including for managed funds and within the superannuation system. The </w:t>
            </w:r>
            <w:r>
              <w:t>g</w:t>
            </w:r>
            <w:r w:rsidRPr="009A3724">
              <w:t>overnment is targeting</w:t>
            </w:r>
            <w:r>
              <w:t> </w:t>
            </w:r>
            <w:r w:rsidRPr="009A3724">
              <w:t>2027 for regime commencement, subject to final policy decisions.</w:t>
            </w:r>
          </w:p>
        </w:tc>
        <w:tc>
          <w:tcPr>
            <w:tcW w:w="1417" w:type="dxa"/>
            <w:shd w:val="clear" w:color="auto" w:fill="E8F0FC" w:themeFill="accent5" w:themeFillTint="33"/>
            <w:tcMar>
              <w:left w:w="85" w:type="dxa"/>
              <w:right w:w="85" w:type="dxa"/>
            </w:tcMar>
          </w:tcPr>
          <w:p w14:paraId="5E2ACAF9" w14:textId="77777777" w:rsidR="00AB7955" w:rsidRPr="0052695A" w:rsidRDefault="00AB7955" w:rsidP="00353FC2">
            <w:pPr>
              <w:pStyle w:val="TableTextLeft"/>
            </w:pPr>
          </w:p>
        </w:tc>
        <w:tc>
          <w:tcPr>
            <w:tcW w:w="1134" w:type="dxa"/>
            <w:shd w:val="clear" w:color="auto" w:fill="E8F0FC" w:themeFill="accent5" w:themeFillTint="33"/>
            <w:tcMar>
              <w:left w:w="85" w:type="dxa"/>
              <w:right w:w="85" w:type="dxa"/>
            </w:tcMar>
          </w:tcPr>
          <w:p w14:paraId="2AB9A5C6" w14:textId="77777777" w:rsidR="00AB7955" w:rsidRPr="0052695A" w:rsidRDefault="00AB7955" w:rsidP="00353FC2">
            <w:pPr>
              <w:pStyle w:val="TableTextLeft"/>
            </w:pPr>
            <w:r w:rsidRPr="009E3C98">
              <w:t>Second stage policy consultation</w:t>
            </w:r>
            <w:r>
              <w:t>*</w:t>
            </w:r>
          </w:p>
        </w:tc>
        <w:tc>
          <w:tcPr>
            <w:tcW w:w="1134" w:type="dxa"/>
            <w:shd w:val="clear" w:color="auto" w:fill="E8F0FC" w:themeFill="accent5" w:themeFillTint="33"/>
            <w:tcMar>
              <w:left w:w="85" w:type="dxa"/>
              <w:right w:w="85" w:type="dxa"/>
            </w:tcMar>
          </w:tcPr>
          <w:p w14:paraId="2F196550" w14:textId="77777777" w:rsidR="00AB7955" w:rsidRPr="0052695A" w:rsidRDefault="00AB7955" w:rsidP="00353FC2">
            <w:pPr>
              <w:pStyle w:val="TableTextLeft"/>
            </w:pPr>
          </w:p>
        </w:tc>
        <w:tc>
          <w:tcPr>
            <w:tcW w:w="1276" w:type="dxa"/>
            <w:shd w:val="clear" w:color="auto" w:fill="E8F0FC" w:themeFill="accent5" w:themeFillTint="33"/>
          </w:tcPr>
          <w:p w14:paraId="7C50735E" w14:textId="77777777" w:rsidR="00AB7955" w:rsidRPr="0052695A" w:rsidRDefault="00AB7955" w:rsidP="00353FC2">
            <w:pPr>
              <w:pStyle w:val="TableTextLeft"/>
            </w:pPr>
          </w:p>
        </w:tc>
        <w:tc>
          <w:tcPr>
            <w:tcW w:w="1276" w:type="dxa"/>
            <w:shd w:val="clear" w:color="auto" w:fill="E8F0FC" w:themeFill="accent5" w:themeFillTint="33"/>
            <w:tcMar>
              <w:left w:w="85" w:type="dxa"/>
              <w:right w:w="85" w:type="dxa"/>
            </w:tcMar>
          </w:tcPr>
          <w:p w14:paraId="3566DE07" w14:textId="77777777" w:rsidR="00AB7955" w:rsidRPr="0052695A" w:rsidRDefault="00AB7955" w:rsidP="00353FC2">
            <w:pPr>
              <w:pStyle w:val="TableTextLeft"/>
            </w:pPr>
          </w:p>
        </w:tc>
        <w:tc>
          <w:tcPr>
            <w:tcW w:w="1130" w:type="dxa"/>
            <w:shd w:val="clear" w:color="auto" w:fill="F4F8FE"/>
            <w:tcMar>
              <w:left w:w="85" w:type="dxa"/>
              <w:right w:w="85" w:type="dxa"/>
            </w:tcMar>
          </w:tcPr>
          <w:p w14:paraId="46607634" w14:textId="77777777" w:rsidR="00AB7955" w:rsidRPr="0052695A" w:rsidRDefault="00AB7955" w:rsidP="00353FC2">
            <w:pPr>
              <w:pStyle w:val="TableTextLeft"/>
            </w:pPr>
          </w:p>
        </w:tc>
        <w:tc>
          <w:tcPr>
            <w:tcW w:w="1247" w:type="dxa"/>
            <w:gridSpan w:val="2"/>
            <w:shd w:val="clear" w:color="auto" w:fill="F4F8FE"/>
            <w:tcMar>
              <w:left w:w="85" w:type="dxa"/>
              <w:right w:w="85" w:type="dxa"/>
            </w:tcMar>
          </w:tcPr>
          <w:p w14:paraId="7DA3838D" w14:textId="0F3EA5F4" w:rsidR="00AB7955" w:rsidRPr="0052695A" w:rsidRDefault="00AB7955" w:rsidP="00353FC2">
            <w:pPr>
              <w:pStyle w:val="TableTextLeft"/>
            </w:pPr>
            <w:r w:rsidRPr="0052695A">
              <w:t xml:space="preserve">New requirements commence (subject to </w:t>
            </w:r>
            <w:r w:rsidR="00080AB1" w:rsidRPr="0052695A">
              <w:t>legislation)</w:t>
            </w:r>
            <w:r w:rsidR="00080AB1">
              <w:t xml:space="preserve"> *</w:t>
            </w:r>
          </w:p>
        </w:tc>
      </w:tr>
    </w:tbl>
    <w:p w14:paraId="30E2C61D" w14:textId="77777777" w:rsidR="00363B10" w:rsidRPr="0088394A" w:rsidRDefault="00363B10" w:rsidP="00DA24B1">
      <w:pPr>
        <w:pStyle w:val="NoSpacing"/>
      </w:pPr>
      <w:r>
        <w:br w:type="page"/>
      </w:r>
    </w:p>
    <w:p w14:paraId="459A9BFB" w14:textId="33AF8EFC" w:rsidR="00B54CF6" w:rsidRDefault="00B54CF6" w:rsidP="004125A1">
      <w:pPr>
        <w:pStyle w:val="Heading1Numbered"/>
      </w:pPr>
      <w:bookmarkStart w:id="45" w:name="_Toc210050734"/>
      <w:r w:rsidRPr="001A09DB">
        <w:lastRenderedPageBreak/>
        <w:t>Development</w:t>
      </w:r>
      <w:r w:rsidRPr="00D61A55">
        <w:t xml:space="preserve"> of </w:t>
      </w:r>
      <w:r w:rsidR="00140E23">
        <w:t>l</w:t>
      </w:r>
      <w:r w:rsidRPr="00D61A55">
        <w:t xml:space="preserve">egislation, </w:t>
      </w:r>
      <w:r w:rsidR="00140E23">
        <w:t>r</w:t>
      </w:r>
      <w:r w:rsidRPr="00D61A55">
        <w:t xml:space="preserve">egulations and </w:t>
      </w:r>
      <w:r w:rsidR="00140E23">
        <w:t>i</w:t>
      </w:r>
      <w:r w:rsidRPr="00D61A55">
        <w:t>nstruments</w:t>
      </w:r>
      <w:bookmarkEnd w:id="45"/>
    </w:p>
    <w:p w14:paraId="575EBE3B" w14:textId="51CDA007" w:rsidR="00B54CF6" w:rsidRDefault="00B54CF6" w:rsidP="00B54CF6">
      <w:pPr>
        <w:rPr>
          <w:rFonts w:cs="Calibri Light"/>
          <w:szCs w:val="22"/>
        </w:rPr>
      </w:pPr>
      <w:bookmarkStart w:id="46" w:name="_Hlk175051218"/>
      <w:r w:rsidRPr="00464DE7">
        <w:rPr>
          <w:rFonts w:cs="Calibri Light"/>
          <w:szCs w:val="22"/>
        </w:rPr>
        <w:t xml:space="preserve">This </w:t>
      </w:r>
      <w:r w:rsidR="00C734E8">
        <w:rPr>
          <w:rFonts w:cs="Calibri Light"/>
          <w:szCs w:val="22"/>
        </w:rPr>
        <w:t>category</w:t>
      </w:r>
      <w:r w:rsidR="00C734E8" w:rsidRPr="00464DE7">
        <w:rPr>
          <w:rFonts w:cs="Calibri Light"/>
          <w:szCs w:val="22"/>
        </w:rPr>
        <w:t xml:space="preserve"> </w:t>
      </w:r>
      <w:r>
        <w:rPr>
          <w:rFonts w:cs="Calibri Light"/>
          <w:szCs w:val="22"/>
        </w:rPr>
        <w:t>includes</w:t>
      </w:r>
      <w:r w:rsidRPr="00464DE7">
        <w:rPr>
          <w:rFonts w:cs="Calibri Light"/>
          <w:szCs w:val="22"/>
        </w:rPr>
        <w:t xml:space="preserve"> </w:t>
      </w:r>
      <w:r w:rsidR="009F6E3B" w:rsidRPr="002931AD">
        <w:rPr>
          <w:rStyle w:val="Strong"/>
        </w:rPr>
        <w:t>28</w:t>
      </w:r>
      <w:r w:rsidR="009B6078" w:rsidRPr="002931AD">
        <w:rPr>
          <w:rFonts w:cs="Calibri Light"/>
          <w:szCs w:val="22"/>
        </w:rPr>
        <w:t xml:space="preserve"> </w:t>
      </w:r>
      <w:r w:rsidRPr="00464DE7">
        <w:rPr>
          <w:rFonts w:cs="Calibri Light"/>
          <w:szCs w:val="22"/>
        </w:rPr>
        <w:t xml:space="preserve">initiatives. The </w:t>
      </w:r>
      <w:r w:rsidRPr="00532C61">
        <w:t xml:space="preserve">initiatives in this section cover </w:t>
      </w:r>
      <w:r w:rsidRPr="00532C61" w:rsidDel="003363F0">
        <w:t>the</w:t>
      </w:r>
      <w:r w:rsidRPr="00532C61">
        <w:t xml:space="preserve"> development </w:t>
      </w:r>
      <w:r w:rsidRPr="00532C61" w:rsidDel="0071183C">
        <w:t>of</w:t>
      </w:r>
      <w:r w:rsidRPr="00532C61">
        <w:t xml:space="preserve"> primary and subordinate legislation, amendments to existing laws and regulations, the development of industry codes and the notification</w:t>
      </w:r>
      <w:r w:rsidRPr="0011666C">
        <w:rPr>
          <w:rFonts w:cs="Calibri Light"/>
          <w:szCs w:val="22"/>
        </w:rPr>
        <w:t xml:space="preserve"> of tax determinations</w:t>
      </w:r>
      <w:r>
        <w:rPr>
          <w:rFonts w:cs="Calibri Light"/>
          <w:szCs w:val="22"/>
        </w:rPr>
        <w:t>.</w:t>
      </w:r>
      <w:r w:rsidR="008C63FB">
        <w:rPr>
          <w:rFonts w:cs="Calibri Light"/>
          <w:szCs w:val="22"/>
        </w:rPr>
        <w:t xml:space="preserve"> Initiatives that </w:t>
      </w:r>
      <w:r w:rsidR="00F05778">
        <w:rPr>
          <w:rFonts w:cs="Calibri Light"/>
          <w:szCs w:val="22"/>
        </w:rPr>
        <w:t xml:space="preserve">involve </w:t>
      </w:r>
      <w:r w:rsidR="00825570">
        <w:rPr>
          <w:rFonts w:cs="Calibri Light"/>
          <w:szCs w:val="22"/>
        </w:rPr>
        <w:t xml:space="preserve">policy development related to </w:t>
      </w:r>
      <w:r w:rsidR="008C63FB">
        <w:rPr>
          <w:rFonts w:cs="Calibri Light"/>
          <w:szCs w:val="22"/>
        </w:rPr>
        <w:t xml:space="preserve">developing legislation, regulations and instruments </w:t>
      </w:r>
      <w:r w:rsidR="00825570">
        <w:rPr>
          <w:rFonts w:cs="Calibri Light"/>
          <w:szCs w:val="22"/>
        </w:rPr>
        <w:t xml:space="preserve">are also included </w:t>
      </w:r>
      <w:r w:rsidR="00C734E8">
        <w:rPr>
          <w:rFonts w:cs="Calibri Light"/>
          <w:szCs w:val="22"/>
        </w:rPr>
        <w:t>in this section.</w:t>
      </w:r>
    </w:p>
    <w:bookmarkEnd w:id="46"/>
    <w:p w14:paraId="37A7FDC4" w14:textId="796E96EC" w:rsidR="00D723F0" w:rsidRDefault="00835C7A" w:rsidP="00B54CF6">
      <w:pPr>
        <w:rPr>
          <w:rStyle w:val="Strong"/>
          <w:b w:val="0"/>
          <w:bCs w:val="0"/>
        </w:rPr>
      </w:pPr>
      <w:r w:rsidRPr="00A62973">
        <w:rPr>
          <w:rStyle w:val="Strong"/>
          <w:b w:val="0"/>
          <w:bCs w:val="0"/>
        </w:rPr>
        <w:t>The t</w:t>
      </w:r>
      <w:r w:rsidR="00CE33B4" w:rsidRPr="00A62973">
        <w:rPr>
          <w:rStyle w:val="Strong"/>
          <w:b w:val="0"/>
          <w:bCs w:val="0"/>
        </w:rPr>
        <w:t xml:space="preserve">iming </w:t>
      </w:r>
      <w:r w:rsidR="007A1AF9" w:rsidRPr="00A62973">
        <w:rPr>
          <w:rStyle w:val="Strong"/>
          <w:b w:val="0"/>
          <w:bCs w:val="0"/>
        </w:rPr>
        <w:t xml:space="preserve">of </w:t>
      </w:r>
      <w:r w:rsidR="00602FA2" w:rsidRPr="00A62973">
        <w:rPr>
          <w:rStyle w:val="Strong"/>
          <w:b w:val="0"/>
          <w:bCs w:val="0"/>
        </w:rPr>
        <w:t>activities</w:t>
      </w:r>
      <w:r w:rsidR="00086FC7" w:rsidRPr="00A62973">
        <w:rPr>
          <w:rStyle w:val="Strong"/>
          <w:b w:val="0"/>
          <w:bCs w:val="0"/>
        </w:rPr>
        <w:t xml:space="preserve"> </w:t>
      </w:r>
      <w:r w:rsidR="009C28D5" w:rsidRPr="00A62973">
        <w:rPr>
          <w:rStyle w:val="Strong"/>
          <w:b w:val="0"/>
          <w:bCs w:val="0"/>
        </w:rPr>
        <w:t xml:space="preserve">to </w:t>
      </w:r>
      <w:r w:rsidR="00086FC7" w:rsidRPr="00A62973">
        <w:rPr>
          <w:rStyle w:val="Strong"/>
          <w:b w:val="0"/>
          <w:bCs w:val="0"/>
        </w:rPr>
        <w:t xml:space="preserve">support </w:t>
      </w:r>
      <w:r w:rsidR="009C28D5" w:rsidRPr="00A62973">
        <w:rPr>
          <w:rStyle w:val="Strong"/>
          <w:b w:val="0"/>
          <w:bCs w:val="0"/>
        </w:rPr>
        <w:t>new</w:t>
      </w:r>
      <w:r w:rsidR="00086FC7" w:rsidRPr="00A62973">
        <w:rPr>
          <w:rStyle w:val="Strong"/>
          <w:b w:val="0"/>
          <w:bCs w:val="0"/>
        </w:rPr>
        <w:t xml:space="preserve"> legislative measures</w:t>
      </w:r>
      <w:r w:rsidR="0084123C" w:rsidRPr="00A62973">
        <w:rPr>
          <w:rStyle w:val="Strong"/>
          <w:b w:val="0"/>
          <w:bCs w:val="0"/>
        </w:rPr>
        <w:t>,</w:t>
      </w:r>
      <w:r w:rsidR="00602FA2" w:rsidRPr="00A62973">
        <w:rPr>
          <w:rStyle w:val="Strong"/>
          <w:b w:val="0"/>
          <w:bCs w:val="0"/>
        </w:rPr>
        <w:t xml:space="preserve"> such as the development of </w:t>
      </w:r>
      <w:r w:rsidR="000B52B8" w:rsidRPr="00A62973">
        <w:rPr>
          <w:rStyle w:val="Strong"/>
          <w:b w:val="0"/>
          <w:bCs w:val="0"/>
        </w:rPr>
        <w:t xml:space="preserve">relevant regulations, legislative instruments and/or </w:t>
      </w:r>
      <w:r w:rsidR="00602FA2" w:rsidRPr="00A62973">
        <w:rPr>
          <w:rStyle w:val="Strong"/>
          <w:b w:val="0"/>
          <w:bCs w:val="0"/>
        </w:rPr>
        <w:t>regulatory guidance</w:t>
      </w:r>
      <w:r w:rsidR="0084123C" w:rsidRPr="00A62973">
        <w:rPr>
          <w:rStyle w:val="Strong"/>
          <w:b w:val="0"/>
          <w:bCs w:val="0"/>
        </w:rPr>
        <w:t>,</w:t>
      </w:r>
      <w:r w:rsidRPr="00A62973">
        <w:rPr>
          <w:rStyle w:val="Strong"/>
          <w:b w:val="0"/>
          <w:bCs w:val="0"/>
        </w:rPr>
        <w:t xml:space="preserve"> </w:t>
      </w:r>
      <w:r w:rsidR="0053207F" w:rsidRPr="00A62973">
        <w:rPr>
          <w:rStyle w:val="Strong"/>
          <w:b w:val="0"/>
          <w:bCs w:val="0"/>
        </w:rPr>
        <w:t xml:space="preserve">are </w:t>
      </w:r>
      <w:r w:rsidR="00602FA2" w:rsidRPr="00A62973">
        <w:rPr>
          <w:rStyle w:val="Strong"/>
          <w:b w:val="0"/>
          <w:bCs w:val="0"/>
        </w:rPr>
        <w:t xml:space="preserve">subject to </w:t>
      </w:r>
      <w:r w:rsidR="0053207F" w:rsidRPr="00A62973">
        <w:rPr>
          <w:rStyle w:val="Strong"/>
          <w:b w:val="0"/>
          <w:bCs w:val="0"/>
        </w:rPr>
        <w:t xml:space="preserve">the </w:t>
      </w:r>
      <w:r w:rsidR="00602FA2" w:rsidRPr="00A62973">
        <w:rPr>
          <w:rStyle w:val="Strong"/>
          <w:b w:val="0"/>
          <w:bCs w:val="0"/>
        </w:rPr>
        <w:t>passage of</w:t>
      </w:r>
      <w:r w:rsidR="000F1B45" w:rsidRPr="00A62973">
        <w:rPr>
          <w:rStyle w:val="Strong"/>
          <w:b w:val="0"/>
          <w:bCs w:val="0"/>
        </w:rPr>
        <w:t xml:space="preserve"> </w:t>
      </w:r>
      <w:r w:rsidR="0059728F" w:rsidRPr="00A62973">
        <w:rPr>
          <w:rStyle w:val="Strong"/>
          <w:b w:val="0"/>
          <w:bCs w:val="0"/>
        </w:rPr>
        <w:t xml:space="preserve">the relevant </w:t>
      </w:r>
      <w:r w:rsidR="00602FA2" w:rsidRPr="00A62973">
        <w:rPr>
          <w:rStyle w:val="Strong"/>
          <w:b w:val="0"/>
          <w:bCs w:val="0"/>
        </w:rPr>
        <w:t>legislation</w:t>
      </w:r>
      <w:r w:rsidR="0053207F" w:rsidRPr="00A62973">
        <w:rPr>
          <w:rStyle w:val="Strong"/>
          <w:b w:val="0"/>
          <w:bCs w:val="0"/>
        </w:rPr>
        <w:t xml:space="preserve"> and ongoing </w:t>
      </w:r>
      <w:r w:rsidR="00621D79" w:rsidRPr="00A62973">
        <w:rPr>
          <w:rStyle w:val="Strong"/>
          <w:b w:val="0"/>
          <w:bCs w:val="0"/>
        </w:rPr>
        <w:t>government</w:t>
      </w:r>
      <w:r w:rsidR="0053207F" w:rsidRPr="00A62973">
        <w:rPr>
          <w:rStyle w:val="Strong"/>
          <w:b w:val="0"/>
          <w:bCs w:val="0"/>
        </w:rPr>
        <w:t xml:space="preserve"> and regulator consideration</w:t>
      </w:r>
      <w:r w:rsidR="00602FA2" w:rsidRPr="00A62973">
        <w:rPr>
          <w:rStyle w:val="Strong"/>
          <w:b w:val="0"/>
          <w:bCs w:val="0"/>
        </w:rPr>
        <w:t>.</w:t>
      </w:r>
      <w:r w:rsidR="009C6F98" w:rsidRPr="00A62973">
        <w:rPr>
          <w:rStyle w:val="Strong"/>
          <w:b w:val="0"/>
          <w:bCs w:val="0"/>
        </w:rPr>
        <w:t xml:space="preserve"> Where </w:t>
      </w:r>
      <w:r w:rsidR="001777E2" w:rsidRPr="00A62973">
        <w:rPr>
          <w:rStyle w:val="Strong"/>
          <w:b w:val="0"/>
          <w:bCs w:val="0"/>
        </w:rPr>
        <w:t xml:space="preserve">there is sufficient certainty that certain </w:t>
      </w:r>
      <w:r w:rsidR="005D5089" w:rsidRPr="00A62973">
        <w:rPr>
          <w:rStyle w:val="Strong"/>
          <w:b w:val="0"/>
          <w:bCs w:val="0"/>
        </w:rPr>
        <w:t>activities will be undertaken</w:t>
      </w:r>
      <w:r w:rsidR="001777E2" w:rsidRPr="00A62973">
        <w:rPr>
          <w:rStyle w:val="Strong"/>
          <w:b w:val="0"/>
          <w:bCs w:val="0"/>
        </w:rPr>
        <w:t xml:space="preserve"> to support implementation</w:t>
      </w:r>
      <w:r w:rsidR="005D5089" w:rsidRPr="00A62973">
        <w:rPr>
          <w:rStyle w:val="Strong"/>
          <w:b w:val="0"/>
          <w:bCs w:val="0"/>
        </w:rPr>
        <w:t xml:space="preserve">, </w:t>
      </w:r>
      <w:r w:rsidR="008D1F43" w:rsidRPr="00A62973">
        <w:rPr>
          <w:rStyle w:val="Strong"/>
          <w:b w:val="0"/>
          <w:bCs w:val="0"/>
        </w:rPr>
        <w:t xml:space="preserve">activities have been </w:t>
      </w:r>
      <w:r w:rsidR="005D5089" w:rsidRPr="00A62973">
        <w:rPr>
          <w:rStyle w:val="Strong"/>
          <w:b w:val="0"/>
          <w:bCs w:val="0"/>
        </w:rPr>
        <w:t>identified.</w:t>
      </w:r>
      <w:r w:rsidR="005A6290" w:rsidRPr="00A62973">
        <w:rPr>
          <w:rStyle w:val="Strong"/>
          <w:b w:val="0"/>
          <w:bCs w:val="0"/>
        </w:rPr>
        <w:t xml:space="preserve"> </w:t>
      </w:r>
    </w:p>
    <w:p w14:paraId="67E912CA" w14:textId="77777777" w:rsidR="00776E56" w:rsidRPr="00EC27BF" w:rsidRDefault="00776E56" w:rsidP="00776E56">
      <w:pPr>
        <w:spacing w:before="0" w:after="0"/>
        <w:rPr>
          <w:rStyle w:val="Strong"/>
          <w:sz w:val="20"/>
        </w:rPr>
      </w:pPr>
      <w:r w:rsidRPr="00EC27BF">
        <w:rPr>
          <w:rStyle w:val="Strong"/>
          <w:sz w:val="20"/>
        </w:rPr>
        <w:t xml:space="preserve">A * indicates a new milestone for an initiative that was included in Edition 1 where progress on the work has occurred. </w:t>
      </w:r>
    </w:p>
    <w:p w14:paraId="27F50E7A" w14:textId="7382B0B4" w:rsidR="00776E56" w:rsidRPr="00A62973" w:rsidRDefault="00776E56" w:rsidP="00776E56">
      <w:pPr>
        <w:rPr>
          <w:rStyle w:val="Strong"/>
          <w:b w:val="0"/>
          <w:bCs w:val="0"/>
        </w:rPr>
      </w:pPr>
      <w:r w:rsidRPr="00EC27BF">
        <w:rPr>
          <w:rStyle w:val="Strong"/>
          <w:sz w:val="20"/>
        </w:rPr>
        <w:t xml:space="preserve">A ^ indicates where a milestone has changed from Edition 1 to this Edition. A changes table at the end of this document </w:t>
      </w:r>
      <w:proofErr w:type="gramStart"/>
      <w:r w:rsidRPr="00EC27BF">
        <w:rPr>
          <w:rStyle w:val="Strong"/>
          <w:sz w:val="20"/>
        </w:rPr>
        <w:t>explains</w:t>
      </w:r>
      <w:proofErr w:type="gramEnd"/>
      <w:r w:rsidRPr="00EC27BF">
        <w:rPr>
          <w:rStyle w:val="Strong"/>
          <w:sz w:val="20"/>
        </w:rPr>
        <w:t xml:space="preserve"> the</w:t>
      </w:r>
      <w:r>
        <w:rPr>
          <w:rStyle w:val="Strong"/>
          <w:sz w:val="20"/>
        </w:rPr>
        <w:t xml:space="preserve"> change.</w:t>
      </w:r>
    </w:p>
    <w:p w14:paraId="625D2AF3" w14:textId="08646EB1" w:rsidR="00ED40F9" w:rsidRPr="00975965" w:rsidRDefault="00ED40F9" w:rsidP="00975965">
      <w:pPr>
        <w:pStyle w:val="TableMainHeading"/>
        <w:rPr>
          <w:rStyle w:val="Strong"/>
          <w:b w:val="0"/>
          <w:bCs w:val="0"/>
        </w:rPr>
      </w:pPr>
      <w:r w:rsidRPr="00975965">
        <w:rPr>
          <w:rStyle w:val="Strong"/>
          <w:b w:val="0"/>
          <w:bCs w:val="0"/>
        </w:rPr>
        <w:t>Forward calendar</w:t>
      </w:r>
    </w:p>
    <w:tbl>
      <w:tblPr>
        <w:tblStyle w:val="GridTable1Light-Accent2"/>
        <w:tblW w:w="5000" w:type="pct"/>
        <w:tblBorders>
          <w:top w:val="none" w:sz="0" w:space="0" w:color="auto"/>
          <w:left w:val="none" w:sz="0" w:space="0" w:color="auto"/>
          <w:bottom w:val="none" w:sz="0" w:space="0" w:color="auto"/>
          <w:right w:val="none" w:sz="0" w:space="0" w:color="auto"/>
          <w:insideH w:val="single" w:sz="4" w:space="0" w:color="B1F0CF" w:themeColor="accent4"/>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794"/>
        <w:gridCol w:w="1304"/>
        <w:gridCol w:w="3175"/>
        <w:gridCol w:w="1247"/>
        <w:gridCol w:w="1247"/>
        <w:gridCol w:w="1247"/>
        <w:gridCol w:w="1247"/>
        <w:gridCol w:w="1247"/>
        <w:gridCol w:w="1108"/>
        <w:gridCol w:w="1386"/>
      </w:tblGrid>
      <w:tr w:rsidR="00127337" w:rsidRPr="0088394A" w14:paraId="6932296C" w14:textId="77777777" w:rsidTr="00290C68">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794" w:type="dxa"/>
            <w:tcBorders>
              <w:top w:val="nil"/>
              <w:bottom w:val="single" w:sz="4" w:space="0" w:color="BCE4CF"/>
            </w:tcBorders>
            <w:shd w:val="clear" w:color="auto" w:fill="C5E8D6"/>
            <w:vAlign w:val="center"/>
            <w:hideMark/>
          </w:tcPr>
          <w:p w14:paraId="783610D9" w14:textId="77777777" w:rsidR="00127337" w:rsidRPr="0052695A" w:rsidRDefault="00127337" w:rsidP="00FC1EBB">
            <w:pPr>
              <w:pStyle w:val="TableColumnHeadingLeft"/>
              <w:rPr>
                <w:b/>
                <w:bCs w:val="0"/>
              </w:rPr>
            </w:pPr>
            <w:r w:rsidRPr="0052695A">
              <w:rPr>
                <w:b/>
                <w:bCs w:val="0"/>
              </w:rPr>
              <w:t>Agency</w:t>
            </w:r>
          </w:p>
        </w:tc>
        <w:tc>
          <w:tcPr>
            <w:tcW w:w="1304" w:type="dxa"/>
            <w:tcBorders>
              <w:top w:val="nil"/>
              <w:bottom w:val="single" w:sz="4" w:space="0" w:color="BCE4CF"/>
            </w:tcBorders>
            <w:shd w:val="clear" w:color="auto" w:fill="C5E8D6"/>
            <w:vAlign w:val="center"/>
          </w:tcPr>
          <w:p w14:paraId="4D3150B0" w14:textId="77777777" w:rsidR="00127337" w:rsidRPr="0052695A" w:rsidRDefault="00127337" w:rsidP="00FC1EBB">
            <w:pPr>
              <w:pStyle w:val="TableColumnHeadingLeft"/>
              <w:cnfStyle w:val="100000000000" w:firstRow="1" w:lastRow="0" w:firstColumn="0" w:lastColumn="0" w:oddVBand="0" w:evenVBand="0" w:oddHBand="0" w:evenHBand="0" w:firstRowFirstColumn="0" w:firstRowLastColumn="0" w:lastRowFirstColumn="0" w:lastRowLastColumn="0"/>
              <w:rPr>
                <w:b/>
                <w:bCs w:val="0"/>
              </w:rPr>
            </w:pPr>
            <w:r w:rsidRPr="0052695A">
              <w:rPr>
                <w:b/>
                <w:bCs w:val="0"/>
              </w:rPr>
              <w:t>Sector</w:t>
            </w:r>
          </w:p>
        </w:tc>
        <w:tc>
          <w:tcPr>
            <w:tcW w:w="3175" w:type="dxa"/>
            <w:tcBorders>
              <w:top w:val="nil"/>
              <w:bottom w:val="single" w:sz="4" w:space="0" w:color="BCE4CF"/>
            </w:tcBorders>
            <w:shd w:val="clear" w:color="auto" w:fill="C5E8D6"/>
            <w:vAlign w:val="center"/>
          </w:tcPr>
          <w:p w14:paraId="77F15384" w14:textId="77777777" w:rsidR="00127337" w:rsidRPr="0052695A" w:rsidRDefault="00127337" w:rsidP="00FC1EBB">
            <w:pPr>
              <w:pStyle w:val="TableColumnHeadingLeft"/>
              <w:cnfStyle w:val="100000000000" w:firstRow="1" w:lastRow="0" w:firstColumn="0" w:lastColumn="0" w:oddVBand="0" w:evenVBand="0" w:oddHBand="0" w:evenHBand="0" w:firstRowFirstColumn="0" w:firstRowLastColumn="0" w:lastRowFirstColumn="0" w:lastRowLastColumn="0"/>
              <w:rPr>
                <w:b/>
                <w:bCs w:val="0"/>
              </w:rPr>
            </w:pPr>
            <w:r w:rsidRPr="0052695A">
              <w:rPr>
                <w:b/>
                <w:bCs w:val="0"/>
              </w:rPr>
              <w:t>Initiative</w:t>
            </w:r>
          </w:p>
        </w:tc>
        <w:tc>
          <w:tcPr>
            <w:tcW w:w="1247" w:type="dxa"/>
            <w:tcBorders>
              <w:top w:val="nil"/>
              <w:bottom w:val="single" w:sz="4" w:space="0" w:color="BCE4CF"/>
            </w:tcBorders>
            <w:shd w:val="clear" w:color="auto" w:fill="C5E8D6"/>
            <w:vAlign w:val="center"/>
            <w:hideMark/>
          </w:tcPr>
          <w:p w14:paraId="001DD828" w14:textId="77777777" w:rsidR="00127337" w:rsidRPr="0052695A" w:rsidRDefault="00127337" w:rsidP="00FC1EBB">
            <w:pPr>
              <w:pStyle w:val="TableColumnHeadingLeft"/>
              <w:cnfStyle w:val="100000000000" w:firstRow="1" w:lastRow="0" w:firstColumn="0" w:lastColumn="0" w:oddVBand="0" w:evenVBand="0" w:oddHBand="0" w:evenHBand="0" w:firstRowFirstColumn="0" w:firstRowLastColumn="0" w:lastRowFirstColumn="0" w:lastRowLastColumn="0"/>
              <w:rPr>
                <w:b/>
                <w:bCs w:val="0"/>
              </w:rPr>
            </w:pPr>
            <w:r w:rsidRPr="0052695A">
              <w:rPr>
                <w:b/>
                <w:bCs w:val="0"/>
              </w:rPr>
              <w:t xml:space="preserve">Q4 2025 </w:t>
            </w:r>
            <w:r w:rsidRPr="0052695A" w:rsidDel="00E56148">
              <w:rPr>
                <w:b/>
                <w:bCs w:val="0"/>
              </w:rPr>
              <w:t>activity</w:t>
            </w:r>
          </w:p>
        </w:tc>
        <w:tc>
          <w:tcPr>
            <w:tcW w:w="1247" w:type="dxa"/>
            <w:tcBorders>
              <w:top w:val="nil"/>
              <w:bottom w:val="single" w:sz="4" w:space="0" w:color="BCE4CF"/>
            </w:tcBorders>
            <w:shd w:val="clear" w:color="auto" w:fill="C5E8D6"/>
            <w:vAlign w:val="center"/>
          </w:tcPr>
          <w:p w14:paraId="13FA2AE9" w14:textId="77777777" w:rsidR="00127337" w:rsidRPr="0052695A" w:rsidRDefault="00127337" w:rsidP="00FC1EBB">
            <w:pPr>
              <w:pStyle w:val="TableColumnHeadingLeft"/>
              <w:cnfStyle w:val="100000000000" w:firstRow="1" w:lastRow="0" w:firstColumn="0" w:lastColumn="0" w:oddVBand="0" w:evenVBand="0" w:oddHBand="0" w:evenHBand="0" w:firstRowFirstColumn="0" w:firstRowLastColumn="0" w:lastRowFirstColumn="0" w:lastRowLastColumn="0"/>
              <w:rPr>
                <w:b/>
                <w:bCs w:val="0"/>
              </w:rPr>
            </w:pPr>
            <w:r w:rsidRPr="0052695A">
              <w:rPr>
                <w:b/>
                <w:bCs w:val="0"/>
              </w:rPr>
              <w:t xml:space="preserve">Q1 2026 </w:t>
            </w:r>
            <w:r w:rsidRPr="0052695A" w:rsidDel="00A82F6F">
              <w:rPr>
                <w:b/>
                <w:bCs w:val="0"/>
              </w:rPr>
              <w:t>activity</w:t>
            </w:r>
          </w:p>
        </w:tc>
        <w:tc>
          <w:tcPr>
            <w:tcW w:w="1247" w:type="dxa"/>
            <w:tcBorders>
              <w:top w:val="nil"/>
              <w:bottom w:val="single" w:sz="4" w:space="0" w:color="BCE4CF"/>
            </w:tcBorders>
            <w:shd w:val="clear" w:color="auto" w:fill="C5E8D6"/>
            <w:vAlign w:val="center"/>
          </w:tcPr>
          <w:p w14:paraId="7F4CDED8" w14:textId="77777777" w:rsidR="00127337" w:rsidRPr="0052695A" w:rsidRDefault="00127337" w:rsidP="00FC1EBB">
            <w:pPr>
              <w:pStyle w:val="TableColumnHeadingLeft"/>
              <w:cnfStyle w:val="100000000000" w:firstRow="1" w:lastRow="0" w:firstColumn="0" w:lastColumn="0" w:oddVBand="0" w:evenVBand="0" w:oddHBand="0" w:evenHBand="0" w:firstRowFirstColumn="0" w:firstRowLastColumn="0" w:lastRowFirstColumn="0" w:lastRowLastColumn="0"/>
              <w:rPr>
                <w:b/>
                <w:bCs w:val="0"/>
              </w:rPr>
            </w:pPr>
            <w:r w:rsidRPr="0052695A">
              <w:rPr>
                <w:b/>
                <w:bCs w:val="0"/>
              </w:rPr>
              <w:t xml:space="preserve">Q2 2026 </w:t>
            </w:r>
            <w:r w:rsidRPr="0052695A" w:rsidDel="00240B71">
              <w:rPr>
                <w:b/>
                <w:bCs w:val="0"/>
              </w:rPr>
              <w:t>activity</w:t>
            </w:r>
          </w:p>
        </w:tc>
        <w:tc>
          <w:tcPr>
            <w:tcW w:w="1247" w:type="dxa"/>
            <w:tcBorders>
              <w:top w:val="nil"/>
              <w:bottom w:val="single" w:sz="4" w:space="0" w:color="BCE4CF"/>
            </w:tcBorders>
            <w:shd w:val="clear" w:color="auto" w:fill="C5E8D6"/>
            <w:vAlign w:val="center"/>
          </w:tcPr>
          <w:p w14:paraId="430E0780" w14:textId="77777777" w:rsidR="00127337" w:rsidRPr="0052695A" w:rsidRDefault="00127337" w:rsidP="00FC1EBB">
            <w:pPr>
              <w:pStyle w:val="TableColumnHeadingLeft"/>
              <w:cnfStyle w:val="100000000000" w:firstRow="1" w:lastRow="0" w:firstColumn="0" w:lastColumn="0" w:oddVBand="0" w:evenVBand="0" w:oddHBand="0" w:evenHBand="0" w:firstRowFirstColumn="0" w:firstRowLastColumn="0" w:lastRowFirstColumn="0" w:lastRowLastColumn="0"/>
              <w:rPr>
                <w:b/>
                <w:bCs w:val="0"/>
              </w:rPr>
            </w:pPr>
            <w:r w:rsidRPr="0052695A">
              <w:rPr>
                <w:b/>
                <w:bCs w:val="0"/>
              </w:rPr>
              <w:t>Q3 2026 activity</w:t>
            </w:r>
          </w:p>
        </w:tc>
        <w:tc>
          <w:tcPr>
            <w:tcW w:w="1247" w:type="dxa"/>
            <w:tcBorders>
              <w:top w:val="nil"/>
              <w:bottom w:val="single" w:sz="4" w:space="0" w:color="BCE4CF"/>
            </w:tcBorders>
            <w:shd w:val="clear" w:color="auto" w:fill="C5E8D6"/>
            <w:vAlign w:val="center"/>
          </w:tcPr>
          <w:p w14:paraId="0C428F4C" w14:textId="77777777" w:rsidR="00127337" w:rsidRPr="0052695A" w:rsidRDefault="00127337" w:rsidP="00FC1EBB">
            <w:pPr>
              <w:pStyle w:val="TableColumnHeadingLeft"/>
              <w:cnfStyle w:val="100000000000" w:firstRow="1" w:lastRow="0" w:firstColumn="0" w:lastColumn="0" w:oddVBand="0" w:evenVBand="0" w:oddHBand="0" w:evenHBand="0" w:firstRowFirstColumn="0" w:firstRowLastColumn="0" w:lastRowFirstColumn="0" w:lastRowLastColumn="0"/>
              <w:rPr>
                <w:b/>
                <w:bCs w:val="0"/>
              </w:rPr>
            </w:pPr>
            <w:r w:rsidRPr="0052695A">
              <w:rPr>
                <w:b/>
                <w:bCs w:val="0"/>
              </w:rPr>
              <w:t xml:space="preserve">Q4 2026 </w:t>
            </w:r>
            <w:r w:rsidRPr="0052695A" w:rsidDel="00867E3D">
              <w:rPr>
                <w:b/>
                <w:bCs w:val="0"/>
              </w:rPr>
              <w:t>activity</w:t>
            </w:r>
          </w:p>
        </w:tc>
        <w:tc>
          <w:tcPr>
            <w:tcW w:w="1108" w:type="dxa"/>
            <w:tcBorders>
              <w:top w:val="nil"/>
              <w:bottom w:val="single" w:sz="4" w:space="0" w:color="BCE4CF"/>
            </w:tcBorders>
            <w:shd w:val="clear" w:color="auto" w:fill="C5E8D6"/>
            <w:vAlign w:val="center"/>
          </w:tcPr>
          <w:p w14:paraId="70800942" w14:textId="77777777" w:rsidR="00127337" w:rsidRPr="0052695A" w:rsidRDefault="00127337" w:rsidP="00FC1EBB">
            <w:pPr>
              <w:pStyle w:val="TableColumnHeadingLeft"/>
              <w:cnfStyle w:val="100000000000" w:firstRow="1" w:lastRow="0" w:firstColumn="0" w:lastColumn="0" w:oddVBand="0" w:evenVBand="0" w:oddHBand="0" w:evenHBand="0" w:firstRowFirstColumn="0" w:firstRowLastColumn="0" w:lastRowFirstColumn="0" w:lastRowLastColumn="0"/>
              <w:rPr>
                <w:b/>
                <w:bCs w:val="0"/>
              </w:rPr>
            </w:pPr>
            <w:r w:rsidRPr="0052695A">
              <w:rPr>
                <w:b/>
                <w:bCs w:val="0"/>
              </w:rPr>
              <w:t xml:space="preserve">Q1 2027 </w:t>
            </w:r>
            <w:r w:rsidRPr="0052695A" w:rsidDel="007C238E">
              <w:rPr>
                <w:b/>
                <w:bCs w:val="0"/>
              </w:rPr>
              <w:t>activity</w:t>
            </w:r>
          </w:p>
        </w:tc>
        <w:tc>
          <w:tcPr>
            <w:tcW w:w="1386" w:type="dxa"/>
            <w:tcBorders>
              <w:top w:val="nil"/>
              <w:bottom w:val="single" w:sz="4" w:space="0" w:color="BCE4CF"/>
            </w:tcBorders>
            <w:shd w:val="clear" w:color="auto" w:fill="C5E8D6"/>
            <w:vAlign w:val="center"/>
          </w:tcPr>
          <w:p w14:paraId="7AF02115" w14:textId="77777777" w:rsidR="00127337" w:rsidRPr="0052695A" w:rsidRDefault="00127337" w:rsidP="00FC1EBB">
            <w:pPr>
              <w:pStyle w:val="TableColumnHeadingLeft"/>
              <w:cnfStyle w:val="100000000000" w:firstRow="1" w:lastRow="0" w:firstColumn="0" w:lastColumn="0" w:oddVBand="0" w:evenVBand="0" w:oddHBand="0" w:evenHBand="0" w:firstRowFirstColumn="0" w:firstRowLastColumn="0" w:lastRowFirstColumn="0" w:lastRowLastColumn="0"/>
              <w:rPr>
                <w:b/>
                <w:bCs w:val="0"/>
              </w:rPr>
            </w:pPr>
            <w:r w:rsidRPr="0052695A">
              <w:rPr>
                <w:b/>
                <w:bCs w:val="0"/>
              </w:rPr>
              <w:t>Q2</w:t>
            </w:r>
            <w:r>
              <w:rPr>
                <w:b/>
                <w:bCs w:val="0"/>
              </w:rPr>
              <w:t>–</w:t>
            </w:r>
            <w:r w:rsidRPr="0052695A">
              <w:rPr>
                <w:b/>
                <w:bCs w:val="0"/>
              </w:rPr>
              <w:t xml:space="preserve">3 2027 </w:t>
            </w:r>
            <w:r w:rsidRPr="0052695A" w:rsidDel="007C238E">
              <w:rPr>
                <w:b/>
                <w:bCs w:val="0"/>
              </w:rPr>
              <w:t>activity</w:t>
            </w:r>
          </w:p>
        </w:tc>
      </w:tr>
      <w:tr w:rsidR="00127337" w:rsidRPr="00AF43B7" w14:paraId="4EBDD246" w14:textId="77777777" w:rsidTr="00290C68">
        <w:trPr>
          <w:cantSplit/>
          <w:trHeight w:val="410"/>
        </w:trPr>
        <w:tc>
          <w:tcPr>
            <w:cnfStyle w:val="001000000000" w:firstRow="0" w:lastRow="0" w:firstColumn="1" w:lastColumn="0" w:oddVBand="0" w:evenVBand="0" w:oddHBand="0" w:evenHBand="0" w:firstRowFirstColumn="0" w:firstRowLastColumn="0" w:lastRowFirstColumn="0" w:lastRowLastColumn="0"/>
            <w:tcW w:w="794" w:type="dxa"/>
            <w:tcBorders>
              <w:top w:val="single" w:sz="4" w:space="0" w:color="BCE4CF"/>
              <w:bottom w:val="single" w:sz="4" w:space="0" w:color="BCE4CF"/>
            </w:tcBorders>
          </w:tcPr>
          <w:p w14:paraId="0191DDC7" w14:textId="77777777" w:rsidR="000D593D" w:rsidRPr="000D593D" w:rsidRDefault="000D593D" w:rsidP="000D593D">
            <w:pPr>
              <w:pStyle w:val="TableLeadAgency"/>
              <w:spacing w:before="0" w:after="0"/>
              <w:rPr>
                <w:b/>
                <w:bCs/>
              </w:rPr>
            </w:pPr>
            <w:r w:rsidRPr="00B01252">
              <w:rPr>
                <w:b/>
                <w:bCs/>
              </w:rPr>
              <w:t xml:space="preserve">TSY </w:t>
            </w:r>
          </w:p>
          <w:p w14:paraId="53F5C5DA" w14:textId="77777777" w:rsidR="000D593D" w:rsidRPr="000D593D" w:rsidRDefault="000D593D" w:rsidP="000D593D">
            <w:pPr>
              <w:pStyle w:val="TableSecondaryAgency"/>
              <w:spacing w:before="0" w:after="0"/>
              <w:rPr>
                <w:b w:val="0"/>
                <w:bCs/>
              </w:rPr>
            </w:pPr>
            <w:r w:rsidRPr="00B01252">
              <w:rPr>
                <w:b w:val="0"/>
                <w:bCs/>
              </w:rPr>
              <w:t xml:space="preserve">ATO </w:t>
            </w:r>
          </w:p>
          <w:p w14:paraId="16B41CA2" w14:textId="77777777" w:rsidR="000D593D" w:rsidRPr="00B01252" w:rsidRDefault="000D593D" w:rsidP="000D593D">
            <w:pPr>
              <w:pStyle w:val="TableSecondaryAgency"/>
              <w:spacing w:before="0" w:after="0"/>
              <w:rPr>
                <w:b w:val="0"/>
                <w:bCs/>
              </w:rPr>
            </w:pPr>
            <w:r w:rsidRPr="00B01252">
              <w:rPr>
                <w:b w:val="0"/>
                <w:bCs/>
              </w:rPr>
              <w:t>Home Affairs</w:t>
            </w:r>
          </w:p>
          <w:p w14:paraId="35FCCA45" w14:textId="77777777" w:rsidR="00127337" w:rsidRPr="0051217F" w:rsidRDefault="00127337" w:rsidP="002931AD">
            <w:pPr>
              <w:pStyle w:val="TableSecondaryAgency"/>
              <w:spacing w:before="0" w:after="0"/>
              <w:rPr>
                <w:rFonts w:cs="Calibri Light"/>
              </w:rPr>
            </w:pPr>
          </w:p>
        </w:tc>
        <w:tc>
          <w:tcPr>
            <w:tcW w:w="1304" w:type="dxa"/>
            <w:tcBorders>
              <w:top w:val="single" w:sz="4" w:space="0" w:color="BCE4CF"/>
              <w:bottom w:val="single" w:sz="4" w:space="0" w:color="BCE4CF"/>
            </w:tcBorders>
          </w:tcPr>
          <w:p w14:paraId="3DE884F8" w14:textId="77777777" w:rsidR="00127337" w:rsidRPr="0052695A" w:rsidRDefault="00127337" w:rsidP="005C66C0">
            <w:pPr>
              <w:pStyle w:val="TableTextLeft"/>
              <w:cnfStyle w:val="000000000000" w:firstRow="0" w:lastRow="0" w:firstColumn="0" w:lastColumn="0" w:oddVBand="0" w:evenVBand="0" w:oddHBand="0" w:evenHBand="0" w:firstRowFirstColumn="0" w:firstRowLastColumn="0" w:lastRowFirstColumn="0" w:lastRowLastColumn="0"/>
            </w:pPr>
            <w:r w:rsidRPr="00301F93">
              <w:t>Superannuation and retirement income</w:t>
            </w:r>
          </w:p>
        </w:tc>
        <w:tc>
          <w:tcPr>
            <w:tcW w:w="3175" w:type="dxa"/>
            <w:tcBorders>
              <w:top w:val="single" w:sz="4" w:space="0" w:color="BCE4CF"/>
              <w:bottom w:val="single" w:sz="4" w:space="0" w:color="BCE4CF"/>
            </w:tcBorders>
          </w:tcPr>
          <w:p w14:paraId="1C41F803" w14:textId="1DF7F1BA" w:rsidR="00127337" w:rsidRPr="00F57BE5" w:rsidRDefault="00127337" w:rsidP="00F57BE5">
            <w:pPr>
              <w:pStyle w:val="TableLink"/>
              <w:cnfStyle w:val="000000000000" w:firstRow="0" w:lastRow="0" w:firstColumn="0" w:lastColumn="0" w:oddVBand="0" w:evenVBand="0" w:oddHBand="0" w:evenHBand="0" w:firstRowFirstColumn="0" w:firstRowLastColumn="0" w:lastRowFirstColumn="0" w:lastRowLastColumn="0"/>
            </w:pPr>
            <w:hyperlink r:id="rId67" w:history="1">
              <w:r w:rsidRPr="00F57BE5">
                <w:rPr>
                  <w:rStyle w:val="Hyperlink"/>
                  <w:color w:val="5D779D" w:themeColor="accent3"/>
                  <w:u w:val="single"/>
                </w:rPr>
                <w:t>Access to offenders</w:t>
              </w:r>
              <w:r w:rsidR="003D486F" w:rsidRPr="00F57BE5">
                <w:rPr>
                  <w:rStyle w:val="Hyperlink"/>
                  <w:color w:val="5D779D" w:themeColor="accent3"/>
                  <w:u w:val="single"/>
                </w:rPr>
                <w:t>’</w:t>
              </w:r>
              <w:r w:rsidRPr="00F57BE5">
                <w:rPr>
                  <w:rStyle w:val="Hyperlink"/>
                  <w:color w:val="5D779D" w:themeColor="accent3"/>
                  <w:u w:val="single"/>
                </w:rPr>
                <w:t xml:space="preserve"> superannuation</w:t>
              </w:r>
            </w:hyperlink>
          </w:p>
          <w:p w14:paraId="29D43D5E" w14:textId="1001A676" w:rsidR="00127337" w:rsidRDefault="00127337" w:rsidP="005C66C0">
            <w:pPr>
              <w:pStyle w:val="TableTextLeft"/>
              <w:spacing w:before="0" w:after="0"/>
              <w:cnfStyle w:val="000000000000" w:firstRow="0" w:lastRow="0" w:firstColumn="0" w:lastColumn="0" w:oddVBand="0" w:evenVBand="0" w:oddHBand="0" w:evenHBand="0" w:firstRowFirstColumn="0" w:firstRowLastColumn="0" w:lastRowFirstColumn="0" w:lastRowLastColumn="0"/>
            </w:pPr>
            <w:r>
              <w:t>The government will develop legislation to p</w:t>
            </w:r>
            <w:r w:rsidRPr="00F534FF">
              <w:t xml:space="preserve">revent child sexual abuse offenders from shielding their assets in superannuation to avoid court </w:t>
            </w:r>
            <w:r w:rsidR="003D486F">
              <w:noBreakHyphen/>
            </w:r>
            <w:r w:rsidRPr="00F534FF">
              <w:t>ordered compensation for victims and survivors.</w:t>
            </w:r>
            <w:r>
              <w:t xml:space="preserve"> V</w:t>
            </w:r>
            <w:r w:rsidRPr="00D660D2">
              <w:t xml:space="preserve">ictims and survivors of child sexual abuse </w:t>
            </w:r>
            <w:r>
              <w:t xml:space="preserve">would be able </w:t>
            </w:r>
            <w:r w:rsidRPr="00D660D2">
              <w:t>to seek access, via a court order, to additional personal or salary sacrifice superannuation contributions made by the offender after the first offence occurred where a related court order for compensation remains unpaid after 12</w:t>
            </w:r>
            <w:r>
              <w:t> </w:t>
            </w:r>
            <w:r w:rsidRPr="00D660D2">
              <w:t>months. Applications to identify any potential eligible superannuation would be facilitated by the A</w:t>
            </w:r>
            <w:r>
              <w:t>TO</w:t>
            </w:r>
            <w:r w:rsidRPr="00D660D2">
              <w:t>.</w:t>
            </w:r>
          </w:p>
          <w:p w14:paraId="4E43146B" w14:textId="77777777" w:rsidR="00127337" w:rsidRPr="00A15D1F" w:rsidRDefault="00127337" w:rsidP="005C66C0">
            <w:pPr>
              <w:pStyle w:val="TableTextLeft"/>
              <w:cnfStyle w:val="000000000000" w:firstRow="0" w:lastRow="0" w:firstColumn="0" w:lastColumn="0" w:oddVBand="0" w:evenVBand="0" w:oddHBand="0" w:evenHBand="0" w:firstRowFirstColumn="0" w:firstRowLastColumn="0" w:lastRowFirstColumn="0" w:lastRowLastColumn="0"/>
            </w:pPr>
            <w:r w:rsidRPr="00F534FF">
              <w:t>Legislation is to be developed in due course</w:t>
            </w:r>
            <w:r w:rsidRPr="0080794F">
              <w:t>.</w:t>
            </w:r>
            <w:r w:rsidRPr="001E382B">
              <w:rPr>
                <w:rFonts w:cs="Calibri Light"/>
                <w:color w:val="00B050"/>
                <w:szCs w:val="16"/>
              </w:rPr>
              <w:t xml:space="preserve"> </w:t>
            </w:r>
          </w:p>
        </w:tc>
        <w:tc>
          <w:tcPr>
            <w:tcW w:w="1247" w:type="dxa"/>
            <w:tcBorders>
              <w:top w:val="single" w:sz="4" w:space="0" w:color="BCE4CF"/>
              <w:bottom w:val="single" w:sz="4" w:space="0" w:color="BCE4CF"/>
            </w:tcBorders>
            <w:shd w:val="clear" w:color="auto" w:fill="ECF7F1"/>
          </w:tcPr>
          <w:p w14:paraId="7E731B78" w14:textId="77777777" w:rsidR="00127337" w:rsidRPr="00B555A9" w:rsidRDefault="00127337" w:rsidP="005C66C0">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20F1B931" w14:textId="77777777" w:rsidR="00127337" w:rsidRPr="00B555A9" w:rsidRDefault="00127337" w:rsidP="005C66C0">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745A442C" w14:textId="77777777" w:rsidR="00127337" w:rsidRPr="00B555A9" w:rsidRDefault="00127337" w:rsidP="005C66C0">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45F62EBD" w14:textId="77777777" w:rsidR="00127337" w:rsidRPr="00B555A9" w:rsidRDefault="00127337" w:rsidP="005C66C0">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106BF216" w14:textId="77777777" w:rsidR="00127337" w:rsidRPr="00B555A9" w:rsidRDefault="00127337" w:rsidP="005C66C0">
            <w:pPr>
              <w:pStyle w:val="TableTextLeft"/>
              <w:cnfStyle w:val="000000000000" w:firstRow="0" w:lastRow="0" w:firstColumn="0" w:lastColumn="0" w:oddVBand="0" w:evenVBand="0" w:oddHBand="0" w:evenHBand="0" w:firstRowFirstColumn="0" w:firstRowLastColumn="0" w:lastRowFirstColumn="0" w:lastRowLastColumn="0"/>
            </w:pPr>
          </w:p>
        </w:tc>
        <w:tc>
          <w:tcPr>
            <w:tcW w:w="1108" w:type="dxa"/>
            <w:tcBorders>
              <w:top w:val="single" w:sz="4" w:space="0" w:color="BCE4CF"/>
              <w:bottom w:val="single" w:sz="4" w:space="0" w:color="BCE4CF"/>
            </w:tcBorders>
            <w:shd w:val="clear" w:color="auto" w:fill="F5FBF8"/>
          </w:tcPr>
          <w:p w14:paraId="1832FF46" w14:textId="77777777" w:rsidR="00127337" w:rsidRPr="00B555A9" w:rsidRDefault="00127337" w:rsidP="005C66C0">
            <w:pPr>
              <w:pStyle w:val="TableTextLeft"/>
              <w:cnfStyle w:val="000000000000" w:firstRow="0" w:lastRow="0" w:firstColumn="0" w:lastColumn="0" w:oddVBand="0" w:evenVBand="0" w:oddHBand="0" w:evenHBand="0" w:firstRowFirstColumn="0" w:firstRowLastColumn="0" w:lastRowFirstColumn="0" w:lastRowLastColumn="0"/>
            </w:pPr>
          </w:p>
        </w:tc>
        <w:tc>
          <w:tcPr>
            <w:tcW w:w="1386" w:type="dxa"/>
            <w:tcBorders>
              <w:top w:val="single" w:sz="4" w:space="0" w:color="BCE4CF"/>
              <w:bottom w:val="single" w:sz="4" w:space="0" w:color="BCE4CF"/>
            </w:tcBorders>
            <w:shd w:val="clear" w:color="auto" w:fill="F5FBF8"/>
          </w:tcPr>
          <w:p w14:paraId="7777ECA1" w14:textId="77777777" w:rsidR="00127337" w:rsidRPr="00B555A9" w:rsidRDefault="00127337" w:rsidP="005C66C0">
            <w:pPr>
              <w:pStyle w:val="TableTextLeft"/>
              <w:cnfStyle w:val="000000000000" w:firstRow="0" w:lastRow="0" w:firstColumn="0" w:lastColumn="0" w:oddVBand="0" w:evenVBand="0" w:oddHBand="0" w:evenHBand="0" w:firstRowFirstColumn="0" w:firstRowLastColumn="0" w:lastRowFirstColumn="0" w:lastRowLastColumn="0"/>
            </w:pPr>
          </w:p>
        </w:tc>
      </w:tr>
      <w:tr w:rsidR="00127337" w:rsidRPr="00AF43B7" w14:paraId="5A87EC2A" w14:textId="77777777" w:rsidTr="00290C68">
        <w:trPr>
          <w:cantSplit/>
          <w:trHeight w:val="410"/>
        </w:trPr>
        <w:tc>
          <w:tcPr>
            <w:cnfStyle w:val="001000000000" w:firstRow="0" w:lastRow="0" w:firstColumn="1" w:lastColumn="0" w:oddVBand="0" w:evenVBand="0" w:oddHBand="0" w:evenHBand="0" w:firstRowFirstColumn="0" w:firstRowLastColumn="0" w:lastRowFirstColumn="0" w:lastRowLastColumn="0"/>
            <w:tcW w:w="794" w:type="dxa"/>
            <w:tcBorders>
              <w:top w:val="single" w:sz="4" w:space="0" w:color="BCE4CF"/>
              <w:bottom w:val="single" w:sz="4" w:space="0" w:color="BCE4CF"/>
            </w:tcBorders>
          </w:tcPr>
          <w:p w14:paraId="438ED726" w14:textId="03975BBF" w:rsidR="000D593D" w:rsidRDefault="000D593D" w:rsidP="000D593D">
            <w:pPr>
              <w:pStyle w:val="TableLeadAgency"/>
              <w:spacing w:before="0" w:after="0"/>
              <w:rPr>
                <w:lang w:eastAsia="en-US"/>
              </w:rPr>
            </w:pPr>
            <w:r>
              <w:rPr>
                <w:b/>
                <w:lang w:eastAsia="en-US"/>
              </w:rPr>
              <w:lastRenderedPageBreak/>
              <w:t xml:space="preserve"> Home Affairs</w:t>
            </w:r>
          </w:p>
          <w:p w14:paraId="11A9020C" w14:textId="59E09DF3" w:rsidR="00127337" w:rsidRPr="002931AD" w:rsidRDefault="000D593D" w:rsidP="000D593D">
            <w:pPr>
              <w:pStyle w:val="TableSecondaryAgency"/>
              <w:rPr>
                <w:b w:val="0"/>
              </w:rPr>
            </w:pPr>
            <w:r w:rsidRPr="00B01252">
              <w:rPr>
                <w:b w:val="0"/>
                <w:bCs/>
                <w:lang w:eastAsia="en-US"/>
              </w:rPr>
              <w:t>AUSTRAC</w:t>
            </w:r>
          </w:p>
        </w:tc>
        <w:tc>
          <w:tcPr>
            <w:tcW w:w="1304" w:type="dxa"/>
            <w:tcBorders>
              <w:top w:val="single" w:sz="4" w:space="0" w:color="BCE4CF"/>
              <w:bottom w:val="single" w:sz="4" w:space="0" w:color="BCE4CF"/>
            </w:tcBorders>
          </w:tcPr>
          <w:p w14:paraId="1BC046E0" w14:textId="77777777" w:rsidR="00127337" w:rsidRPr="0052695A" w:rsidRDefault="00127337" w:rsidP="00287640">
            <w:pPr>
              <w:pStyle w:val="TableTextLeft"/>
              <w:cnfStyle w:val="000000000000" w:firstRow="0" w:lastRow="0" w:firstColumn="0" w:lastColumn="0" w:oddVBand="0" w:evenVBand="0" w:oddHBand="0" w:evenHBand="0" w:firstRowFirstColumn="0" w:firstRowLastColumn="0" w:lastRowFirstColumn="0" w:lastRowLastColumn="0"/>
            </w:pPr>
            <w:r>
              <w:rPr>
                <w:lang w:eastAsia="en-US"/>
              </w:rPr>
              <w:t>All</w:t>
            </w:r>
          </w:p>
        </w:tc>
        <w:tc>
          <w:tcPr>
            <w:tcW w:w="3175" w:type="dxa"/>
            <w:tcBorders>
              <w:top w:val="single" w:sz="4" w:space="0" w:color="BCE4CF"/>
              <w:bottom w:val="single" w:sz="4" w:space="0" w:color="BCE4CF"/>
            </w:tcBorders>
          </w:tcPr>
          <w:p w14:paraId="3A6BC1E9" w14:textId="5F52ACB4" w:rsidR="00127337" w:rsidRPr="00283753" w:rsidRDefault="00127337" w:rsidP="00283753">
            <w:pPr>
              <w:pStyle w:val="TableLink"/>
              <w:cnfStyle w:val="000000000000" w:firstRow="0" w:lastRow="0" w:firstColumn="0" w:lastColumn="0" w:oddVBand="0" w:evenVBand="0" w:oddHBand="0" w:evenHBand="0" w:firstRowFirstColumn="0" w:firstRowLastColumn="0" w:lastRowFirstColumn="0" w:lastRowLastColumn="0"/>
              <w:rPr>
                <w:b w:val="0"/>
                <w:color w:val="4D7861" w:themeColor="accent2"/>
                <w:szCs w:val="16"/>
              </w:rPr>
            </w:pPr>
            <w:r>
              <w:rPr>
                <w:bCs/>
                <w:iCs/>
                <w:lang w:eastAsia="en-US"/>
              </w:rPr>
              <w:t>Anti</w:t>
            </w:r>
            <w:r w:rsidR="003D486F">
              <w:rPr>
                <w:bCs/>
                <w:iCs/>
                <w:lang w:eastAsia="en-US"/>
              </w:rPr>
              <w:noBreakHyphen/>
            </w:r>
            <w:r>
              <w:rPr>
                <w:bCs/>
                <w:iCs/>
                <w:lang w:eastAsia="en-US"/>
              </w:rPr>
              <w:t>Money Laundering and Counter</w:t>
            </w:r>
            <w:r w:rsidR="003D486F">
              <w:rPr>
                <w:bCs/>
                <w:iCs/>
                <w:lang w:eastAsia="en-US"/>
              </w:rPr>
              <w:noBreakHyphen/>
            </w:r>
            <w:r>
              <w:rPr>
                <w:bCs/>
                <w:iCs/>
                <w:lang w:eastAsia="en-US"/>
              </w:rPr>
              <w:t xml:space="preserve">Terrorism Financing </w:t>
            </w:r>
            <w:r>
              <w:rPr>
                <w:bCs/>
                <w:lang w:eastAsia="en-US"/>
              </w:rPr>
              <w:t xml:space="preserve">Regulations </w:t>
            </w:r>
            <w:r w:rsidR="00283753" w:rsidRPr="00283753">
              <w:rPr>
                <w:rStyle w:val="NewInitiativeChar"/>
                <w:b/>
                <w:bCs/>
                <w:sz w:val="16"/>
                <w:szCs w:val="16"/>
                <w:u w:val="none"/>
              </w:rPr>
              <w:t>(new)</w:t>
            </w:r>
          </w:p>
          <w:p w14:paraId="52FAECDF" w14:textId="1CF901E4" w:rsidR="00127337" w:rsidRPr="00A564A2" w:rsidRDefault="00127337" w:rsidP="00287640">
            <w:pPr>
              <w:pStyle w:val="TableLink"/>
              <w:spacing w:before="0" w:after="0"/>
              <w:cnfStyle w:val="000000000000" w:firstRow="0" w:lastRow="0" w:firstColumn="0" w:lastColumn="0" w:oddVBand="0" w:evenVBand="0" w:oddHBand="0" w:evenHBand="0" w:firstRowFirstColumn="0" w:firstRowLastColumn="0" w:lastRowFirstColumn="0" w:lastRowLastColumn="0"/>
              <w:rPr>
                <w:b w:val="0"/>
                <w:color w:val="auto"/>
                <w:u w:val="none"/>
                <w:lang w:eastAsia="en-US"/>
              </w:rPr>
            </w:pPr>
            <w:r w:rsidRPr="00A564A2">
              <w:rPr>
                <w:b w:val="0"/>
                <w:color w:val="auto"/>
                <w:u w:val="none"/>
                <w:lang w:eastAsia="en-US"/>
              </w:rPr>
              <w:t xml:space="preserve">Amendments to the </w:t>
            </w:r>
            <w:r w:rsidRPr="00A564A2">
              <w:rPr>
                <w:b w:val="0"/>
                <w:i/>
                <w:color w:val="auto"/>
                <w:u w:val="none"/>
                <w:lang w:eastAsia="en-US"/>
              </w:rPr>
              <w:t>Anti</w:t>
            </w:r>
            <w:r w:rsidR="003D486F">
              <w:rPr>
                <w:b w:val="0"/>
                <w:i/>
                <w:iCs/>
                <w:color w:val="auto"/>
                <w:u w:val="none"/>
                <w:lang w:eastAsia="en-US"/>
              </w:rPr>
              <w:noBreakHyphen/>
            </w:r>
            <w:r w:rsidRPr="00A564A2">
              <w:rPr>
                <w:b w:val="0"/>
                <w:i/>
                <w:color w:val="auto"/>
                <w:u w:val="none"/>
                <w:lang w:eastAsia="en-US"/>
              </w:rPr>
              <w:t xml:space="preserve">Money Laundering and </w:t>
            </w:r>
            <w:r w:rsidR="4F4FFC3D" w:rsidRPr="64D7C3E1">
              <w:rPr>
                <w:b w:val="0"/>
                <w:i/>
                <w:iCs/>
                <w:color w:val="auto"/>
                <w:u w:val="none"/>
                <w:lang w:eastAsia="en-US"/>
              </w:rPr>
              <w:t>Counter</w:t>
            </w:r>
            <w:r w:rsidR="009A213A">
              <w:rPr>
                <w:b w:val="0"/>
                <w:i/>
                <w:iCs/>
                <w:color w:val="auto"/>
                <w:u w:val="none"/>
                <w:lang w:eastAsia="en-US"/>
              </w:rPr>
              <w:t>-</w:t>
            </w:r>
            <w:r w:rsidR="4F4FFC3D" w:rsidRPr="64D7C3E1">
              <w:rPr>
                <w:b w:val="0"/>
                <w:i/>
                <w:iCs/>
                <w:color w:val="auto"/>
                <w:u w:val="none"/>
                <w:lang w:eastAsia="en-US"/>
              </w:rPr>
              <w:t>Terrorism</w:t>
            </w:r>
            <w:r w:rsidRPr="00A564A2">
              <w:rPr>
                <w:b w:val="0"/>
                <w:i/>
                <w:color w:val="auto"/>
                <w:u w:val="none"/>
                <w:lang w:eastAsia="en-US"/>
              </w:rPr>
              <w:t xml:space="preserve"> Financing Act 2006</w:t>
            </w:r>
            <w:r w:rsidRPr="00A564A2">
              <w:rPr>
                <w:b w:val="0"/>
                <w:color w:val="auto"/>
                <w:u w:val="none"/>
                <w:lang w:eastAsia="en-US"/>
              </w:rPr>
              <w:t xml:space="preserve"> create a new exception to the tipping</w:t>
            </w:r>
            <w:r w:rsidR="003D486F">
              <w:rPr>
                <w:b w:val="0"/>
                <w:color w:val="auto"/>
                <w:u w:val="none"/>
                <w:lang w:eastAsia="en-US"/>
              </w:rPr>
              <w:noBreakHyphen/>
            </w:r>
            <w:r w:rsidRPr="00A564A2">
              <w:rPr>
                <w:b w:val="0"/>
                <w:color w:val="auto"/>
                <w:u w:val="none"/>
                <w:lang w:eastAsia="en-US"/>
              </w:rPr>
              <w:t>off offence that allows for private</w:t>
            </w:r>
            <w:r w:rsidR="003D486F">
              <w:rPr>
                <w:b w:val="0"/>
                <w:color w:val="auto"/>
                <w:u w:val="none"/>
                <w:lang w:eastAsia="en-US"/>
              </w:rPr>
              <w:noBreakHyphen/>
            </w:r>
            <w:r w:rsidRPr="00A564A2">
              <w:rPr>
                <w:b w:val="0"/>
                <w:color w:val="auto"/>
                <w:u w:val="none"/>
                <w:lang w:eastAsia="en-US"/>
              </w:rPr>
              <w:t>to</w:t>
            </w:r>
            <w:r w:rsidR="003D486F">
              <w:rPr>
                <w:b w:val="0"/>
                <w:color w:val="auto"/>
                <w:u w:val="none"/>
                <w:lang w:eastAsia="en-US"/>
              </w:rPr>
              <w:noBreakHyphen/>
            </w:r>
            <w:r w:rsidRPr="00A564A2">
              <w:rPr>
                <w:b w:val="0"/>
                <w:color w:val="auto"/>
                <w:u w:val="none"/>
                <w:lang w:eastAsia="en-US"/>
              </w:rPr>
              <w:t xml:space="preserve">private information sharing. Home Affairs is currently developing regulations to </w:t>
            </w:r>
            <w:proofErr w:type="spellStart"/>
            <w:r w:rsidRPr="00A564A2">
              <w:rPr>
                <w:b w:val="0"/>
                <w:color w:val="auto"/>
                <w:u w:val="none"/>
                <w:lang w:eastAsia="en-US"/>
              </w:rPr>
              <w:t>operationalise</w:t>
            </w:r>
            <w:proofErr w:type="spellEnd"/>
            <w:r w:rsidRPr="00A564A2">
              <w:rPr>
                <w:b w:val="0"/>
                <w:color w:val="auto"/>
                <w:u w:val="none"/>
                <w:lang w:eastAsia="en-US"/>
              </w:rPr>
              <w:t xml:space="preserve"> this exception. </w:t>
            </w:r>
          </w:p>
          <w:p w14:paraId="7F5E100F" w14:textId="77777777" w:rsidR="00127337" w:rsidRPr="00364E88" w:rsidRDefault="00127337" w:rsidP="00364E88">
            <w:pPr>
              <w:pStyle w:val="TableLink"/>
              <w:spacing w:before="0" w:after="0"/>
              <w:cnfStyle w:val="000000000000" w:firstRow="0" w:lastRow="0" w:firstColumn="0" w:lastColumn="0" w:oddVBand="0" w:evenVBand="0" w:oddHBand="0" w:evenHBand="0" w:firstRowFirstColumn="0" w:firstRowLastColumn="0" w:lastRowFirstColumn="0" w:lastRowLastColumn="0"/>
              <w:rPr>
                <w:b w:val="0"/>
                <w:color w:val="auto"/>
                <w:u w:val="none"/>
                <w:lang w:eastAsia="en-US"/>
              </w:rPr>
            </w:pPr>
            <w:r w:rsidRPr="00A564A2">
              <w:rPr>
                <w:b w:val="0"/>
                <w:color w:val="auto"/>
                <w:u w:val="none"/>
                <w:lang w:eastAsia="en-US"/>
              </w:rPr>
              <w:t xml:space="preserve">Home Affairs is also developing regulations associated with the definition of proliferation financing. The AML/CTF regime now permits relevant laws of Commonwealth, state and territories to be prescribed in regulations to assist reporting entities in complying with their obligations under the regime. Home Affairs is currently working through which laws could be appropriately listed. </w:t>
            </w:r>
          </w:p>
        </w:tc>
        <w:tc>
          <w:tcPr>
            <w:tcW w:w="1247" w:type="dxa"/>
            <w:tcBorders>
              <w:top w:val="single" w:sz="4" w:space="0" w:color="BCE4CF"/>
              <w:bottom w:val="single" w:sz="4" w:space="0" w:color="BCE4CF"/>
            </w:tcBorders>
            <w:shd w:val="clear" w:color="auto" w:fill="ECF7F1"/>
          </w:tcPr>
          <w:p w14:paraId="569B029D" w14:textId="77777777" w:rsidR="00127337" w:rsidRPr="00283753" w:rsidRDefault="00127337" w:rsidP="00283753">
            <w:pPr>
              <w:pStyle w:val="TableTextLeft"/>
              <w:cnfStyle w:val="000000000000" w:firstRow="0" w:lastRow="0" w:firstColumn="0" w:lastColumn="0" w:oddVBand="0" w:evenVBand="0" w:oddHBand="0" w:evenHBand="0" w:firstRowFirstColumn="0" w:firstRowLastColumn="0" w:lastRowFirstColumn="0" w:lastRowLastColumn="0"/>
            </w:pPr>
            <w:r w:rsidRPr="00283753">
              <w:t xml:space="preserve">Initial targeted consultation with finance sector on proposed private to private information sharing regulation. </w:t>
            </w:r>
          </w:p>
          <w:p w14:paraId="13C021EC" w14:textId="77777777" w:rsidR="00127337" w:rsidRPr="00283753" w:rsidRDefault="00127337" w:rsidP="00283753">
            <w:pPr>
              <w:pStyle w:val="TableTextLeft"/>
              <w:cnfStyle w:val="000000000000" w:firstRow="0" w:lastRow="0" w:firstColumn="0" w:lastColumn="0" w:oddVBand="0" w:evenVBand="0" w:oddHBand="0" w:evenHBand="0" w:firstRowFirstColumn="0" w:firstRowLastColumn="0" w:lastRowFirstColumn="0" w:lastRowLastColumn="0"/>
            </w:pPr>
          </w:p>
          <w:p w14:paraId="4CE208E4" w14:textId="77777777" w:rsidR="00127337" w:rsidRPr="00283753" w:rsidRDefault="00127337" w:rsidP="00283753">
            <w:pPr>
              <w:pStyle w:val="TableTextLeft"/>
              <w:cnfStyle w:val="000000000000" w:firstRow="0" w:lastRow="0" w:firstColumn="0" w:lastColumn="0" w:oddVBand="0" w:evenVBand="0" w:oddHBand="0" w:evenHBand="0" w:firstRowFirstColumn="0" w:firstRowLastColumn="0" w:lastRowFirstColumn="0" w:lastRowLastColumn="0"/>
            </w:pPr>
            <w:r w:rsidRPr="00283753">
              <w:t xml:space="preserve">Proliferation financing regulations to be made at </w:t>
            </w:r>
            <w:proofErr w:type="spellStart"/>
            <w:r w:rsidRPr="00283753">
              <w:t>ExCo</w:t>
            </w:r>
            <w:proofErr w:type="spellEnd"/>
            <w:r w:rsidRPr="00283753">
              <w:t>.</w:t>
            </w:r>
          </w:p>
        </w:tc>
        <w:tc>
          <w:tcPr>
            <w:tcW w:w="1247" w:type="dxa"/>
            <w:tcBorders>
              <w:top w:val="single" w:sz="4" w:space="0" w:color="BCE4CF"/>
              <w:bottom w:val="single" w:sz="4" w:space="0" w:color="BCE4CF"/>
            </w:tcBorders>
            <w:shd w:val="clear" w:color="auto" w:fill="ECF7F1"/>
          </w:tcPr>
          <w:p w14:paraId="167BE879" w14:textId="2162B87F" w:rsidR="00127337" w:rsidRPr="00283753" w:rsidRDefault="00127337" w:rsidP="00283753">
            <w:pPr>
              <w:pStyle w:val="TableTextLeft"/>
              <w:cnfStyle w:val="000000000000" w:firstRow="0" w:lastRow="0" w:firstColumn="0" w:lastColumn="0" w:oddVBand="0" w:evenVBand="0" w:oddHBand="0" w:evenHBand="0" w:firstRowFirstColumn="0" w:firstRowLastColumn="0" w:lastRowFirstColumn="0" w:lastRowLastColumn="0"/>
            </w:pPr>
            <w:r w:rsidRPr="00283753">
              <w:t>Additional private sector consultation on private</w:t>
            </w:r>
            <w:r w:rsidR="003D486F" w:rsidRPr="00283753">
              <w:noBreakHyphen/>
            </w:r>
            <w:r w:rsidRPr="00283753">
              <w:t>to</w:t>
            </w:r>
            <w:r w:rsidR="003D486F" w:rsidRPr="00283753">
              <w:noBreakHyphen/>
            </w:r>
            <w:r w:rsidRPr="00283753">
              <w:t>private regulations.</w:t>
            </w:r>
          </w:p>
        </w:tc>
        <w:tc>
          <w:tcPr>
            <w:tcW w:w="1247" w:type="dxa"/>
            <w:tcBorders>
              <w:top w:val="single" w:sz="4" w:space="0" w:color="BCE4CF"/>
              <w:bottom w:val="single" w:sz="4" w:space="0" w:color="BCE4CF"/>
            </w:tcBorders>
            <w:shd w:val="clear" w:color="auto" w:fill="ECF7F1"/>
          </w:tcPr>
          <w:p w14:paraId="2A923509" w14:textId="77777777" w:rsidR="00127337" w:rsidRPr="00283753" w:rsidRDefault="00127337" w:rsidP="00283753">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46097442" w14:textId="77777777" w:rsidR="00127337" w:rsidRPr="00283753" w:rsidRDefault="00127337" w:rsidP="00283753">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73BDE795" w14:textId="77777777" w:rsidR="00127337" w:rsidRPr="00283753" w:rsidRDefault="00127337" w:rsidP="00283753">
            <w:pPr>
              <w:pStyle w:val="TableTextLeft"/>
              <w:cnfStyle w:val="000000000000" w:firstRow="0" w:lastRow="0" w:firstColumn="0" w:lastColumn="0" w:oddVBand="0" w:evenVBand="0" w:oddHBand="0" w:evenHBand="0" w:firstRowFirstColumn="0" w:firstRowLastColumn="0" w:lastRowFirstColumn="0" w:lastRowLastColumn="0"/>
            </w:pPr>
          </w:p>
        </w:tc>
        <w:tc>
          <w:tcPr>
            <w:tcW w:w="1108" w:type="dxa"/>
            <w:tcBorders>
              <w:top w:val="single" w:sz="4" w:space="0" w:color="BCE4CF"/>
              <w:bottom w:val="single" w:sz="4" w:space="0" w:color="BCE4CF"/>
            </w:tcBorders>
            <w:shd w:val="clear" w:color="auto" w:fill="F5FBF8"/>
          </w:tcPr>
          <w:p w14:paraId="576A36A3" w14:textId="77777777" w:rsidR="00127337" w:rsidRPr="00283753" w:rsidRDefault="00127337" w:rsidP="00283753">
            <w:pPr>
              <w:pStyle w:val="TableTextLeft"/>
              <w:cnfStyle w:val="000000000000" w:firstRow="0" w:lastRow="0" w:firstColumn="0" w:lastColumn="0" w:oddVBand="0" w:evenVBand="0" w:oddHBand="0" w:evenHBand="0" w:firstRowFirstColumn="0" w:firstRowLastColumn="0" w:lastRowFirstColumn="0" w:lastRowLastColumn="0"/>
            </w:pPr>
          </w:p>
        </w:tc>
        <w:tc>
          <w:tcPr>
            <w:tcW w:w="1386" w:type="dxa"/>
            <w:tcBorders>
              <w:top w:val="single" w:sz="4" w:space="0" w:color="BCE4CF"/>
              <w:bottom w:val="single" w:sz="4" w:space="0" w:color="BCE4CF"/>
            </w:tcBorders>
            <w:shd w:val="clear" w:color="auto" w:fill="F5FBF8"/>
          </w:tcPr>
          <w:p w14:paraId="20BF00A1" w14:textId="77777777" w:rsidR="00127337" w:rsidRPr="00283753" w:rsidRDefault="00127337" w:rsidP="00283753">
            <w:pPr>
              <w:pStyle w:val="TableTextLeft"/>
              <w:cnfStyle w:val="000000000000" w:firstRow="0" w:lastRow="0" w:firstColumn="0" w:lastColumn="0" w:oddVBand="0" w:evenVBand="0" w:oddHBand="0" w:evenHBand="0" w:firstRowFirstColumn="0" w:firstRowLastColumn="0" w:lastRowFirstColumn="0" w:lastRowLastColumn="0"/>
            </w:pPr>
          </w:p>
        </w:tc>
      </w:tr>
      <w:tr w:rsidR="00127337" w:rsidRPr="00AF43B7" w14:paraId="403B1281" w14:textId="77777777" w:rsidTr="00290C68">
        <w:trPr>
          <w:cantSplit/>
          <w:trHeight w:val="410"/>
        </w:trPr>
        <w:tc>
          <w:tcPr>
            <w:cnfStyle w:val="001000000000" w:firstRow="0" w:lastRow="0" w:firstColumn="1" w:lastColumn="0" w:oddVBand="0" w:evenVBand="0" w:oddHBand="0" w:evenHBand="0" w:firstRowFirstColumn="0" w:firstRowLastColumn="0" w:lastRowFirstColumn="0" w:lastRowLastColumn="0"/>
            <w:tcW w:w="794" w:type="dxa"/>
            <w:tcBorders>
              <w:top w:val="single" w:sz="4" w:space="0" w:color="BCE4CF"/>
              <w:bottom w:val="single" w:sz="4" w:space="0" w:color="BCE4CF"/>
            </w:tcBorders>
          </w:tcPr>
          <w:p w14:paraId="2B7BF2A2" w14:textId="77777777" w:rsidR="00127337" w:rsidRPr="00031D59" w:rsidRDefault="00127337" w:rsidP="00DE1435">
            <w:pPr>
              <w:pStyle w:val="TableLeadAgency"/>
              <w:spacing w:before="0" w:after="0"/>
              <w:rPr>
                <w:b/>
                <w:bCs/>
              </w:rPr>
            </w:pPr>
            <w:r w:rsidRPr="009718D7">
              <w:rPr>
                <w:b/>
                <w:bCs/>
              </w:rPr>
              <w:t>AUSTRAC</w:t>
            </w:r>
          </w:p>
          <w:p w14:paraId="4D17EF7E" w14:textId="77777777" w:rsidR="00127337" w:rsidRPr="002931AD" w:rsidRDefault="00127337" w:rsidP="00DE1435">
            <w:pPr>
              <w:pStyle w:val="TableLeadAgency"/>
              <w:rPr>
                <w:i/>
              </w:rPr>
            </w:pPr>
            <w:r w:rsidRPr="002931AD">
              <w:rPr>
                <w:i/>
              </w:rPr>
              <w:t>Home Affairs</w:t>
            </w:r>
          </w:p>
        </w:tc>
        <w:tc>
          <w:tcPr>
            <w:tcW w:w="1304" w:type="dxa"/>
            <w:tcBorders>
              <w:top w:val="single" w:sz="4" w:space="0" w:color="BCE4CF"/>
              <w:bottom w:val="single" w:sz="4" w:space="0" w:color="BCE4CF"/>
            </w:tcBorders>
          </w:tcPr>
          <w:p w14:paraId="2A4B88EB" w14:textId="77777777" w:rsidR="00127337" w:rsidRPr="009A41CA" w:rsidRDefault="00127337" w:rsidP="00DE1435">
            <w:pPr>
              <w:pStyle w:val="TableTextLeft"/>
              <w:cnfStyle w:val="000000000000" w:firstRow="0" w:lastRow="0" w:firstColumn="0" w:lastColumn="0" w:oddVBand="0" w:evenVBand="0" w:oddHBand="0" w:evenHBand="0" w:firstRowFirstColumn="0" w:firstRowLastColumn="0" w:lastRowFirstColumn="0" w:lastRowLastColumn="0"/>
            </w:pPr>
            <w:r w:rsidRPr="00301F93">
              <w:t>All</w:t>
            </w:r>
          </w:p>
        </w:tc>
        <w:tc>
          <w:tcPr>
            <w:tcW w:w="3175" w:type="dxa"/>
            <w:tcBorders>
              <w:top w:val="single" w:sz="4" w:space="0" w:color="BCE4CF"/>
              <w:bottom w:val="single" w:sz="4" w:space="0" w:color="BCE4CF"/>
            </w:tcBorders>
          </w:tcPr>
          <w:p w14:paraId="2ED0788A" w14:textId="07B8B31C" w:rsidR="00127337" w:rsidRPr="00283753" w:rsidRDefault="00127337" w:rsidP="00283753">
            <w:pPr>
              <w:pStyle w:val="TableLink"/>
              <w:cnfStyle w:val="000000000000" w:firstRow="0" w:lastRow="0" w:firstColumn="0" w:lastColumn="0" w:oddVBand="0" w:evenVBand="0" w:oddHBand="0" w:evenHBand="0" w:firstRowFirstColumn="0" w:firstRowLastColumn="0" w:lastRowFirstColumn="0" w:lastRowLastColumn="0"/>
            </w:pPr>
            <w:hyperlink r:id="rId68" w:history="1">
              <w:r w:rsidRPr="00283753">
                <w:rPr>
                  <w:rStyle w:val="Hyperlink"/>
                  <w:color w:val="5D779D" w:themeColor="accent3"/>
                  <w:u w:val="single"/>
                </w:rPr>
                <w:t>Anti</w:t>
              </w:r>
              <w:r w:rsidR="003D486F" w:rsidRPr="00283753">
                <w:rPr>
                  <w:rStyle w:val="Hyperlink"/>
                  <w:color w:val="5D779D" w:themeColor="accent3"/>
                  <w:u w:val="single"/>
                </w:rPr>
                <w:noBreakHyphen/>
              </w:r>
              <w:r w:rsidRPr="00283753">
                <w:rPr>
                  <w:rStyle w:val="Hyperlink"/>
                  <w:color w:val="5D779D" w:themeColor="accent3"/>
                  <w:u w:val="single"/>
                </w:rPr>
                <w:t>Money Laundering and Counter</w:t>
              </w:r>
              <w:r w:rsidR="003D486F" w:rsidRPr="00283753">
                <w:rPr>
                  <w:rStyle w:val="Hyperlink"/>
                  <w:color w:val="5D779D" w:themeColor="accent3"/>
                  <w:u w:val="single"/>
                </w:rPr>
                <w:noBreakHyphen/>
              </w:r>
              <w:r w:rsidRPr="00283753">
                <w:rPr>
                  <w:rStyle w:val="Hyperlink"/>
                  <w:color w:val="5D779D" w:themeColor="accent3"/>
                  <w:u w:val="single"/>
                </w:rPr>
                <w:t>Terrorism Financing Rules</w:t>
              </w:r>
            </w:hyperlink>
          </w:p>
          <w:p w14:paraId="0EACFF75" w14:textId="6A2C121C" w:rsidR="00127337" w:rsidRPr="00DE1435" w:rsidRDefault="00127337" w:rsidP="7B9B14BF">
            <w:pPr>
              <w:pStyle w:val="TableLink"/>
              <w:spacing w:before="0" w:after="0"/>
              <w:cnfStyle w:val="000000000000" w:firstRow="0" w:lastRow="0" w:firstColumn="0" w:lastColumn="0" w:oddVBand="0" w:evenVBand="0" w:oddHBand="0" w:evenHBand="0" w:firstRowFirstColumn="0" w:firstRowLastColumn="0" w:lastRowFirstColumn="0" w:lastRowLastColumn="0"/>
              <w:rPr>
                <w:b w:val="0"/>
                <w:color w:val="auto"/>
                <w:u w:val="none"/>
              </w:rPr>
            </w:pPr>
            <w:r w:rsidRPr="7B9B14BF">
              <w:rPr>
                <w:b w:val="0"/>
                <w:color w:val="auto"/>
                <w:u w:val="none"/>
              </w:rPr>
              <w:t xml:space="preserve">As part of the reforms to the </w:t>
            </w:r>
            <w:r w:rsidRPr="7B9B14BF">
              <w:rPr>
                <w:b w:val="0"/>
                <w:i/>
                <w:iCs/>
                <w:color w:val="auto"/>
                <w:u w:val="none"/>
              </w:rPr>
              <w:t>Anti</w:t>
            </w:r>
            <w:r w:rsidR="003D486F">
              <w:rPr>
                <w:b w:val="0"/>
                <w:i/>
                <w:iCs/>
                <w:color w:val="auto"/>
                <w:u w:val="none"/>
              </w:rPr>
              <w:noBreakHyphen/>
            </w:r>
            <w:r w:rsidRPr="7B9B14BF">
              <w:rPr>
                <w:b w:val="0"/>
                <w:i/>
                <w:iCs/>
                <w:color w:val="auto"/>
                <w:u w:val="none"/>
              </w:rPr>
              <w:t>Money Laundering and Counter</w:t>
            </w:r>
            <w:r w:rsidR="006342C9">
              <w:rPr>
                <w:b w:val="0"/>
                <w:i/>
                <w:iCs/>
                <w:color w:val="auto"/>
                <w:u w:val="none"/>
              </w:rPr>
              <w:t>-</w:t>
            </w:r>
            <w:r w:rsidRPr="7B9B14BF">
              <w:rPr>
                <w:b w:val="0"/>
                <w:i/>
                <w:iCs/>
                <w:color w:val="auto"/>
                <w:u w:val="none"/>
              </w:rPr>
              <w:t>Terrorism Financing Act 2006</w:t>
            </w:r>
            <w:r w:rsidRPr="7B9B14BF">
              <w:rPr>
                <w:b w:val="0"/>
                <w:color w:val="auto"/>
                <w:u w:val="none"/>
              </w:rPr>
              <w:t>, development of Anti</w:t>
            </w:r>
            <w:r w:rsidR="006342C9">
              <w:rPr>
                <w:b w:val="0"/>
                <w:color w:val="auto"/>
                <w:u w:val="none"/>
              </w:rPr>
              <w:t>-</w:t>
            </w:r>
            <w:r w:rsidRPr="7B9B14BF">
              <w:rPr>
                <w:b w:val="0"/>
                <w:color w:val="auto"/>
                <w:u w:val="none"/>
              </w:rPr>
              <w:t>Money Laundering and Counter</w:t>
            </w:r>
            <w:r w:rsidR="006342C9">
              <w:rPr>
                <w:b w:val="0"/>
                <w:color w:val="auto"/>
                <w:u w:val="none"/>
              </w:rPr>
              <w:t>-</w:t>
            </w:r>
            <w:r w:rsidRPr="7B9B14BF">
              <w:rPr>
                <w:b w:val="0"/>
                <w:color w:val="auto"/>
                <w:u w:val="none"/>
              </w:rPr>
              <w:t xml:space="preserve">Terrorism Financing (AML/CTF) Rules will improve the effectiveness of the AML/CTF regime by simplifying and clarifying the existing regime to make it easier for businesses to meet their obligations, and will </w:t>
            </w:r>
            <w:proofErr w:type="spellStart"/>
            <w:r w:rsidRPr="7B9B14BF">
              <w:rPr>
                <w:b w:val="0"/>
                <w:color w:val="auto"/>
                <w:u w:val="none"/>
              </w:rPr>
              <w:t>modernise</w:t>
            </w:r>
            <w:proofErr w:type="spellEnd"/>
            <w:r w:rsidRPr="7B9B14BF">
              <w:rPr>
                <w:b w:val="0"/>
                <w:color w:val="auto"/>
                <w:u w:val="none"/>
              </w:rPr>
              <w:t xml:space="preserve"> the regime to reflect changing business structures and technologies across the economy.</w:t>
            </w:r>
            <w:r w:rsidR="0084343F" w:rsidRPr="7B9B14BF">
              <w:rPr>
                <w:b w:val="0"/>
                <w:color w:val="auto"/>
                <w:u w:val="none"/>
              </w:rPr>
              <w:t xml:space="preserve"> </w:t>
            </w:r>
          </w:p>
        </w:tc>
        <w:tc>
          <w:tcPr>
            <w:tcW w:w="1247" w:type="dxa"/>
            <w:tcBorders>
              <w:top w:val="single" w:sz="4" w:space="0" w:color="BCE4CF"/>
              <w:bottom w:val="single" w:sz="4" w:space="0" w:color="BCE4CF"/>
            </w:tcBorders>
            <w:shd w:val="clear" w:color="auto" w:fill="ECF7F1"/>
          </w:tcPr>
          <w:p w14:paraId="4D54B6AD" w14:textId="77777777" w:rsidR="007F3003" w:rsidRDefault="007F3003" w:rsidP="007F3003">
            <w:pPr>
              <w:pStyle w:val="TableTextLeft"/>
              <w:cnfStyle w:val="000000000000" w:firstRow="0" w:lastRow="0" w:firstColumn="0" w:lastColumn="0" w:oddVBand="0" w:evenVBand="0" w:oddHBand="0" w:evenHBand="0" w:firstRowFirstColumn="0" w:firstRowLastColumn="0" w:lastRowFirstColumn="0" w:lastRowLastColumn="0"/>
            </w:pPr>
            <w:r>
              <w:t>Core guidance released*</w:t>
            </w:r>
          </w:p>
          <w:p w14:paraId="45F0F180" w14:textId="77777777" w:rsidR="007F3003" w:rsidRDefault="007F3003" w:rsidP="007F3003">
            <w:pPr>
              <w:pStyle w:val="TableTextLeft"/>
              <w:cnfStyle w:val="000000000000" w:firstRow="0" w:lastRow="0" w:firstColumn="0" w:lastColumn="0" w:oddVBand="0" w:evenVBand="0" w:oddHBand="0" w:evenHBand="0" w:firstRowFirstColumn="0" w:firstRowLastColumn="0" w:lastRowFirstColumn="0" w:lastRowLastColumn="0"/>
            </w:pPr>
          </w:p>
          <w:p w14:paraId="476D8F7F" w14:textId="77777777" w:rsidR="007F3003" w:rsidRDefault="007F3003" w:rsidP="007F3003">
            <w:pPr>
              <w:pStyle w:val="TableTextLeft"/>
              <w:cnfStyle w:val="000000000000" w:firstRow="0" w:lastRow="0" w:firstColumn="0" w:lastColumn="0" w:oddVBand="0" w:evenVBand="0" w:oddHBand="0" w:evenHBand="0" w:firstRowFirstColumn="0" w:firstRowLastColumn="0" w:lastRowFirstColumn="0" w:lastRowLastColumn="0"/>
            </w:pPr>
            <w:r>
              <w:t>Education rollout commences*</w:t>
            </w:r>
          </w:p>
          <w:p w14:paraId="5126C65D" w14:textId="77777777" w:rsidR="007F3003" w:rsidRDefault="007F3003" w:rsidP="007F3003">
            <w:pPr>
              <w:pStyle w:val="TableTextLeft"/>
              <w:cnfStyle w:val="000000000000" w:firstRow="0" w:lastRow="0" w:firstColumn="0" w:lastColumn="0" w:oddVBand="0" w:evenVBand="0" w:oddHBand="0" w:evenHBand="0" w:firstRowFirstColumn="0" w:firstRowLastColumn="0" w:lastRowFirstColumn="0" w:lastRowLastColumn="0"/>
            </w:pPr>
          </w:p>
          <w:p w14:paraId="1DD0DD42" w14:textId="5794C5B6" w:rsidR="00127337" w:rsidRPr="00283753" w:rsidRDefault="007F3003" w:rsidP="007F3003">
            <w:pPr>
              <w:pStyle w:val="TableTextLeft"/>
              <w:cnfStyle w:val="000000000000" w:firstRow="0" w:lastRow="0" w:firstColumn="0" w:lastColumn="0" w:oddVBand="0" w:evenVBand="0" w:oddHBand="0" w:evenHBand="0" w:firstRowFirstColumn="0" w:firstRowLastColumn="0" w:lastRowFirstColumn="0" w:lastRowLastColumn="0"/>
            </w:pPr>
            <w:r>
              <w:t>Sector specific guidance co-designed with industry starts to be released, including AML/CTF program kits to help small business</w:t>
            </w:r>
          </w:p>
        </w:tc>
        <w:tc>
          <w:tcPr>
            <w:tcW w:w="1247" w:type="dxa"/>
            <w:tcBorders>
              <w:top w:val="single" w:sz="4" w:space="0" w:color="BCE4CF"/>
              <w:bottom w:val="single" w:sz="4" w:space="0" w:color="BCE4CF"/>
            </w:tcBorders>
            <w:shd w:val="clear" w:color="auto" w:fill="ECF7F1"/>
          </w:tcPr>
          <w:p w14:paraId="338A5FA8" w14:textId="77777777" w:rsidR="007F3003" w:rsidRDefault="007F3003" w:rsidP="007F3003">
            <w:pPr>
              <w:pStyle w:val="TableTextLeft"/>
              <w:cnfStyle w:val="000000000000" w:firstRow="0" w:lastRow="0" w:firstColumn="0" w:lastColumn="0" w:oddVBand="0" w:evenVBand="0" w:oddHBand="0" w:evenHBand="0" w:firstRowFirstColumn="0" w:firstRowLastColumn="0" w:lastRowFirstColumn="0" w:lastRowLastColumn="0"/>
            </w:pPr>
            <w:r>
              <w:t>Enrolment opens for newly regulated entities*</w:t>
            </w:r>
          </w:p>
          <w:p w14:paraId="5E848EBD" w14:textId="77777777" w:rsidR="007F3003" w:rsidRDefault="007F3003" w:rsidP="007F3003">
            <w:pPr>
              <w:pStyle w:val="TableTextLeft"/>
              <w:cnfStyle w:val="000000000000" w:firstRow="0" w:lastRow="0" w:firstColumn="0" w:lastColumn="0" w:oddVBand="0" w:evenVBand="0" w:oddHBand="0" w:evenHBand="0" w:firstRowFirstColumn="0" w:firstRowLastColumn="0" w:lastRowFirstColumn="0" w:lastRowLastColumn="0"/>
            </w:pPr>
          </w:p>
          <w:p w14:paraId="70C4F7D4" w14:textId="1E64D948" w:rsidR="00127337" w:rsidRPr="00283753" w:rsidRDefault="007F3003" w:rsidP="007F3003">
            <w:pPr>
              <w:pStyle w:val="TableTextLeft"/>
              <w:cnfStyle w:val="000000000000" w:firstRow="0" w:lastRow="0" w:firstColumn="0" w:lastColumn="0" w:oddVBand="0" w:evenVBand="0" w:oddHBand="0" w:evenHBand="0" w:firstRowFirstColumn="0" w:firstRowLastColumn="0" w:lastRowFirstColumn="0" w:lastRowLastColumn="0"/>
            </w:pPr>
            <w:r>
              <w:t>AML/CTF obligations begin for current reporting entities and newly regulated virtual asset service providers*</w:t>
            </w:r>
          </w:p>
        </w:tc>
        <w:tc>
          <w:tcPr>
            <w:tcW w:w="1247" w:type="dxa"/>
            <w:tcBorders>
              <w:top w:val="single" w:sz="4" w:space="0" w:color="BCE4CF"/>
              <w:bottom w:val="single" w:sz="4" w:space="0" w:color="BCE4CF"/>
            </w:tcBorders>
            <w:shd w:val="clear" w:color="auto" w:fill="ECF7F1"/>
          </w:tcPr>
          <w:p w14:paraId="4F646B76" w14:textId="77777777" w:rsidR="00127337" w:rsidRPr="00283753" w:rsidRDefault="00127337" w:rsidP="00283753">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5A7B79FD" w14:textId="30AF4D76" w:rsidR="00127337" w:rsidRPr="00283753" w:rsidRDefault="4CFA2026" w:rsidP="00283753">
            <w:pPr>
              <w:pStyle w:val="TableTextLeft"/>
              <w:cnfStyle w:val="000000000000" w:firstRow="0" w:lastRow="0" w:firstColumn="0" w:lastColumn="0" w:oddVBand="0" w:evenVBand="0" w:oddHBand="0" w:evenHBand="0" w:firstRowFirstColumn="0" w:firstRowLastColumn="0" w:lastRowFirstColumn="0" w:lastRowLastColumn="0"/>
            </w:pPr>
            <w:r w:rsidRPr="00283753">
              <w:t xml:space="preserve">AML/CTF obligations commence for </w:t>
            </w:r>
            <w:r w:rsidR="006342C9">
              <w:t>newly regulated entities*</w:t>
            </w:r>
          </w:p>
        </w:tc>
        <w:tc>
          <w:tcPr>
            <w:tcW w:w="1247" w:type="dxa"/>
            <w:tcBorders>
              <w:top w:val="single" w:sz="4" w:space="0" w:color="BCE4CF"/>
              <w:bottom w:val="single" w:sz="4" w:space="0" w:color="BCE4CF"/>
            </w:tcBorders>
            <w:shd w:val="clear" w:color="auto" w:fill="ECF7F1"/>
          </w:tcPr>
          <w:p w14:paraId="4E03BCDF" w14:textId="77777777" w:rsidR="00127337" w:rsidRPr="00283753" w:rsidRDefault="00127337" w:rsidP="00283753">
            <w:pPr>
              <w:pStyle w:val="TableTextLeft"/>
              <w:cnfStyle w:val="000000000000" w:firstRow="0" w:lastRow="0" w:firstColumn="0" w:lastColumn="0" w:oddVBand="0" w:evenVBand="0" w:oddHBand="0" w:evenHBand="0" w:firstRowFirstColumn="0" w:firstRowLastColumn="0" w:lastRowFirstColumn="0" w:lastRowLastColumn="0"/>
            </w:pPr>
          </w:p>
        </w:tc>
        <w:tc>
          <w:tcPr>
            <w:tcW w:w="1108" w:type="dxa"/>
            <w:tcBorders>
              <w:top w:val="single" w:sz="4" w:space="0" w:color="BCE4CF"/>
              <w:bottom w:val="single" w:sz="4" w:space="0" w:color="BCE4CF"/>
            </w:tcBorders>
            <w:shd w:val="clear" w:color="auto" w:fill="F5FBF8"/>
          </w:tcPr>
          <w:p w14:paraId="00718850" w14:textId="77777777" w:rsidR="00127337" w:rsidRPr="00283753" w:rsidRDefault="00127337" w:rsidP="00283753">
            <w:pPr>
              <w:pStyle w:val="TableTextLeft"/>
              <w:cnfStyle w:val="000000000000" w:firstRow="0" w:lastRow="0" w:firstColumn="0" w:lastColumn="0" w:oddVBand="0" w:evenVBand="0" w:oddHBand="0" w:evenHBand="0" w:firstRowFirstColumn="0" w:firstRowLastColumn="0" w:lastRowFirstColumn="0" w:lastRowLastColumn="0"/>
            </w:pPr>
          </w:p>
        </w:tc>
        <w:tc>
          <w:tcPr>
            <w:tcW w:w="1386" w:type="dxa"/>
            <w:tcBorders>
              <w:top w:val="single" w:sz="4" w:space="0" w:color="BCE4CF"/>
              <w:bottom w:val="single" w:sz="4" w:space="0" w:color="BCE4CF"/>
            </w:tcBorders>
            <w:shd w:val="clear" w:color="auto" w:fill="F5FBF8"/>
          </w:tcPr>
          <w:p w14:paraId="1E871B9D" w14:textId="77777777" w:rsidR="00127337" w:rsidRPr="00283753" w:rsidRDefault="00127337" w:rsidP="00283753">
            <w:pPr>
              <w:pStyle w:val="TableTextLeft"/>
              <w:cnfStyle w:val="000000000000" w:firstRow="0" w:lastRow="0" w:firstColumn="0" w:lastColumn="0" w:oddVBand="0" w:evenVBand="0" w:oddHBand="0" w:evenHBand="0" w:firstRowFirstColumn="0" w:firstRowLastColumn="0" w:lastRowFirstColumn="0" w:lastRowLastColumn="0"/>
            </w:pPr>
          </w:p>
        </w:tc>
      </w:tr>
      <w:tr w:rsidR="00127337" w:rsidRPr="00AF43B7" w14:paraId="39CC4EE4" w14:textId="77777777" w:rsidTr="00290C68">
        <w:trPr>
          <w:cantSplit/>
          <w:trHeight w:val="410"/>
        </w:trPr>
        <w:tc>
          <w:tcPr>
            <w:cnfStyle w:val="001000000000" w:firstRow="0" w:lastRow="0" w:firstColumn="1" w:lastColumn="0" w:oddVBand="0" w:evenVBand="0" w:oddHBand="0" w:evenHBand="0" w:firstRowFirstColumn="0" w:firstRowLastColumn="0" w:lastRowFirstColumn="0" w:lastRowLastColumn="0"/>
            <w:tcW w:w="794" w:type="dxa"/>
            <w:tcBorders>
              <w:top w:val="single" w:sz="4" w:space="0" w:color="BCE4CF"/>
              <w:bottom w:val="single" w:sz="4" w:space="0" w:color="BCE4CF"/>
            </w:tcBorders>
          </w:tcPr>
          <w:p w14:paraId="3541B43F" w14:textId="77777777" w:rsidR="00127337" w:rsidRPr="002931AD" w:rsidRDefault="00127337" w:rsidP="00517AD4">
            <w:pPr>
              <w:pStyle w:val="TableSecondaryAgency"/>
              <w:rPr>
                <w:rFonts w:cs="Calibri Light"/>
                <w:b w:val="0"/>
                <w:i w:val="0"/>
                <w:szCs w:val="16"/>
              </w:rPr>
            </w:pPr>
            <w:r w:rsidRPr="002931AD">
              <w:rPr>
                <w:rFonts w:cs="Calibri Light"/>
                <w:i w:val="0"/>
              </w:rPr>
              <w:lastRenderedPageBreak/>
              <w:t>TSY</w:t>
            </w:r>
          </w:p>
        </w:tc>
        <w:tc>
          <w:tcPr>
            <w:tcW w:w="1304" w:type="dxa"/>
            <w:tcBorders>
              <w:top w:val="single" w:sz="4" w:space="0" w:color="BCE4CF"/>
              <w:bottom w:val="single" w:sz="4" w:space="0" w:color="BCE4CF"/>
            </w:tcBorders>
          </w:tcPr>
          <w:p w14:paraId="34AC9AB9" w14:textId="77777777" w:rsidR="00127337" w:rsidRPr="0052695A" w:rsidRDefault="00127337" w:rsidP="00517AD4">
            <w:pPr>
              <w:pStyle w:val="TableTextLeft"/>
              <w:cnfStyle w:val="000000000000" w:firstRow="0" w:lastRow="0" w:firstColumn="0" w:lastColumn="0" w:oddVBand="0" w:evenVBand="0" w:oddHBand="0" w:evenHBand="0" w:firstRowFirstColumn="0" w:firstRowLastColumn="0" w:lastRowFirstColumn="0" w:lastRowLastColumn="0"/>
            </w:pPr>
            <w:r w:rsidRPr="0025368F">
              <w:rPr>
                <w:rFonts w:cs="Calibri Light"/>
                <w:szCs w:val="16"/>
              </w:rPr>
              <w:t>Insurance and reinsurance</w:t>
            </w:r>
          </w:p>
        </w:tc>
        <w:tc>
          <w:tcPr>
            <w:tcW w:w="3175" w:type="dxa"/>
            <w:tcBorders>
              <w:top w:val="single" w:sz="4" w:space="0" w:color="BCE4CF"/>
              <w:bottom w:val="single" w:sz="4" w:space="0" w:color="BCE4CF"/>
            </w:tcBorders>
          </w:tcPr>
          <w:p w14:paraId="5CB869C5" w14:textId="77777777" w:rsidR="00127337" w:rsidRPr="00283753" w:rsidRDefault="00127337" w:rsidP="00283753">
            <w:pPr>
              <w:pStyle w:val="TableLink"/>
              <w:cnfStyle w:val="000000000000" w:firstRow="0" w:lastRow="0" w:firstColumn="0" w:lastColumn="0" w:oddVBand="0" w:evenVBand="0" w:oddHBand="0" w:evenHBand="0" w:firstRowFirstColumn="0" w:firstRowLastColumn="0" w:lastRowFirstColumn="0" w:lastRowLastColumn="0"/>
            </w:pPr>
            <w:hyperlink r:id="rId69" w:history="1">
              <w:r w:rsidRPr="00283753">
                <w:rPr>
                  <w:rStyle w:val="Hyperlink"/>
                  <w:color w:val="5D779D" w:themeColor="accent3"/>
                  <w:u w:val="single"/>
                </w:rPr>
                <w:t>Ban on adverse genetic test results in life insurance</w:t>
              </w:r>
            </w:hyperlink>
          </w:p>
          <w:p w14:paraId="29BE9E1C" w14:textId="55489083" w:rsidR="00127337" w:rsidRPr="0044172E" w:rsidRDefault="00127337" w:rsidP="00517AD4">
            <w:pPr>
              <w:pStyle w:val="TableTextLeft"/>
              <w:cnfStyle w:val="000000000000" w:firstRow="0" w:lastRow="0" w:firstColumn="0" w:lastColumn="0" w:oddVBand="0" w:evenVBand="0" w:oddHBand="0" w:evenHBand="0" w:firstRowFirstColumn="0" w:firstRowLastColumn="0" w:lastRowFirstColumn="0" w:lastRowLastColumn="0"/>
              <w:rPr>
                <w:rFonts w:cs="Calibri Light"/>
              </w:rPr>
            </w:pPr>
            <w:r w:rsidRPr="1213AF8E">
              <w:rPr>
                <w:rFonts w:cs="Calibri Light"/>
              </w:rPr>
              <w:t xml:space="preserve">The government has announced it will develop legislation to ban the use of adverse predictive genetic test results in underwriting life insurance. The government has concluded consultation on a consultation paper released in Q1 2025 and will consult on exposure draft legislation in </w:t>
            </w:r>
            <w:r>
              <w:rPr>
                <w:rFonts w:cs="Calibri Light"/>
              </w:rPr>
              <w:t>Q4 2025</w:t>
            </w:r>
            <w:r w:rsidR="003D486F">
              <w:rPr>
                <w:rFonts w:cs="Calibri Light"/>
              </w:rPr>
              <w:t xml:space="preserve">. </w:t>
            </w:r>
          </w:p>
        </w:tc>
        <w:tc>
          <w:tcPr>
            <w:tcW w:w="1247" w:type="dxa"/>
            <w:tcBorders>
              <w:top w:val="single" w:sz="4" w:space="0" w:color="BCE4CF"/>
              <w:bottom w:val="single" w:sz="4" w:space="0" w:color="BCE4CF"/>
            </w:tcBorders>
            <w:shd w:val="clear" w:color="auto" w:fill="ECF7F1"/>
          </w:tcPr>
          <w:p w14:paraId="10C44F19" w14:textId="77777777" w:rsidR="00127337" w:rsidRPr="0049307A" w:rsidRDefault="00127337" w:rsidP="00517AD4">
            <w:pPr>
              <w:pStyle w:val="TableTextLeft"/>
              <w:cnfStyle w:val="000000000000" w:firstRow="0" w:lastRow="0" w:firstColumn="0" w:lastColumn="0" w:oddVBand="0" w:evenVBand="0" w:oddHBand="0" w:evenHBand="0" w:firstRowFirstColumn="0" w:firstRowLastColumn="0" w:lastRowFirstColumn="0" w:lastRowLastColumn="0"/>
            </w:pPr>
            <w:r>
              <w:t>Exposure draft legislation consultation*</w:t>
            </w:r>
          </w:p>
        </w:tc>
        <w:tc>
          <w:tcPr>
            <w:tcW w:w="1247" w:type="dxa"/>
            <w:tcBorders>
              <w:top w:val="single" w:sz="4" w:space="0" w:color="BCE4CF"/>
              <w:bottom w:val="single" w:sz="4" w:space="0" w:color="BCE4CF"/>
            </w:tcBorders>
            <w:shd w:val="clear" w:color="auto" w:fill="ECF7F1"/>
          </w:tcPr>
          <w:p w14:paraId="561B2B07" w14:textId="77777777" w:rsidR="00127337" w:rsidRPr="0049307A" w:rsidRDefault="00127337" w:rsidP="00517AD4">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6B4E872E" w14:textId="77777777" w:rsidR="00127337" w:rsidRPr="0049307A" w:rsidRDefault="00127337" w:rsidP="00517AD4">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3EA4CF2C" w14:textId="77777777" w:rsidR="00127337" w:rsidRPr="0049307A" w:rsidRDefault="00127337" w:rsidP="00517AD4">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53AC8E58" w14:textId="77777777" w:rsidR="00127337" w:rsidRPr="0049307A" w:rsidRDefault="00127337" w:rsidP="00517AD4">
            <w:pPr>
              <w:pStyle w:val="TableTextLeft"/>
              <w:cnfStyle w:val="000000000000" w:firstRow="0" w:lastRow="0" w:firstColumn="0" w:lastColumn="0" w:oddVBand="0" w:evenVBand="0" w:oddHBand="0" w:evenHBand="0" w:firstRowFirstColumn="0" w:firstRowLastColumn="0" w:lastRowFirstColumn="0" w:lastRowLastColumn="0"/>
            </w:pPr>
          </w:p>
        </w:tc>
        <w:tc>
          <w:tcPr>
            <w:tcW w:w="1108" w:type="dxa"/>
            <w:tcBorders>
              <w:top w:val="single" w:sz="4" w:space="0" w:color="BCE4CF"/>
              <w:bottom w:val="single" w:sz="4" w:space="0" w:color="BCE4CF"/>
            </w:tcBorders>
            <w:shd w:val="clear" w:color="auto" w:fill="F5FBF8"/>
          </w:tcPr>
          <w:p w14:paraId="1DDDAB20" w14:textId="77777777" w:rsidR="00127337" w:rsidRPr="0049307A" w:rsidRDefault="00127337" w:rsidP="00517AD4">
            <w:pPr>
              <w:pStyle w:val="TableTextLeft"/>
              <w:cnfStyle w:val="000000000000" w:firstRow="0" w:lastRow="0" w:firstColumn="0" w:lastColumn="0" w:oddVBand="0" w:evenVBand="0" w:oddHBand="0" w:evenHBand="0" w:firstRowFirstColumn="0" w:firstRowLastColumn="0" w:lastRowFirstColumn="0" w:lastRowLastColumn="0"/>
            </w:pPr>
          </w:p>
        </w:tc>
        <w:tc>
          <w:tcPr>
            <w:tcW w:w="1386" w:type="dxa"/>
            <w:tcBorders>
              <w:top w:val="single" w:sz="4" w:space="0" w:color="BCE4CF"/>
              <w:bottom w:val="single" w:sz="4" w:space="0" w:color="BCE4CF"/>
            </w:tcBorders>
            <w:shd w:val="clear" w:color="auto" w:fill="F5FBF8"/>
          </w:tcPr>
          <w:p w14:paraId="5BFAA657" w14:textId="77777777" w:rsidR="00127337" w:rsidRPr="0049307A" w:rsidRDefault="00127337" w:rsidP="00517AD4">
            <w:pPr>
              <w:pStyle w:val="TableTextLeft"/>
              <w:cnfStyle w:val="000000000000" w:firstRow="0" w:lastRow="0" w:firstColumn="0" w:lastColumn="0" w:oddVBand="0" w:evenVBand="0" w:oddHBand="0" w:evenHBand="0" w:firstRowFirstColumn="0" w:firstRowLastColumn="0" w:lastRowFirstColumn="0" w:lastRowLastColumn="0"/>
            </w:pPr>
          </w:p>
        </w:tc>
      </w:tr>
      <w:tr w:rsidR="00127337" w:rsidRPr="00AF43B7" w14:paraId="42E81907" w14:textId="77777777" w:rsidTr="00290C68">
        <w:trPr>
          <w:cantSplit/>
          <w:trHeight w:val="410"/>
        </w:trPr>
        <w:tc>
          <w:tcPr>
            <w:cnfStyle w:val="001000000000" w:firstRow="0" w:lastRow="0" w:firstColumn="1" w:lastColumn="0" w:oddVBand="0" w:evenVBand="0" w:oddHBand="0" w:evenHBand="0" w:firstRowFirstColumn="0" w:firstRowLastColumn="0" w:lastRowFirstColumn="0" w:lastRowLastColumn="0"/>
            <w:tcW w:w="794" w:type="dxa"/>
            <w:tcBorders>
              <w:top w:val="single" w:sz="4" w:space="0" w:color="BCE4CF"/>
              <w:bottom w:val="single" w:sz="4" w:space="0" w:color="BCE4CF"/>
            </w:tcBorders>
          </w:tcPr>
          <w:p w14:paraId="1CB8983E" w14:textId="156C05A8" w:rsidR="000D593D" w:rsidRPr="00AD71F3" w:rsidRDefault="000D593D" w:rsidP="000D593D">
            <w:pPr>
              <w:pStyle w:val="TableLeadAgency"/>
              <w:spacing w:before="0" w:after="0"/>
            </w:pPr>
            <w:r w:rsidRPr="00AD71F3">
              <w:rPr>
                <w:b/>
              </w:rPr>
              <w:t xml:space="preserve"> TSY </w:t>
            </w:r>
          </w:p>
          <w:p w14:paraId="5FCF1869" w14:textId="70B53CF7" w:rsidR="00127337" w:rsidRPr="000D593D" w:rsidRDefault="000D593D" w:rsidP="000D593D">
            <w:pPr>
              <w:pStyle w:val="TableSecondaryAgency"/>
              <w:rPr>
                <w:b w:val="0"/>
                <w:bCs/>
              </w:rPr>
            </w:pPr>
            <w:r w:rsidRPr="00B01252">
              <w:rPr>
                <w:b w:val="0"/>
                <w:bCs/>
              </w:rPr>
              <w:t>ATO</w:t>
            </w:r>
          </w:p>
        </w:tc>
        <w:tc>
          <w:tcPr>
            <w:tcW w:w="1304" w:type="dxa"/>
            <w:tcBorders>
              <w:top w:val="single" w:sz="4" w:space="0" w:color="BCE4CF"/>
              <w:bottom w:val="single" w:sz="4" w:space="0" w:color="BCE4CF"/>
            </w:tcBorders>
          </w:tcPr>
          <w:p w14:paraId="26E862AA" w14:textId="77777777" w:rsidR="00127337" w:rsidRPr="00F534FF" w:rsidRDefault="00127337" w:rsidP="005C66C0">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F534FF">
              <w:t>Superannuation and retirement income</w:t>
            </w:r>
          </w:p>
          <w:p w14:paraId="3C1DEA86" w14:textId="77777777" w:rsidR="00127337" w:rsidRPr="0052695A" w:rsidRDefault="00127337" w:rsidP="005C66C0">
            <w:pPr>
              <w:pStyle w:val="TableTextLeft"/>
              <w:cnfStyle w:val="000000000000" w:firstRow="0" w:lastRow="0" w:firstColumn="0" w:lastColumn="0" w:oddVBand="0" w:evenVBand="0" w:oddHBand="0" w:evenHBand="0" w:firstRowFirstColumn="0" w:firstRowLastColumn="0" w:lastRowFirstColumn="0" w:lastRowLastColumn="0"/>
            </w:pPr>
            <w:r w:rsidRPr="00F534FF">
              <w:t>Financial advice</w:t>
            </w:r>
          </w:p>
        </w:tc>
        <w:tc>
          <w:tcPr>
            <w:tcW w:w="3175" w:type="dxa"/>
            <w:tcBorders>
              <w:top w:val="single" w:sz="4" w:space="0" w:color="BCE4CF"/>
              <w:bottom w:val="single" w:sz="4" w:space="0" w:color="BCE4CF"/>
            </w:tcBorders>
          </w:tcPr>
          <w:p w14:paraId="62BAFD8E" w14:textId="77777777" w:rsidR="00127337" w:rsidRPr="00283753" w:rsidRDefault="00127337" w:rsidP="00283753">
            <w:pPr>
              <w:pStyle w:val="TableLink"/>
              <w:cnfStyle w:val="000000000000" w:firstRow="0" w:lastRow="0" w:firstColumn="0" w:lastColumn="0" w:oddVBand="0" w:evenVBand="0" w:oddHBand="0" w:evenHBand="0" w:firstRowFirstColumn="0" w:firstRowLastColumn="0" w:lastRowFirstColumn="0" w:lastRowLastColumn="0"/>
            </w:pPr>
            <w:hyperlink r:id="rId70" w:history="1">
              <w:r w:rsidRPr="00283753">
                <w:rPr>
                  <w:rStyle w:val="Hyperlink"/>
                  <w:color w:val="5D779D" w:themeColor="accent3"/>
                  <w:u w:val="single"/>
                </w:rPr>
                <w:t>Better targeted superannuation concessions</w:t>
              </w:r>
            </w:hyperlink>
          </w:p>
          <w:p w14:paraId="38BCE072" w14:textId="77777777" w:rsidR="00EC3FED" w:rsidRDefault="00EC3FED" w:rsidP="00EC3FED">
            <w:pPr>
              <w:pStyle w:val="TableTextLeft"/>
              <w:spacing w:before="0" w:after="0"/>
              <w:cnfStyle w:val="000000000000" w:firstRow="0" w:lastRow="0" w:firstColumn="0" w:lastColumn="0" w:oddVBand="0" w:evenVBand="0" w:oddHBand="0" w:evenHBand="0" w:firstRowFirstColumn="0" w:firstRowLastColumn="0" w:lastRowFirstColumn="0" w:lastRowLastColumn="0"/>
            </w:pPr>
            <w:r>
              <w:t>The government will ensure the sustainability of superannuation tax concessions by reducing the tax concession on earnings attributable to superannuation balances exceeding $3 million.</w:t>
            </w:r>
          </w:p>
          <w:p w14:paraId="40FB4450" w14:textId="77777777" w:rsidR="00EC3FED" w:rsidRDefault="00EC3FED" w:rsidP="00EC3FED">
            <w:pPr>
              <w:pStyle w:val="TableTextLeft"/>
              <w:spacing w:before="0" w:after="0"/>
              <w:cnfStyle w:val="000000000000" w:firstRow="0" w:lastRow="0" w:firstColumn="0" w:lastColumn="0" w:oddVBand="0" w:evenVBand="0" w:oddHBand="0" w:evenHBand="0" w:firstRowFirstColumn="0" w:firstRowLastColumn="0" w:lastRowFirstColumn="0" w:lastRowLastColumn="0"/>
            </w:pPr>
            <w:r>
              <w:t>Subject to the passage of legislation, the intended law effect date is 1 July 2026. Supporting Regulations will be made following passage of the primary law.</w:t>
            </w:r>
          </w:p>
          <w:p w14:paraId="0739597C" w14:textId="60F8F294" w:rsidR="00127337" w:rsidRPr="00D80718" w:rsidRDefault="00EC3FED" w:rsidP="005C66C0">
            <w:pPr>
              <w:pStyle w:val="TableTextLeft"/>
              <w:cnfStyle w:val="000000000000" w:firstRow="0" w:lastRow="0" w:firstColumn="0" w:lastColumn="0" w:oddVBand="0" w:evenVBand="0" w:oddHBand="0" w:evenHBand="0" w:firstRowFirstColumn="0" w:firstRowLastColumn="0" w:lastRowFirstColumn="0" w:lastRowLastColumn="0"/>
              <w:rPr>
                <w:rStyle w:val="Hyperlink"/>
                <w:b/>
                <w:color w:val="000000"/>
              </w:rPr>
            </w:pPr>
            <w:r>
              <w:t>The ATO intends to issue guidance to assist the implementation of the legislation.</w:t>
            </w:r>
          </w:p>
        </w:tc>
        <w:tc>
          <w:tcPr>
            <w:tcW w:w="1247" w:type="dxa"/>
            <w:tcBorders>
              <w:top w:val="single" w:sz="4" w:space="0" w:color="BCE4CF"/>
              <w:bottom w:val="single" w:sz="4" w:space="0" w:color="BCE4CF"/>
            </w:tcBorders>
            <w:shd w:val="clear" w:color="auto" w:fill="ECF7F1"/>
          </w:tcPr>
          <w:p w14:paraId="3E2A907C" w14:textId="77777777" w:rsidR="00127337" w:rsidRPr="00B555A9" w:rsidRDefault="00127337" w:rsidP="005C66C0">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01F5C5DC" w14:textId="77777777" w:rsidR="00127337" w:rsidRPr="00B555A9" w:rsidRDefault="00127337" w:rsidP="005C66C0">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4CB4301C" w14:textId="77777777" w:rsidR="00127337" w:rsidRPr="00B555A9" w:rsidRDefault="00127337" w:rsidP="005C66C0">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37A67BF0" w14:textId="77777777" w:rsidR="00127337" w:rsidRPr="00B555A9" w:rsidRDefault="00127337" w:rsidP="005C66C0">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08ED87E6" w14:textId="77777777" w:rsidR="00127337" w:rsidRPr="00B555A9" w:rsidRDefault="00127337" w:rsidP="005C66C0">
            <w:pPr>
              <w:pStyle w:val="TableTextLeft"/>
              <w:cnfStyle w:val="000000000000" w:firstRow="0" w:lastRow="0" w:firstColumn="0" w:lastColumn="0" w:oddVBand="0" w:evenVBand="0" w:oddHBand="0" w:evenHBand="0" w:firstRowFirstColumn="0" w:firstRowLastColumn="0" w:lastRowFirstColumn="0" w:lastRowLastColumn="0"/>
            </w:pPr>
          </w:p>
        </w:tc>
        <w:tc>
          <w:tcPr>
            <w:tcW w:w="1108" w:type="dxa"/>
            <w:tcBorders>
              <w:top w:val="single" w:sz="4" w:space="0" w:color="BCE4CF"/>
              <w:bottom w:val="single" w:sz="4" w:space="0" w:color="BCE4CF"/>
            </w:tcBorders>
            <w:shd w:val="clear" w:color="auto" w:fill="F5FBF8"/>
          </w:tcPr>
          <w:p w14:paraId="1B8330A3" w14:textId="77777777" w:rsidR="00127337" w:rsidRPr="00B555A9" w:rsidRDefault="00127337" w:rsidP="005C66C0">
            <w:pPr>
              <w:pStyle w:val="TableTextLeft"/>
              <w:cnfStyle w:val="000000000000" w:firstRow="0" w:lastRow="0" w:firstColumn="0" w:lastColumn="0" w:oddVBand="0" w:evenVBand="0" w:oddHBand="0" w:evenHBand="0" w:firstRowFirstColumn="0" w:firstRowLastColumn="0" w:lastRowFirstColumn="0" w:lastRowLastColumn="0"/>
            </w:pPr>
          </w:p>
        </w:tc>
        <w:tc>
          <w:tcPr>
            <w:tcW w:w="1386" w:type="dxa"/>
            <w:tcBorders>
              <w:top w:val="single" w:sz="4" w:space="0" w:color="BCE4CF"/>
              <w:bottom w:val="single" w:sz="4" w:space="0" w:color="BCE4CF"/>
            </w:tcBorders>
            <w:shd w:val="clear" w:color="auto" w:fill="F5FBF8"/>
          </w:tcPr>
          <w:p w14:paraId="12EDABE5" w14:textId="77777777" w:rsidR="00127337" w:rsidRPr="00B555A9" w:rsidRDefault="00127337" w:rsidP="005C66C0">
            <w:pPr>
              <w:pStyle w:val="TableTextLeft"/>
              <w:cnfStyle w:val="000000000000" w:firstRow="0" w:lastRow="0" w:firstColumn="0" w:lastColumn="0" w:oddVBand="0" w:evenVBand="0" w:oddHBand="0" w:evenHBand="0" w:firstRowFirstColumn="0" w:firstRowLastColumn="0" w:lastRowFirstColumn="0" w:lastRowLastColumn="0"/>
            </w:pPr>
          </w:p>
        </w:tc>
      </w:tr>
      <w:tr w:rsidR="00127337" w:rsidRPr="00AF43B7" w14:paraId="2F496A44" w14:textId="77777777" w:rsidTr="00290C68">
        <w:trPr>
          <w:cantSplit/>
          <w:trHeight w:val="410"/>
        </w:trPr>
        <w:tc>
          <w:tcPr>
            <w:cnfStyle w:val="001000000000" w:firstRow="0" w:lastRow="0" w:firstColumn="1" w:lastColumn="0" w:oddVBand="0" w:evenVBand="0" w:oddHBand="0" w:evenHBand="0" w:firstRowFirstColumn="0" w:firstRowLastColumn="0" w:lastRowFirstColumn="0" w:lastRowLastColumn="0"/>
            <w:tcW w:w="794" w:type="dxa"/>
            <w:tcBorders>
              <w:top w:val="single" w:sz="4" w:space="0" w:color="BCE4CF"/>
              <w:bottom w:val="single" w:sz="4" w:space="0" w:color="BCE4CF"/>
            </w:tcBorders>
          </w:tcPr>
          <w:p w14:paraId="5D14FB28" w14:textId="77777777" w:rsidR="00127337" w:rsidRPr="00AD71F3" w:rsidRDefault="00127337" w:rsidP="00C5498E">
            <w:pPr>
              <w:pStyle w:val="TableLeadAgency"/>
              <w:spacing w:before="0" w:after="0"/>
            </w:pPr>
            <w:r w:rsidRPr="00AD71F3">
              <w:rPr>
                <w:b/>
              </w:rPr>
              <w:t>TSY</w:t>
            </w:r>
          </w:p>
          <w:p w14:paraId="08F410AA" w14:textId="77777777" w:rsidR="00127337" w:rsidRPr="002931AD" w:rsidRDefault="00127337" w:rsidP="00C5498E">
            <w:pPr>
              <w:pStyle w:val="TableLeadAgency"/>
              <w:rPr>
                <w:i/>
              </w:rPr>
            </w:pPr>
            <w:r w:rsidRPr="002931AD">
              <w:rPr>
                <w:i/>
              </w:rPr>
              <w:t>ASIC</w:t>
            </w:r>
          </w:p>
        </w:tc>
        <w:tc>
          <w:tcPr>
            <w:tcW w:w="1304" w:type="dxa"/>
            <w:tcBorders>
              <w:top w:val="single" w:sz="4" w:space="0" w:color="BCE4CF"/>
              <w:bottom w:val="single" w:sz="4" w:space="0" w:color="BCE4CF"/>
            </w:tcBorders>
          </w:tcPr>
          <w:p w14:paraId="16300926" w14:textId="77777777" w:rsidR="00127337" w:rsidRPr="009A41CA" w:rsidRDefault="00127337" w:rsidP="00C5498E">
            <w:pPr>
              <w:pStyle w:val="TableTextLeft"/>
              <w:cnfStyle w:val="000000000000" w:firstRow="0" w:lastRow="0" w:firstColumn="0" w:lastColumn="0" w:oddVBand="0" w:evenVBand="0" w:oddHBand="0" w:evenHBand="0" w:firstRowFirstColumn="0" w:firstRowLastColumn="0" w:lastRowFirstColumn="0" w:lastRowLastColumn="0"/>
            </w:pPr>
            <w:r w:rsidRPr="00DC0A25">
              <w:t xml:space="preserve">Banking, credit and </w:t>
            </w:r>
            <w:r w:rsidRPr="00301F93">
              <w:t>lending</w:t>
            </w:r>
          </w:p>
        </w:tc>
        <w:tc>
          <w:tcPr>
            <w:tcW w:w="3175" w:type="dxa"/>
            <w:tcBorders>
              <w:top w:val="single" w:sz="4" w:space="0" w:color="BCE4CF"/>
              <w:bottom w:val="single" w:sz="4" w:space="0" w:color="BCE4CF"/>
            </w:tcBorders>
          </w:tcPr>
          <w:p w14:paraId="4BDBC3E8" w14:textId="77777777" w:rsidR="00127337" w:rsidRPr="00283753" w:rsidRDefault="00127337" w:rsidP="00283753">
            <w:pPr>
              <w:pStyle w:val="TableLink"/>
              <w:cnfStyle w:val="000000000000" w:firstRow="0" w:lastRow="0" w:firstColumn="0" w:lastColumn="0" w:oddVBand="0" w:evenVBand="0" w:oddHBand="0" w:evenHBand="0" w:firstRowFirstColumn="0" w:firstRowLastColumn="0" w:lastRowFirstColumn="0" w:lastRowLastColumn="0"/>
            </w:pPr>
            <w:hyperlink r:id="rId71">
              <w:r w:rsidRPr="00283753">
                <w:rPr>
                  <w:rStyle w:val="Hyperlink"/>
                  <w:color w:val="5D779D" w:themeColor="accent3"/>
                  <w:u w:val="single"/>
                </w:rPr>
                <w:t>Buy Now, Pay Later reforms</w:t>
              </w:r>
            </w:hyperlink>
          </w:p>
          <w:p w14:paraId="48F77199" w14:textId="77777777" w:rsidR="00127337" w:rsidRPr="00F31CD4" w:rsidRDefault="00127337" w:rsidP="00C5498E">
            <w:pPr>
              <w:pStyle w:val="TableTextLeft"/>
              <w:cnfStyle w:val="000000000000" w:firstRow="0" w:lastRow="0" w:firstColumn="0" w:lastColumn="0" w:oddVBand="0" w:evenVBand="0" w:oddHBand="0" w:evenHBand="0" w:firstRowFirstColumn="0" w:firstRowLastColumn="0" w:lastRowFirstColumn="0" w:lastRowLastColumn="0"/>
            </w:pPr>
            <w:r w:rsidRPr="006B3261">
              <w:rPr>
                <w:rFonts w:cs="Calibri Light"/>
                <w:szCs w:val="16"/>
              </w:rPr>
              <w:t xml:space="preserve">The </w:t>
            </w:r>
            <w:r w:rsidRPr="00AC26D8">
              <w:rPr>
                <w:rFonts w:cs="Calibri Light"/>
                <w:i/>
                <w:szCs w:val="16"/>
              </w:rPr>
              <w:t>Treasury Laws Amendment (Responsible Buy Now Pay Later and Other Measures) Act 2024</w:t>
            </w:r>
            <w:r w:rsidRPr="006B3261">
              <w:rPr>
                <w:rFonts w:cs="Calibri Light"/>
                <w:szCs w:val="16"/>
              </w:rPr>
              <w:t xml:space="preserve"> amended the </w:t>
            </w:r>
            <w:r w:rsidRPr="006B3261">
              <w:rPr>
                <w:rFonts w:cs="Calibri Light"/>
                <w:i/>
                <w:szCs w:val="16"/>
              </w:rPr>
              <w:t>National Consumer Credit Protection Act 2009</w:t>
            </w:r>
            <w:r w:rsidRPr="006B3261">
              <w:rPr>
                <w:rFonts w:cs="Calibri Light"/>
                <w:szCs w:val="16"/>
              </w:rPr>
              <w:t xml:space="preserve"> to regulate Buy Now, Pay Later </w:t>
            </w:r>
            <w:r w:rsidRPr="59E174D7">
              <w:rPr>
                <w:rFonts w:cs="Calibri Light"/>
                <w:szCs w:val="16"/>
              </w:rPr>
              <w:t>(</w:t>
            </w:r>
            <w:r w:rsidRPr="40482E85">
              <w:rPr>
                <w:rFonts w:cs="Calibri Light"/>
                <w:szCs w:val="16"/>
              </w:rPr>
              <w:t xml:space="preserve">BNPL) </w:t>
            </w:r>
            <w:r w:rsidRPr="006B3261">
              <w:rPr>
                <w:rFonts w:cs="Calibri Light"/>
                <w:szCs w:val="16"/>
              </w:rPr>
              <w:t>products as a form of consumer credit</w:t>
            </w:r>
            <w:r>
              <w:rPr>
                <w:rFonts w:cs="Calibri Light"/>
                <w:szCs w:val="16"/>
              </w:rPr>
              <w:t>. Key operative aspects commenced on 10 June 2025</w:t>
            </w:r>
            <w:r w:rsidRPr="00CF3597">
              <w:rPr>
                <w:rFonts w:cs="Calibri Light"/>
                <w:szCs w:val="16"/>
                <w:lang w:val="en-AU"/>
              </w:rPr>
              <w:t>. </w:t>
            </w:r>
          </w:p>
          <w:p w14:paraId="57CDDE03" w14:textId="77777777" w:rsidR="00127337" w:rsidRPr="00F31CD4" w:rsidRDefault="00127337" w:rsidP="00C5498E">
            <w:pPr>
              <w:pStyle w:val="TableTextLeft"/>
              <w:cnfStyle w:val="000000000000" w:firstRow="0" w:lastRow="0" w:firstColumn="0" w:lastColumn="0" w:oddVBand="0" w:evenVBand="0" w:oddHBand="0" w:evenHBand="0" w:firstRowFirstColumn="0" w:firstRowLastColumn="0" w:lastRowFirstColumn="0" w:lastRowLastColumn="0"/>
            </w:pPr>
            <w:r>
              <w:rPr>
                <w:rFonts w:cs="Calibri Light"/>
                <w:szCs w:val="16"/>
              </w:rPr>
              <w:t xml:space="preserve">The </w:t>
            </w:r>
            <w:r>
              <w:rPr>
                <w:rFonts w:cs="Calibri Light"/>
                <w:i/>
                <w:iCs/>
                <w:szCs w:val="16"/>
              </w:rPr>
              <w:t>National Consumer Credit Protection Amendment (</w:t>
            </w:r>
            <w:proofErr w:type="gramStart"/>
            <w:r>
              <w:rPr>
                <w:rFonts w:cs="Calibri Light"/>
                <w:i/>
                <w:iCs/>
                <w:szCs w:val="16"/>
              </w:rPr>
              <w:t>Low Cost</w:t>
            </w:r>
            <w:proofErr w:type="gramEnd"/>
            <w:r>
              <w:rPr>
                <w:rFonts w:cs="Calibri Light"/>
                <w:i/>
                <w:iCs/>
                <w:szCs w:val="16"/>
              </w:rPr>
              <w:t xml:space="preserve"> Credit) Regulations 2025 </w:t>
            </w:r>
            <w:r>
              <w:rPr>
                <w:rFonts w:cs="Calibri Light"/>
                <w:szCs w:val="16"/>
              </w:rPr>
              <w:t xml:space="preserve">commenced on 10 June 2025 and set requirements for inquiries, fees and unsuitability assessments. </w:t>
            </w:r>
          </w:p>
          <w:p w14:paraId="0FCAF45B" w14:textId="4A6485C5" w:rsidR="00127337" w:rsidRPr="00C5498E" w:rsidRDefault="00127337" w:rsidP="00C5498E">
            <w:pPr>
              <w:pStyle w:val="TableLink"/>
              <w:spacing w:before="0" w:after="0"/>
              <w:cnfStyle w:val="000000000000" w:firstRow="0" w:lastRow="0" w:firstColumn="0" w:lastColumn="0" w:oddVBand="0" w:evenVBand="0" w:oddHBand="0" w:evenHBand="0" w:firstRowFirstColumn="0" w:firstRowLastColumn="0" w:lastRowFirstColumn="0" w:lastRowLastColumn="0"/>
              <w:rPr>
                <w:b w:val="0"/>
                <w:bCs/>
                <w:u w:val="none"/>
              </w:rPr>
            </w:pPr>
            <w:r w:rsidRPr="00C5498E">
              <w:rPr>
                <w:rFonts w:cs="Calibri Light"/>
                <w:b w:val="0"/>
                <w:bCs/>
                <w:color w:val="auto"/>
                <w:szCs w:val="16"/>
                <w:u w:val="none"/>
              </w:rPr>
              <w:t xml:space="preserve">ASIC released its related Regulatory Guide (RG281 – </w:t>
            </w:r>
            <w:proofErr w:type="gramStart"/>
            <w:r w:rsidRPr="00C5498E">
              <w:rPr>
                <w:rFonts w:cs="Calibri Light"/>
                <w:b w:val="0"/>
                <w:bCs/>
                <w:color w:val="auto"/>
                <w:szCs w:val="16"/>
                <w:u w:val="none"/>
              </w:rPr>
              <w:t>Low Cost</w:t>
            </w:r>
            <w:proofErr w:type="gramEnd"/>
            <w:r w:rsidRPr="00C5498E">
              <w:rPr>
                <w:rFonts w:cs="Calibri Light"/>
                <w:b w:val="0"/>
                <w:bCs/>
                <w:color w:val="auto"/>
                <w:szCs w:val="16"/>
                <w:u w:val="none"/>
              </w:rPr>
              <w:t xml:space="preserve"> Credit Contracts) on </w:t>
            </w:r>
            <w:r w:rsidRPr="00C5498E">
              <w:rPr>
                <w:rFonts w:cs="Calibri Light"/>
                <w:b w:val="0"/>
                <w:bCs/>
                <w:color w:val="auto"/>
                <w:u w:val="none"/>
              </w:rPr>
              <w:t>8</w:t>
            </w:r>
            <w:r w:rsidR="00A956DD">
              <w:rPr>
                <w:rFonts w:cs="Calibri Light"/>
                <w:b w:val="0"/>
                <w:bCs/>
                <w:color w:val="auto"/>
                <w:szCs w:val="16"/>
                <w:u w:val="none"/>
              </w:rPr>
              <w:t> </w:t>
            </w:r>
            <w:r w:rsidRPr="00C5498E">
              <w:rPr>
                <w:rFonts w:cs="Calibri Light"/>
                <w:b w:val="0"/>
                <w:bCs/>
                <w:color w:val="auto"/>
                <w:szCs w:val="16"/>
                <w:u w:val="none"/>
              </w:rPr>
              <w:t>May</w:t>
            </w:r>
            <w:r w:rsidR="00A956DD">
              <w:rPr>
                <w:rFonts w:cs="Calibri Light"/>
                <w:b w:val="0"/>
                <w:bCs/>
                <w:color w:val="auto"/>
                <w:szCs w:val="16"/>
                <w:u w:val="none"/>
              </w:rPr>
              <w:t> </w:t>
            </w:r>
            <w:r w:rsidRPr="00C5498E">
              <w:rPr>
                <w:rFonts w:cs="Calibri Light"/>
                <w:b w:val="0"/>
                <w:bCs/>
                <w:color w:val="auto"/>
                <w:szCs w:val="16"/>
                <w:u w:val="none"/>
              </w:rPr>
              <w:t>2025 to provide guidance on the implementation of the legislation.</w:t>
            </w:r>
          </w:p>
        </w:tc>
        <w:tc>
          <w:tcPr>
            <w:tcW w:w="1247" w:type="dxa"/>
            <w:tcBorders>
              <w:top w:val="single" w:sz="4" w:space="0" w:color="BCE4CF"/>
              <w:bottom w:val="single" w:sz="4" w:space="0" w:color="BCE4CF"/>
            </w:tcBorders>
            <w:shd w:val="clear" w:color="auto" w:fill="ECF7F1"/>
          </w:tcPr>
          <w:p w14:paraId="780D03AC" w14:textId="77777777" w:rsidR="00127337" w:rsidRPr="0052695A" w:rsidRDefault="00127337" w:rsidP="00C5498E">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2652DBAA" w14:textId="77777777" w:rsidR="00127337" w:rsidRPr="0052695A" w:rsidRDefault="00127337" w:rsidP="00C5498E">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53C1DE1A" w14:textId="77777777" w:rsidR="00127337" w:rsidRPr="0052695A" w:rsidRDefault="00127337" w:rsidP="00C5498E">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4F726103" w14:textId="77777777" w:rsidR="00127337" w:rsidRPr="0052695A" w:rsidRDefault="00127337" w:rsidP="00C5498E">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72009A8F" w14:textId="77777777" w:rsidR="00127337" w:rsidRPr="0052695A" w:rsidRDefault="00127337" w:rsidP="00C5498E">
            <w:pPr>
              <w:pStyle w:val="TableTextLeft"/>
              <w:cnfStyle w:val="000000000000" w:firstRow="0" w:lastRow="0" w:firstColumn="0" w:lastColumn="0" w:oddVBand="0" w:evenVBand="0" w:oddHBand="0" w:evenHBand="0" w:firstRowFirstColumn="0" w:firstRowLastColumn="0" w:lastRowFirstColumn="0" w:lastRowLastColumn="0"/>
            </w:pPr>
          </w:p>
        </w:tc>
        <w:tc>
          <w:tcPr>
            <w:tcW w:w="1108" w:type="dxa"/>
            <w:tcBorders>
              <w:top w:val="single" w:sz="4" w:space="0" w:color="BCE4CF"/>
              <w:bottom w:val="single" w:sz="4" w:space="0" w:color="BCE4CF"/>
            </w:tcBorders>
            <w:shd w:val="clear" w:color="auto" w:fill="F5FBF8"/>
          </w:tcPr>
          <w:p w14:paraId="1C36646D" w14:textId="77777777" w:rsidR="00127337" w:rsidRPr="0052695A" w:rsidRDefault="00127337" w:rsidP="00C5498E">
            <w:pPr>
              <w:pStyle w:val="TableTextLeft"/>
              <w:cnfStyle w:val="000000000000" w:firstRow="0" w:lastRow="0" w:firstColumn="0" w:lastColumn="0" w:oddVBand="0" w:evenVBand="0" w:oddHBand="0" w:evenHBand="0" w:firstRowFirstColumn="0" w:firstRowLastColumn="0" w:lastRowFirstColumn="0" w:lastRowLastColumn="0"/>
            </w:pPr>
          </w:p>
        </w:tc>
        <w:tc>
          <w:tcPr>
            <w:tcW w:w="1386" w:type="dxa"/>
            <w:tcBorders>
              <w:top w:val="single" w:sz="4" w:space="0" w:color="BCE4CF"/>
              <w:bottom w:val="single" w:sz="4" w:space="0" w:color="BCE4CF"/>
            </w:tcBorders>
            <w:shd w:val="clear" w:color="auto" w:fill="F5FBF8"/>
          </w:tcPr>
          <w:p w14:paraId="6DB76277" w14:textId="4FBADFFD" w:rsidR="00127337" w:rsidRPr="0052695A" w:rsidRDefault="00127337" w:rsidP="00C5498E">
            <w:pPr>
              <w:pStyle w:val="TableTextLeft"/>
              <w:cnfStyle w:val="000000000000" w:firstRow="0" w:lastRow="0" w:firstColumn="0" w:lastColumn="0" w:oddVBand="0" w:evenVBand="0" w:oddHBand="0" w:evenHBand="0" w:firstRowFirstColumn="0" w:firstRowLastColumn="0" w:lastRowFirstColumn="0" w:lastRowLastColumn="0"/>
            </w:pPr>
            <w:r>
              <w:t xml:space="preserve">The Government has indicated its intent to conduct a </w:t>
            </w:r>
            <w:proofErr w:type="spellStart"/>
            <w:r>
              <w:t xml:space="preserve">non </w:t>
            </w:r>
            <w:r w:rsidR="003D486F">
              <w:noBreakHyphen/>
            </w:r>
            <w:r>
              <w:t>statutory</w:t>
            </w:r>
            <w:proofErr w:type="spellEnd"/>
            <w:r>
              <w:t xml:space="preserve"> review, two </w:t>
            </w:r>
            <w:proofErr w:type="gramStart"/>
            <w:r>
              <w:t>year</w:t>
            </w:r>
            <w:proofErr w:type="gramEnd"/>
            <w:r w:rsidR="00290C68">
              <w:t> </w:t>
            </w:r>
            <w:r>
              <w:t xml:space="preserve">after </w:t>
            </w:r>
            <w:r w:rsidRPr="00801BD8">
              <w:t>commence</w:t>
            </w:r>
            <w:r>
              <w:t>ment*</w:t>
            </w:r>
          </w:p>
        </w:tc>
      </w:tr>
      <w:tr w:rsidR="00127337" w:rsidRPr="00AF43B7" w14:paraId="7532CF9E" w14:textId="77777777" w:rsidTr="00290C68">
        <w:trPr>
          <w:cantSplit/>
          <w:trHeight w:val="410"/>
        </w:trPr>
        <w:tc>
          <w:tcPr>
            <w:cnfStyle w:val="001000000000" w:firstRow="0" w:lastRow="0" w:firstColumn="1" w:lastColumn="0" w:oddVBand="0" w:evenVBand="0" w:oddHBand="0" w:evenHBand="0" w:firstRowFirstColumn="0" w:firstRowLastColumn="0" w:lastRowFirstColumn="0" w:lastRowLastColumn="0"/>
            <w:tcW w:w="794" w:type="dxa"/>
            <w:tcBorders>
              <w:top w:val="single" w:sz="4" w:space="0" w:color="BCE4CF"/>
              <w:bottom w:val="single" w:sz="4" w:space="0" w:color="BCE4CF"/>
            </w:tcBorders>
          </w:tcPr>
          <w:p w14:paraId="2E7E7012" w14:textId="77777777" w:rsidR="00127337" w:rsidRPr="00031D59" w:rsidRDefault="00127337" w:rsidP="00465D59">
            <w:pPr>
              <w:pStyle w:val="TableLeadAgency"/>
              <w:rPr>
                <w:b/>
                <w:bCs/>
                <w:lang w:val="en-AU"/>
              </w:rPr>
            </w:pPr>
            <w:r w:rsidRPr="00AD71F3">
              <w:rPr>
                <w:b/>
              </w:rPr>
              <w:lastRenderedPageBreak/>
              <w:t>TSY</w:t>
            </w:r>
          </w:p>
        </w:tc>
        <w:tc>
          <w:tcPr>
            <w:tcW w:w="1304" w:type="dxa"/>
            <w:tcBorders>
              <w:top w:val="single" w:sz="4" w:space="0" w:color="BCE4CF"/>
              <w:bottom w:val="single" w:sz="4" w:space="0" w:color="BCE4CF"/>
            </w:tcBorders>
          </w:tcPr>
          <w:p w14:paraId="439E3350" w14:textId="77777777" w:rsidR="00127337" w:rsidRPr="00B555A9" w:rsidRDefault="00127337" w:rsidP="00465D59">
            <w:pPr>
              <w:pStyle w:val="TableTextLeft"/>
              <w:cnfStyle w:val="000000000000" w:firstRow="0" w:lastRow="0" w:firstColumn="0" w:lastColumn="0" w:oddVBand="0" w:evenVBand="0" w:oddHBand="0" w:evenHBand="0" w:firstRowFirstColumn="0" w:firstRowLastColumn="0" w:lastRowFirstColumn="0" w:lastRowLastColumn="0"/>
            </w:pPr>
            <w:r w:rsidRPr="00F534FF">
              <w:t xml:space="preserve">Banking, credit and </w:t>
            </w:r>
            <w:r w:rsidRPr="00301F93">
              <w:t>lending</w:t>
            </w:r>
          </w:p>
        </w:tc>
        <w:tc>
          <w:tcPr>
            <w:tcW w:w="3175" w:type="dxa"/>
            <w:tcBorders>
              <w:top w:val="single" w:sz="4" w:space="0" w:color="BCE4CF"/>
              <w:bottom w:val="single" w:sz="4" w:space="0" w:color="BCE4CF"/>
            </w:tcBorders>
          </w:tcPr>
          <w:p w14:paraId="2723568F" w14:textId="77777777" w:rsidR="00127337" w:rsidRPr="00283753" w:rsidRDefault="00127337" w:rsidP="00283753">
            <w:pPr>
              <w:pStyle w:val="TableLink"/>
              <w:cnfStyle w:val="000000000000" w:firstRow="0" w:lastRow="0" w:firstColumn="0" w:lastColumn="0" w:oddVBand="0" w:evenVBand="0" w:oddHBand="0" w:evenHBand="0" w:firstRowFirstColumn="0" w:firstRowLastColumn="0" w:lastRowFirstColumn="0" w:lastRowLastColumn="0"/>
              <w:rPr>
                <w:rStyle w:val="Hyperlink"/>
                <w:color w:val="5D779D" w:themeColor="accent3"/>
                <w:u w:val="single"/>
              </w:rPr>
            </w:pPr>
            <w:hyperlink r:id="rId72" w:history="1">
              <w:r w:rsidRPr="00283753">
                <w:rPr>
                  <w:rStyle w:val="Hyperlink"/>
                  <w:color w:val="5D779D" w:themeColor="accent3"/>
                  <w:u w:val="single"/>
                </w:rPr>
                <w:t>Cash acceptance mandate</w:t>
              </w:r>
            </w:hyperlink>
            <w:r w:rsidRPr="00283753">
              <w:rPr>
                <w:rStyle w:val="Hyperlink"/>
                <w:color w:val="5D779D" w:themeColor="accent3"/>
                <w:u w:val="single"/>
              </w:rPr>
              <w:t xml:space="preserve"> </w:t>
            </w:r>
          </w:p>
          <w:p w14:paraId="11BC8544" w14:textId="423B3833" w:rsidR="00127337" w:rsidRPr="000F0890" w:rsidRDefault="00127337" w:rsidP="00465D59">
            <w:pPr>
              <w:pStyle w:val="TableTextLeft"/>
              <w:cnfStyle w:val="000000000000" w:firstRow="0" w:lastRow="0" w:firstColumn="0" w:lastColumn="0" w:oddVBand="0" w:evenVBand="0" w:oddHBand="0" w:evenHBand="0" w:firstRowFirstColumn="0" w:firstRowLastColumn="0" w:lastRowFirstColumn="0" w:lastRowLastColumn="0"/>
            </w:pPr>
            <w:r w:rsidRPr="00F534FF">
              <w:t xml:space="preserve">In </w:t>
            </w:r>
            <w:r>
              <w:t>November </w:t>
            </w:r>
            <w:r w:rsidRPr="00F534FF">
              <w:t>202</w:t>
            </w:r>
            <w:r>
              <w:t>4</w:t>
            </w:r>
            <w:r w:rsidRPr="00F534FF">
              <w:t xml:space="preserve">, the </w:t>
            </w:r>
            <w:r>
              <w:t>g</w:t>
            </w:r>
            <w:r w:rsidRPr="00F534FF">
              <w:t>overnment announced it</w:t>
            </w:r>
            <w:r>
              <w:t xml:space="preserve"> will </w:t>
            </w:r>
            <w:r w:rsidRPr="00D7651C">
              <w:t>mandate that businesses must accept cash when selling essential items, with appropriate exemptions for small businesses</w:t>
            </w:r>
            <w:r>
              <w:t>. Treasury undertook consultation on the parameters of the mandate between December 2024 to February 2025</w:t>
            </w:r>
            <w:r w:rsidR="003D486F">
              <w:t xml:space="preserve">. </w:t>
            </w:r>
            <w:r>
              <w:t>The government is currently considering the outcomes of consultation. Subject to the</w:t>
            </w:r>
            <w:r w:rsidR="00066FC1">
              <w:t>se</w:t>
            </w:r>
            <w:r>
              <w:t xml:space="preserve"> </w:t>
            </w:r>
            <w:r w:rsidR="00066FC1">
              <w:t>outcomes</w:t>
            </w:r>
            <w:r>
              <w:t>, the mandate is to apply from 1 January 2026.</w:t>
            </w:r>
          </w:p>
        </w:tc>
        <w:tc>
          <w:tcPr>
            <w:tcW w:w="1247" w:type="dxa"/>
            <w:tcBorders>
              <w:top w:val="single" w:sz="4" w:space="0" w:color="BCE4CF"/>
              <w:bottom w:val="single" w:sz="4" w:space="0" w:color="BCE4CF"/>
            </w:tcBorders>
            <w:shd w:val="clear" w:color="auto" w:fill="ECF7F1"/>
          </w:tcPr>
          <w:p w14:paraId="085148F7" w14:textId="746DB376" w:rsidR="00127337" w:rsidRPr="0052695A" w:rsidRDefault="006D374D" w:rsidP="00465D59">
            <w:pPr>
              <w:pStyle w:val="TableTextLeft"/>
              <w:cnfStyle w:val="000000000000" w:firstRow="0" w:lastRow="0" w:firstColumn="0" w:lastColumn="0" w:oddVBand="0" w:evenVBand="0" w:oddHBand="0" w:evenHBand="0" w:firstRowFirstColumn="0" w:firstRowLastColumn="0" w:lastRowFirstColumn="0" w:lastRowLastColumn="0"/>
            </w:pPr>
            <w:r>
              <w:t>Expect to release e</w:t>
            </w:r>
            <w:r w:rsidR="00262D9E">
              <w:t xml:space="preserve">xposure draft </w:t>
            </w:r>
            <w:r>
              <w:t>legislation.</w:t>
            </w:r>
          </w:p>
        </w:tc>
        <w:tc>
          <w:tcPr>
            <w:tcW w:w="1247" w:type="dxa"/>
            <w:tcBorders>
              <w:top w:val="single" w:sz="4" w:space="0" w:color="BCE4CF"/>
              <w:bottom w:val="single" w:sz="4" w:space="0" w:color="BCE4CF"/>
            </w:tcBorders>
            <w:shd w:val="clear" w:color="auto" w:fill="ECF7F1"/>
          </w:tcPr>
          <w:p w14:paraId="3168D53E" w14:textId="77777777" w:rsidR="00127337" w:rsidRPr="0052695A" w:rsidRDefault="00127337" w:rsidP="00465D59">
            <w:pPr>
              <w:pStyle w:val="TableTextLeft"/>
              <w:cnfStyle w:val="000000000000" w:firstRow="0" w:lastRow="0" w:firstColumn="0" w:lastColumn="0" w:oddVBand="0" w:evenVBand="0" w:oddHBand="0" w:evenHBand="0" w:firstRowFirstColumn="0" w:firstRowLastColumn="0" w:lastRowFirstColumn="0" w:lastRowLastColumn="0"/>
            </w:pPr>
            <w:r w:rsidRPr="0049307A">
              <w:t>Subject to the outcomes of consultation, the mandate would commence from 1 January</w:t>
            </w:r>
            <w:r>
              <w:t> </w:t>
            </w:r>
            <w:r w:rsidRPr="0049307A">
              <w:t>2026</w:t>
            </w:r>
          </w:p>
        </w:tc>
        <w:tc>
          <w:tcPr>
            <w:tcW w:w="1247" w:type="dxa"/>
            <w:tcBorders>
              <w:top w:val="single" w:sz="4" w:space="0" w:color="BCE4CF"/>
              <w:bottom w:val="single" w:sz="4" w:space="0" w:color="BCE4CF"/>
            </w:tcBorders>
            <w:shd w:val="clear" w:color="auto" w:fill="ECF7F1"/>
          </w:tcPr>
          <w:p w14:paraId="1DC97721" w14:textId="77777777" w:rsidR="00127337" w:rsidRPr="0052695A" w:rsidRDefault="00127337" w:rsidP="00465D59">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54EBEB07" w14:textId="77777777" w:rsidR="00127337" w:rsidRPr="0052695A" w:rsidRDefault="00127337" w:rsidP="00465D59">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79A454AA" w14:textId="77777777" w:rsidR="00127337" w:rsidRPr="0052695A" w:rsidRDefault="00127337" w:rsidP="00465D59">
            <w:pPr>
              <w:pStyle w:val="TableTextLeft"/>
              <w:cnfStyle w:val="000000000000" w:firstRow="0" w:lastRow="0" w:firstColumn="0" w:lastColumn="0" w:oddVBand="0" w:evenVBand="0" w:oddHBand="0" w:evenHBand="0" w:firstRowFirstColumn="0" w:firstRowLastColumn="0" w:lastRowFirstColumn="0" w:lastRowLastColumn="0"/>
            </w:pPr>
          </w:p>
        </w:tc>
        <w:tc>
          <w:tcPr>
            <w:tcW w:w="1108" w:type="dxa"/>
            <w:tcBorders>
              <w:top w:val="single" w:sz="4" w:space="0" w:color="BCE4CF"/>
              <w:bottom w:val="single" w:sz="4" w:space="0" w:color="BCE4CF"/>
            </w:tcBorders>
            <w:shd w:val="clear" w:color="auto" w:fill="F5FBF8"/>
          </w:tcPr>
          <w:p w14:paraId="3050F7E4" w14:textId="77777777" w:rsidR="00127337" w:rsidRPr="0052695A" w:rsidRDefault="00127337" w:rsidP="00465D59">
            <w:pPr>
              <w:pStyle w:val="TableTextLeft"/>
              <w:cnfStyle w:val="000000000000" w:firstRow="0" w:lastRow="0" w:firstColumn="0" w:lastColumn="0" w:oddVBand="0" w:evenVBand="0" w:oddHBand="0" w:evenHBand="0" w:firstRowFirstColumn="0" w:firstRowLastColumn="0" w:lastRowFirstColumn="0" w:lastRowLastColumn="0"/>
            </w:pPr>
          </w:p>
        </w:tc>
        <w:tc>
          <w:tcPr>
            <w:tcW w:w="1386" w:type="dxa"/>
            <w:tcBorders>
              <w:top w:val="single" w:sz="4" w:space="0" w:color="BCE4CF"/>
              <w:bottom w:val="single" w:sz="4" w:space="0" w:color="BCE4CF"/>
            </w:tcBorders>
            <w:shd w:val="clear" w:color="auto" w:fill="F5FBF8"/>
          </w:tcPr>
          <w:p w14:paraId="2D42C2AA" w14:textId="77777777" w:rsidR="00127337" w:rsidRPr="0052695A" w:rsidRDefault="00127337" w:rsidP="00465D59">
            <w:pPr>
              <w:pStyle w:val="TableTextLeft"/>
              <w:cnfStyle w:val="000000000000" w:firstRow="0" w:lastRow="0" w:firstColumn="0" w:lastColumn="0" w:oddVBand="0" w:evenVBand="0" w:oddHBand="0" w:evenHBand="0" w:firstRowFirstColumn="0" w:firstRowLastColumn="0" w:lastRowFirstColumn="0" w:lastRowLastColumn="0"/>
            </w:pPr>
          </w:p>
        </w:tc>
      </w:tr>
      <w:tr w:rsidR="000D593D" w:rsidRPr="00AF43B7" w14:paraId="6DBC4117" w14:textId="77777777" w:rsidTr="00290C68">
        <w:trPr>
          <w:cantSplit/>
          <w:trHeight w:val="410"/>
        </w:trPr>
        <w:tc>
          <w:tcPr>
            <w:cnfStyle w:val="001000000000" w:firstRow="0" w:lastRow="0" w:firstColumn="1" w:lastColumn="0" w:oddVBand="0" w:evenVBand="0" w:oddHBand="0" w:evenHBand="0" w:firstRowFirstColumn="0" w:firstRowLastColumn="0" w:lastRowFirstColumn="0" w:lastRowLastColumn="0"/>
            <w:tcW w:w="794" w:type="dxa"/>
            <w:tcBorders>
              <w:top w:val="single" w:sz="4" w:space="0" w:color="BCE4CF"/>
              <w:bottom w:val="single" w:sz="4" w:space="0" w:color="BCE4CF"/>
            </w:tcBorders>
          </w:tcPr>
          <w:p w14:paraId="17E8F2A7" w14:textId="77777777" w:rsidR="000D593D" w:rsidRPr="00B01252" w:rsidRDefault="000D593D" w:rsidP="000D593D">
            <w:pPr>
              <w:pStyle w:val="TableLeadAgency"/>
              <w:spacing w:before="0" w:after="0"/>
              <w:rPr>
                <w:b/>
                <w:bCs/>
              </w:rPr>
            </w:pPr>
            <w:r w:rsidRPr="00B01252">
              <w:rPr>
                <w:b/>
                <w:bCs/>
              </w:rPr>
              <w:t>TSY</w:t>
            </w:r>
          </w:p>
          <w:p w14:paraId="60161A20" w14:textId="56FC4BBF" w:rsidR="000D593D" w:rsidRPr="002931AD" w:rsidRDefault="000D593D" w:rsidP="000D593D">
            <w:pPr>
              <w:pStyle w:val="TableSecondaryAgency"/>
              <w:rPr>
                <w:b w:val="0"/>
              </w:rPr>
            </w:pPr>
            <w:r w:rsidRPr="00B01252" w:rsidDel="000D593D">
              <w:rPr>
                <w:b w:val="0"/>
              </w:rPr>
              <w:t>ACCC</w:t>
            </w:r>
          </w:p>
        </w:tc>
        <w:tc>
          <w:tcPr>
            <w:tcW w:w="1304" w:type="dxa"/>
            <w:tcBorders>
              <w:top w:val="single" w:sz="4" w:space="0" w:color="BCE4CF"/>
              <w:bottom w:val="single" w:sz="4" w:space="0" w:color="BCE4CF"/>
            </w:tcBorders>
          </w:tcPr>
          <w:p w14:paraId="4AF51CEF" w14:textId="77777777" w:rsidR="000D593D" w:rsidRPr="0052695A"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r>
              <w:t>Banking, credit and lending</w:t>
            </w:r>
          </w:p>
        </w:tc>
        <w:tc>
          <w:tcPr>
            <w:tcW w:w="3175" w:type="dxa"/>
            <w:tcBorders>
              <w:top w:val="single" w:sz="4" w:space="0" w:color="BCE4CF"/>
              <w:bottom w:val="single" w:sz="4" w:space="0" w:color="BCE4CF"/>
            </w:tcBorders>
          </w:tcPr>
          <w:p w14:paraId="473A17E8" w14:textId="77777777" w:rsidR="00283753" w:rsidRPr="00283753" w:rsidRDefault="000D593D" w:rsidP="00283753">
            <w:pPr>
              <w:pStyle w:val="TableLink"/>
              <w:cnfStyle w:val="000000000000" w:firstRow="0" w:lastRow="0" w:firstColumn="0" w:lastColumn="0" w:oddVBand="0" w:evenVBand="0" w:oddHBand="0" w:evenHBand="0" w:firstRowFirstColumn="0" w:firstRowLastColumn="0" w:lastRowFirstColumn="0" w:lastRowLastColumn="0"/>
              <w:rPr>
                <w:rStyle w:val="NewInitiativeChar"/>
                <w:sz w:val="16"/>
                <w:szCs w:val="16"/>
              </w:rPr>
            </w:pPr>
            <w:hyperlink r:id="rId73" w:history="1">
              <w:r w:rsidRPr="00283753">
                <w:rPr>
                  <w:rStyle w:val="Hyperlink"/>
                  <w:color w:val="5D779D" w:themeColor="accent3"/>
                  <w:u w:val="single"/>
                </w:rPr>
                <w:t>Consumer Data Right (CDR) redirect to app Data Standards</w:t>
              </w:r>
            </w:hyperlink>
            <w:r w:rsidR="00283753" w:rsidRPr="00283753">
              <w:rPr>
                <w:szCs w:val="16"/>
                <w:u w:val="none"/>
              </w:rPr>
              <w:t xml:space="preserve"> </w:t>
            </w:r>
            <w:r w:rsidR="00283753" w:rsidRPr="00283753">
              <w:rPr>
                <w:rStyle w:val="NewInitiativeChar"/>
                <w:b/>
                <w:bCs/>
                <w:sz w:val="16"/>
                <w:szCs w:val="16"/>
                <w:u w:val="none"/>
              </w:rPr>
              <w:t>(new)</w:t>
            </w:r>
          </w:p>
          <w:p w14:paraId="69740653" w14:textId="1EA717D7" w:rsidR="000D593D" w:rsidRPr="00E1125C"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r w:rsidRPr="00607DB8">
              <w:rPr>
                <w:bCs/>
                <w:color w:val="auto"/>
              </w:rPr>
              <w:t>In June 2025, the Data Standards Chair amended the authentication standards to meet best practice security requirements, align to international security standards, and address identified security and consumer experience concerns raised due to the current use of one</w:t>
            </w:r>
            <w:r w:rsidR="003D486F">
              <w:rPr>
                <w:bCs/>
                <w:color w:val="auto"/>
              </w:rPr>
              <w:noBreakHyphen/>
            </w:r>
            <w:r w:rsidRPr="00607DB8">
              <w:rPr>
                <w:bCs/>
                <w:color w:val="auto"/>
              </w:rPr>
              <w:t>time passwords. This change will enable an alternative authentication flow so that data holders can authenticate customers using their consumer</w:t>
            </w:r>
            <w:r w:rsidR="003D486F">
              <w:rPr>
                <w:bCs/>
                <w:color w:val="auto"/>
              </w:rPr>
              <w:noBreakHyphen/>
            </w:r>
            <w:r w:rsidRPr="00607DB8">
              <w:rPr>
                <w:bCs/>
                <w:color w:val="auto"/>
              </w:rPr>
              <w:t xml:space="preserve">facing apps. </w:t>
            </w:r>
            <w:r w:rsidRPr="2B3090BA">
              <w:rPr>
                <w:color w:val="auto"/>
              </w:rPr>
              <w:t>From 10</w:t>
            </w:r>
            <w:r w:rsidR="00A956DD">
              <w:rPr>
                <w:color w:val="auto"/>
              </w:rPr>
              <w:t> </w:t>
            </w:r>
            <w:r w:rsidRPr="2B3090BA">
              <w:rPr>
                <w:color w:val="auto"/>
              </w:rPr>
              <w:t>May</w:t>
            </w:r>
            <w:r w:rsidRPr="1FD14E51">
              <w:rPr>
                <w:color w:val="auto"/>
              </w:rPr>
              <w:t xml:space="preserve"> 2027,</w:t>
            </w:r>
            <w:r w:rsidRPr="2B3090BA">
              <w:rPr>
                <w:color w:val="auto"/>
              </w:rPr>
              <w:t xml:space="preserve"> </w:t>
            </w:r>
            <w:r w:rsidRPr="7FF4CDE9">
              <w:rPr>
                <w:color w:val="auto"/>
              </w:rPr>
              <w:t xml:space="preserve">data holders </w:t>
            </w:r>
            <w:r w:rsidRPr="3423B61B">
              <w:rPr>
                <w:color w:val="auto"/>
              </w:rPr>
              <w:t xml:space="preserve">and </w:t>
            </w:r>
            <w:r w:rsidRPr="51B69F59">
              <w:rPr>
                <w:color w:val="auto"/>
              </w:rPr>
              <w:t>data recipients</w:t>
            </w:r>
            <w:r w:rsidRPr="3423B61B">
              <w:rPr>
                <w:color w:val="auto"/>
              </w:rPr>
              <w:t xml:space="preserve"> are required to </w:t>
            </w:r>
            <w:r w:rsidRPr="29EF6F9D">
              <w:rPr>
                <w:color w:val="auto"/>
              </w:rPr>
              <w:t xml:space="preserve">implement the new standards. </w:t>
            </w:r>
          </w:p>
        </w:tc>
        <w:tc>
          <w:tcPr>
            <w:tcW w:w="1247" w:type="dxa"/>
            <w:tcBorders>
              <w:top w:val="single" w:sz="4" w:space="0" w:color="BCE4CF"/>
              <w:bottom w:val="single" w:sz="4" w:space="0" w:color="BCE4CF"/>
            </w:tcBorders>
            <w:shd w:val="clear" w:color="auto" w:fill="ECF7F1"/>
          </w:tcPr>
          <w:p w14:paraId="232387BA"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251AC1CA"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0E892659"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3E90CE24"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5441228E"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108" w:type="dxa"/>
            <w:tcBorders>
              <w:top w:val="single" w:sz="4" w:space="0" w:color="BCE4CF"/>
              <w:bottom w:val="single" w:sz="4" w:space="0" w:color="BCE4CF"/>
            </w:tcBorders>
            <w:shd w:val="clear" w:color="auto" w:fill="F5FBF8"/>
          </w:tcPr>
          <w:p w14:paraId="61D77581"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386" w:type="dxa"/>
            <w:tcBorders>
              <w:top w:val="single" w:sz="4" w:space="0" w:color="BCE4CF"/>
              <w:bottom w:val="single" w:sz="4" w:space="0" w:color="BCE4CF"/>
            </w:tcBorders>
            <w:shd w:val="clear" w:color="auto" w:fill="F5FBF8"/>
          </w:tcPr>
          <w:p w14:paraId="21C3C07D" w14:textId="5640E430"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r>
              <w:t>New obligations begin to apply to data holders and data recipients</w:t>
            </w:r>
          </w:p>
        </w:tc>
      </w:tr>
      <w:tr w:rsidR="000D593D" w:rsidRPr="00AF43B7" w14:paraId="204AD558" w14:textId="77777777" w:rsidTr="00290C68">
        <w:trPr>
          <w:cantSplit/>
          <w:trHeight w:val="410"/>
        </w:trPr>
        <w:tc>
          <w:tcPr>
            <w:cnfStyle w:val="001000000000" w:firstRow="0" w:lastRow="0" w:firstColumn="1" w:lastColumn="0" w:oddVBand="0" w:evenVBand="0" w:oddHBand="0" w:evenHBand="0" w:firstRowFirstColumn="0" w:firstRowLastColumn="0" w:lastRowFirstColumn="0" w:lastRowLastColumn="0"/>
            <w:tcW w:w="794" w:type="dxa"/>
            <w:tcBorders>
              <w:top w:val="single" w:sz="4" w:space="0" w:color="BCE4CF"/>
              <w:bottom w:val="single" w:sz="4" w:space="0" w:color="BCE4CF"/>
            </w:tcBorders>
          </w:tcPr>
          <w:p w14:paraId="6A1A0CB5" w14:textId="77777777" w:rsidR="000D593D" w:rsidRPr="00AD71F3" w:rsidRDefault="000D593D" w:rsidP="000D593D">
            <w:pPr>
              <w:pStyle w:val="TableLeadAgency"/>
              <w:spacing w:before="0" w:after="0"/>
              <w:rPr>
                <w:rFonts w:cs="Calibri Light"/>
                <w:szCs w:val="16"/>
              </w:rPr>
            </w:pPr>
            <w:r w:rsidRPr="00AD71F3">
              <w:rPr>
                <w:rFonts w:cs="Calibri Light"/>
                <w:b/>
                <w:szCs w:val="16"/>
              </w:rPr>
              <w:t xml:space="preserve">TSY </w:t>
            </w:r>
          </w:p>
          <w:p w14:paraId="0466779D" w14:textId="77777777" w:rsidR="000D593D" w:rsidRPr="00AD71F3" w:rsidRDefault="000D593D" w:rsidP="000D593D">
            <w:pPr>
              <w:pStyle w:val="TableSecondaryAgency"/>
              <w:spacing w:before="0" w:after="0"/>
            </w:pPr>
            <w:r w:rsidRPr="00AD71F3">
              <w:rPr>
                <w:b w:val="0"/>
              </w:rPr>
              <w:t xml:space="preserve">ASIC </w:t>
            </w:r>
          </w:p>
          <w:p w14:paraId="6A077F2D" w14:textId="77777777" w:rsidR="000D593D" w:rsidRPr="009C4097" w:rsidRDefault="000D593D" w:rsidP="000D593D">
            <w:pPr>
              <w:pStyle w:val="TableSecondaryAgency"/>
            </w:pPr>
            <w:r w:rsidRPr="00AD71F3">
              <w:rPr>
                <w:b w:val="0"/>
              </w:rPr>
              <w:t>APRA</w:t>
            </w:r>
          </w:p>
        </w:tc>
        <w:tc>
          <w:tcPr>
            <w:tcW w:w="1304" w:type="dxa"/>
            <w:tcBorders>
              <w:top w:val="single" w:sz="4" w:space="0" w:color="BCE4CF"/>
              <w:bottom w:val="single" w:sz="4" w:space="0" w:color="BCE4CF"/>
            </w:tcBorders>
          </w:tcPr>
          <w:p w14:paraId="3CA6C394" w14:textId="77777777" w:rsidR="000D593D" w:rsidRPr="00301F93" w:rsidRDefault="000D593D" w:rsidP="000D593D">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301F93">
              <w:t>Financial advice</w:t>
            </w:r>
          </w:p>
          <w:p w14:paraId="64A9E39F" w14:textId="77777777" w:rsidR="000D593D" w:rsidRPr="00301F93" w:rsidRDefault="000D593D" w:rsidP="000D593D">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301F93">
              <w:t>Insurance and reinsurance</w:t>
            </w:r>
          </w:p>
          <w:p w14:paraId="419F7A3F" w14:textId="744F971B" w:rsidR="000D593D" w:rsidRPr="0052695A" w:rsidRDefault="000D593D" w:rsidP="008E0A1C">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301F93">
              <w:t>Superannuation and retirement income</w:t>
            </w:r>
          </w:p>
        </w:tc>
        <w:tc>
          <w:tcPr>
            <w:tcW w:w="3175" w:type="dxa"/>
            <w:tcBorders>
              <w:top w:val="single" w:sz="4" w:space="0" w:color="BCE4CF"/>
              <w:bottom w:val="single" w:sz="4" w:space="0" w:color="BCE4CF"/>
            </w:tcBorders>
          </w:tcPr>
          <w:p w14:paraId="1E21AA37" w14:textId="51B3765F" w:rsidR="000D593D" w:rsidRPr="001758FE" w:rsidRDefault="000D593D" w:rsidP="00283753">
            <w:pPr>
              <w:pStyle w:val="TableLink"/>
              <w:cnfStyle w:val="000000000000" w:firstRow="0" w:lastRow="0" w:firstColumn="0" w:lastColumn="0" w:oddVBand="0" w:evenVBand="0" w:oddHBand="0" w:evenHBand="0" w:firstRowFirstColumn="0" w:firstRowLastColumn="0" w:lastRowFirstColumn="0" w:lastRowLastColumn="0"/>
              <w:rPr>
                <w:bCs/>
              </w:rPr>
            </w:pPr>
            <w:hyperlink r:id="rId74" w:history="1">
              <w:r w:rsidRPr="00283753">
                <w:t>Delivering Better Financial Outcomes</w:t>
              </w:r>
            </w:hyperlink>
            <w:r w:rsidRPr="00283753">
              <w:rPr>
                <w:rStyle w:val="TableTextLeftChar"/>
                <w:u w:val="none"/>
              </w:rPr>
              <w:t xml:space="preserve"> </w:t>
            </w:r>
            <w:r w:rsidR="00F57BE5" w:rsidRPr="00F57BE5">
              <w:rPr>
                <w:color w:val="000000"/>
                <w:u w:val="none"/>
                <w:lang w:val="en-AU"/>
              </w:rPr>
              <w:t>–</w:t>
            </w:r>
            <w:r w:rsidR="00F57BE5">
              <w:rPr>
                <w:color w:val="000000"/>
                <w:u w:val="none"/>
                <w:lang w:val="en-AU"/>
              </w:rPr>
              <w:t xml:space="preserve"> </w:t>
            </w:r>
            <w:r w:rsidRPr="00283753">
              <w:rPr>
                <w:rStyle w:val="TableTextLeftChar"/>
                <w:u w:val="none"/>
              </w:rPr>
              <w:t>tranche two</w:t>
            </w:r>
          </w:p>
          <w:p w14:paraId="0C8BC5F8" w14:textId="22ED5BEF" w:rsidR="000D593D" w:rsidRDefault="000D593D" w:rsidP="000D593D">
            <w:pPr>
              <w:pStyle w:val="TableTextLeft"/>
              <w:spacing w:before="0" w:after="0"/>
              <w:cnfStyle w:val="000000000000" w:firstRow="0" w:lastRow="0" w:firstColumn="0" w:lastColumn="0" w:oddVBand="0" w:evenVBand="0" w:oddHBand="0" w:evenHBand="0" w:firstRowFirstColumn="0" w:firstRowLastColumn="0" w:lastRowFirstColumn="0" w:lastRowLastColumn="0"/>
            </w:pPr>
            <w:r>
              <w:t xml:space="preserve">In December 2023, </w:t>
            </w:r>
            <w:r w:rsidR="00163BCD">
              <w:t>g</w:t>
            </w:r>
            <w:r>
              <w:t xml:space="preserve">overnment announced reforms to enhance the affordability and accessibility of financial advice in response to the Quality of Advice review. </w:t>
            </w:r>
          </w:p>
          <w:p w14:paraId="6936613B" w14:textId="664764C9" w:rsidR="000D593D" w:rsidRDefault="000D593D" w:rsidP="000D593D">
            <w:pPr>
              <w:pStyle w:val="TableTextLeft"/>
              <w:spacing w:before="0" w:after="0"/>
              <w:cnfStyle w:val="000000000000" w:firstRow="0" w:lastRow="0" w:firstColumn="0" w:lastColumn="0" w:oddVBand="0" w:evenVBand="0" w:oddHBand="0" w:evenHBand="0" w:firstRowFirstColumn="0" w:firstRowLastColumn="0" w:lastRowFirstColumn="0" w:lastRowLastColumn="0"/>
            </w:pPr>
            <w:r>
              <w:t xml:space="preserve">The </w:t>
            </w:r>
            <w:r w:rsidR="00163BCD">
              <w:t>g</w:t>
            </w:r>
            <w:r>
              <w:t xml:space="preserve">overnment has concluded public consultation on exposure draft legislation for three of the five measures in tranche two, with further consultation on remaining measures to be undertaken in due course. </w:t>
            </w:r>
          </w:p>
          <w:p w14:paraId="663CFFBB" w14:textId="77777777" w:rsidR="000D593D" w:rsidRPr="00A56D83"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r w:rsidRPr="00FD1789">
              <w:rPr>
                <w:rStyle w:val="Hyperlink"/>
                <w:color w:val="auto"/>
                <w:szCs w:val="16"/>
              </w:rPr>
              <w:t>ASIC intends to issue regulatory guidance to assist implementation of the legislation.</w:t>
            </w:r>
            <w:r w:rsidRPr="00FD1789">
              <w:rPr>
                <w:rFonts w:cs="Calibri Light"/>
                <w:b/>
                <w:color w:val="00B050"/>
                <w:szCs w:val="16"/>
              </w:rPr>
              <w:t xml:space="preserve"> </w:t>
            </w:r>
          </w:p>
        </w:tc>
        <w:tc>
          <w:tcPr>
            <w:tcW w:w="1247" w:type="dxa"/>
            <w:tcBorders>
              <w:top w:val="single" w:sz="4" w:space="0" w:color="BCE4CF"/>
              <w:bottom w:val="single" w:sz="4" w:space="0" w:color="BCE4CF"/>
            </w:tcBorders>
            <w:shd w:val="clear" w:color="auto" w:fill="ECF7F1"/>
          </w:tcPr>
          <w:p w14:paraId="4D2B86F8" w14:textId="77777777" w:rsidR="000D593D" w:rsidRPr="0049307A"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19E5B05D" w14:textId="77777777" w:rsidR="000D593D" w:rsidRPr="0049307A"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1BAB9237" w14:textId="77777777" w:rsidR="000D593D" w:rsidRPr="0049307A"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201504D3" w14:textId="77777777" w:rsidR="000D593D" w:rsidRPr="0049307A"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6166D902" w14:textId="77777777" w:rsidR="000D593D" w:rsidRPr="0049307A"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108" w:type="dxa"/>
            <w:tcBorders>
              <w:top w:val="single" w:sz="4" w:space="0" w:color="BCE4CF"/>
              <w:bottom w:val="single" w:sz="4" w:space="0" w:color="BCE4CF"/>
            </w:tcBorders>
            <w:shd w:val="clear" w:color="auto" w:fill="F5FBF8"/>
          </w:tcPr>
          <w:p w14:paraId="41A01112" w14:textId="77777777" w:rsidR="000D593D" w:rsidRPr="0049307A"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386" w:type="dxa"/>
            <w:tcBorders>
              <w:top w:val="single" w:sz="4" w:space="0" w:color="BCE4CF"/>
              <w:bottom w:val="single" w:sz="4" w:space="0" w:color="BCE4CF"/>
            </w:tcBorders>
            <w:shd w:val="clear" w:color="auto" w:fill="F5FBF8"/>
          </w:tcPr>
          <w:p w14:paraId="34BBB63B" w14:textId="77777777" w:rsidR="000D593D" w:rsidRPr="0049307A"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r>
      <w:tr w:rsidR="000D593D" w:rsidRPr="00AF43B7" w14:paraId="391FEBBB" w14:textId="77777777" w:rsidTr="00290C68">
        <w:trPr>
          <w:cantSplit/>
          <w:trHeight w:val="410"/>
        </w:trPr>
        <w:tc>
          <w:tcPr>
            <w:cnfStyle w:val="001000000000" w:firstRow="0" w:lastRow="0" w:firstColumn="1" w:lastColumn="0" w:oddVBand="0" w:evenVBand="0" w:oddHBand="0" w:evenHBand="0" w:firstRowFirstColumn="0" w:firstRowLastColumn="0" w:lastRowFirstColumn="0" w:lastRowLastColumn="0"/>
            <w:tcW w:w="794" w:type="dxa"/>
            <w:tcBorders>
              <w:top w:val="single" w:sz="4" w:space="0" w:color="BCE4CF"/>
              <w:bottom w:val="single" w:sz="4" w:space="0" w:color="BCE4CF"/>
            </w:tcBorders>
          </w:tcPr>
          <w:p w14:paraId="71E757A0" w14:textId="77777777" w:rsidR="000D593D" w:rsidRPr="00AD71F3" w:rsidRDefault="000D593D" w:rsidP="000D593D">
            <w:pPr>
              <w:pStyle w:val="TableLeadAgency"/>
              <w:spacing w:before="0" w:after="0"/>
            </w:pPr>
            <w:r w:rsidRPr="00AD71F3">
              <w:rPr>
                <w:b/>
              </w:rPr>
              <w:lastRenderedPageBreak/>
              <w:t xml:space="preserve">TSY </w:t>
            </w:r>
          </w:p>
          <w:p w14:paraId="531979FA" w14:textId="77777777" w:rsidR="000D593D" w:rsidRPr="002931AD" w:rsidRDefault="000D593D" w:rsidP="000D593D">
            <w:pPr>
              <w:pStyle w:val="TableLeadAgency"/>
              <w:rPr>
                <w:b/>
                <w:i/>
              </w:rPr>
            </w:pPr>
            <w:r w:rsidRPr="002931AD">
              <w:rPr>
                <w:i/>
              </w:rPr>
              <w:t>ASIC</w:t>
            </w:r>
          </w:p>
        </w:tc>
        <w:tc>
          <w:tcPr>
            <w:tcW w:w="1304" w:type="dxa"/>
            <w:tcBorders>
              <w:top w:val="single" w:sz="4" w:space="0" w:color="BCE4CF"/>
              <w:bottom w:val="single" w:sz="4" w:space="0" w:color="BCE4CF"/>
            </w:tcBorders>
          </w:tcPr>
          <w:p w14:paraId="1369588B" w14:textId="77777777" w:rsidR="000D593D" w:rsidRPr="0052695A"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r w:rsidRPr="00301F93">
              <w:t>Payment</w:t>
            </w:r>
            <w:r w:rsidRPr="00B70D9E">
              <w:t xml:space="preserve"> services and digital assets</w:t>
            </w:r>
          </w:p>
        </w:tc>
        <w:tc>
          <w:tcPr>
            <w:tcW w:w="3175" w:type="dxa"/>
            <w:tcBorders>
              <w:top w:val="single" w:sz="4" w:space="0" w:color="BCE4CF"/>
              <w:bottom w:val="single" w:sz="4" w:space="0" w:color="BCE4CF"/>
            </w:tcBorders>
          </w:tcPr>
          <w:p w14:paraId="4B76957A" w14:textId="77777777" w:rsidR="000D593D" w:rsidRPr="00283753" w:rsidRDefault="000D593D" w:rsidP="00283753">
            <w:pPr>
              <w:pStyle w:val="TableLink"/>
              <w:cnfStyle w:val="000000000000" w:firstRow="0" w:lastRow="0" w:firstColumn="0" w:lastColumn="0" w:oddVBand="0" w:evenVBand="0" w:oddHBand="0" w:evenHBand="0" w:firstRowFirstColumn="0" w:firstRowLastColumn="0" w:lastRowFirstColumn="0" w:lastRowLastColumn="0"/>
            </w:pPr>
            <w:hyperlink r:id="rId75">
              <w:r w:rsidRPr="00283753">
                <w:rPr>
                  <w:rStyle w:val="Hyperlink"/>
                  <w:color w:val="5D779D" w:themeColor="accent3"/>
                  <w:u w:val="single"/>
                </w:rPr>
                <w:t>Digital Asset Platform reforms</w:t>
              </w:r>
            </w:hyperlink>
          </w:p>
          <w:p w14:paraId="1F514004" w14:textId="77777777" w:rsidR="000D593D" w:rsidRDefault="000D593D" w:rsidP="000D593D">
            <w:pPr>
              <w:pStyle w:val="TableTextLeft"/>
              <w:spacing w:before="0" w:after="0"/>
              <w:cnfStyle w:val="000000000000" w:firstRow="0" w:lastRow="0" w:firstColumn="0" w:lastColumn="0" w:oddVBand="0" w:evenVBand="0" w:oddHBand="0" w:evenHBand="0" w:firstRowFirstColumn="0" w:firstRowLastColumn="0" w:lastRowFirstColumn="0" w:lastRowLastColumn="0"/>
            </w:pPr>
            <w:r>
              <w:t xml:space="preserve">The government is committed to introduce a framework for digital asset platforms </w:t>
            </w:r>
            <w:r w:rsidRPr="00293A1A">
              <w:rPr>
                <w:lang w:val="en-AU"/>
              </w:rPr>
              <w:t>to mitigate key risks for consumers so the sector can safely and securely innovate and grow.</w:t>
            </w:r>
            <w:r>
              <w:t xml:space="preserve"> </w:t>
            </w:r>
            <w:r w:rsidRPr="213A5E53">
              <w:t xml:space="preserve">The proposed regulatory framework would apply to </w:t>
            </w:r>
            <w:r>
              <w:t>entities</w:t>
            </w:r>
            <w:r w:rsidRPr="213A5E53">
              <w:t xml:space="preserve"> that present similar risks </w:t>
            </w:r>
            <w:r>
              <w:t>to those</w:t>
            </w:r>
            <w:r w:rsidRPr="213A5E53">
              <w:t xml:space="preserve"> operat</w:t>
            </w:r>
            <w:r>
              <w:t>ing</w:t>
            </w:r>
            <w:r w:rsidRPr="213A5E53">
              <w:t xml:space="preserve"> in the traditional financial system. </w:t>
            </w:r>
            <w:r w:rsidRPr="00D30450">
              <w:t xml:space="preserve">The timing of any further work </w:t>
            </w:r>
            <w:r>
              <w:t>is contingent on the outcomes of exposure draft legislation</w:t>
            </w:r>
            <w:r w:rsidRPr="00D30450">
              <w:t>.</w:t>
            </w:r>
          </w:p>
          <w:p w14:paraId="0B119300" w14:textId="77777777" w:rsidR="000D593D" w:rsidRPr="00A15D1F"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r w:rsidRPr="77BBD53B">
              <w:rPr>
                <w:rFonts w:cs="Calibri Light"/>
              </w:rPr>
              <w:t>ASIC intends to issue regulatory guidance to assist implementation of the legislation.</w:t>
            </w:r>
          </w:p>
        </w:tc>
        <w:tc>
          <w:tcPr>
            <w:tcW w:w="1247" w:type="dxa"/>
            <w:tcBorders>
              <w:top w:val="single" w:sz="4" w:space="0" w:color="BCE4CF"/>
              <w:bottom w:val="single" w:sz="4" w:space="0" w:color="BCE4CF"/>
            </w:tcBorders>
            <w:shd w:val="clear" w:color="auto" w:fill="ECF7F1"/>
          </w:tcPr>
          <w:p w14:paraId="3C412DA8"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r>
              <w:t>Consultation on exposure draft legislation^</w:t>
            </w:r>
          </w:p>
        </w:tc>
        <w:tc>
          <w:tcPr>
            <w:tcW w:w="1247" w:type="dxa"/>
            <w:tcBorders>
              <w:top w:val="single" w:sz="4" w:space="0" w:color="BCE4CF"/>
              <w:bottom w:val="single" w:sz="4" w:space="0" w:color="BCE4CF"/>
            </w:tcBorders>
            <w:shd w:val="clear" w:color="auto" w:fill="ECF7F1"/>
          </w:tcPr>
          <w:p w14:paraId="2B816AE3"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1EEE4CAD"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370043E4"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203960C4"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108" w:type="dxa"/>
            <w:tcBorders>
              <w:top w:val="single" w:sz="4" w:space="0" w:color="BCE4CF"/>
              <w:bottom w:val="single" w:sz="4" w:space="0" w:color="BCE4CF"/>
            </w:tcBorders>
            <w:shd w:val="clear" w:color="auto" w:fill="F5FBF8"/>
          </w:tcPr>
          <w:p w14:paraId="5441F7FF"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386" w:type="dxa"/>
            <w:tcBorders>
              <w:top w:val="single" w:sz="4" w:space="0" w:color="BCE4CF"/>
              <w:bottom w:val="single" w:sz="4" w:space="0" w:color="BCE4CF"/>
            </w:tcBorders>
            <w:shd w:val="clear" w:color="auto" w:fill="F5FBF8"/>
          </w:tcPr>
          <w:p w14:paraId="01D3E5B4"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r>
      <w:tr w:rsidR="000D593D" w:rsidRPr="00AF43B7" w14:paraId="7E8D3A7D" w14:textId="77777777" w:rsidTr="00290C68">
        <w:trPr>
          <w:cantSplit/>
          <w:trHeight w:val="410"/>
        </w:trPr>
        <w:tc>
          <w:tcPr>
            <w:cnfStyle w:val="001000000000" w:firstRow="0" w:lastRow="0" w:firstColumn="1" w:lastColumn="0" w:oddVBand="0" w:evenVBand="0" w:oddHBand="0" w:evenHBand="0" w:firstRowFirstColumn="0" w:firstRowLastColumn="0" w:lastRowFirstColumn="0" w:lastRowLastColumn="0"/>
            <w:tcW w:w="794" w:type="dxa"/>
            <w:tcBorders>
              <w:top w:val="single" w:sz="4" w:space="0" w:color="BCE4CF"/>
              <w:bottom w:val="single" w:sz="4" w:space="0" w:color="BCE4CF"/>
            </w:tcBorders>
          </w:tcPr>
          <w:p w14:paraId="6E7A4CEB" w14:textId="77777777" w:rsidR="000D593D" w:rsidRPr="00B01252" w:rsidRDefault="000D593D" w:rsidP="000D593D">
            <w:pPr>
              <w:pStyle w:val="TableLeadAgency"/>
              <w:spacing w:before="0" w:after="0"/>
              <w:rPr>
                <w:b/>
                <w:bCs/>
              </w:rPr>
            </w:pPr>
            <w:r w:rsidRPr="00B01252">
              <w:rPr>
                <w:b/>
                <w:bCs/>
              </w:rPr>
              <w:t>TSY</w:t>
            </w:r>
          </w:p>
          <w:p w14:paraId="462B42F4" w14:textId="48A882B1" w:rsidR="000D593D" w:rsidRPr="002931AD" w:rsidRDefault="000D593D" w:rsidP="000D593D">
            <w:pPr>
              <w:pStyle w:val="TableSecondaryAgency"/>
              <w:rPr>
                <w:b w:val="0"/>
              </w:rPr>
            </w:pPr>
            <w:r w:rsidRPr="00B01252" w:rsidDel="000D593D">
              <w:rPr>
                <w:b w:val="0"/>
              </w:rPr>
              <w:t>ASIC</w:t>
            </w:r>
          </w:p>
        </w:tc>
        <w:tc>
          <w:tcPr>
            <w:tcW w:w="1304" w:type="dxa"/>
            <w:tcBorders>
              <w:top w:val="single" w:sz="4" w:space="0" w:color="BCE4CF"/>
              <w:bottom w:val="single" w:sz="4" w:space="0" w:color="BCE4CF"/>
            </w:tcBorders>
          </w:tcPr>
          <w:p w14:paraId="04B46EC0" w14:textId="77777777" w:rsidR="000D593D" w:rsidRPr="008F5B2F"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r>
              <w:t>Financial markets</w:t>
            </w:r>
          </w:p>
        </w:tc>
        <w:tc>
          <w:tcPr>
            <w:tcW w:w="3175" w:type="dxa"/>
            <w:tcBorders>
              <w:top w:val="single" w:sz="4" w:space="0" w:color="BCE4CF"/>
              <w:bottom w:val="single" w:sz="4" w:space="0" w:color="BCE4CF"/>
            </w:tcBorders>
          </w:tcPr>
          <w:p w14:paraId="158C65C2" w14:textId="77777777" w:rsidR="00283753" w:rsidRPr="00283753" w:rsidRDefault="000D593D" w:rsidP="00283753">
            <w:pPr>
              <w:pStyle w:val="TableLink"/>
              <w:cnfStyle w:val="000000000000" w:firstRow="0" w:lastRow="0" w:firstColumn="0" w:lastColumn="0" w:oddVBand="0" w:evenVBand="0" w:oddHBand="0" w:evenHBand="0" w:firstRowFirstColumn="0" w:firstRowLastColumn="0" w:lastRowFirstColumn="0" w:lastRowLastColumn="0"/>
              <w:rPr>
                <w:rStyle w:val="NewInitiativeChar"/>
                <w:sz w:val="16"/>
                <w:szCs w:val="16"/>
              </w:rPr>
            </w:pPr>
            <w:hyperlink r:id="rId76" w:history="1">
              <w:r w:rsidRPr="00283753">
                <w:rPr>
                  <w:rStyle w:val="Hyperlink"/>
                  <w:color w:val="5D779D" w:themeColor="accent3"/>
                  <w:u w:val="single"/>
                </w:rPr>
                <w:t>Enhanced beneficial ownership disclosure for listed entities</w:t>
              </w:r>
            </w:hyperlink>
            <w:r w:rsidR="00283753" w:rsidRPr="00283753">
              <w:rPr>
                <w:szCs w:val="16"/>
                <w:u w:val="none"/>
              </w:rPr>
              <w:t xml:space="preserve"> </w:t>
            </w:r>
            <w:r w:rsidR="00283753" w:rsidRPr="00283753">
              <w:rPr>
                <w:rStyle w:val="NewInitiativeChar"/>
                <w:b/>
                <w:bCs/>
                <w:sz w:val="16"/>
                <w:szCs w:val="16"/>
                <w:u w:val="none"/>
              </w:rPr>
              <w:t>(new)</w:t>
            </w:r>
          </w:p>
          <w:p w14:paraId="1819EB79" w14:textId="462885A3" w:rsidR="000D593D" w:rsidRDefault="000D593D" w:rsidP="000D593D">
            <w:pPr>
              <w:pStyle w:val="TableTextLeft"/>
              <w:cnfStyle w:val="000000000000" w:firstRow="0" w:lastRow="0" w:firstColumn="0" w:lastColumn="0" w:oddVBand="0" w:evenVBand="0" w:oddHBand="0" w:evenHBand="0" w:firstRowFirstColumn="0" w:firstRowLastColumn="0" w:lastRowFirstColumn="0" w:lastRowLastColumn="0"/>
              <w:rPr>
                <w:bCs/>
                <w:color w:val="auto"/>
              </w:rPr>
            </w:pPr>
            <w:r w:rsidRPr="00EE7123">
              <w:rPr>
                <w:bCs/>
                <w:color w:val="auto"/>
              </w:rPr>
              <w:t xml:space="preserve">The </w:t>
            </w:r>
            <w:r>
              <w:rPr>
                <w:bCs/>
                <w:color w:val="auto"/>
              </w:rPr>
              <w:t>g</w:t>
            </w:r>
            <w:r w:rsidRPr="00EE7123">
              <w:rPr>
                <w:bCs/>
                <w:color w:val="auto"/>
              </w:rPr>
              <w:t xml:space="preserve">overnment will strengthen </w:t>
            </w:r>
            <w:r>
              <w:rPr>
                <w:bCs/>
                <w:color w:val="auto"/>
              </w:rPr>
              <w:t xml:space="preserve">the </w:t>
            </w:r>
            <w:r w:rsidRPr="00EE7123">
              <w:rPr>
                <w:bCs/>
                <w:color w:val="auto"/>
              </w:rPr>
              <w:t>substantial hold</w:t>
            </w:r>
            <w:r>
              <w:rPr>
                <w:bCs/>
                <w:color w:val="auto"/>
              </w:rPr>
              <w:t>ing</w:t>
            </w:r>
            <w:r w:rsidRPr="00EE7123">
              <w:rPr>
                <w:bCs/>
                <w:color w:val="auto"/>
              </w:rPr>
              <w:t xml:space="preserve"> and tracing notice </w:t>
            </w:r>
            <w:r>
              <w:rPr>
                <w:bCs/>
                <w:color w:val="auto"/>
              </w:rPr>
              <w:t xml:space="preserve">regimes </w:t>
            </w:r>
            <w:r w:rsidRPr="00EE7123">
              <w:rPr>
                <w:bCs/>
                <w:color w:val="auto"/>
              </w:rPr>
              <w:t xml:space="preserve">under the </w:t>
            </w:r>
            <w:r w:rsidRPr="00EE7123">
              <w:rPr>
                <w:bCs/>
                <w:i/>
                <w:iCs/>
                <w:color w:val="auto"/>
              </w:rPr>
              <w:t>Corporations Act 2001</w:t>
            </w:r>
            <w:r w:rsidRPr="00EE7123">
              <w:rPr>
                <w:bCs/>
                <w:color w:val="auto"/>
              </w:rPr>
              <w:t xml:space="preserve">. Enhancements include </w:t>
            </w:r>
            <w:r>
              <w:rPr>
                <w:bCs/>
                <w:color w:val="auto"/>
              </w:rPr>
              <w:t xml:space="preserve">extending </w:t>
            </w:r>
            <w:r w:rsidRPr="00EE7123">
              <w:rPr>
                <w:bCs/>
                <w:color w:val="auto"/>
              </w:rPr>
              <w:t>substantial holding disclosure</w:t>
            </w:r>
            <w:r>
              <w:rPr>
                <w:bCs/>
                <w:color w:val="auto"/>
              </w:rPr>
              <w:t>s to cover further interests arising from equity derivatives,</w:t>
            </w:r>
            <w:r w:rsidRPr="00EE7123">
              <w:rPr>
                <w:bCs/>
                <w:color w:val="auto"/>
              </w:rPr>
              <w:t xml:space="preserve"> </w:t>
            </w:r>
            <w:r>
              <w:rPr>
                <w:bCs/>
                <w:color w:val="auto"/>
              </w:rPr>
              <w:t>facilitating simpler</w:t>
            </w:r>
            <w:r w:rsidRPr="00EE7123">
              <w:rPr>
                <w:bCs/>
                <w:color w:val="auto"/>
              </w:rPr>
              <w:t xml:space="preserve"> disclosure</w:t>
            </w:r>
            <w:r>
              <w:rPr>
                <w:bCs/>
                <w:color w:val="auto"/>
              </w:rPr>
              <w:t>s</w:t>
            </w:r>
            <w:r w:rsidRPr="00EE7123">
              <w:rPr>
                <w:bCs/>
                <w:color w:val="auto"/>
              </w:rPr>
              <w:t>,</w:t>
            </w:r>
            <w:r>
              <w:rPr>
                <w:bCs/>
                <w:color w:val="auto"/>
              </w:rPr>
              <w:t xml:space="preserve"> bringing certain </w:t>
            </w:r>
            <w:r w:rsidRPr="00EE7123">
              <w:rPr>
                <w:bCs/>
                <w:color w:val="auto"/>
              </w:rPr>
              <w:t xml:space="preserve">foreign entities into scope </w:t>
            </w:r>
            <w:r>
              <w:rPr>
                <w:bCs/>
                <w:color w:val="auto"/>
              </w:rPr>
              <w:t>and improving</w:t>
            </w:r>
            <w:r w:rsidRPr="00EE7123">
              <w:rPr>
                <w:bCs/>
                <w:color w:val="auto"/>
              </w:rPr>
              <w:t xml:space="preserve"> ASIC</w:t>
            </w:r>
            <w:r w:rsidR="003D486F">
              <w:rPr>
                <w:bCs/>
                <w:color w:val="auto"/>
              </w:rPr>
              <w:t>’</w:t>
            </w:r>
            <w:r w:rsidRPr="00EE7123">
              <w:rPr>
                <w:bCs/>
                <w:color w:val="auto"/>
              </w:rPr>
              <w:t xml:space="preserve">s enforcement </w:t>
            </w:r>
            <w:r>
              <w:rPr>
                <w:bCs/>
                <w:color w:val="auto"/>
              </w:rPr>
              <w:t>toolkit</w:t>
            </w:r>
            <w:r w:rsidRPr="00EE7123">
              <w:rPr>
                <w:bCs/>
                <w:color w:val="auto"/>
              </w:rPr>
              <w:t xml:space="preserve">. </w:t>
            </w:r>
          </w:p>
          <w:p w14:paraId="356B35C8" w14:textId="77777777" w:rsidR="000D593D" w:rsidRDefault="000D593D" w:rsidP="000D593D">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DA5966">
              <w:t>The Treasury Laws Amendment (</w:t>
            </w:r>
            <w:r>
              <w:t xml:space="preserve">Strengthening Financial Systems and Other Measures) Bill 2025 </w:t>
            </w:r>
            <w:r w:rsidRPr="00DA5966">
              <w:t xml:space="preserve">was introduced </w:t>
            </w:r>
            <w:r>
              <w:t>in</w:t>
            </w:r>
            <w:r w:rsidRPr="00DA5966">
              <w:t xml:space="preserve">to Parliament on </w:t>
            </w:r>
            <w:r>
              <w:t>4 September 2025</w:t>
            </w:r>
            <w:r w:rsidRPr="00DA5966">
              <w:t>.</w:t>
            </w:r>
          </w:p>
          <w:p w14:paraId="6CFB15AA" w14:textId="7D2EA4C8" w:rsidR="000D593D" w:rsidRPr="00FE0172"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r>
              <w:t>ASIC intends to issue updated regulatory guidance and make legislative instruments to assist its implementation</w:t>
            </w:r>
            <w:r w:rsidR="003D486F">
              <w:t xml:space="preserve">. </w:t>
            </w:r>
          </w:p>
        </w:tc>
        <w:tc>
          <w:tcPr>
            <w:tcW w:w="1247" w:type="dxa"/>
            <w:tcBorders>
              <w:top w:val="single" w:sz="4" w:space="0" w:color="BCE4CF"/>
              <w:bottom w:val="single" w:sz="4" w:space="0" w:color="BCE4CF"/>
            </w:tcBorders>
            <w:shd w:val="clear" w:color="auto" w:fill="ECF7F1"/>
          </w:tcPr>
          <w:p w14:paraId="777B1D0E" w14:textId="77777777" w:rsidR="000D593D" w:rsidRPr="008F5B2F"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49169D7E" w14:textId="77777777" w:rsidR="000D593D" w:rsidRPr="008F5B2F"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03A4CAE9" w14:textId="77777777" w:rsidR="000D593D" w:rsidRPr="008F5B2F"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640901D7" w14:textId="77777777" w:rsidR="000D593D" w:rsidRPr="008F5B2F"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489893F5" w14:textId="2258973A" w:rsidR="000D593D" w:rsidRPr="008F5B2F"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r>
              <w:t>The reforms are expected to commence 12</w:t>
            </w:r>
            <w:r w:rsidR="00283753">
              <w:t> </w:t>
            </w:r>
            <w:r>
              <w:t xml:space="preserve">months after royal assent. Timing is subject to passage of legislation. </w:t>
            </w:r>
          </w:p>
        </w:tc>
        <w:tc>
          <w:tcPr>
            <w:tcW w:w="1108" w:type="dxa"/>
            <w:tcBorders>
              <w:top w:val="single" w:sz="4" w:space="0" w:color="BCE4CF"/>
              <w:bottom w:val="single" w:sz="4" w:space="0" w:color="BCE4CF"/>
            </w:tcBorders>
            <w:shd w:val="clear" w:color="auto" w:fill="F5FBF8"/>
          </w:tcPr>
          <w:p w14:paraId="20710BB4" w14:textId="77777777" w:rsidR="000D593D" w:rsidRPr="008F5B2F"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386" w:type="dxa"/>
            <w:tcBorders>
              <w:top w:val="single" w:sz="4" w:space="0" w:color="BCE4CF"/>
              <w:bottom w:val="single" w:sz="4" w:space="0" w:color="BCE4CF"/>
            </w:tcBorders>
            <w:shd w:val="clear" w:color="auto" w:fill="F5FBF8"/>
          </w:tcPr>
          <w:p w14:paraId="2BDAA8DF" w14:textId="77777777" w:rsidR="000D593D" w:rsidRPr="008F5B2F"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r>
      <w:tr w:rsidR="000D593D" w:rsidRPr="00AF43B7" w14:paraId="5D3D54CB" w14:textId="77777777" w:rsidTr="00290C68">
        <w:trPr>
          <w:cantSplit/>
          <w:trHeight w:val="410"/>
        </w:trPr>
        <w:tc>
          <w:tcPr>
            <w:cnfStyle w:val="001000000000" w:firstRow="0" w:lastRow="0" w:firstColumn="1" w:lastColumn="0" w:oddVBand="0" w:evenVBand="0" w:oddHBand="0" w:evenHBand="0" w:firstRowFirstColumn="0" w:firstRowLastColumn="0" w:lastRowFirstColumn="0" w:lastRowLastColumn="0"/>
            <w:tcW w:w="794" w:type="dxa"/>
          </w:tcPr>
          <w:p w14:paraId="0B09D88E" w14:textId="77777777" w:rsidR="000D593D" w:rsidRPr="0069353D" w:rsidRDefault="000D593D" w:rsidP="000D593D">
            <w:pPr>
              <w:pStyle w:val="TableLeadAgency"/>
              <w:spacing w:before="0" w:after="0"/>
              <w:rPr>
                <w:b/>
                <w:i/>
              </w:rPr>
            </w:pPr>
            <w:r>
              <w:rPr>
                <w:b/>
              </w:rPr>
              <w:lastRenderedPageBreak/>
              <w:t>TSY</w:t>
            </w:r>
          </w:p>
        </w:tc>
        <w:tc>
          <w:tcPr>
            <w:tcW w:w="1304" w:type="dxa"/>
          </w:tcPr>
          <w:p w14:paraId="13C57EE7" w14:textId="77777777" w:rsidR="000D593D" w:rsidRPr="0052695A"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r>
              <w:t>Superannuation and retirement</w:t>
            </w:r>
          </w:p>
        </w:tc>
        <w:tc>
          <w:tcPr>
            <w:tcW w:w="3175" w:type="dxa"/>
          </w:tcPr>
          <w:p w14:paraId="1AA22A0E" w14:textId="6B29C0F7" w:rsidR="000D593D" w:rsidRPr="00283753" w:rsidRDefault="000D593D" w:rsidP="00283753">
            <w:pPr>
              <w:pStyle w:val="TableLink"/>
              <w:cnfStyle w:val="000000000000" w:firstRow="0" w:lastRow="0" w:firstColumn="0" w:lastColumn="0" w:oddVBand="0" w:evenVBand="0" w:oddHBand="0" w:evenHBand="0" w:firstRowFirstColumn="0" w:firstRowLastColumn="0" w:lastRowFirstColumn="0" w:lastRowLastColumn="0"/>
              <w:rPr>
                <w:b w:val="0"/>
                <w:color w:val="4D7861" w:themeColor="accent2"/>
                <w:szCs w:val="16"/>
              </w:rPr>
            </w:pPr>
            <w:hyperlink r:id="rId77" w:history="1">
              <w:r w:rsidRPr="00283753">
                <w:rPr>
                  <w:rStyle w:val="Hyperlink"/>
                  <w:color w:val="5D779D" w:themeColor="accent3"/>
                  <w:u w:val="single"/>
                </w:rPr>
                <w:t>Enhancements to the innovative income stream regulations</w:t>
              </w:r>
            </w:hyperlink>
            <w:r w:rsidR="00283753" w:rsidRPr="00283753">
              <w:rPr>
                <w:szCs w:val="16"/>
                <w:u w:val="none"/>
              </w:rPr>
              <w:t xml:space="preserve"> </w:t>
            </w:r>
            <w:r w:rsidR="00283753" w:rsidRPr="00283753">
              <w:rPr>
                <w:rStyle w:val="NewInitiativeChar"/>
                <w:b/>
                <w:bCs/>
                <w:sz w:val="16"/>
                <w:szCs w:val="16"/>
                <w:u w:val="none"/>
              </w:rPr>
              <w:t>(new)</w:t>
            </w:r>
          </w:p>
          <w:p w14:paraId="5A340F29" w14:textId="77777777" w:rsidR="000D593D" w:rsidRPr="004124AB" w:rsidRDefault="000D593D" w:rsidP="00283753">
            <w:pPr>
              <w:pStyle w:val="TableTextLeft"/>
              <w:cnfStyle w:val="000000000000" w:firstRow="0" w:lastRow="0" w:firstColumn="0" w:lastColumn="0" w:oddVBand="0" w:evenVBand="0" w:oddHBand="0" w:evenHBand="0" w:firstRowFirstColumn="0" w:firstRowLastColumn="0" w:lastRowFirstColumn="0" w:lastRowLastColumn="0"/>
              <w:rPr>
                <w:b/>
              </w:rPr>
            </w:pPr>
            <w:r w:rsidRPr="004124AB">
              <w:t xml:space="preserve">The </w:t>
            </w:r>
            <w:r>
              <w:t>g</w:t>
            </w:r>
            <w:r w:rsidRPr="004124AB">
              <w:t xml:space="preserve">overnment will make targeted improvements to the existing innovative income stream regulations to support innovation in quality retirement products, giving members more options that meet their needs. </w:t>
            </w:r>
          </w:p>
          <w:p w14:paraId="1A367AF4" w14:textId="0F64F1AA" w:rsidR="000D593D" w:rsidRPr="00364E88" w:rsidRDefault="000D593D" w:rsidP="00283753">
            <w:pPr>
              <w:pStyle w:val="TableTextLeft"/>
              <w:cnfStyle w:val="000000000000" w:firstRow="0" w:lastRow="0" w:firstColumn="0" w:lastColumn="0" w:oddVBand="0" w:evenVBand="0" w:oddHBand="0" w:evenHBand="0" w:firstRowFirstColumn="0" w:firstRowLastColumn="0" w:lastRowFirstColumn="0" w:lastRowLastColumn="0"/>
              <w:rPr>
                <w:b/>
              </w:rPr>
            </w:pPr>
            <w:r w:rsidRPr="004124AB">
              <w:t xml:space="preserve">The changes include allowing funds to offer product features such as money back guarantees and </w:t>
            </w:r>
            <w:r w:rsidRPr="446E7C5D">
              <w:t>facilitating</w:t>
            </w:r>
            <w:r w:rsidRPr="5F548ADE">
              <w:t xml:space="preserve"> </w:t>
            </w:r>
            <w:r w:rsidRPr="004124AB">
              <w:t>payment by instalment</w:t>
            </w:r>
            <w:r w:rsidRPr="00AA06F8">
              <w:t>.</w:t>
            </w:r>
            <w:r w:rsidDel="00AA06F8">
              <w:t xml:space="preserve"> </w:t>
            </w:r>
            <w:r w:rsidRPr="0019162C">
              <w:t xml:space="preserve">The timing </w:t>
            </w:r>
            <w:r>
              <w:t>of next steps</w:t>
            </w:r>
            <w:r w:rsidRPr="0019162C">
              <w:t xml:space="preserve"> will be announced in due course.</w:t>
            </w:r>
            <w:r>
              <w:t xml:space="preserve"> </w:t>
            </w:r>
          </w:p>
        </w:tc>
        <w:tc>
          <w:tcPr>
            <w:tcW w:w="1247" w:type="dxa"/>
            <w:shd w:val="clear" w:color="auto" w:fill="F4FAF7"/>
          </w:tcPr>
          <w:p w14:paraId="37179B10" w14:textId="77777777" w:rsidR="000D593D" w:rsidRPr="00B555A9" w:rsidDel="00CA3485"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shd w:val="clear" w:color="auto" w:fill="F4FAF7"/>
          </w:tcPr>
          <w:p w14:paraId="1FA48609" w14:textId="0E409BD4"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shd w:val="clear" w:color="auto" w:fill="F4FAF7"/>
          </w:tcPr>
          <w:p w14:paraId="05B6DD37"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shd w:val="clear" w:color="auto" w:fill="F4FAF7"/>
          </w:tcPr>
          <w:p w14:paraId="53514791"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shd w:val="clear" w:color="auto" w:fill="F4FAF7"/>
          </w:tcPr>
          <w:p w14:paraId="7033758B"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108" w:type="dxa"/>
            <w:shd w:val="clear" w:color="auto" w:fill="F4FAF7"/>
          </w:tcPr>
          <w:p w14:paraId="0131369B"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386" w:type="dxa"/>
            <w:shd w:val="clear" w:color="auto" w:fill="F4FAF7"/>
          </w:tcPr>
          <w:p w14:paraId="58089B5E" w14:textId="77777777" w:rsidR="000D593D" w:rsidRPr="00B555A9" w:rsidDel="00CA3485"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r>
      <w:tr w:rsidR="000D593D" w:rsidRPr="00AF43B7" w14:paraId="09E09D0C" w14:textId="77777777" w:rsidTr="00290C68">
        <w:trPr>
          <w:cantSplit/>
          <w:trHeight w:val="410"/>
        </w:trPr>
        <w:tc>
          <w:tcPr>
            <w:cnfStyle w:val="001000000000" w:firstRow="0" w:lastRow="0" w:firstColumn="1" w:lastColumn="0" w:oddVBand="0" w:evenVBand="0" w:oddHBand="0" w:evenHBand="0" w:firstRowFirstColumn="0" w:firstRowLastColumn="0" w:lastRowFirstColumn="0" w:lastRowLastColumn="0"/>
            <w:tcW w:w="794" w:type="dxa"/>
            <w:tcBorders>
              <w:top w:val="single" w:sz="4" w:space="0" w:color="BCE4CF"/>
              <w:bottom w:val="single" w:sz="4" w:space="0" w:color="BCE4CF"/>
            </w:tcBorders>
          </w:tcPr>
          <w:p w14:paraId="14EAC76A" w14:textId="77777777" w:rsidR="000D593D" w:rsidRPr="00AD71F3" w:rsidDel="007D4EEB" w:rsidRDefault="000D593D" w:rsidP="000D593D">
            <w:pPr>
              <w:pStyle w:val="TableSecondaryAgency"/>
              <w:rPr>
                <w:rFonts w:cs="Calibri Light"/>
                <w:b w:val="0"/>
                <w:bCs/>
              </w:rPr>
            </w:pPr>
            <w:r w:rsidRPr="00AD71F3">
              <w:t>TSY</w:t>
            </w:r>
          </w:p>
        </w:tc>
        <w:tc>
          <w:tcPr>
            <w:tcW w:w="1304" w:type="dxa"/>
            <w:tcBorders>
              <w:top w:val="single" w:sz="4" w:space="0" w:color="BCE4CF"/>
              <w:bottom w:val="single" w:sz="4" w:space="0" w:color="BCE4CF"/>
            </w:tcBorders>
          </w:tcPr>
          <w:p w14:paraId="0DF0F4EB" w14:textId="77777777" w:rsidR="000D593D" w:rsidRPr="00B555A9" w:rsidDel="007D4EEB"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r w:rsidRPr="00301F93">
              <w:t>Banking</w:t>
            </w:r>
            <w:r w:rsidRPr="00F534FF">
              <w:t>, credit and lending</w:t>
            </w:r>
          </w:p>
        </w:tc>
        <w:tc>
          <w:tcPr>
            <w:tcW w:w="3175" w:type="dxa"/>
            <w:tcBorders>
              <w:top w:val="single" w:sz="4" w:space="0" w:color="BCE4CF"/>
              <w:bottom w:val="single" w:sz="4" w:space="0" w:color="BCE4CF"/>
            </w:tcBorders>
          </w:tcPr>
          <w:p w14:paraId="6FF092D1" w14:textId="39860C13" w:rsidR="000D593D" w:rsidRPr="00283753" w:rsidRDefault="000D593D" w:rsidP="00283753">
            <w:pPr>
              <w:pStyle w:val="TableLink"/>
              <w:cnfStyle w:val="000000000000" w:firstRow="0" w:lastRow="0" w:firstColumn="0" w:lastColumn="0" w:oddVBand="0" w:evenVBand="0" w:oddHBand="0" w:evenHBand="0" w:firstRowFirstColumn="0" w:firstRowLastColumn="0" w:lastRowFirstColumn="0" w:lastRowLastColumn="0"/>
            </w:pPr>
            <w:hyperlink r:id="rId78">
              <w:r w:rsidRPr="00283753">
                <w:rPr>
                  <w:rStyle w:val="Hyperlink"/>
                  <w:color w:val="5D779D" w:themeColor="accent3"/>
                  <w:u w:val="single"/>
                </w:rPr>
                <w:t>Government</w:t>
              </w:r>
              <w:r w:rsidR="003D486F" w:rsidRPr="00283753">
                <w:rPr>
                  <w:rStyle w:val="Hyperlink"/>
                  <w:color w:val="5D779D" w:themeColor="accent3"/>
                  <w:u w:val="single"/>
                </w:rPr>
                <w:t>’</w:t>
              </w:r>
              <w:r w:rsidRPr="00283753">
                <w:rPr>
                  <w:rStyle w:val="Hyperlink"/>
                  <w:color w:val="5D779D" w:themeColor="accent3"/>
                  <w:u w:val="single"/>
                </w:rPr>
                <w:t>s response to the Retail Deposit and Home Loan Price inquiries</w:t>
              </w:r>
            </w:hyperlink>
          </w:p>
          <w:p w14:paraId="7B3D45A5" w14:textId="77777777" w:rsidR="000D593D" w:rsidRDefault="000D593D" w:rsidP="000D593D">
            <w:pPr>
              <w:pStyle w:val="TableTextLeft"/>
              <w:spacing w:before="0" w:after="0"/>
              <w:cnfStyle w:val="000000000000" w:firstRow="0" w:lastRow="0" w:firstColumn="0" w:lastColumn="0" w:oddVBand="0" w:evenVBand="0" w:oddHBand="0" w:evenHBand="0" w:firstRowFirstColumn="0" w:firstRowLastColumn="0" w:lastRowFirstColumn="0" w:lastRowLastColumn="0"/>
            </w:pPr>
            <w:r>
              <w:t>In June 2024, t</w:t>
            </w:r>
            <w:r w:rsidRPr="00301F93">
              <w:t>he</w:t>
            </w:r>
            <w:r w:rsidRPr="00F534FF">
              <w:t xml:space="preserve"> </w:t>
            </w:r>
            <w:r>
              <w:t>g</w:t>
            </w:r>
            <w:r w:rsidRPr="00F534FF">
              <w:t xml:space="preserve">overnment </w:t>
            </w:r>
            <w:r>
              <w:t>announced</w:t>
            </w:r>
            <w:r w:rsidDel="000B50D0">
              <w:t xml:space="preserve"> </w:t>
            </w:r>
            <w:r>
              <w:t xml:space="preserve">that it </w:t>
            </w:r>
            <w:r w:rsidRPr="00F534FF">
              <w:t xml:space="preserve">will help Australians </w:t>
            </w:r>
            <w:r w:rsidRPr="005641B9">
              <w:rPr>
                <w:rStyle w:val="Hyperlink"/>
                <w:rFonts w:cs="Calibri Light"/>
                <w:color w:val="auto"/>
                <w:szCs w:val="16"/>
              </w:rPr>
              <w:t>find and switch to better mortgage deals</w:t>
            </w:r>
            <w:r w:rsidRPr="00F534FF">
              <w:t xml:space="preserve"> and get better interest rates on their savings accounts through a range of measures. </w:t>
            </w:r>
          </w:p>
          <w:p w14:paraId="78A5D688" w14:textId="77777777" w:rsidR="000D593D" w:rsidRPr="00F31CD4" w:rsidDel="007D4EEB"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r>
              <w:t>The t</w:t>
            </w:r>
            <w:r w:rsidRPr="009A3724">
              <w:t xml:space="preserve">iming of </w:t>
            </w:r>
            <w:r>
              <w:t>any further legislative work will be announced in due course.</w:t>
            </w:r>
          </w:p>
        </w:tc>
        <w:tc>
          <w:tcPr>
            <w:tcW w:w="1247" w:type="dxa"/>
            <w:tcBorders>
              <w:top w:val="single" w:sz="4" w:space="0" w:color="BCE4CF"/>
              <w:bottom w:val="single" w:sz="4" w:space="0" w:color="BCE4CF"/>
            </w:tcBorders>
            <w:shd w:val="clear" w:color="auto" w:fill="ECF7F1"/>
          </w:tcPr>
          <w:p w14:paraId="0D240889" w14:textId="77777777" w:rsidR="000D593D" w:rsidRPr="0052695A" w:rsidDel="007D4EEB"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3A681D40" w14:textId="77777777" w:rsidR="000D593D" w:rsidRPr="0052695A"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473703E8" w14:textId="77777777" w:rsidR="000D593D" w:rsidRPr="0052695A"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249DA516" w14:textId="77777777" w:rsidR="000D593D" w:rsidRPr="0052695A"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4ED3139C" w14:textId="77777777" w:rsidR="000D593D" w:rsidRPr="0052695A"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108" w:type="dxa"/>
            <w:tcBorders>
              <w:top w:val="single" w:sz="4" w:space="0" w:color="BCE4CF"/>
              <w:bottom w:val="single" w:sz="4" w:space="0" w:color="BCE4CF"/>
            </w:tcBorders>
            <w:shd w:val="clear" w:color="auto" w:fill="F5FBF8"/>
          </w:tcPr>
          <w:p w14:paraId="12A4209D" w14:textId="77777777" w:rsidR="000D593D" w:rsidRPr="0052695A"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386" w:type="dxa"/>
            <w:tcBorders>
              <w:top w:val="single" w:sz="4" w:space="0" w:color="BCE4CF"/>
              <w:bottom w:val="single" w:sz="4" w:space="0" w:color="BCE4CF"/>
            </w:tcBorders>
            <w:shd w:val="clear" w:color="auto" w:fill="F5FBF8"/>
          </w:tcPr>
          <w:p w14:paraId="3D83F1D0" w14:textId="77777777" w:rsidR="000D593D" w:rsidRPr="0052695A"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r>
      <w:tr w:rsidR="000D593D" w:rsidRPr="00AF43B7" w14:paraId="589587CE" w14:textId="77777777" w:rsidTr="00290C68">
        <w:trPr>
          <w:cantSplit/>
          <w:trHeight w:val="410"/>
        </w:trPr>
        <w:tc>
          <w:tcPr>
            <w:cnfStyle w:val="001000000000" w:firstRow="0" w:lastRow="0" w:firstColumn="1" w:lastColumn="0" w:oddVBand="0" w:evenVBand="0" w:oddHBand="0" w:evenHBand="0" w:firstRowFirstColumn="0" w:firstRowLastColumn="0" w:lastRowFirstColumn="0" w:lastRowLastColumn="0"/>
            <w:tcW w:w="794" w:type="dxa"/>
            <w:tcBorders>
              <w:top w:val="single" w:sz="4" w:space="0" w:color="BCE4CF"/>
              <w:bottom w:val="single" w:sz="4" w:space="0" w:color="BCE4CF"/>
            </w:tcBorders>
          </w:tcPr>
          <w:p w14:paraId="08F578BB" w14:textId="77777777" w:rsidR="000D593D" w:rsidRPr="00AD71F3" w:rsidRDefault="000D593D" w:rsidP="000D593D">
            <w:pPr>
              <w:pStyle w:val="TableLeadAgency"/>
              <w:spacing w:before="0" w:after="0"/>
            </w:pPr>
            <w:r w:rsidRPr="00AD71F3">
              <w:rPr>
                <w:b/>
              </w:rPr>
              <w:t xml:space="preserve">TSY </w:t>
            </w:r>
          </w:p>
          <w:p w14:paraId="4C254738" w14:textId="77777777" w:rsidR="000D593D" w:rsidRPr="00874816" w:rsidRDefault="000D593D" w:rsidP="000D593D">
            <w:pPr>
              <w:pStyle w:val="TableSecondaryAgency"/>
            </w:pPr>
            <w:r w:rsidRPr="00AD71F3">
              <w:rPr>
                <w:b w:val="0"/>
              </w:rPr>
              <w:t>ASIC</w:t>
            </w:r>
          </w:p>
        </w:tc>
        <w:tc>
          <w:tcPr>
            <w:tcW w:w="1304" w:type="dxa"/>
            <w:tcBorders>
              <w:top w:val="single" w:sz="4" w:space="0" w:color="BCE4CF"/>
              <w:bottom w:val="single" w:sz="4" w:space="0" w:color="BCE4CF"/>
            </w:tcBorders>
          </w:tcPr>
          <w:p w14:paraId="4D2A0C67" w14:textId="77777777" w:rsidR="000D593D" w:rsidRPr="00004EAA" w:rsidRDefault="000D593D" w:rsidP="000D593D">
            <w:pPr>
              <w:pStyle w:val="TableTextLeft"/>
              <w:spacing w:before="0" w:after="0"/>
              <w:cnfStyle w:val="000000000000" w:firstRow="0" w:lastRow="0" w:firstColumn="0" w:lastColumn="0" w:oddVBand="0" w:evenVBand="0" w:oddHBand="0" w:evenHBand="0" w:firstRowFirstColumn="0" w:firstRowLastColumn="0" w:lastRowFirstColumn="0" w:lastRowLastColumn="0"/>
              <w:rPr>
                <w:color w:val="auto"/>
              </w:rPr>
            </w:pPr>
            <w:r w:rsidRPr="00004EAA">
              <w:rPr>
                <w:color w:val="auto"/>
              </w:rPr>
              <w:t>Other</w:t>
            </w:r>
          </w:p>
          <w:p w14:paraId="612ABC2F" w14:textId="77777777" w:rsidR="000D593D" w:rsidRPr="0052695A"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r>
              <w:t>Financial Markets</w:t>
            </w:r>
          </w:p>
        </w:tc>
        <w:tc>
          <w:tcPr>
            <w:tcW w:w="3175" w:type="dxa"/>
            <w:tcBorders>
              <w:top w:val="single" w:sz="4" w:space="0" w:color="BCE4CF"/>
              <w:bottom w:val="single" w:sz="4" w:space="0" w:color="BCE4CF"/>
            </w:tcBorders>
          </w:tcPr>
          <w:p w14:paraId="3F823F13" w14:textId="77777777" w:rsidR="000D593D" w:rsidRPr="00283753" w:rsidRDefault="000D593D" w:rsidP="00283753">
            <w:pPr>
              <w:pStyle w:val="TableLink"/>
              <w:cnfStyle w:val="000000000000" w:firstRow="0" w:lastRow="0" w:firstColumn="0" w:lastColumn="0" w:oddVBand="0" w:evenVBand="0" w:oddHBand="0" w:evenHBand="0" w:firstRowFirstColumn="0" w:firstRowLastColumn="0" w:lastRowFirstColumn="0" w:lastRowLastColumn="0"/>
            </w:pPr>
            <w:hyperlink r:id="rId79" w:history="1">
              <w:r w:rsidRPr="00283753">
                <w:rPr>
                  <w:rStyle w:val="Hyperlink"/>
                  <w:color w:val="5D779D" w:themeColor="accent3"/>
                  <w:u w:val="single"/>
                </w:rPr>
                <w:t>Licensing exemptions for Foreign Financial Service Providers (FFSPs)</w:t>
              </w:r>
            </w:hyperlink>
          </w:p>
          <w:p w14:paraId="02BA9A3E" w14:textId="2E2C1990" w:rsidR="000D593D" w:rsidRDefault="000D593D" w:rsidP="000D593D">
            <w:pPr>
              <w:pStyle w:val="TableTextLeft"/>
              <w:spacing w:before="0" w:after="0"/>
              <w:cnfStyle w:val="000000000000" w:firstRow="0" w:lastRow="0" w:firstColumn="0" w:lastColumn="0" w:oddVBand="0" w:evenVBand="0" w:oddHBand="0" w:evenHBand="0" w:firstRowFirstColumn="0" w:firstRowLastColumn="0" w:lastRowFirstColumn="0" w:lastRowLastColumn="0"/>
            </w:pPr>
            <w:r>
              <w:t xml:space="preserve">The government will introduce amendments to the </w:t>
            </w:r>
            <w:r w:rsidRPr="0025368F">
              <w:t xml:space="preserve">FFSP regime </w:t>
            </w:r>
            <w:r>
              <w:t>to</w:t>
            </w:r>
            <w:r w:rsidRPr="0025368F">
              <w:t xml:space="preserve"> establish new exemptions to requirements to hold an Australian financial services licen</w:t>
            </w:r>
            <w:r>
              <w:t>s</w:t>
            </w:r>
            <w:r w:rsidRPr="0025368F">
              <w:t>e (AFSL) for FFSPs. The amendment</w:t>
            </w:r>
            <w:r>
              <w:t>s</w:t>
            </w:r>
            <w:r w:rsidRPr="0025368F">
              <w:t xml:space="preserve"> </w:t>
            </w:r>
            <w:r>
              <w:t xml:space="preserve">will </w:t>
            </w:r>
            <w:r w:rsidRPr="0025368F">
              <w:t xml:space="preserve">also </w:t>
            </w:r>
            <w:r>
              <w:t>provide</w:t>
            </w:r>
            <w:r w:rsidRPr="0025368F">
              <w:t xml:space="preserve"> greater regulatory oversight of FFSPs. </w:t>
            </w:r>
          </w:p>
          <w:p w14:paraId="4BBBE3EF" w14:textId="559914DD" w:rsidR="000D593D" w:rsidRDefault="000D593D" w:rsidP="000D593D">
            <w:pPr>
              <w:pStyle w:val="TableTextLeft"/>
              <w:spacing w:before="0" w:after="0"/>
              <w:cnfStyle w:val="000000000000" w:firstRow="0" w:lastRow="0" w:firstColumn="0" w:lastColumn="0" w:oddVBand="0" w:evenVBand="0" w:oddHBand="0" w:evenHBand="0" w:firstRowFirstColumn="0" w:firstRowLastColumn="0" w:lastRowFirstColumn="0" w:lastRowLastColumn="0"/>
            </w:pPr>
            <w:r>
              <w:t xml:space="preserve">Legislation </w:t>
            </w:r>
            <w:r w:rsidRPr="002D3817">
              <w:t>lapsed at the proroguing of Parliament in</w:t>
            </w:r>
            <w:r>
              <w:t xml:space="preserve"> April</w:t>
            </w:r>
            <w:r w:rsidRPr="002D3817">
              <w:t xml:space="preserve"> 2025</w:t>
            </w:r>
            <w:r>
              <w:t>.</w:t>
            </w:r>
          </w:p>
          <w:p w14:paraId="02243680" w14:textId="7956DB5B" w:rsidR="000D593D" w:rsidRPr="00AD5675" w:rsidRDefault="000D593D" w:rsidP="000D593D">
            <w:pPr>
              <w:pStyle w:val="TableTextLeft"/>
              <w:cnfStyle w:val="000000000000" w:firstRow="0" w:lastRow="0" w:firstColumn="0" w:lastColumn="0" w:oddVBand="0" w:evenVBand="0" w:oddHBand="0" w:evenHBand="0" w:firstRowFirstColumn="0" w:firstRowLastColumn="0" w:lastRowFirstColumn="0" w:lastRowLastColumn="0"/>
              <w:rPr>
                <w:b/>
                <w:bCs/>
              </w:rPr>
            </w:pPr>
            <w:r>
              <w:t>T</w:t>
            </w:r>
            <w:r w:rsidRPr="00095C6F">
              <w:t>he timing of any further work</w:t>
            </w:r>
            <w:r>
              <w:t xml:space="preserve"> on FFSPs</w:t>
            </w:r>
            <w:r w:rsidRPr="00095C6F">
              <w:t xml:space="preserve"> </w:t>
            </w:r>
            <w:r>
              <w:t>will be announced in due course.</w:t>
            </w:r>
          </w:p>
        </w:tc>
        <w:tc>
          <w:tcPr>
            <w:tcW w:w="1247" w:type="dxa"/>
            <w:tcBorders>
              <w:top w:val="single" w:sz="4" w:space="0" w:color="BCE4CF"/>
              <w:bottom w:val="single" w:sz="4" w:space="0" w:color="BCE4CF"/>
            </w:tcBorders>
            <w:shd w:val="clear" w:color="auto" w:fill="ECF7F1"/>
          </w:tcPr>
          <w:p w14:paraId="424B7B7B"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64CCF341"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259CDFBA"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0E3FB79E"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3D73E218"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108" w:type="dxa"/>
            <w:tcBorders>
              <w:top w:val="single" w:sz="4" w:space="0" w:color="BCE4CF"/>
              <w:bottom w:val="single" w:sz="4" w:space="0" w:color="BCE4CF"/>
            </w:tcBorders>
            <w:shd w:val="clear" w:color="auto" w:fill="F5FBF8"/>
          </w:tcPr>
          <w:p w14:paraId="21B58751"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386" w:type="dxa"/>
            <w:tcBorders>
              <w:top w:val="single" w:sz="4" w:space="0" w:color="BCE4CF"/>
              <w:bottom w:val="single" w:sz="4" w:space="0" w:color="BCE4CF"/>
            </w:tcBorders>
            <w:shd w:val="clear" w:color="auto" w:fill="F5FBF8"/>
          </w:tcPr>
          <w:p w14:paraId="4C14E4AC"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r>
      <w:tr w:rsidR="000D593D" w:rsidRPr="00AF43B7" w14:paraId="060C2870" w14:textId="77777777" w:rsidTr="00290C68">
        <w:trPr>
          <w:cantSplit/>
          <w:trHeight w:val="410"/>
        </w:trPr>
        <w:tc>
          <w:tcPr>
            <w:cnfStyle w:val="001000000000" w:firstRow="0" w:lastRow="0" w:firstColumn="1" w:lastColumn="0" w:oddVBand="0" w:evenVBand="0" w:oddHBand="0" w:evenHBand="0" w:firstRowFirstColumn="0" w:firstRowLastColumn="0" w:lastRowFirstColumn="0" w:lastRowLastColumn="0"/>
            <w:tcW w:w="794" w:type="dxa"/>
            <w:tcBorders>
              <w:top w:val="single" w:sz="4" w:space="0" w:color="BCE4CF"/>
              <w:bottom w:val="single" w:sz="4" w:space="0" w:color="BCE4CF"/>
            </w:tcBorders>
          </w:tcPr>
          <w:p w14:paraId="25595149" w14:textId="2F7C5FA5" w:rsidR="00F56A72" w:rsidRPr="00B01252" w:rsidRDefault="00F56A72" w:rsidP="00F56A72">
            <w:pPr>
              <w:pStyle w:val="TableLeadAgency"/>
              <w:spacing w:before="0" w:after="0"/>
              <w:rPr>
                <w:b/>
                <w:bCs/>
              </w:rPr>
            </w:pPr>
            <w:r w:rsidRPr="00B01252">
              <w:rPr>
                <w:b/>
                <w:bCs/>
              </w:rPr>
              <w:lastRenderedPageBreak/>
              <w:t xml:space="preserve"> TSY</w:t>
            </w:r>
          </w:p>
          <w:p w14:paraId="6E901A82" w14:textId="77777777" w:rsidR="00F56A72" w:rsidRPr="00B01252" w:rsidRDefault="00F56A72" w:rsidP="00F56A72">
            <w:pPr>
              <w:pStyle w:val="TableLeadAgency"/>
              <w:spacing w:before="0" w:after="0"/>
              <w:rPr>
                <w:bCs/>
                <w:i/>
                <w:iCs/>
              </w:rPr>
            </w:pPr>
            <w:r w:rsidRPr="00B75FC3">
              <w:rPr>
                <w:i/>
              </w:rPr>
              <w:t>ASIC</w:t>
            </w:r>
          </w:p>
          <w:p w14:paraId="71E3CE03" w14:textId="77777777" w:rsidR="000D593D" w:rsidRPr="00F56A72" w:rsidRDefault="00F56A72" w:rsidP="00F56A72">
            <w:pPr>
              <w:pStyle w:val="TableSecondaryAgency"/>
              <w:rPr>
                <w:b w:val="0"/>
                <w:bCs/>
              </w:rPr>
            </w:pPr>
            <w:r w:rsidRPr="00B01252">
              <w:rPr>
                <w:b w:val="0"/>
                <w:bCs/>
              </w:rPr>
              <w:t>APRA</w:t>
            </w:r>
          </w:p>
        </w:tc>
        <w:tc>
          <w:tcPr>
            <w:tcW w:w="1304" w:type="dxa"/>
            <w:tcBorders>
              <w:top w:val="single" w:sz="4" w:space="0" w:color="BCE4CF"/>
              <w:bottom w:val="single" w:sz="4" w:space="0" w:color="BCE4CF"/>
            </w:tcBorders>
          </w:tcPr>
          <w:p w14:paraId="4B634745" w14:textId="77777777" w:rsidR="000D593D" w:rsidRPr="0052695A"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r>
              <w:t xml:space="preserve">Superannuation and retirement income </w:t>
            </w:r>
          </w:p>
        </w:tc>
        <w:tc>
          <w:tcPr>
            <w:tcW w:w="3175" w:type="dxa"/>
            <w:tcBorders>
              <w:top w:val="single" w:sz="4" w:space="0" w:color="BCE4CF"/>
              <w:bottom w:val="single" w:sz="4" w:space="0" w:color="BCE4CF"/>
            </w:tcBorders>
          </w:tcPr>
          <w:p w14:paraId="4105BA8D" w14:textId="77777777" w:rsidR="00283753" w:rsidRPr="00283753" w:rsidRDefault="000D593D" w:rsidP="00283753">
            <w:pPr>
              <w:pStyle w:val="TableLink"/>
              <w:cnfStyle w:val="000000000000" w:firstRow="0" w:lastRow="0" w:firstColumn="0" w:lastColumn="0" w:oddVBand="0" w:evenVBand="0" w:oddHBand="0" w:evenHBand="0" w:firstRowFirstColumn="0" w:firstRowLastColumn="0" w:lastRowFirstColumn="0" w:lastRowLastColumn="0"/>
              <w:rPr>
                <w:rStyle w:val="NewInitiativeChar"/>
                <w:sz w:val="16"/>
                <w:szCs w:val="16"/>
              </w:rPr>
            </w:pPr>
            <w:hyperlink r:id="rId80" w:history="1">
              <w:r w:rsidRPr="00283753">
                <w:rPr>
                  <w:rStyle w:val="Hyperlink"/>
                  <w:color w:val="5D779D" w:themeColor="accent3"/>
                  <w:u w:val="single"/>
                </w:rPr>
                <w:t>Mandatory service standards</w:t>
              </w:r>
            </w:hyperlink>
            <w:r w:rsidR="00283753" w:rsidRPr="00283753">
              <w:rPr>
                <w:szCs w:val="16"/>
                <w:u w:val="none"/>
              </w:rPr>
              <w:t xml:space="preserve"> </w:t>
            </w:r>
            <w:r w:rsidR="00283753" w:rsidRPr="00283753">
              <w:rPr>
                <w:rStyle w:val="NewInitiativeChar"/>
                <w:b/>
                <w:bCs/>
                <w:sz w:val="16"/>
                <w:szCs w:val="16"/>
                <w:u w:val="none"/>
              </w:rPr>
              <w:t>(new)</w:t>
            </w:r>
          </w:p>
          <w:p w14:paraId="586D4CB6" w14:textId="13D2942F" w:rsidR="000D593D" w:rsidRPr="00AE489E" w:rsidRDefault="000D593D" w:rsidP="000D593D">
            <w:pPr>
              <w:pStyle w:val="TableTextLeft"/>
              <w:cnfStyle w:val="000000000000" w:firstRow="0" w:lastRow="0" w:firstColumn="0" w:lastColumn="0" w:oddVBand="0" w:evenVBand="0" w:oddHBand="0" w:evenHBand="0" w:firstRowFirstColumn="0" w:firstRowLastColumn="0" w:lastRowFirstColumn="0" w:lastRowLastColumn="0"/>
              <w:rPr>
                <w:color w:val="auto"/>
              </w:rPr>
            </w:pPr>
            <w:r w:rsidRPr="003A3F35">
              <w:rPr>
                <w:color w:val="auto"/>
              </w:rPr>
              <w:t xml:space="preserve">The </w:t>
            </w:r>
            <w:r>
              <w:rPr>
                <w:color w:val="auto"/>
              </w:rPr>
              <w:t>g</w:t>
            </w:r>
            <w:r w:rsidRPr="003A3F35">
              <w:rPr>
                <w:color w:val="auto"/>
              </w:rPr>
              <w:t xml:space="preserve">overnment will introduce new mandatory and enforceable service standards for the superannuation industry. The standards will cover death benefits claims handling, insurance claims handling, and communication with members. Treasury will work closely with consumer advocates, regulators and industry to develop the standards. Draft standards will be released for </w:t>
            </w:r>
            <w:r w:rsidRPr="003A3F35">
              <w:rPr>
                <w:bCs/>
                <w:color w:val="auto"/>
              </w:rPr>
              <w:t>public consultation</w:t>
            </w:r>
            <w:r w:rsidRPr="104C57A1">
              <w:rPr>
                <w:color w:val="auto"/>
              </w:rPr>
              <w:t xml:space="preserve"> </w:t>
            </w:r>
            <w:r w:rsidRPr="12D11916">
              <w:rPr>
                <w:color w:val="auto"/>
              </w:rPr>
              <w:t>in due course.</w:t>
            </w:r>
          </w:p>
        </w:tc>
        <w:tc>
          <w:tcPr>
            <w:tcW w:w="1247" w:type="dxa"/>
            <w:tcBorders>
              <w:top w:val="single" w:sz="4" w:space="0" w:color="BCE4CF"/>
              <w:bottom w:val="single" w:sz="4" w:space="0" w:color="BCE4CF"/>
            </w:tcBorders>
            <w:shd w:val="clear" w:color="auto" w:fill="ECF7F1"/>
          </w:tcPr>
          <w:p w14:paraId="7424CC96"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42C99AF7"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4B4AD4F7"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10D8DC67"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6A8C18A2"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108" w:type="dxa"/>
            <w:tcBorders>
              <w:top w:val="single" w:sz="4" w:space="0" w:color="BCE4CF"/>
              <w:bottom w:val="single" w:sz="4" w:space="0" w:color="BCE4CF"/>
            </w:tcBorders>
            <w:shd w:val="clear" w:color="auto" w:fill="F5FBF8"/>
          </w:tcPr>
          <w:p w14:paraId="1B99E80E"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386" w:type="dxa"/>
            <w:tcBorders>
              <w:top w:val="single" w:sz="4" w:space="0" w:color="BCE4CF"/>
              <w:bottom w:val="single" w:sz="4" w:space="0" w:color="BCE4CF"/>
            </w:tcBorders>
            <w:shd w:val="clear" w:color="auto" w:fill="F5FBF8"/>
          </w:tcPr>
          <w:p w14:paraId="7A681575"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r>
      <w:tr w:rsidR="000D593D" w:rsidRPr="00AF43B7" w14:paraId="30033248" w14:textId="77777777" w:rsidTr="00290C68">
        <w:trPr>
          <w:cantSplit/>
          <w:trHeight w:val="410"/>
        </w:trPr>
        <w:tc>
          <w:tcPr>
            <w:cnfStyle w:val="001000000000" w:firstRow="0" w:lastRow="0" w:firstColumn="1" w:lastColumn="0" w:oddVBand="0" w:evenVBand="0" w:oddHBand="0" w:evenHBand="0" w:firstRowFirstColumn="0" w:firstRowLastColumn="0" w:lastRowFirstColumn="0" w:lastRowLastColumn="0"/>
            <w:tcW w:w="794" w:type="dxa"/>
            <w:tcBorders>
              <w:top w:val="single" w:sz="4" w:space="0" w:color="BCE4CF"/>
              <w:bottom w:val="single" w:sz="4" w:space="0" w:color="BCE4CF"/>
            </w:tcBorders>
          </w:tcPr>
          <w:p w14:paraId="1B77F8C7" w14:textId="77777777" w:rsidR="000D593D" w:rsidRPr="00031D59" w:rsidRDefault="000D593D" w:rsidP="000D593D">
            <w:pPr>
              <w:pStyle w:val="TableLeadAgency"/>
              <w:rPr>
                <w:b/>
                <w:bCs/>
              </w:rPr>
            </w:pPr>
            <w:r w:rsidRPr="00AD71F3">
              <w:rPr>
                <w:b/>
              </w:rPr>
              <w:t xml:space="preserve">ASIC </w:t>
            </w:r>
          </w:p>
        </w:tc>
        <w:tc>
          <w:tcPr>
            <w:tcW w:w="1304" w:type="dxa"/>
            <w:tcBorders>
              <w:top w:val="single" w:sz="4" w:space="0" w:color="BCE4CF"/>
              <w:bottom w:val="single" w:sz="4" w:space="0" w:color="BCE4CF"/>
            </w:tcBorders>
          </w:tcPr>
          <w:p w14:paraId="648FA496" w14:textId="77777777" w:rsidR="000D593D" w:rsidRPr="0052695A"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r>
              <w:t>Financial markets</w:t>
            </w:r>
          </w:p>
        </w:tc>
        <w:tc>
          <w:tcPr>
            <w:tcW w:w="3175" w:type="dxa"/>
            <w:tcBorders>
              <w:top w:val="single" w:sz="4" w:space="0" w:color="BCE4CF"/>
              <w:bottom w:val="single" w:sz="4" w:space="0" w:color="BCE4CF"/>
            </w:tcBorders>
          </w:tcPr>
          <w:p w14:paraId="75A9F477" w14:textId="77777777" w:rsidR="000D593D" w:rsidRPr="00754486" w:rsidRDefault="000D593D" w:rsidP="000D593D">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754486">
              <w:rPr>
                <w:b/>
                <w:bCs/>
              </w:rPr>
              <w:t>Market integrity rules</w:t>
            </w:r>
            <w:r>
              <w:rPr>
                <w:b/>
                <w:bCs/>
              </w:rPr>
              <w:t xml:space="preserve"> – consultation and amendment</w:t>
            </w:r>
          </w:p>
          <w:p w14:paraId="1414819A" w14:textId="77777777" w:rsidR="000D593D"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r>
              <w:t xml:space="preserve">Following </w:t>
            </w:r>
            <w:r w:rsidRPr="00DC39DB">
              <w:t>consultation</w:t>
            </w:r>
            <w:r>
              <w:t>,</w:t>
            </w:r>
            <w:r w:rsidRPr="00DC39DB">
              <w:t xml:space="preserve"> amend provisions of the ASIC Market </w:t>
            </w:r>
            <w:r w:rsidRPr="00301F93">
              <w:t>Integrity</w:t>
            </w:r>
            <w:r w:rsidRPr="00DC39DB">
              <w:t xml:space="preserve"> Rules (Securities Markets) 2017 and ASIC Market Integrity Rules (Futures Markets) 2017 relating to trading infrastructure, automated order processing and false or misleading appearances.</w:t>
            </w:r>
          </w:p>
          <w:p w14:paraId="71BCBAE6" w14:textId="77777777" w:rsidR="000D593D" w:rsidRPr="0044172E" w:rsidRDefault="000D593D" w:rsidP="000D593D">
            <w:pPr>
              <w:pStyle w:val="TableTextLeft"/>
              <w:cnfStyle w:val="000000000000" w:firstRow="0" w:lastRow="0" w:firstColumn="0" w:lastColumn="0" w:oddVBand="0" w:evenVBand="0" w:oddHBand="0" w:evenHBand="0" w:firstRowFirstColumn="0" w:firstRowLastColumn="0" w:lastRowFirstColumn="0" w:lastRowLastColumn="0"/>
              <w:rPr>
                <w:lang w:val="en-AU"/>
              </w:rPr>
            </w:pPr>
            <w:r w:rsidRPr="00E0486D">
              <w:t>Market integrity rules – consultation and amendment</w:t>
            </w:r>
            <w:r>
              <w:t>.</w:t>
            </w:r>
          </w:p>
        </w:tc>
        <w:tc>
          <w:tcPr>
            <w:tcW w:w="1247" w:type="dxa"/>
            <w:tcBorders>
              <w:top w:val="single" w:sz="4" w:space="0" w:color="BCE4CF"/>
              <w:bottom w:val="single" w:sz="4" w:space="0" w:color="BCE4CF"/>
            </w:tcBorders>
            <w:shd w:val="clear" w:color="auto" w:fill="ECF7F1"/>
          </w:tcPr>
          <w:p w14:paraId="705AEE1B" w14:textId="77777777" w:rsidR="000D593D" w:rsidRPr="0049307A"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r w:rsidRPr="00B555A9">
              <w:t>Rules made by ASIC</w:t>
            </w:r>
            <w:r>
              <w:t>^</w:t>
            </w:r>
          </w:p>
        </w:tc>
        <w:tc>
          <w:tcPr>
            <w:tcW w:w="1247" w:type="dxa"/>
            <w:tcBorders>
              <w:top w:val="single" w:sz="4" w:space="0" w:color="BCE4CF"/>
              <w:bottom w:val="single" w:sz="4" w:space="0" w:color="BCE4CF"/>
            </w:tcBorders>
            <w:shd w:val="clear" w:color="auto" w:fill="ECF7F1"/>
          </w:tcPr>
          <w:p w14:paraId="6B6D7904" w14:textId="77777777" w:rsidR="000D593D" w:rsidRPr="0049307A"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61C88E5B" w14:textId="77777777" w:rsidR="000D593D" w:rsidRPr="0049307A"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660A154B" w14:textId="77777777" w:rsidR="000D593D" w:rsidRPr="0049307A"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2BDFCF17" w14:textId="77777777" w:rsidR="000D593D" w:rsidRPr="0049307A"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108" w:type="dxa"/>
            <w:tcBorders>
              <w:top w:val="single" w:sz="4" w:space="0" w:color="BCE4CF"/>
              <w:bottom w:val="single" w:sz="4" w:space="0" w:color="BCE4CF"/>
            </w:tcBorders>
            <w:shd w:val="clear" w:color="auto" w:fill="F5FBF8"/>
          </w:tcPr>
          <w:p w14:paraId="44186DF6" w14:textId="77777777" w:rsidR="000D593D" w:rsidRPr="0049307A"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386" w:type="dxa"/>
            <w:tcBorders>
              <w:top w:val="single" w:sz="4" w:space="0" w:color="BCE4CF"/>
              <w:bottom w:val="single" w:sz="4" w:space="0" w:color="BCE4CF"/>
            </w:tcBorders>
            <w:shd w:val="clear" w:color="auto" w:fill="F5FBF8"/>
          </w:tcPr>
          <w:p w14:paraId="783F5094" w14:textId="77777777" w:rsidR="000D593D" w:rsidRPr="0049307A"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r>
      <w:tr w:rsidR="000D593D" w:rsidRPr="00AF43B7" w14:paraId="4EEBA4AE" w14:textId="77777777" w:rsidTr="00290C68">
        <w:trPr>
          <w:cantSplit/>
          <w:trHeight w:val="410"/>
        </w:trPr>
        <w:tc>
          <w:tcPr>
            <w:cnfStyle w:val="001000000000" w:firstRow="0" w:lastRow="0" w:firstColumn="1" w:lastColumn="0" w:oddVBand="0" w:evenVBand="0" w:oddHBand="0" w:evenHBand="0" w:firstRowFirstColumn="0" w:firstRowLastColumn="0" w:lastRowFirstColumn="0" w:lastRowLastColumn="0"/>
            <w:tcW w:w="794" w:type="dxa"/>
            <w:tcBorders>
              <w:top w:val="single" w:sz="4" w:space="0" w:color="BCE4CF"/>
              <w:bottom w:val="single" w:sz="4" w:space="0" w:color="BCE4CF"/>
            </w:tcBorders>
          </w:tcPr>
          <w:p w14:paraId="05ACB905" w14:textId="77777777" w:rsidR="000D593D" w:rsidRPr="00AD71F3" w:rsidRDefault="000D593D" w:rsidP="000D593D">
            <w:pPr>
              <w:pStyle w:val="TableLeadAgency"/>
              <w:rPr>
                <w:b/>
                <w:i/>
                <w:iCs/>
              </w:rPr>
            </w:pPr>
            <w:r w:rsidRPr="00AD71F3">
              <w:rPr>
                <w:b/>
                <w:bCs/>
              </w:rPr>
              <w:t>TSY</w:t>
            </w:r>
            <w:r w:rsidRPr="00AD71F3">
              <w:rPr>
                <w:b/>
                <w:i/>
                <w:iCs/>
              </w:rPr>
              <w:t xml:space="preserve"> </w:t>
            </w:r>
          </w:p>
          <w:p w14:paraId="4E42A585" w14:textId="77777777" w:rsidR="000D593D" w:rsidRPr="00AD71F3" w:rsidRDefault="000D593D" w:rsidP="000D593D">
            <w:pPr>
              <w:pStyle w:val="TableSecondaryAgency"/>
              <w:rPr>
                <w:b w:val="0"/>
                <w:bCs/>
              </w:rPr>
            </w:pPr>
            <w:r w:rsidRPr="00AD71F3">
              <w:rPr>
                <w:b w:val="0"/>
                <w:bCs/>
              </w:rPr>
              <w:t>ACCC</w:t>
            </w:r>
          </w:p>
        </w:tc>
        <w:tc>
          <w:tcPr>
            <w:tcW w:w="1304" w:type="dxa"/>
            <w:tcBorders>
              <w:top w:val="single" w:sz="4" w:space="0" w:color="BCE4CF"/>
              <w:bottom w:val="single" w:sz="4" w:space="0" w:color="BCE4CF"/>
            </w:tcBorders>
          </w:tcPr>
          <w:p w14:paraId="6DD4BBB3"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r w:rsidRPr="00301F93">
              <w:t>All</w:t>
            </w:r>
          </w:p>
        </w:tc>
        <w:tc>
          <w:tcPr>
            <w:tcW w:w="3175" w:type="dxa"/>
            <w:tcBorders>
              <w:top w:val="single" w:sz="4" w:space="0" w:color="BCE4CF"/>
              <w:bottom w:val="single" w:sz="4" w:space="0" w:color="BCE4CF"/>
            </w:tcBorders>
          </w:tcPr>
          <w:p w14:paraId="1531C0CF" w14:textId="77777777" w:rsidR="000D593D" w:rsidRPr="00283753" w:rsidRDefault="000D593D" w:rsidP="00283753">
            <w:pPr>
              <w:pStyle w:val="TableLink"/>
              <w:cnfStyle w:val="000000000000" w:firstRow="0" w:lastRow="0" w:firstColumn="0" w:lastColumn="0" w:oddVBand="0" w:evenVBand="0" w:oddHBand="0" w:evenHBand="0" w:firstRowFirstColumn="0" w:firstRowLastColumn="0" w:lastRowFirstColumn="0" w:lastRowLastColumn="0"/>
            </w:pPr>
            <w:hyperlink r:id="rId81" w:history="1">
              <w:r w:rsidRPr="00283753">
                <w:rPr>
                  <w:rStyle w:val="Hyperlink"/>
                  <w:color w:val="5D779D" w:themeColor="accent3"/>
                  <w:u w:val="single"/>
                </w:rPr>
                <w:t>Merger reform</w:t>
              </w:r>
            </w:hyperlink>
          </w:p>
          <w:p w14:paraId="30BE8590" w14:textId="599DDE1C" w:rsidR="000D593D" w:rsidRPr="00D2100B" w:rsidRDefault="000D593D" w:rsidP="000D593D">
            <w:pPr>
              <w:pStyle w:val="TableTextLeft"/>
              <w:spacing w:before="0" w:after="0"/>
              <w:cnfStyle w:val="000000000000" w:firstRow="0" w:lastRow="0" w:firstColumn="0" w:lastColumn="0" w:oddVBand="0" w:evenVBand="0" w:oddHBand="0" w:evenHBand="0" w:firstRowFirstColumn="0" w:firstRowLastColumn="0" w:lastRowFirstColumn="0" w:lastRowLastColumn="0"/>
              <w:rPr>
                <w:rFonts w:cs="Calibri Light"/>
                <w:color w:val="auto"/>
              </w:rPr>
            </w:pPr>
            <w:r w:rsidRPr="00D2100B">
              <w:rPr>
                <w:rFonts w:cs="Calibri Light"/>
                <w:color w:val="auto"/>
              </w:rPr>
              <w:t xml:space="preserve">The </w:t>
            </w:r>
            <w:r w:rsidRPr="00D15C93">
              <w:rPr>
                <w:rFonts w:cs="Calibri Light"/>
                <w:i/>
                <w:color w:val="auto"/>
              </w:rPr>
              <w:t>Treasury Laws Amendment (Mergers and Acquisitions Reform) Bill 2024</w:t>
            </w:r>
            <w:r w:rsidRPr="00D2100B">
              <w:rPr>
                <w:rFonts w:cs="Calibri Light"/>
                <w:color w:val="auto"/>
              </w:rPr>
              <w:t xml:space="preserve"> passed on 2</w:t>
            </w:r>
            <w:r>
              <w:rPr>
                <w:rFonts w:cs="Calibri Light"/>
                <w:color w:val="auto"/>
              </w:rPr>
              <w:t>8</w:t>
            </w:r>
            <w:r w:rsidRPr="00D2100B">
              <w:rPr>
                <w:rFonts w:cs="Calibri Light"/>
                <w:color w:val="auto"/>
              </w:rPr>
              <w:t xml:space="preserve"> November 2024 reform</w:t>
            </w:r>
            <w:r>
              <w:rPr>
                <w:rFonts w:cs="Calibri Light"/>
                <w:color w:val="auto"/>
              </w:rPr>
              <w:t>ed</w:t>
            </w:r>
            <w:r w:rsidRPr="00D2100B">
              <w:rPr>
                <w:rFonts w:cs="Calibri Light"/>
                <w:color w:val="auto"/>
              </w:rPr>
              <w:t xml:space="preserve"> Australia</w:t>
            </w:r>
            <w:r w:rsidR="003D486F">
              <w:rPr>
                <w:rFonts w:cs="Calibri Light"/>
                <w:color w:val="auto"/>
              </w:rPr>
              <w:t>’</w:t>
            </w:r>
            <w:r w:rsidRPr="00D2100B">
              <w:rPr>
                <w:rFonts w:cs="Calibri Light"/>
                <w:color w:val="auto"/>
              </w:rPr>
              <w:t xml:space="preserve">s merger rules to promote competition, protect consumers and provide greater certainty by streamlining merger and acquisition approval processes. </w:t>
            </w:r>
            <w:r>
              <w:rPr>
                <w:rFonts w:cs="Calibri Light"/>
                <w:color w:val="auto"/>
              </w:rPr>
              <w:t xml:space="preserve">The </w:t>
            </w:r>
            <w:r w:rsidRPr="00065A7F">
              <w:rPr>
                <w:rFonts w:cs="Calibri Light"/>
                <w:color w:val="auto"/>
                <w:lang w:val="en-AU"/>
              </w:rPr>
              <w:t>Competition and Consumer (Notification of Acquisitions) Determination 2025</w:t>
            </w:r>
            <w:r>
              <w:rPr>
                <w:rFonts w:cs="Calibri Light"/>
                <w:color w:val="auto"/>
                <w:lang w:val="en-AU"/>
              </w:rPr>
              <w:t xml:space="preserve"> was registered in June 2025 to support the new system.</w:t>
            </w:r>
          </w:p>
          <w:p w14:paraId="1816C047" w14:textId="77777777" w:rsidR="000D593D" w:rsidRPr="00311002"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r w:rsidRPr="00D2100B">
              <w:rPr>
                <w:rFonts w:cs="Calibri Light"/>
                <w:color w:val="auto"/>
              </w:rPr>
              <w:t>The new merger control system will commence from 1 January 2026 and appl</w:t>
            </w:r>
            <w:r>
              <w:rPr>
                <w:rFonts w:cs="Calibri Light"/>
                <w:color w:val="auto"/>
              </w:rPr>
              <w:t>ies</w:t>
            </w:r>
            <w:r w:rsidRPr="00D2100B">
              <w:rPr>
                <w:rFonts w:cs="Calibri Light"/>
                <w:color w:val="auto"/>
              </w:rPr>
              <w:t xml:space="preserve"> on a voluntary basis from 1 July 2025.</w:t>
            </w:r>
          </w:p>
        </w:tc>
        <w:tc>
          <w:tcPr>
            <w:tcW w:w="1247" w:type="dxa"/>
            <w:tcBorders>
              <w:top w:val="single" w:sz="4" w:space="0" w:color="BCE4CF"/>
              <w:bottom w:val="single" w:sz="4" w:space="0" w:color="BCE4CF"/>
            </w:tcBorders>
            <w:shd w:val="clear" w:color="auto" w:fill="ECF7F1"/>
          </w:tcPr>
          <w:p w14:paraId="3BDB2AE7" w14:textId="77777777" w:rsidR="000D593D" w:rsidRPr="0052695A"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r w:rsidRPr="00B15BA6">
              <w:t xml:space="preserve">Consultation on </w:t>
            </w:r>
            <w:r>
              <w:t xml:space="preserve">further </w:t>
            </w:r>
            <w:r w:rsidRPr="00B15BA6">
              <w:t>subordinate legislation</w:t>
            </w:r>
            <w:r>
              <w:t>*</w:t>
            </w:r>
          </w:p>
        </w:tc>
        <w:tc>
          <w:tcPr>
            <w:tcW w:w="1247" w:type="dxa"/>
            <w:tcBorders>
              <w:top w:val="single" w:sz="4" w:space="0" w:color="BCE4CF"/>
              <w:bottom w:val="single" w:sz="4" w:space="0" w:color="BCE4CF"/>
            </w:tcBorders>
            <w:shd w:val="clear" w:color="auto" w:fill="ECF7F1"/>
          </w:tcPr>
          <w:p w14:paraId="6209A1DA" w14:textId="77777777" w:rsidR="000D593D" w:rsidRPr="0052695A"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r w:rsidRPr="0052695A">
              <w:t>Commences 1</w:t>
            </w:r>
            <w:r>
              <w:t> </w:t>
            </w:r>
            <w:r w:rsidRPr="0052695A">
              <w:t>January</w:t>
            </w:r>
            <w:r>
              <w:t> </w:t>
            </w:r>
            <w:r w:rsidRPr="0052695A">
              <w:t>2026 for mandatory notification</w:t>
            </w:r>
          </w:p>
        </w:tc>
        <w:tc>
          <w:tcPr>
            <w:tcW w:w="1247" w:type="dxa"/>
            <w:tcBorders>
              <w:top w:val="single" w:sz="4" w:space="0" w:color="BCE4CF"/>
              <w:bottom w:val="single" w:sz="4" w:space="0" w:color="BCE4CF"/>
            </w:tcBorders>
            <w:shd w:val="clear" w:color="auto" w:fill="ECF7F1"/>
          </w:tcPr>
          <w:p w14:paraId="26932268" w14:textId="77777777" w:rsidR="000D593D" w:rsidRPr="0052695A"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759BAD12" w14:textId="77777777" w:rsidR="000D593D" w:rsidRPr="0052695A"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704B7BB4" w14:textId="77777777" w:rsidR="000D593D" w:rsidRPr="0052695A"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108" w:type="dxa"/>
            <w:tcBorders>
              <w:top w:val="single" w:sz="4" w:space="0" w:color="BCE4CF"/>
              <w:bottom w:val="single" w:sz="4" w:space="0" w:color="BCE4CF"/>
            </w:tcBorders>
            <w:shd w:val="clear" w:color="auto" w:fill="F5FBF8"/>
          </w:tcPr>
          <w:p w14:paraId="1AD5A573" w14:textId="77777777" w:rsidR="000D593D" w:rsidRPr="0052695A" w:rsidDel="00F45C7D"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386" w:type="dxa"/>
            <w:tcBorders>
              <w:top w:val="single" w:sz="4" w:space="0" w:color="BCE4CF"/>
              <w:bottom w:val="single" w:sz="4" w:space="0" w:color="BCE4CF"/>
            </w:tcBorders>
            <w:shd w:val="clear" w:color="auto" w:fill="F5FBF8"/>
          </w:tcPr>
          <w:p w14:paraId="1138E666" w14:textId="77777777" w:rsidR="000D593D" w:rsidRPr="0052695A"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r>
      <w:tr w:rsidR="000D593D" w:rsidRPr="00AF43B7" w14:paraId="327FC528" w14:textId="77777777" w:rsidTr="00290C68">
        <w:trPr>
          <w:cantSplit/>
          <w:trHeight w:val="410"/>
        </w:trPr>
        <w:tc>
          <w:tcPr>
            <w:cnfStyle w:val="001000000000" w:firstRow="0" w:lastRow="0" w:firstColumn="1" w:lastColumn="0" w:oddVBand="0" w:evenVBand="0" w:oddHBand="0" w:evenHBand="0" w:firstRowFirstColumn="0" w:firstRowLastColumn="0" w:lastRowFirstColumn="0" w:lastRowLastColumn="0"/>
            <w:tcW w:w="794" w:type="dxa"/>
            <w:tcBorders>
              <w:top w:val="single" w:sz="4" w:space="0" w:color="BCE4CF"/>
              <w:bottom w:val="single" w:sz="4" w:space="0" w:color="BCE4CF"/>
            </w:tcBorders>
          </w:tcPr>
          <w:p w14:paraId="3E32D1C6" w14:textId="7E41842D" w:rsidR="00F56A72" w:rsidRPr="00AD71F3" w:rsidRDefault="00F56A72" w:rsidP="00F56A72">
            <w:pPr>
              <w:pStyle w:val="TableLeadAgency"/>
              <w:spacing w:before="0" w:after="0"/>
            </w:pPr>
            <w:r w:rsidRPr="00AD71F3">
              <w:rPr>
                <w:b/>
              </w:rPr>
              <w:lastRenderedPageBreak/>
              <w:t xml:space="preserve"> TSY </w:t>
            </w:r>
          </w:p>
          <w:p w14:paraId="0B811580" w14:textId="77777777" w:rsidR="000D593D" w:rsidRPr="00F56A72" w:rsidRDefault="00F56A72" w:rsidP="00F56A72">
            <w:pPr>
              <w:pStyle w:val="TableSecondaryAgency"/>
              <w:rPr>
                <w:b w:val="0"/>
                <w:bCs/>
              </w:rPr>
            </w:pPr>
            <w:r w:rsidRPr="00B01252">
              <w:rPr>
                <w:b w:val="0"/>
                <w:bCs/>
              </w:rPr>
              <w:t>ATO</w:t>
            </w:r>
          </w:p>
        </w:tc>
        <w:tc>
          <w:tcPr>
            <w:tcW w:w="1304" w:type="dxa"/>
            <w:tcBorders>
              <w:top w:val="single" w:sz="4" w:space="0" w:color="BCE4CF"/>
              <w:bottom w:val="single" w:sz="4" w:space="0" w:color="BCE4CF"/>
            </w:tcBorders>
          </w:tcPr>
          <w:p w14:paraId="72228705" w14:textId="77777777" w:rsidR="000D593D" w:rsidRPr="00F534FF" w:rsidRDefault="000D593D" w:rsidP="000D593D">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F534FF">
              <w:t>Superannuation and retirement income</w:t>
            </w:r>
          </w:p>
          <w:p w14:paraId="31A2BB82" w14:textId="3278AD02" w:rsidR="000D593D" w:rsidRPr="0052695A"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r w:rsidRPr="00B803A5">
              <w:t xml:space="preserve">Payment services and digital </w:t>
            </w:r>
            <w:r w:rsidR="00B803A5" w:rsidRPr="00B803A5">
              <w:t>assets</w:t>
            </w:r>
          </w:p>
        </w:tc>
        <w:tc>
          <w:tcPr>
            <w:tcW w:w="3175" w:type="dxa"/>
            <w:tcBorders>
              <w:top w:val="single" w:sz="4" w:space="0" w:color="BCE4CF"/>
              <w:bottom w:val="single" w:sz="4" w:space="0" w:color="BCE4CF"/>
            </w:tcBorders>
          </w:tcPr>
          <w:p w14:paraId="4B004B42" w14:textId="77777777" w:rsidR="000D593D" w:rsidRPr="00283753" w:rsidRDefault="000D593D" w:rsidP="00283753">
            <w:pPr>
              <w:pStyle w:val="TableLink"/>
              <w:cnfStyle w:val="000000000000" w:firstRow="0" w:lastRow="0" w:firstColumn="0" w:lastColumn="0" w:oddVBand="0" w:evenVBand="0" w:oddHBand="0" w:evenHBand="0" w:firstRowFirstColumn="0" w:firstRowLastColumn="0" w:lastRowFirstColumn="0" w:lastRowLastColumn="0"/>
            </w:pPr>
            <w:hyperlink r:id="rId82" w:history="1">
              <w:r w:rsidRPr="00283753">
                <w:rPr>
                  <w:rStyle w:val="Hyperlink"/>
                  <w:color w:val="5D779D" w:themeColor="accent3"/>
                  <w:u w:val="single"/>
                </w:rPr>
                <w:t>Payday superannuation</w:t>
              </w:r>
            </w:hyperlink>
          </w:p>
          <w:p w14:paraId="6554056E" w14:textId="7BEECF68" w:rsidR="000D593D" w:rsidRDefault="000D593D" w:rsidP="000D593D">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F534FF">
              <w:t xml:space="preserve">The </w:t>
            </w:r>
            <w:r>
              <w:t>g</w:t>
            </w:r>
            <w:r w:rsidRPr="00F534FF">
              <w:t>overnment will require employers to align the frequency of the payment of their employees</w:t>
            </w:r>
            <w:r w:rsidR="003D486F">
              <w:t>’</w:t>
            </w:r>
            <w:r w:rsidRPr="00F534FF">
              <w:t xml:space="preserve"> superannuation with their salary and wages. Specifically, employers will become liable for the updated superannuation guarantee charge if superannuation contributions are not received by their employees</w:t>
            </w:r>
            <w:r w:rsidR="003D486F">
              <w:t>’</w:t>
            </w:r>
            <w:r w:rsidRPr="00F534FF">
              <w:t xml:space="preserve"> superannuation fund within </w:t>
            </w:r>
            <w:r>
              <w:t>7 </w:t>
            </w:r>
            <w:r w:rsidRPr="00F534FF">
              <w:t xml:space="preserve">days of </w:t>
            </w:r>
            <w:r w:rsidR="003D486F">
              <w:t>‘</w:t>
            </w:r>
            <w:r w:rsidRPr="00F534FF">
              <w:t>payday</w:t>
            </w:r>
            <w:r w:rsidR="003D486F">
              <w:t>’</w:t>
            </w:r>
            <w:r w:rsidRPr="00F534FF">
              <w:t>. Several changes are also being made to support the transition to Payday Super and protect employees in the onboarding process, including revising choice of fund rules and limiting the advertising of superannuation products during onboarding.</w:t>
            </w:r>
          </w:p>
          <w:p w14:paraId="636140B9" w14:textId="48AF7DF9" w:rsidR="000D593D" w:rsidRDefault="000D593D" w:rsidP="000D593D">
            <w:pPr>
              <w:pStyle w:val="TableTextLeft"/>
              <w:spacing w:before="0" w:after="0"/>
              <w:cnfStyle w:val="000000000000" w:firstRow="0" w:lastRow="0" w:firstColumn="0" w:lastColumn="0" w:oddVBand="0" w:evenVBand="0" w:oddHBand="0" w:evenHBand="0" w:firstRowFirstColumn="0" w:firstRowLastColumn="0" w:lastRowFirstColumn="0" w:lastRowLastColumn="0"/>
            </w:pPr>
            <w:r>
              <w:t>Exposure Draft legislation was consulted on in March</w:t>
            </w:r>
            <w:r w:rsidR="003D486F">
              <w:noBreakHyphen/>
            </w:r>
            <w:r>
              <w:t xml:space="preserve">April 2025. </w:t>
            </w:r>
            <w:r w:rsidRPr="00F534FF">
              <w:t>Employer obligations are planned to commence on 1</w:t>
            </w:r>
            <w:r>
              <w:t> </w:t>
            </w:r>
            <w:r w:rsidRPr="00F534FF">
              <w:t>July</w:t>
            </w:r>
            <w:r>
              <w:t> </w:t>
            </w:r>
            <w:r w:rsidRPr="00F534FF">
              <w:t>2026, subject to the passage of legislation.</w:t>
            </w:r>
          </w:p>
          <w:p w14:paraId="24FCEB66" w14:textId="77777777" w:rsidR="000D593D" w:rsidRPr="00D80718" w:rsidRDefault="000D593D" w:rsidP="000D593D">
            <w:pPr>
              <w:pStyle w:val="TableTextLeft"/>
              <w:cnfStyle w:val="000000000000" w:firstRow="0" w:lastRow="0" w:firstColumn="0" w:lastColumn="0" w:oddVBand="0" w:evenVBand="0" w:oddHBand="0" w:evenHBand="0" w:firstRowFirstColumn="0" w:firstRowLastColumn="0" w:lastRowFirstColumn="0" w:lastRowLastColumn="0"/>
              <w:rPr>
                <w:lang w:val="en-AU"/>
              </w:rPr>
            </w:pPr>
            <w:r w:rsidRPr="00A564A2">
              <w:rPr>
                <w:bCs/>
                <w:color w:val="auto"/>
              </w:rPr>
              <w:t>The ATO intends to issue guidance to assist the implementation of the legislation.</w:t>
            </w:r>
          </w:p>
        </w:tc>
        <w:tc>
          <w:tcPr>
            <w:tcW w:w="1247" w:type="dxa"/>
            <w:tcBorders>
              <w:top w:val="single" w:sz="4" w:space="0" w:color="BCE4CF"/>
              <w:bottom w:val="single" w:sz="4" w:space="0" w:color="BCE4CF"/>
            </w:tcBorders>
            <w:shd w:val="clear" w:color="auto" w:fill="ECF7F1"/>
          </w:tcPr>
          <w:p w14:paraId="15DF7B01" w14:textId="77777777" w:rsidR="000D593D" w:rsidRPr="008165F5"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397E8BC3" w14:textId="77777777" w:rsidR="000D593D" w:rsidRPr="008165F5"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46C48CBC" w14:textId="77777777" w:rsidR="000D593D" w:rsidRPr="008165F5"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7D57DA6A" w14:textId="5C6A1B9F" w:rsidR="000D593D" w:rsidRPr="008165F5"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r>
              <w:t xml:space="preserve">1 July 2026 </w:t>
            </w:r>
            <w:r w:rsidR="005815ED">
              <w:t>payday superannuation</w:t>
            </w:r>
            <w:r>
              <w:t xml:space="preserve"> commences, subject to passage through Parliament</w:t>
            </w:r>
          </w:p>
        </w:tc>
        <w:tc>
          <w:tcPr>
            <w:tcW w:w="1247" w:type="dxa"/>
            <w:tcBorders>
              <w:top w:val="single" w:sz="4" w:space="0" w:color="BCE4CF"/>
              <w:bottom w:val="single" w:sz="4" w:space="0" w:color="BCE4CF"/>
            </w:tcBorders>
            <w:shd w:val="clear" w:color="auto" w:fill="ECF7F1"/>
          </w:tcPr>
          <w:p w14:paraId="2E6317B5" w14:textId="77777777" w:rsidR="000D593D" w:rsidRPr="008165F5"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108" w:type="dxa"/>
            <w:tcBorders>
              <w:top w:val="single" w:sz="4" w:space="0" w:color="BCE4CF"/>
              <w:bottom w:val="single" w:sz="4" w:space="0" w:color="BCE4CF"/>
            </w:tcBorders>
            <w:shd w:val="clear" w:color="auto" w:fill="F5FBF8"/>
          </w:tcPr>
          <w:p w14:paraId="2A9156B1" w14:textId="77777777" w:rsidR="000D593D" w:rsidRPr="008165F5"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386" w:type="dxa"/>
            <w:tcBorders>
              <w:top w:val="single" w:sz="4" w:space="0" w:color="BCE4CF"/>
              <w:bottom w:val="single" w:sz="4" w:space="0" w:color="BCE4CF"/>
            </w:tcBorders>
            <w:shd w:val="clear" w:color="auto" w:fill="F5FBF8"/>
          </w:tcPr>
          <w:p w14:paraId="24B79945" w14:textId="77777777" w:rsidR="000D593D" w:rsidRPr="008165F5"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r>
      <w:tr w:rsidR="000D593D" w:rsidRPr="00AF43B7" w14:paraId="7E77361E" w14:textId="77777777" w:rsidTr="00290C68">
        <w:trPr>
          <w:cantSplit/>
          <w:trHeight w:val="410"/>
        </w:trPr>
        <w:tc>
          <w:tcPr>
            <w:cnfStyle w:val="001000000000" w:firstRow="0" w:lastRow="0" w:firstColumn="1" w:lastColumn="0" w:oddVBand="0" w:evenVBand="0" w:oddHBand="0" w:evenHBand="0" w:firstRowFirstColumn="0" w:firstRowLastColumn="0" w:lastRowFirstColumn="0" w:lastRowLastColumn="0"/>
            <w:tcW w:w="794" w:type="dxa"/>
            <w:tcBorders>
              <w:top w:val="single" w:sz="4" w:space="0" w:color="BCE4CF"/>
              <w:bottom w:val="single" w:sz="4" w:space="0" w:color="BCE4CF"/>
            </w:tcBorders>
          </w:tcPr>
          <w:p w14:paraId="6ABB683E" w14:textId="77777777" w:rsidR="000D593D" w:rsidRPr="00AD71F3" w:rsidRDefault="000D593D" w:rsidP="000D593D">
            <w:pPr>
              <w:pStyle w:val="TableLeadAgency"/>
              <w:spacing w:before="0" w:after="0"/>
            </w:pPr>
            <w:r w:rsidRPr="00AD71F3">
              <w:rPr>
                <w:b/>
              </w:rPr>
              <w:t xml:space="preserve">TSY </w:t>
            </w:r>
          </w:p>
          <w:p w14:paraId="329B1520" w14:textId="77777777" w:rsidR="000D593D" w:rsidRPr="00AD71F3" w:rsidRDefault="000D593D" w:rsidP="000D593D">
            <w:pPr>
              <w:pStyle w:val="TableSecondaryAgency"/>
              <w:spacing w:before="0" w:after="0"/>
            </w:pPr>
            <w:r w:rsidRPr="00AD71F3">
              <w:rPr>
                <w:b w:val="0"/>
              </w:rPr>
              <w:t>ASIC</w:t>
            </w:r>
          </w:p>
          <w:p w14:paraId="0286371C" w14:textId="77777777" w:rsidR="000D593D" w:rsidRPr="0051217F" w:rsidRDefault="000D593D" w:rsidP="000D593D">
            <w:pPr>
              <w:pStyle w:val="TableLeadAgency"/>
              <w:rPr>
                <w:b/>
                <w:bCs/>
              </w:rPr>
            </w:pPr>
            <w:r w:rsidRPr="00AD71F3">
              <w:t>APRA</w:t>
            </w:r>
          </w:p>
        </w:tc>
        <w:tc>
          <w:tcPr>
            <w:tcW w:w="1304" w:type="dxa"/>
            <w:tcBorders>
              <w:top w:val="single" w:sz="4" w:space="0" w:color="BCE4CF"/>
              <w:bottom w:val="single" w:sz="4" w:space="0" w:color="BCE4CF"/>
            </w:tcBorders>
          </w:tcPr>
          <w:p w14:paraId="71FCCF69" w14:textId="77777777" w:rsidR="000D593D" w:rsidRPr="0052695A"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r w:rsidRPr="002D0236">
              <w:t xml:space="preserve">Payment </w:t>
            </w:r>
            <w:r w:rsidRPr="00301F93">
              <w:t>services</w:t>
            </w:r>
            <w:r w:rsidRPr="002D0236">
              <w:t xml:space="preserve"> and </w:t>
            </w:r>
            <w:r>
              <w:t>d</w:t>
            </w:r>
            <w:r w:rsidRPr="002D0236">
              <w:t xml:space="preserve">igital </w:t>
            </w:r>
            <w:r>
              <w:t>a</w:t>
            </w:r>
            <w:r w:rsidRPr="002D0236">
              <w:t>ssets</w:t>
            </w:r>
          </w:p>
        </w:tc>
        <w:tc>
          <w:tcPr>
            <w:tcW w:w="3175" w:type="dxa"/>
            <w:tcBorders>
              <w:top w:val="single" w:sz="4" w:space="0" w:color="BCE4CF"/>
              <w:bottom w:val="single" w:sz="4" w:space="0" w:color="BCE4CF"/>
            </w:tcBorders>
          </w:tcPr>
          <w:p w14:paraId="0AADEFBA" w14:textId="77777777" w:rsidR="000D593D" w:rsidRPr="00283753" w:rsidRDefault="000D593D" w:rsidP="00283753">
            <w:pPr>
              <w:pStyle w:val="TableLink"/>
              <w:cnfStyle w:val="000000000000" w:firstRow="0" w:lastRow="0" w:firstColumn="0" w:lastColumn="0" w:oddVBand="0" w:evenVBand="0" w:oddHBand="0" w:evenHBand="0" w:firstRowFirstColumn="0" w:firstRowLastColumn="0" w:lastRowFirstColumn="0" w:lastRowLastColumn="0"/>
            </w:pPr>
            <w:hyperlink r:id="rId83" w:history="1">
              <w:r w:rsidRPr="00283753">
                <w:rPr>
                  <w:rStyle w:val="Hyperlink"/>
                  <w:color w:val="5D779D" w:themeColor="accent3"/>
                  <w:u w:val="single"/>
                </w:rPr>
                <w:t xml:space="preserve">Payment system </w:t>
              </w:r>
              <w:proofErr w:type="spellStart"/>
              <w:r w:rsidRPr="00283753">
                <w:rPr>
                  <w:rStyle w:val="Hyperlink"/>
                  <w:color w:val="5D779D" w:themeColor="accent3"/>
                  <w:u w:val="single"/>
                </w:rPr>
                <w:t>modernisation</w:t>
              </w:r>
              <w:proofErr w:type="spellEnd"/>
              <w:r w:rsidRPr="00283753">
                <w:rPr>
                  <w:rStyle w:val="Hyperlink"/>
                  <w:color w:val="5D779D" w:themeColor="accent3"/>
                  <w:u w:val="single"/>
                </w:rPr>
                <w:t xml:space="preserve"> (regulation of payment service providers)</w:t>
              </w:r>
            </w:hyperlink>
          </w:p>
          <w:p w14:paraId="4DD2716F" w14:textId="70101CDF" w:rsidR="000D593D"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r>
              <w:t>The proposed reforms include a licensing framework for payment service providers (PSPs) and will ensure their regulation is fit for purpose and consistent</w:t>
            </w:r>
            <w:r w:rsidR="003D486F">
              <w:t xml:space="preserve">. </w:t>
            </w:r>
          </w:p>
          <w:p w14:paraId="1D569860" w14:textId="77777777" w:rsidR="000D593D"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r>
              <w:t>The reforms will be implemented in 2 tranches with the core licensing framework in the first tranche.</w:t>
            </w:r>
          </w:p>
          <w:p w14:paraId="1E2067AE" w14:textId="4D7998B9" w:rsidR="000D593D"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r>
              <w:t>Exposure draft legislation for the first tranche will be consulted on in sub tranches. Tranche 1a in Q4 2025, tranche 1b in early 2026.</w:t>
            </w:r>
          </w:p>
          <w:p w14:paraId="5C3638A7" w14:textId="77777777" w:rsidR="000D593D" w:rsidRPr="00A15D1F"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r w:rsidRPr="00A23454">
              <w:t>ASIC</w:t>
            </w:r>
            <w:r>
              <w:t xml:space="preserve"> and APRA</w:t>
            </w:r>
            <w:r w:rsidRPr="00A23454">
              <w:t xml:space="preserve"> intend to issue</w:t>
            </w:r>
            <w:r>
              <w:t xml:space="preserve"> joint</w:t>
            </w:r>
            <w:r w:rsidRPr="00A23454">
              <w:t xml:space="preserve"> regulatory guidance to assist implementation of the legislation.</w:t>
            </w:r>
          </w:p>
        </w:tc>
        <w:tc>
          <w:tcPr>
            <w:tcW w:w="1247" w:type="dxa"/>
            <w:tcBorders>
              <w:top w:val="single" w:sz="4" w:space="0" w:color="BCE4CF"/>
              <w:bottom w:val="single" w:sz="4" w:space="0" w:color="BCE4CF"/>
            </w:tcBorders>
            <w:shd w:val="clear" w:color="auto" w:fill="ECF7F1"/>
          </w:tcPr>
          <w:p w14:paraId="27285295" w14:textId="77777777" w:rsidR="000D593D"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r w:rsidRPr="000930B2">
              <w:t xml:space="preserve">Consultation on exposure draft legislation for tranche </w:t>
            </w:r>
            <w:r>
              <w:t xml:space="preserve">1a </w:t>
            </w:r>
            <w:r w:rsidRPr="000930B2">
              <w:t xml:space="preserve">of </w:t>
            </w:r>
            <w:r>
              <w:t>the</w:t>
            </w:r>
            <w:r w:rsidRPr="000930B2">
              <w:t xml:space="preserve"> reforms</w:t>
            </w:r>
          </w:p>
          <w:p w14:paraId="50F4F7E4" w14:textId="77777777" w:rsidR="000D593D"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p w14:paraId="60D6D6E5"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2CFEECB4" w14:textId="77777777" w:rsidR="000D593D"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r w:rsidRPr="000930B2">
              <w:t xml:space="preserve">Consultation on exposure draft legislation for tranche </w:t>
            </w:r>
            <w:r>
              <w:t xml:space="preserve">1b </w:t>
            </w:r>
            <w:r w:rsidRPr="000930B2">
              <w:t xml:space="preserve">of </w:t>
            </w:r>
            <w:r>
              <w:t>the</w:t>
            </w:r>
            <w:r w:rsidRPr="000930B2">
              <w:t xml:space="preserve"> reforms</w:t>
            </w:r>
          </w:p>
          <w:p w14:paraId="4ACB833E" w14:textId="77777777" w:rsidR="000D593D"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p w14:paraId="7C76B0CB"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706962B0"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15FBFF63"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7F813FC5"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108" w:type="dxa"/>
            <w:tcBorders>
              <w:top w:val="single" w:sz="4" w:space="0" w:color="BCE4CF"/>
              <w:bottom w:val="single" w:sz="4" w:space="0" w:color="BCE4CF"/>
            </w:tcBorders>
            <w:shd w:val="clear" w:color="auto" w:fill="F5FBF8"/>
          </w:tcPr>
          <w:p w14:paraId="1C785B5C"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c>
          <w:tcPr>
            <w:tcW w:w="1386" w:type="dxa"/>
            <w:tcBorders>
              <w:top w:val="single" w:sz="4" w:space="0" w:color="BCE4CF"/>
              <w:bottom w:val="single" w:sz="4" w:space="0" w:color="BCE4CF"/>
            </w:tcBorders>
            <w:shd w:val="clear" w:color="auto" w:fill="F5FBF8"/>
          </w:tcPr>
          <w:p w14:paraId="50559663" w14:textId="77777777" w:rsidR="000D593D" w:rsidRPr="00B555A9" w:rsidRDefault="000D593D" w:rsidP="000D593D">
            <w:pPr>
              <w:pStyle w:val="TableTextLeft"/>
              <w:cnfStyle w:val="000000000000" w:firstRow="0" w:lastRow="0" w:firstColumn="0" w:lastColumn="0" w:oddVBand="0" w:evenVBand="0" w:oddHBand="0" w:evenHBand="0" w:firstRowFirstColumn="0" w:firstRowLastColumn="0" w:lastRowFirstColumn="0" w:lastRowLastColumn="0"/>
            </w:pPr>
          </w:p>
        </w:tc>
      </w:tr>
      <w:tr w:rsidR="00F56A72" w:rsidRPr="00AF43B7" w14:paraId="28BF9006" w14:textId="77777777" w:rsidTr="00290C68">
        <w:trPr>
          <w:cantSplit/>
          <w:trHeight w:val="410"/>
        </w:trPr>
        <w:tc>
          <w:tcPr>
            <w:cnfStyle w:val="001000000000" w:firstRow="0" w:lastRow="0" w:firstColumn="1" w:lastColumn="0" w:oddVBand="0" w:evenVBand="0" w:oddHBand="0" w:evenHBand="0" w:firstRowFirstColumn="0" w:firstRowLastColumn="0" w:lastRowFirstColumn="0" w:lastRowLastColumn="0"/>
            <w:tcW w:w="794" w:type="dxa"/>
            <w:tcBorders>
              <w:top w:val="single" w:sz="4" w:space="0" w:color="BCE4CF"/>
              <w:bottom w:val="single" w:sz="4" w:space="0" w:color="BCE4CF"/>
            </w:tcBorders>
          </w:tcPr>
          <w:p w14:paraId="5CAA01BB" w14:textId="77777777" w:rsidR="00F56A72" w:rsidRPr="00283753" w:rsidRDefault="00F56A72" w:rsidP="00283753">
            <w:pPr>
              <w:pStyle w:val="TableLeadAgency"/>
              <w:rPr>
                <w:b/>
                <w:bCs/>
              </w:rPr>
            </w:pPr>
            <w:r w:rsidRPr="00283753">
              <w:rPr>
                <w:b/>
                <w:bCs/>
              </w:rPr>
              <w:lastRenderedPageBreak/>
              <w:t>TSY</w:t>
            </w:r>
          </w:p>
          <w:p w14:paraId="2172838F" w14:textId="7C204DD4" w:rsidR="00F56A72" w:rsidRPr="00F56A72" w:rsidRDefault="00F56A72" w:rsidP="00F56A72">
            <w:pPr>
              <w:pStyle w:val="TableSecondaryAgency"/>
              <w:rPr>
                <w:b w:val="0"/>
                <w:bCs/>
                <w:lang w:val="en-AU"/>
              </w:rPr>
            </w:pPr>
            <w:r w:rsidRPr="00B01252" w:rsidDel="00F56A72">
              <w:rPr>
                <w:color w:val="auto"/>
              </w:rPr>
              <w:t>AFSA</w:t>
            </w:r>
          </w:p>
        </w:tc>
        <w:tc>
          <w:tcPr>
            <w:tcW w:w="1304" w:type="dxa"/>
            <w:tcBorders>
              <w:top w:val="single" w:sz="4" w:space="0" w:color="BCE4CF"/>
              <w:bottom w:val="single" w:sz="4" w:space="0" w:color="BCE4CF"/>
            </w:tcBorders>
          </w:tcPr>
          <w:p w14:paraId="412DB700" w14:textId="77777777" w:rsidR="00F56A72" w:rsidRPr="00B555A9"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r w:rsidRPr="00F534FF">
              <w:t>Banking, credit and lending</w:t>
            </w:r>
          </w:p>
        </w:tc>
        <w:tc>
          <w:tcPr>
            <w:tcW w:w="3175" w:type="dxa"/>
            <w:tcBorders>
              <w:top w:val="single" w:sz="4" w:space="0" w:color="BCE4CF"/>
              <w:bottom w:val="single" w:sz="4" w:space="0" w:color="BCE4CF"/>
            </w:tcBorders>
          </w:tcPr>
          <w:p w14:paraId="11D261BB" w14:textId="77777777" w:rsidR="00F56A72" w:rsidRPr="00283753" w:rsidRDefault="00F56A72" w:rsidP="00283753">
            <w:pPr>
              <w:pStyle w:val="TableLink"/>
              <w:cnfStyle w:val="000000000000" w:firstRow="0" w:lastRow="0" w:firstColumn="0" w:lastColumn="0" w:oddVBand="0" w:evenVBand="0" w:oddHBand="0" w:evenHBand="0" w:firstRowFirstColumn="0" w:firstRowLastColumn="0" w:lastRowFirstColumn="0" w:lastRowLastColumn="0"/>
              <w:rPr>
                <w:rStyle w:val="Hyperlink"/>
                <w:color w:val="5D779D" w:themeColor="accent3"/>
                <w:u w:val="single"/>
              </w:rPr>
            </w:pPr>
            <w:hyperlink r:id="rId84" w:history="1">
              <w:r w:rsidRPr="00283753">
                <w:rPr>
                  <w:rStyle w:val="Hyperlink"/>
                  <w:color w:val="5D779D" w:themeColor="accent3"/>
                  <w:u w:val="single"/>
                </w:rPr>
                <w:t>Personal insolvency reforms</w:t>
              </w:r>
            </w:hyperlink>
          </w:p>
          <w:p w14:paraId="4EFBF788" w14:textId="77777777" w:rsidR="00F56A72" w:rsidRDefault="00F56A72" w:rsidP="00F56A72">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F534FF">
              <w:t xml:space="preserve">Reforms to improve the personal insolvency system will ensure a fairer outcome for debtors in the personal insolvency system and reduce the stigma currently associated with </w:t>
            </w:r>
            <w:proofErr w:type="gramStart"/>
            <w:r w:rsidRPr="00F534FF">
              <w:t>entering into</w:t>
            </w:r>
            <w:proofErr w:type="gramEnd"/>
            <w:r w:rsidRPr="00F534FF">
              <w:t xml:space="preserve"> bankruptcy.</w:t>
            </w:r>
            <w:r>
              <w:t xml:space="preserve"> </w:t>
            </w:r>
          </w:p>
          <w:p w14:paraId="335409E1" w14:textId="77777777" w:rsidR="00F56A72"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r>
              <w:t>Following the result of the federal election, and Machinery of Government changes, portfolio responsibility for personal insolvency has moved to Treasury.</w:t>
            </w:r>
          </w:p>
          <w:p w14:paraId="3A0BBEAD" w14:textId="77777777" w:rsidR="00F56A72" w:rsidRPr="00F31CD4"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r>
              <w:t>T</w:t>
            </w:r>
            <w:r w:rsidRPr="009A3724">
              <w:t xml:space="preserve">iming of </w:t>
            </w:r>
            <w:r>
              <w:t>any further work will be announced in due course.</w:t>
            </w:r>
          </w:p>
        </w:tc>
        <w:tc>
          <w:tcPr>
            <w:tcW w:w="1247" w:type="dxa"/>
            <w:tcBorders>
              <w:top w:val="single" w:sz="4" w:space="0" w:color="BCE4CF"/>
              <w:bottom w:val="single" w:sz="4" w:space="0" w:color="BCE4CF"/>
            </w:tcBorders>
            <w:shd w:val="clear" w:color="auto" w:fill="ECF7F1"/>
          </w:tcPr>
          <w:p w14:paraId="6F9EC6B1" w14:textId="77777777" w:rsidR="00F56A72" w:rsidRPr="0049307A"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393957F5" w14:textId="77777777" w:rsidR="00F56A72" w:rsidRPr="0049307A"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67F01BF5" w14:textId="77777777" w:rsidR="00F56A72" w:rsidRPr="0049307A"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016D6A90" w14:textId="77777777" w:rsidR="00F56A72" w:rsidRPr="0049307A"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5D9DC0A5" w14:textId="77777777" w:rsidR="00F56A72" w:rsidRPr="0049307A"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108" w:type="dxa"/>
            <w:tcBorders>
              <w:top w:val="single" w:sz="4" w:space="0" w:color="BCE4CF"/>
              <w:bottom w:val="single" w:sz="4" w:space="0" w:color="BCE4CF"/>
            </w:tcBorders>
            <w:shd w:val="clear" w:color="auto" w:fill="F5FBF8"/>
          </w:tcPr>
          <w:p w14:paraId="07F46BD6" w14:textId="77777777" w:rsidR="00F56A72" w:rsidRPr="0049307A"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386" w:type="dxa"/>
            <w:tcBorders>
              <w:top w:val="single" w:sz="4" w:space="0" w:color="BCE4CF"/>
              <w:bottom w:val="single" w:sz="4" w:space="0" w:color="BCE4CF"/>
            </w:tcBorders>
            <w:shd w:val="clear" w:color="auto" w:fill="F5FBF8"/>
          </w:tcPr>
          <w:p w14:paraId="46D9B347" w14:textId="77777777" w:rsidR="00F56A72" w:rsidRPr="0049307A"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r>
      <w:tr w:rsidR="00F56A72" w:rsidRPr="00AF43B7" w14:paraId="07AC1C1F" w14:textId="77777777" w:rsidTr="00290C68">
        <w:trPr>
          <w:cantSplit/>
          <w:trHeight w:val="410"/>
        </w:trPr>
        <w:tc>
          <w:tcPr>
            <w:cnfStyle w:val="001000000000" w:firstRow="0" w:lastRow="0" w:firstColumn="1" w:lastColumn="0" w:oddVBand="0" w:evenVBand="0" w:oddHBand="0" w:evenHBand="0" w:firstRowFirstColumn="0" w:firstRowLastColumn="0" w:lastRowFirstColumn="0" w:lastRowLastColumn="0"/>
            <w:tcW w:w="794" w:type="dxa"/>
            <w:tcBorders>
              <w:top w:val="single" w:sz="4" w:space="0" w:color="BCE4CF"/>
              <w:bottom w:val="single" w:sz="4" w:space="0" w:color="BCE4CF"/>
            </w:tcBorders>
          </w:tcPr>
          <w:p w14:paraId="7B12DF72" w14:textId="68D4470E" w:rsidR="00F56A72" w:rsidRPr="00D9461A" w:rsidRDefault="00F56A72" w:rsidP="00F56A72">
            <w:pPr>
              <w:pStyle w:val="TableLeadAgency"/>
              <w:spacing w:before="0" w:after="0"/>
              <w:rPr>
                <w:b/>
                <w:color w:val="auto"/>
              </w:rPr>
            </w:pPr>
            <w:r w:rsidRPr="00D9461A">
              <w:rPr>
                <w:b/>
                <w:color w:val="auto"/>
              </w:rPr>
              <w:t xml:space="preserve"> TSY</w:t>
            </w:r>
          </w:p>
          <w:p w14:paraId="51CC2973" w14:textId="77777777" w:rsidR="00F56A72" w:rsidRPr="00F56A72" w:rsidRDefault="00F56A72" w:rsidP="00F56A72">
            <w:pPr>
              <w:pStyle w:val="TableSecondaryAgency"/>
              <w:rPr>
                <w:b w:val="0"/>
                <w:bCs/>
                <w:lang w:val="en-AU"/>
              </w:rPr>
            </w:pPr>
            <w:r w:rsidRPr="00B01252">
              <w:rPr>
                <w:b w:val="0"/>
                <w:bCs/>
                <w:color w:val="auto"/>
              </w:rPr>
              <w:t>AFSA</w:t>
            </w:r>
          </w:p>
        </w:tc>
        <w:tc>
          <w:tcPr>
            <w:tcW w:w="1304" w:type="dxa"/>
            <w:tcBorders>
              <w:top w:val="single" w:sz="4" w:space="0" w:color="BCE4CF"/>
              <w:bottom w:val="single" w:sz="4" w:space="0" w:color="BCE4CF"/>
            </w:tcBorders>
          </w:tcPr>
          <w:p w14:paraId="205F0196" w14:textId="77777777" w:rsidR="00F56A72" w:rsidRPr="00301F93" w:rsidRDefault="00F56A72" w:rsidP="00F56A72">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F534FF">
              <w:t xml:space="preserve">Banking, credit </w:t>
            </w:r>
            <w:r w:rsidRPr="00301F93">
              <w:t>and lending</w:t>
            </w:r>
          </w:p>
          <w:p w14:paraId="77CCA50A" w14:textId="77777777" w:rsidR="00F56A72" w:rsidRPr="00301F93" w:rsidRDefault="00F56A72" w:rsidP="00F56A72">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301F93">
              <w:t>Financial advice</w:t>
            </w:r>
          </w:p>
          <w:p w14:paraId="00E470C4" w14:textId="77777777" w:rsidR="00F56A72" w:rsidRPr="00F534FF" w:rsidRDefault="00F56A72" w:rsidP="00F56A72">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301F93">
              <w:t>Financial mar</w:t>
            </w:r>
            <w:r w:rsidRPr="00F534FF">
              <w:t>kets</w:t>
            </w:r>
          </w:p>
          <w:p w14:paraId="56C6B3B1" w14:textId="77777777" w:rsidR="00F56A72" w:rsidRPr="00B555A9"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r w:rsidRPr="00F534FF">
              <w:t>Insurance and reinsurance</w:t>
            </w:r>
          </w:p>
        </w:tc>
        <w:tc>
          <w:tcPr>
            <w:tcW w:w="3175" w:type="dxa"/>
            <w:tcBorders>
              <w:top w:val="single" w:sz="4" w:space="0" w:color="BCE4CF"/>
              <w:bottom w:val="single" w:sz="4" w:space="0" w:color="BCE4CF"/>
            </w:tcBorders>
          </w:tcPr>
          <w:p w14:paraId="1FE878C0" w14:textId="77777777" w:rsidR="00F56A72" w:rsidRPr="00283753" w:rsidRDefault="00F56A72" w:rsidP="00283753">
            <w:pPr>
              <w:pStyle w:val="TableLink"/>
              <w:cnfStyle w:val="000000000000" w:firstRow="0" w:lastRow="0" w:firstColumn="0" w:lastColumn="0" w:oddVBand="0" w:evenVBand="0" w:oddHBand="0" w:evenHBand="0" w:firstRowFirstColumn="0" w:firstRowLastColumn="0" w:lastRowFirstColumn="0" w:lastRowLastColumn="0"/>
            </w:pPr>
            <w:hyperlink r:id="rId85" w:history="1">
              <w:r w:rsidRPr="00283753">
                <w:rPr>
                  <w:rStyle w:val="Hyperlink"/>
                  <w:color w:val="5D779D" w:themeColor="accent3"/>
                  <w:u w:val="single"/>
                </w:rPr>
                <w:t>Personal Property Securities Amendment (Framework Reform) Bill</w:t>
              </w:r>
            </w:hyperlink>
          </w:p>
          <w:p w14:paraId="346D2ED3" w14:textId="77777777" w:rsidR="00F56A72" w:rsidRPr="002C4DB9" w:rsidRDefault="00F56A72" w:rsidP="00F56A72">
            <w:pPr>
              <w:pStyle w:val="TableTextLeft"/>
              <w:cnfStyle w:val="000000000000" w:firstRow="0" w:lastRow="0" w:firstColumn="0" w:lastColumn="0" w:oddVBand="0" w:evenVBand="0" w:oddHBand="0" w:evenHBand="0" w:firstRowFirstColumn="0" w:firstRowLastColumn="0" w:lastRowFirstColumn="0" w:lastRowLastColumn="0"/>
              <w:rPr>
                <w:rFonts w:cs="Calibri Light"/>
                <w:szCs w:val="16"/>
              </w:rPr>
            </w:pPr>
            <w:r w:rsidRPr="00F534FF">
              <w:t xml:space="preserve">Amendments to the </w:t>
            </w:r>
            <w:r w:rsidRPr="00F534FF">
              <w:rPr>
                <w:i/>
              </w:rPr>
              <w:t>Personal Property Securities Act 2009</w:t>
            </w:r>
            <w:r w:rsidRPr="00F534FF">
              <w:t xml:space="preserve"> in response to the 2015 Statutory Review of this Act (the Whittaker Review) are designed to reduce complexity for users of the Personal Property Securities framework</w:t>
            </w:r>
            <w:r w:rsidRPr="0080794F">
              <w:t xml:space="preserve">. </w:t>
            </w:r>
            <w:r>
              <w:t>T</w:t>
            </w:r>
            <w:r w:rsidRPr="009A3724">
              <w:t xml:space="preserve">iming of </w:t>
            </w:r>
            <w:r>
              <w:t>any further work will be announced in due course.</w:t>
            </w:r>
          </w:p>
        </w:tc>
        <w:tc>
          <w:tcPr>
            <w:tcW w:w="1247" w:type="dxa"/>
            <w:tcBorders>
              <w:top w:val="single" w:sz="4" w:space="0" w:color="BCE4CF"/>
              <w:bottom w:val="single" w:sz="4" w:space="0" w:color="BCE4CF"/>
            </w:tcBorders>
            <w:shd w:val="clear" w:color="auto" w:fill="ECF7F1"/>
          </w:tcPr>
          <w:p w14:paraId="5BAA1CA8" w14:textId="77777777" w:rsidR="00F56A72" w:rsidRPr="0052695A"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281A483A" w14:textId="77777777" w:rsidR="00F56A72" w:rsidRPr="0052695A"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1351A1D4" w14:textId="77777777" w:rsidR="00F56A72" w:rsidRPr="0052695A"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3DBA03CE" w14:textId="77777777" w:rsidR="00F56A72" w:rsidRPr="0052695A"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2430BBBF" w14:textId="77777777" w:rsidR="00F56A72" w:rsidRPr="0052695A"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108" w:type="dxa"/>
            <w:tcBorders>
              <w:top w:val="single" w:sz="4" w:space="0" w:color="BCE4CF"/>
              <w:bottom w:val="single" w:sz="4" w:space="0" w:color="BCE4CF"/>
            </w:tcBorders>
            <w:shd w:val="clear" w:color="auto" w:fill="F5FBF8"/>
          </w:tcPr>
          <w:p w14:paraId="7C9F53EB" w14:textId="77777777" w:rsidR="00F56A72" w:rsidRPr="0052695A"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386" w:type="dxa"/>
            <w:tcBorders>
              <w:top w:val="single" w:sz="4" w:space="0" w:color="BCE4CF"/>
              <w:bottom w:val="single" w:sz="4" w:space="0" w:color="BCE4CF"/>
            </w:tcBorders>
            <w:shd w:val="clear" w:color="auto" w:fill="F5FBF8"/>
          </w:tcPr>
          <w:p w14:paraId="07634DCB" w14:textId="77777777" w:rsidR="00F56A72" w:rsidRPr="0052695A"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r>
      <w:tr w:rsidR="00F56A72" w:rsidRPr="00AF43B7" w14:paraId="196F5A1C" w14:textId="77777777" w:rsidTr="00290C68">
        <w:trPr>
          <w:cantSplit/>
          <w:trHeight w:val="410"/>
        </w:trPr>
        <w:tc>
          <w:tcPr>
            <w:cnfStyle w:val="001000000000" w:firstRow="0" w:lastRow="0" w:firstColumn="1" w:lastColumn="0" w:oddVBand="0" w:evenVBand="0" w:oddHBand="0" w:evenHBand="0" w:firstRowFirstColumn="0" w:firstRowLastColumn="0" w:lastRowFirstColumn="0" w:lastRowLastColumn="0"/>
            <w:tcW w:w="794" w:type="dxa"/>
            <w:tcBorders>
              <w:top w:val="single" w:sz="4" w:space="0" w:color="BCE4CF"/>
              <w:bottom w:val="single" w:sz="4" w:space="0" w:color="BCE4CF"/>
            </w:tcBorders>
          </w:tcPr>
          <w:p w14:paraId="099FB769" w14:textId="77777777" w:rsidR="00F56A72" w:rsidRPr="00AD71F3" w:rsidRDefault="00F56A72" w:rsidP="00F56A72">
            <w:pPr>
              <w:pStyle w:val="TableLeadAgency"/>
              <w:rPr>
                <w:b/>
                <w:bCs/>
              </w:rPr>
            </w:pPr>
            <w:r>
              <w:rPr>
                <w:b/>
                <w:bCs/>
              </w:rPr>
              <w:t>Home Affairs</w:t>
            </w:r>
          </w:p>
          <w:p w14:paraId="7FAA28F0" w14:textId="5431CE99" w:rsidR="00F56A72" w:rsidRPr="00AD71F3" w:rsidRDefault="00F56A72" w:rsidP="00F56A72">
            <w:pPr>
              <w:pStyle w:val="TableSecondaryAgency"/>
              <w:rPr>
                <w:rFonts w:cs="Calibri Light"/>
                <w:b w:val="0"/>
                <w:bCs/>
                <w:lang w:val="en-AU"/>
              </w:rPr>
            </w:pPr>
            <w:r w:rsidRPr="00AD71F3">
              <w:rPr>
                <w:b w:val="0"/>
              </w:rPr>
              <w:t>AUSTRAC</w:t>
            </w:r>
            <w:r w:rsidDel="006A755A">
              <w:rPr>
                <w:b w:val="0"/>
              </w:rPr>
              <w:t xml:space="preserve"> </w:t>
            </w:r>
          </w:p>
        </w:tc>
        <w:tc>
          <w:tcPr>
            <w:tcW w:w="1304" w:type="dxa"/>
            <w:tcBorders>
              <w:top w:val="single" w:sz="4" w:space="0" w:color="BCE4CF"/>
              <w:bottom w:val="single" w:sz="4" w:space="0" w:color="BCE4CF"/>
            </w:tcBorders>
          </w:tcPr>
          <w:p w14:paraId="3DF18755" w14:textId="77777777" w:rsidR="00F56A72" w:rsidRPr="00B555A9"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r w:rsidRPr="009A41CA">
              <w:t>All</w:t>
            </w:r>
          </w:p>
        </w:tc>
        <w:tc>
          <w:tcPr>
            <w:tcW w:w="3175" w:type="dxa"/>
            <w:tcBorders>
              <w:top w:val="single" w:sz="4" w:space="0" w:color="BCE4CF"/>
              <w:bottom w:val="single" w:sz="4" w:space="0" w:color="BCE4CF"/>
            </w:tcBorders>
          </w:tcPr>
          <w:p w14:paraId="75E1A35D" w14:textId="7610DAD9" w:rsidR="00F56A72" w:rsidRPr="00283753" w:rsidRDefault="00F56A72" w:rsidP="00283753">
            <w:pPr>
              <w:pStyle w:val="TableLink"/>
              <w:cnfStyle w:val="000000000000" w:firstRow="0" w:lastRow="0" w:firstColumn="0" w:lastColumn="0" w:oddVBand="0" w:evenVBand="0" w:oddHBand="0" w:evenHBand="0" w:firstRowFirstColumn="0" w:firstRowLastColumn="0" w:lastRowFirstColumn="0" w:lastRowLastColumn="0"/>
              <w:rPr>
                <w:rStyle w:val="Hyperlink"/>
                <w:color w:val="5D779D" w:themeColor="accent3"/>
                <w:u w:val="single"/>
              </w:rPr>
            </w:pPr>
            <w:hyperlink r:id="rId86" w:history="1">
              <w:r w:rsidRPr="00283753">
                <w:rPr>
                  <w:rStyle w:val="Hyperlink"/>
                  <w:color w:val="5D779D" w:themeColor="accent3"/>
                  <w:u w:val="single"/>
                </w:rPr>
                <w:t>Reforms to the Anti</w:t>
              </w:r>
              <w:r w:rsidR="003D486F" w:rsidRPr="00283753">
                <w:rPr>
                  <w:rStyle w:val="Hyperlink"/>
                  <w:color w:val="5D779D" w:themeColor="accent3"/>
                  <w:u w:val="single"/>
                </w:rPr>
                <w:noBreakHyphen/>
              </w:r>
              <w:r w:rsidRPr="00283753">
                <w:rPr>
                  <w:rStyle w:val="Hyperlink"/>
                  <w:color w:val="5D779D" w:themeColor="accent3"/>
                  <w:u w:val="single"/>
                </w:rPr>
                <w:t>Money Laundering and Counter</w:t>
              </w:r>
              <w:r w:rsidR="003D486F" w:rsidRPr="00283753">
                <w:rPr>
                  <w:rStyle w:val="Hyperlink"/>
                  <w:color w:val="5D779D" w:themeColor="accent3"/>
                  <w:u w:val="single"/>
                </w:rPr>
                <w:noBreakHyphen/>
              </w:r>
              <w:r w:rsidRPr="00283753">
                <w:rPr>
                  <w:rStyle w:val="Hyperlink"/>
                  <w:color w:val="5D779D" w:themeColor="accent3"/>
                  <w:u w:val="single"/>
                </w:rPr>
                <w:t>Terrorism Financing Act 2006</w:t>
              </w:r>
            </w:hyperlink>
          </w:p>
          <w:p w14:paraId="6C451EAB" w14:textId="77777777" w:rsidR="00F56A72" w:rsidRPr="00311002"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r>
              <w:rPr>
                <w:color w:val="auto"/>
              </w:rPr>
              <w:t>The changes to AUSTRAC powers and the new tipping off offence have commenced.</w:t>
            </w:r>
            <w:r w:rsidRPr="000C7F66">
              <w:rPr>
                <w:color w:val="auto"/>
              </w:rPr>
              <w:t xml:space="preserve"> New requirements for AML/CTF programs, customer due diligence, travel rule and value transfer provisions commence 31 March 2026.</w:t>
            </w:r>
          </w:p>
        </w:tc>
        <w:tc>
          <w:tcPr>
            <w:tcW w:w="1247" w:type="dxa"/>
            <w:tcBorders>
              <w:top w:val="single" w:sz="4" w:space="0" w:color="BCE4CF"/>
              <w:bottom w:val="single" w:sz="4" w:space="0" w:color="BCE4CF"/>
            </w:tcBorders>
            <w:shd w:val="clear" w:color="auto" w:fill="ECF7F1"/>
          </w:tcPr>
          <w:p w14:paraId="32B677F0" w14:textId="77777777" w:rsidR="00F56A72" w:rsidRPr="0052695A"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1D2408BB" w14:textId="77777777" w:rsidR="00F56A72" w:rsidRPr="0052695A"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r w:rsidRPr="0052695A">
              <w:t>AML/CTF programs, customer due diligence, travel rule and value transfer provisions, and amended exemptions commence 31 March 2026</w:t>
            </w:r>
          </w:p>
        </w:tc>
        <w:tc>
          <w:tcPr>
            <w:tcW w:w="1247" w:type="dxa"/>
            <w:tcBorders>
              <w:top w:val="single" w:sz="4" w:space="0" w:color="BCE4CF"/>
              <w:bottom w:val="single" w:sz="4" w:space="0" w:color="BCE4CF"/>
            </w:tcBorders>
            <w:shd w:val="clear" w:color="auto" w:fill="ECF7F1"/>
          </w:tcPr>
          <w:p w14:paraId="0A6FBFE9" w14:textId="77777777" w:rsidR="00F56A72" w:rsidRPr="0052695A"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7C21F62D" w14:textId="77777777" w:rsidR="00F56A72" w:rsidRPr="0052695A"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r w:rsidRPr="0052695A">
              <w:t>New obligations for tranche two entities commence 1 July</w:t>
            </w:r>
            <w:r>
              <w:t> </w:t>
            </w:r>
            <w:r w:rsidRPr="0052695A">
              <w:t>2026.</w:t>
            </w:r>
          </w:p>
          <w:p w14:paraId="3DEE26D1" w14:textId="77777777" w:rsidR="00F56A72" w:rsidRPr="0052695A"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r w:rsidRPr="0052695A">
              <w:t>Changes to bearer negotiable instruments commence 1 July 2026</w:t>
            </w:r>
            <w:r>
              <w:t>^</w:t>
            </w:r>
          </w:p>
        </w:tc>
        <w:tc>
          <w:tcPr>
            <w:tcW w:w="1247" w:type="dxa"/>
            <w:tcBorders>
              <w:top w:val="single" w:sz="4" w:space="0" w:color="BCE4CF"/>
              <w:bottom w:val="single" w:sz="4" w:space="0" w:color="BCE4CF"/>
            </w:tcBorders>
            <w:shd w:val="clear" w:color="auto" w:fill="ECF7F1"/>
          </w:tcPr>
          <w:p w14:paraId="7453ED2D" w14:textId="77777777" w:rsidR="00F56A72" w:rsidRPr="0052695A"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108" w:type="dxa"/>
            <w:tcBorders>
              <w:top w:val="single" w:sz="4" w:space="0" w:color="BCE4CF"/>
              <w:bottom w:val="single" w:sz="4" w:space="0" w:color="BCE4CF"/>
            </w:tcBorders>
            <w:shd w:val="clear" w:color="auto" w:fill="F5FBF8"/>
          </w:tcPr>
          <w:p w14:paraId="52BEBB9A" w14:textId="77777777" w:rsidR="00F56A72" w:rsidRPr="0052695A"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386" w:type="dxa"/>
            <w:tcBorders>
              <w:top w:val="single" w:sz="4" w:space="0" w:color="BCE4CF"/>
              <w:bottom w:val="single" w:sz="4" w:space="0" w:color="BCE4CF"/>
            </w:tcBorders>
            <w:shd w:val="clear" w:color="auto" w:fill="F5FBF8"/>
          </w:tcPr>
          <w:p w14:paraId="7A2FDE48" w14:textId="77777777" w:rsidR="00F56A72" w:rsidRPr="0052695A"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r>
      <w:tr w:rsidR="00F56A72" w:rsidRPr="00AF43B7" w14:paraId="25AC903D" w14:textId="77777777" w:rsidTr="00290C68">
        <w:trPr>
          <w:cantSplit/>
          <w:trHeight w:val="410"/>
        </w:trPr>
        <w:tc>
          <w:tcPr>
            <w:cnfStyle w:val="001000000000" w:firstRow="0" w:lastRow="0" w:firstColumn="1" w:lastColumn="0" w:oddVBand="0" w:evenVBand="0" w:oddHBand="0" w:evenHBand="0" w:firstRowFirstColumn="0" w:firstRowLastColumn="0" w:lastRowFirstColumn="0" w:lastRowLastColumn="0"/>
            <w:tcW w:w="794" w:type="dxa"/>
            <w:tcBorders>
              <w:top w:val="single" w:sz="4" w:space="0" w:color="BCE4CF"/>
              <w:bottom w:val="single" w:sz="4" w:space="0" w:color="BCE4CF"/>
            </w:tcBorders>
          </w:tcPr>
          <w:p w14:paraId="5FE091A7" w14:textId="77777777" w:rsidR="00F56A72" w:rsidRPr="00AD71F3" w:rsidRDefault="00F56A72" w:rsidP="00F56A72">
            <w:pPr>
              <w:pStyle w:val="TableLeadAgency"/>
              <w:spacing w:before="0" w:after="0"/>
            </w:pPr>
            <w:r w:rsidRPr="00AD71F3">
              <w:rPr>
                <w:b/>
              </w:rPr>
              <w:lastRenderedPageBreak/>
              <w:t>TSY</w:t>
            </w:r>
          </w:p>
          <w:p w14:paraId="45409753" w14:textId="77777777" w:rsidR="00F56A72" w:rsidRPr="00AD71F3" w:rsidRDefault="00F56A72" w:rsidP="00F56A72">
            <w:pPr>
              <w:pStyle w:val="TableSecondaryAgency"/>
              <w:spacing w:before="0" w:after="0"/>
            </w:pPr>
            <w:r w:rsidRPr="00AD71F3">
              <w:rPr>
                <w:b w:val="0"/>
              </w:rPr>
              <w:t>RBA</w:t>
            </w:r>
          </w:p>
          <w:p w14:paraId="59FA14F5" w14:textId="77777777" w:rsidR="00F56A72" w:rsidRPr="00AD71F3" w:rsidRDefault="00F56A72" w:rsidP="00F56A72">
            <w:pPr>
              <w:pStyle w:val="TableSecondaryAgency"/>
              <w:spacing w:before="0" w:after="0"/>
            </w:pPr>
            <w:r w:rsidRPr="00AD71F3">
              <w:rPr>
                <w:b w:val="0"/>
              </w:rPr>
              <w:t>ASIC</w:t>
            </w:r>
          </w:p>
          <w:p w14:paraId="6A02D19E" w14:textId="77777777" w:rsidR="00F56A72" w:rsidRPr="00AD71F3" w:rsidRDefault="00F56A72" w:rsidP="00F56A72">
            <w:pPr>
              <w:pStyle w:val="TableSecondaryAgency"/>
              <w:spacing w:before="0" w:after="0"/>
            </w:pPr>
            <w:r w:rsidRPr="00AD71F3">
              <w:rPr>
                <w:b w:val="0"/>
              </w:rPr>
              <w:t>APRA</w:t>
            </w:r>
          </w:p>
          <w:p w14:paraId="093099B5" w14:textId="77777777" w:rsidR="00F56A72" w:rsidRPr="00AD71F3" w:rsidRDefault="00F56A72" w:rsidP="00F56A72">
            <w:pPr>
              <w:pStyle w:val="TableSecondaryAgency"/>
              <w:spacing w:before="0" w:after="0"/>
            </w:pPr>
            <w:r w:rsidRPr="00AD71F3">
              <w:rPr>
                <w:b w:val="0"/>
              </w:rPr>
              <w:t>ACCC</w:t>
            </w:r>
          </w:p>
          <w:p w14:paraId="2885592C" w14:textId="77777777" w:rsidR="00F56A72" w:rsidRPr="0051217F" w:rsidRDefault="00F56A72" w:rsidP="00F56A72">
            <w:pPr>
              <w:pStyle w:val="TableLeadAgency"/>
              <w:rPr>
                <w:rFonts w:cs="Calibri Light"/>
                <w:b/>
                <w:bCs/>
              </w:rPr>
            </w:pPr>
            <w:r w:rsidRPr="00AD71F3">
              <w:t>AUSTRAC</w:t>
            </w:r>
          </w:p>
        </w:tc>
        <w:tc>
          <w:tcPr>
            <w:tcW w:w="1304" w:type="dxa"/>
            <w:tcBorders>
              <w:top w:val="single" w:sz="4" w:space="0" w:color="BCE4CF"/>
              <w:bottom w:val="single" w:sz="4" w:space="0" w:color="BCE4CF"/>
            </w:tcBorders>
          </w:tcPr>
          <w:p w14:paraId="1EBAAB1A" w14:textId="77777777" w:rsidR="00F56A72" w:rsidRPr="0052695A"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r w:rsidRPr="00B70D9E">
              <w:t>Payment services and digital assets</w:t>
            </w:r>
          </w:p>
        </w:tc>
        <w:tc>
          <w:tcPr>
            <w:tcW w:w="3175" w:type="dxa"/>
            <w:tcBorders>
              <w:top w:val="single" w:sz="4" w:space="0" w:color="BCE4CF"/>
              <w:bottom w:val="single" w:sz="4" w:space="0" w:color="BCE4CF"/>
            </w:tcBorders>
          </w:tcPr>
          <w:p w14:paraId="7A42CE2C" w14:textId="77777777" w:rsidR="00F56A72" w:rsidRPr="00283753" w:rsidRDefault="00F56A72" w:rsidP="00283753">
            <w:pPr>
              <w:pStyle w:val="TableLink"/>
              <w:cnfStyle w:val="000000000000" w:firstRow="0" w:lastRow="0" w:firstColumn="0" w:lastColumn="0" w:oddVBand="0" w:evenVBand="0" w:oddHBand="0" w:evenHBand="0" w:firstRowFirstColumn="0" w:firstRowLastColumn="0" w:lastRowFirstColumn="0" w:lastRowLastColumn="0"/>
            </w:pPr>
            <w:hyperlink r:id="rId87" w:history="1">
              <w:r w:rsidRPr="00283753">
                <w:rPr>
                  <w:rStyle w:val="Hyperlink"/>
                  <w:color w:val="5D779D" w:themeColor="accent3"/>
                  <w:u w:val="single"/>
                </w:rPr>
                <w:t>Reforms to the Payment Systems (Regulation) Act 1998</w:t>
              </w:r>
            </w:hyperlink>
          </w:p>
          <w:p w14:paraId="6FEC63FE" w14:textId="77777777" w:rsidR="00F56A72" w:rsidRDefault="00F56A72" w:rsidP="00F56A72">
            <w:pPr>
              <w:pStyle w:val="TableTextLeft"/>
              <w:spacing w:before="0" w:after="0"/>
              <w:cnfStyle w:val="000000000000" w:firstRow="0" w:lastRow="0" w:firstColumn="0" w:lastColumn="0" w:oddVBand="0" w:evenVBand="0" w:oddHBand="0" w:evenHBand="0" w:firstRowFirstColumn="0" w:firstRowLastColumn="0" w:lastRowFirstColumn="0" w:lastRowLastColumn="0"/>
            </w:pPr>
            <w:r>
              <w:t>The</w:t>
            </w:r>
            <w:r w:rsidRPr="18613D26">
              <w:t xml:space="preserve"> </w:t>
            </w:r>
            <w:r>
              <w:t>G</w:t>
            </w:r>
            <w:r w:rsidRPr="145C27B4">
              <w:t xml:space="preserve">overnment </w:t>
            </w:r>
            <w:r>
              <w:t>has updated</w:t>
            </w:r>
            <w:r w:rsidRPr="145C27B4">
              <w:t xml:space="preserve"> </w:t>
            </w:r>
            <w:r w:rsidRPr="19CC8C14">
              <w:t xml:space="preserve">the </w:t>
            </w:r>
            <w:r w:rsidRPr="19CC8C14">
              <w:rPr>
                <w:i/>
                <w:iCs/>
              </w:rPr>
              <w:t>Payment</w:t>
            </w:r>
            <w:r w:rsidRPr="18613D26">
              <w:rPr>
                <w:i/>
              </w:rPr>
              <w:t xml:space="preserve"> Systems (Regulation) Act</w:t>
            </w:r>
            <w:r>
              <w:rPr>
                <w:i/>
              </w:rPr>
              <w:t> </w:t>
            </w:r>
            <w:r w:rsidRPr="18613D26">
              <w:rPr>
                <w:i/>
              </w:rPr>
              <w:t>1998</w:t>
            </w:r>
            <w:r w:rsidRPr="18613D26">
              <w:t xml:space="preserve"> (PSRA) to </w:t>
            </w:r>
            <w:proofErr w:type="spellStart"/>
            <w:r>
              <w:t>modernise</w:t>
            </w:r>
            <w:proofErr w:type="spellEnd"/>
            <w:r>
              <w:t xml:space="preserve"> the regulatory framework</w:t>
            </w:r>
            <w:r w:rsidRPr="18613D26">
              <w:t>.</w:t>
            </w:r>
            <w:r>
              <w:t xml:space="preserve"> </w:t>
            </w:r>
          </w:p>
          <w:p w14:paraId="5AC50AC5" w14:textId="77777777" w:rsidR="00F56A72" w:rsidRDefault="00F56A72" w:rsidP="00F56A72">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DA5966">
              <w:t xml:space="preserve">The Treasury Laws Amendment (Payments System </w:t>
            </w:r>
            <w:proofErr w:type="spellStart"/>
            <w:r w:rsidRPr="00DA5966">
              <w:t>Modernisation</w:t>
            </w:r>
            <w:proofErr w:type="spellEnd"/>
            <w:r w:rsidRPr="00DA5966">
              <w:t xml:space="preserve">) Bill </w:t>
            </w:r>
            <w:r>
              <w:t>2025 passed Parliament on 4</w:t>
            </w:r>
            <w:r w:rsidRPr="00E811DC">
              <w:t xml:space="preserve"> Sep</w:t>
            </w:r>
            <w:r>
              <w:t>tember</w:t>
            </w:r>
            <w:r w:rsidRPr="00E811DC">
              <w:t xml:space="preserve"> 2025</w:t>
            </w:r>
            <w:r>
              <w:t xml:space="preserve">. The amendments will take effect 3 </w:t>
            </w:r>
            <w:r w:rsidRPr="00E46A77">
              <w:t xml:space="preserve">months after </w:t>
            </w:r>
            <w:r>
              <w:t xml:space="preserve">Royal Assent. </w:t>
            </w:r>
          </w:p>
          <w:p w14:paraId="20231325" w14:textId="31BFBD57" w:rsidR="00F56A72" w:rsidRDefault="00F56A72" w:rsidP="00F56A72">
            <w:pPr>
              <w:pStyle w:val="TableTextLeft"/>
              <w:spacing w:before="0" w:after="0"/>
              <w:cnfStyle w:val="000000000000" w:firstRow="0" w:lastRow="0" w:firstColumn="0" w:lastColumn="0" w:oddVBand="0" w:evenVBand="0" w:oddHBand="0" w:evenHBand="0" w:firstRowFirstColumn="0" w:firstRowLastColumn="0" w:lastRowFirstColumn="0" w:lastRowLastColumn="0"/>
            </w:pPr>
            <w:r>
              <w:t>Treasury will release supporting regulations for public consultation.</w:t>
            </w:r>
          </w:p>
          <w:p w14:paraId="543B1F60" w14:textId="400F086A" w:rsidR="00F56A72" w:rsidRPr="00A15D1F"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r>
              <w:t>A</w:t>
            </w:r>
            <w:r w:rsidRPr="00EE3356">
              <w:t xml:space="preserve">ny changes in regulatory requirements </w:t>
            </w:r>
            <w:r>
              <w:t xml:space="preserve">set by the RBA under the PSRA will </w:t>
            </w:r>
            <w:r w:rsidRPr="00EE3356">
              <w:t>be informed by the RBA</w:t>
            </w:r>
            <w:r w:rsidR="003D486F">
              <w:t>’</w:t>
            </w:r>
            <w:r w:rsidRPr="00EE3356">
              <w:t>s series of reviews on retail payments</w:t>
            </w:r>
            <w:r>
              <w:t xml:space="preserve"> regulation</w:t>
            </w:r>
            <w:r w:rsidRPr="00EE3356">
              <w:t xml:space="preserve">. </w:t>
            </w:r>
          </w:p>
        </w:tc>
        <w:tc>
          <w:tcPr>
            <w:tcW w:w="1247" w:type="dxa"/>
            <w:tcBorders>
              <w:top w:val="single" w:sz="4" w:space="0" w:color="BCE4CF"/>
              <w:bottom w:val="single" w:sz="4" w:space="0" w:color="BCE4CF"/>
            </w:tcBorders>
            <w:shd w:val="clear" w:color="auto" w:fill="ECF7F1"/>
          </w:tcPr>
          <w:p w14:paraId="7B2F90B8" w14:textId="50FDF0C2" w:rsidR="00F56A72" w:rsidRPr="00B555A9"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6ACFE3CB" w14:textId="3E9D2477" w:rsidR="00F56A72" w:rsidRPr="00B555A9" w:rsidRDefault="00F87962" w:rsidP="00F56A72">
            <w:pPr>
              <w:pStyle w:val="TableTextLeft"/>
              <w:cnfStyle w:val="000000000000" w:firstRow="0" w:lastRow="0" w:firstColumn="0" w:lastColumn="0" w:oddVBand="0" w:evenVBand="0" w:oddHBand="0" w:evenHBand="0" w:firstRowFirstColumn="0" w:firstRowLastColumn="0" w:lastRowFirstColumn="0" w:lastRowLastColumn="0"/>
            </w:pPr>
            <w:r>
              <w:t>Amendments take effect</w:t>
            </w:r>
          </w:p>
        </w:tc>
        <w:tc>
          <w:tcPr>
            <w:tcW w:w="1247" w:type="dxa"/>
            <w:tcBorders>
              <w:top w:val="single" w:sz="4" w:space="0" w:color="BCE4CF"/>
              <w:bottom w:val="single" w:sz="4" w:space="0" w:color="BCE4CF"/>
            </w:tcBorders>
            <w:shd w:val="clear" w:color="auto" w:fill="ECF7F1"/>
          </w:tcPr>
          <w:p w14:paraId="4462D3D0" w14:textId="77777777" w:rsidR="00F56A72" w:rsidRPr="00B555A9"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1E64B026" w14:textId="77777777" w:rsidR="00F56A72" w:rsidRPr="00B555A9"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17C676A0" w14:textId="77777777" w:rsidR="00F56A72" w:rsidRPr="00B555A9"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108" w:type="dxa"/>
            <w:tcBorders>
              <w:top w:val="single" w:sz="4" w:space="0" w:color="BCE4CF"/>
              <w:bottom w:val="single" w:sz="4" w:space="0" w:color="BCE4CF"/>
            </w:tcBorders>
            <w:shd w:val="clear" w:color="auto" w:fill="F5FBF8"/>
          </w:tcPr>
          <w:p w14:paraId="33C1A347" w14:textId="77777777" w:rsidR="00F56A72" w:rsidRPr="00B555A9"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386" w:type="dxa"/>
            <w:tcBorders>
              <w:top w:val="single" w:sz="4" w:space="0" w:color="BCE4CF"/>
              <w:bottom w:val="single" w:sz="4" w:space="0" w:color="BCE4CF"/>
            </w:tcBorders>
            <w:shd w:val="clear" w:color="auto" w:fill="F5FBF8"/>
          </w:tcPr>
          <w:p w14:paraId="26A1BBC1" w14:textId="77777777" w:rsidR="00F56A72" w:rsidRPr="00B555A9"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r>
      <w:tr w:rsidR="00F56A72" w:rsidRPr="00AF43B7" w14:paraId="4C8517E9" w14:textId="77777777" w:rsidTr="00290C68">
        <w:trPr>
          <w:cantSplit/>
          <w:trHeight w:val="410"/>
        </w:trPr>
        <w:tc>
          <w:tcPr>
            <w:cnfStyle w:val="001000000000" w:firstRow="0" w:lastRow="0" w:firstColumn="1" w:lastColumn="0" w:oddVBand="0" w:evenVBand="0" w:oddHBand="0" w:evenHBand="0" w:firstRowFirstColumn="0" w:firstRowLastColumn="0" w:lastRowFirstColumn="0" w:lastRowLastColumn="0"/>
            <w:tcW w:w="794" w:type="dxa"/>
            <w:tcBorders>
              <w:top w:val="single" w:sz="4" w:space="0" w:color="BCE4CF"/>
              <w:bottom w:val="single" w:sz="4" w:space="0" w:color="BCE4CF"/>
            </w:tcBorders>
          </w:tcPr>
          <w:p w14:paraId="6B1CA44F" w14:textId="77777777" w:rsidR="00F56A72" w:rsidRPr="00B01252" w:rsidRDefault="00F56A72" w:rsidP="00F56A72">
            <w:pPr>
              <w:pStyle w:val="TableLeadAgency"/>
              <w:spacing w:before="0" w:after="0"/>
              <w:rPr>
                <w:b/>
                <w:bCs/>
              </w:rPr>
            </w:pPr>
            <w:r w:rsidRPr="00B01252">
              <w:rPr>
                <w:b/>
                <w:bCs/>
              </w:rPr>
              <w:t>TSY</w:t>
            </w:r>
          </w:p>
          <w:p w14:paraId="1F4C1608" w14:textId="42651BBE" w:rsidR="00F56A72" w:rsidRPr="00F56A72" w:rsidRDefault="00F56A72" w:rsidP="00F56A72">
            <w:pPr>
              <w:pStyle w:val="TableSecondaryAgency"/>
              <w:rPr>
                <w:b w:val="0"/>
                <w:bCs/>
              </w:rPr>
            </w:pPr>
            <w:r w:rsidRPr="00B01252" w:rsidDel="00F56A72">
              <w:rPr>
                <w:b w:val="0"/>
              </w:rPr>
              <w:t>APRA</w:t>
            </w:r>
          </w:p>
        </w:tc>
        <w:tc>
          <w:tcPr>
            <w:tcW w:w="1304" w:type="dxa"/>
            <w:tcBorders>
              <w:top w:val="single" w:sz="4" w:space="0" w:color="BCE4CF"/>
              <w:bottom w:val="single" w:sz="4" w:space="0" w:color="BCE4CF"/>
            </w:tcBorders>
          </w:tcPr>
          <w:p w14:paraId="44F5E103" w14:textId="77777777" w:rsidR="00F56A72" w:rsidRPr="0052695A"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r>
              <w:t>Superannuation and retirement income</w:t>
            </w:r>
          </w:p>
        </w:tc>
        <w:tc>
          <w:tcPr>
            <w:tcW w:w="3175" w:type="dxa"/>
            <w:tcBorders>
              <w:top w:val="single" w:sz="4" w:space="0" w:color="BCE4CF"/>
              <w:bottom w:val="single" w:sz="4" w:space="0" w:color="BCE4CF"/>
            </w:tcBorders>
          </w:tcPr>
          <w:p w14:paraId="27C5FB18" w14:textId="51ABCF37" w:rsidR="00F56A72" w:rsidRPr="00283753" w:rsidRDefault="00F56A72" w:rsidP="00283753">
            <w:pPr>
              <w:pStyle w:val="TableLink"/>
              <w:cnfStyle w:val="000000000000" w:firstRow="0" w:lastRow="0" w:firstColumn="0" w:lastColumn="0" w:oddVBand="0" w:evenVBand="0" w:oddHBand="0" w:evenHBand="0" w:firstRowFirstColumn="0" w:firstRowLastColumn="0" w:lastRowFirstColumn="0" w:lastRowLastColumn="0"/>
              <w:rPr>
                <w:b w:val="0"/>
                <w:color w:val="4D7861" w:themeColor="accent2"/>
                <w:szCs w:val="16"/>
              </w:rPr>
            </w:pPr>
            <w:hyperlink r:id="rId88" w:history="1">
              <w:r w:rsidRPr="00283753">
                <w:rPr>
                  <w:rStyle w:val="Hyperlink"/>
                  <w:color w:val="5D779D" w:themeColor="accent3"/>
                  <w:u w:val="single"/>
                </w:rPr>
                <w:t>Retirement Reporting Framework</w:t>
              </w:r>
            </w:hyperlink>
            <w:r w:rsidR="00283753" w:rsidRPr="00283753">
              <w:rPr>
                <w:szCs w:val="16"/>
                <w:u w:val="none"/>
              </w:rPr>
              <w:t xml:space="preserve"> </w:t>
            </w:r>
            <w:r w:rsidR="00283753" w:rsidRPr="00283753">
              <w:rPr>
                <w:rStyle w:val="NewInitiativeChar"/>
                <w:b/>
                <w:bCs/>
                <w:sz w:val="16"/>
                <w:szCs w:val="16"/>
                <w:u w:val="none"/>
              </w:rPr>
              <w:t>(new)</w:t>
            </w:r>
          </w:p>
          <w:p w14:paraId="713E9ABD" w14:textId="296F38E4" w:rsidR="00F56A72" w:rsidRPr="0092700C" w:rsidRDefault="00F56A72" w:rsidP="00F56A72">
            <w:pPr>
              <w:pStyle w:val="TableTextLeft"/>
              <w:cnfStyle w:val="000000000000" w:firstRow="0" w:lastRow="0" w:firstColumn="0" w:lastColumn="0" w:oddVBand="0" w:evenVBand="0" w:oddHBand="0" w:evenHBand="0" w:firstRowFirstColumn="0" w:firstRowLastColumn="0" w:lastRowFirstColumn="0" w:lastRowLastColumn="0"/>
              <w:rPr>
                <w:color w:val="auto"/>
              </w:rPr>
            </w:pPr>
            <w:r w:rsidRPr="00795BFB">
              <w:rPr>
                <w:bCs/>
                <w:color w:val="auto"/>
              </w:rPr>
              <w:t xml:space="preserve">The </w:t>
            </w:r>
            <w:r>
              <w:rPr>
                <w:bCs/>
                <w:color w:val="auto"/>
              </w:rPr>
              <w:t>g</w:t>
            </w:r>
            <w:r w:rsidRPr="00795BFB">
              <w:rPr>
                <w:bCs/>
                <w:color w:val="auto"/>
              </w:rPr>
              <w:t xml:space="preserve">overnment will develop a new reporting framework on retirement outcomes. </w:t>
            </w:r>
            <w:r>
              <w:rPr>
                <w:bCs/>
                <w:color w:val="auto"/>
              </w:rPr>
              <w:t>The consultation paper was released on 7</w:t>
            </w:r>
            <w:r w:rsidR="00A956DD">
              <w:rPr>
                <w:bCs/>
                <w:color w:val="auto"/>
              </w:rPr>
              <w:t> </w:t>
            </w:r>
            <w:r>
              <w:rPr>
                <w:bCs/>
                <w:color w:val="auto"/>
              </w:rPr>
              <w:t>August</w:t>
            </w:r>
            <w:r w:rsidR="00A956DD">
              <w:rPr>
                <w:bCs/>
                <w:color w:val="auto"/>
              </w:rPr>
              <w:t> </w:t>
            </w:r>
            <w:r>
              <w:rPr>
                <w:bCs/>
                <w:color w:val="auto"/>
              </w:rPr>
              <w:t xml:space="preserve">2025. Following </w:t>
            </w:r>
            <w:r w:rsidR="00E6324E">
              <w:rPr>
                <w:bCs/>
                <w:color w:val="auto"/>
              </w:rPr>
              <w:t>consultation,</w:t>
            </w:r>
            <w:r>
              <w:rPr>
                <w:bCs/>
                <w:color w:val="auto"/>
              </w:rPr>
              <w:t xml:space="preserve"> the government will </w:t>
            </w:r>
            <w:proofErr w:type="spellStart"/>
            <w:r>
              <w:rPr>
                <w:bCs/>
                <w:color w:val="auto"/>
              </w:rPr>
              <w:t>finalise</w:t>
            </w:r>
            <w:proofErr w:type="spellEnd"/>
            <w:r>
              <w:rPr>
                <w:bCs/>
                <w:color w:val="auto"/>
              </w:rPr>
              <w:t xml:space="preserve"> the framework. APRA will then consult on implementation of the framework.</w:t>
            </w:r>
            <w:r w:rsidRPr="00795BFB">
              <w:rPr>
                <w:bCs/>
                <w:color w:val="auto"/>
              </w:rPr>
              <w:t xml:space="preserve"> APRA will collect and publish data on an annual basis. </w:t>
            </w:r>
          </w:p>
        </w:tc>
        <w:tc>
          <w:tcPr>
            <w:tcW w:w="1247" w:type="dxa"/>
            <w:tcBorders>
              <w:top w:val="single" w:sz="4" w:space="0" w:color="BCE4CF"/>
              <w:bottom w:val="single" w:sz="4" w:space="0" w:color="BCE4CF"/>
            </w:tcBorders>
            <w:shd w:val="clear" w:color="auto" w:fill="ECF7F1"/>
          </w:tcPr>
          <w:p w14:paraId="09C32865" w14:textId="77777777" w:rsidR="00F56A72" w:rsidRPr="00B555A9"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r w:rsidRPr="003B7F4D">
              <w:t>Public consultation closes</w:t>
            </w:r>
          </w:p>
        </w:tc>
        <w:tc>
          <w:tcPr>
            <w:tcW w:w="1247" w:type="dxa"/>
            <w:tcBorders>
              <w:top w:val="single" w:sz="4" w:space="0" w:color="BCE4CF"/>
              <w:bottom w:val="single" w:sz="4" w:space="0" w:color="BCE4CF"/>
            </w:tcBorders>
            <w:shd w:val="clear" w:color="auto" w:fill="ECF7F1"/>
          </w:tcPr>
          <w:p w14:paraId="1EF1552E" w14:textId="77777777" w:rsidR="00F56A72" w:rsidRPr="00B555A9"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2B5D78D0" w14:textId="77777777" w:rsidR="00F56A72" w:rsidRPr="00B555A9"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3BF098C2" w14:textId="77777777" w:rsidR="00F56A72" w:rsidRPr="00B555A9"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1821121C" w14:textId="77777777" w:rsidR="00F56A72" w:rsidRPr="00B555A9"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108" w:type="dxa"/>
            <w:tcBorders>
              <w:top w:val="single" w:sz="4" w:space="0" w:color="BCE4CF"/>
              <w:bottom w:val="single" w:sz="4" w:space="0" w:color="BCE4CF"/>
            </w:tcBorders>
            <w:shd w:val="clear" w:color="auto" w:fill="F5FBF8"/>
          </w:tcPr>
          <w:p w14:paraId="47C08886" w14:textId="77777777" w:rsidR="00F56A72" w:rsidRPr="00B555A9"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386" w:type="dxa"/>
            <w:tcBorders>
              <w:top w:val="single" w:sz="4" w:space="0" w:color="BCE4CF"/>
              <w:bottom w:val="single" w:sz="4" w:space="0" w:color="BCE4CF"/>
            </w:tcBorders>
            <w:shd w:val="clear" w:color="auto" w:fill="F5FBF8"/>
          </w:tcPr>
          <w:p w14:paraId="40425A0A" w14:textId="77777777" w:rsidR="00F56A72" w:rsidRPr="00B555A9"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r>
              <w:t xml:space="preserve">APRA will begin collecting data </w:t>
            </w:r>
          </w:p>
        </w:tc>
      </w:tr>
      <w:tr w:rsidR="00F56A72" w:rsidRPr="00AF43B7" w14:paraId="504D62FB" w14:textId="77777777" w:rsidTr="00290C68">
        <w:trPr>
          <w:cantSplit/>
          <w:trHeight w:val="410"/>
        </w:trPr>
        <w:tc>
          <w:tcPr>
            <w:cnfStyle w:val="001000000000" w:firstRow="0" w:lastRow="0" w:firstColumn="1" w:lastColumn="0" w:oddVBand="0" w:evenVBand="0" w:oddHBand="0" w:evenHBand="0" w:firstRowFirstColumn="0" w:firstRowLastColumn="0" w:lastRowFirstColumn="0" w:lastRowLastColumn="0"/>
            <w:tcW w:w="794" w:type="dxa"/>
            <w:tcBorders>
              <w:top w:val="single" w:sz="4" w:space="0" w:color="BCE4CF"/>
              <w:bottom w:val="single" w:sz="4" w:space="0" w:color="BCE4CF"/>
            </w:tcBorders>
          </w:tcPr>
          <w:p w14:paraId="750C554B" w14:textId="77777777" w:rsidR="00F56A72" w:rsidRPr="0062774F" w:rsidRDefault="00F56A72" w:rsidP="00F56A72">
            <w:pPr>
              <w:pStyle w:val="TableLeadAgency"/>
              <w:spacing w:before="0" w:after="0"/>
            </w:pPr>
            <w:r w:rsidRPr="0062774F">
              <w:rPr>
                <w:b/>
              </w:rPr>
              <w:lastRenderedPageBreak/>
              <w:t xml:space="preserve">TSY </w:t>
            </w:r>
          </w:p>
          <w:p w14:paraId="75311694" w14:textId="77777777" w:rsidR="00F56A72" w:rsidRPr="0062774F" w:rsidRDefault="00F56A72" w:rsidP="00F56A72">
            <w:pPr>
              <w:pStyle w:val="TableSecondaryAgency"/>
              <w:spacing w:before="0" w:after="0"/>
            </w:pPr>
            <w:r w:rsidRPr="0062774F">
              <w:rPr>
                <w:b w:val="0"/>
              </w:rPr>
              <w:t xml:space="preserve">ACCC </w:t>
            </w:r>
          </w:p>
          <w:p w14:paraId="09F3FEA0" w14:textId="7E756174" w:rsidR="00F56A72" w:rsidRPr="006A755A" w:rsidRDefault="00F56A72" w:rsidP="00F56A72">
            <w:pPr>
              <w:pStyle w:val="TableSecondaryAgency"/>
              <w:rPr>
                <w:b w:val="0"/>
                <w:bCs/>
                <w:lang w:val="en-AU"/>
              </w:rPr>
            </w:pPr>
            <w:r w:rsidRPr="00B01252">
              <w:rPr>
                <w:b w:val="0"/>
              </w:rPr>
              <w:t>ASIC</w:t>
            </w:r>
            <w:r w:rsidRPr="0062774F" w:rsidDel="006A755A">
              <w:rPr>
                <w:b w:val="0"/>
              </w:rPr>
              <w:t xml:space="preserve"> </w:t>
            </w:r>
          </w:p>
        </w:tc>
        <w:tc>
          <w:tcPr>
            <w:tcW w:w="1304" w:type="dxa"/>
            <w:tcBorders>
              <w:top w:val="single" w:sz="4" w:space="0" w:color="BCE4CF"/>
              <w:bottom w:val="single" w:sz="4" w:space="0" w:color="BCE4CF"/>
            </w:tcBorders>
          </w:tcPr>
          <w:p w14:paraId="6081D27E" w14:textId="73BCBB9F" w:rsidR="00F56A72" w:rsidRPr="0062774F"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r w:rsidRPr="0062774F">
              <w:t>Banking, credit and lending</w:t>
            </w:r>
          </w:p>
          <w:p w14:paraId="790E9690" w14:textId="1CAB8A3F" w:rsidR="00F56A72" w:rsidRPr="00B555A9"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3175" w:type="dxa"/>
            <w:tcBorders>
              <w:top w:val="single" w:sz="4" w:space="0" w:color="BCE4CF"/>
              <w:bottom w:val="single" w:sz="4" w:space="0" w:color="BCE4CF"/>
            </w:tcBorders>
          </w:tcPr>
          <w:p w14:paraId="3FB3161D" w14:textId="0343EB78" w:rsidR="00F56A72" w:rsidRPr="00283753" w:rsidRDefault="00F56A72" w:rsidP="00283753">
            <w:pPr>
              <w:pStyle w:val="TableLink"/>
              <w:cnfStyle w:val="000000000000" w:firstRow="0" w:lastRow="0" w:firstColumn="0" w:lastColumn="0" w:oddVBand="0" w:evenVBand="0" w:oddHBand="0" w:evenHBand="0" w:firstRowFirstColumn="0" w:firstRowLastColumn="0" w:lastRowFirstColumn="0" w:lastRowLastColumn="0"/>
            </w:pPr>
            <w:hyperlink r:id="rId89" w:history="1">
              <w:r w:rsidRPr="00283753">
                <w:rPr>
                  <w:rStyle w:val="Hyperlink"/>
                  <w:color w:val="5D779D" w:themeColor="accent3"/>
                  <w:u w:val="single"/>
                </w:rPr>
                <w:t>Scams Prevention Framework (SPF) – SPF rules, and sector</w:t>
              </w:r>
              <w:r w:rsidR="003D486F" w:rsidRPr="00283753">
                <w:rPr>
                  <w:rStyle w:val="Hyperlink"/>
                  <w:color w:val="5D779D" w:themeColor="accent3"/>
                  <w:u w:val="single"/>
                </w:rPr>
                <w:noBreakHyphen/>
              </w:r>
              <w:r w:rsidRPr="00283753">
                <w:rPr>
                  <w:rStyle w:val="Hyperlink"/>
                  <w:color w:val="5D779D" w:themeColor="accent3"/>
                  <w:u w:val="single"/>
                </w:rPr>
                <w:t>specific designation and code for bank</w:t>
              </w:r>
            </w:hyperlink>
            <w:r w:rsidRPr="00283753">
              <w:t>s</w:t>
            </w:r>
          </w:p>
          <w:p w14:paraId="54641D7E" w14:textId="72691398" w:rsidR="00F56A72" w:rsidRPr="0062774F" w:rsidRDefault="00F56A72" w:rsidP="00F56A72">
            <w:pPr>
              <w:pStyle w:val="TableTextLeft"/>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62774F">
              <w:t xml:space="preserve">On 13 February 2025, the Scams Prevention Framework Act passed Parliament. The banking sector is intended to be designated sector under the SPF, along with the telecommunication and digital platform sectors. SPF rules and a </w:t>
            </w:r>
            <w:proofErr w:type="gramStart"/>
            <w:r w:rsidRPr="0062774F">
              <w:t xml:space="preserve">mandatory </w:t>
            </w:r>
            <w:r w:rsidRPr="0062774F">
              <w:rPr>
                <w:color w:val="000000" w:themeColor="text1"/>
              </w:rPr>
              <w:t>industry codes</w:t>
            </w:r>
            <w:proofErr w:type="gramEnd"/>
            <w:r w:rsidRPr="0062774F">
              <w:rPr>
                <w:color w:val="000000" w:themeColor="text1"/>
              </w:rPr>
              <w:t xml:space="preserve"> will be developed for designated sectors to prevent, detect, report, disrupt and respond to scams as well as specific governance obligations. ASIC will be the responsible regulator for enforcing the banking code, working with the ACCC as the regulator for the SPF. </w:t>
            </w:r>
          </w:p>
          <w:p w14:paraId="1FCC4524" w14:textId="75D98211" w:rsidR="00F56A72" w:rsidRPr="00F31CD4"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r w:rsidRPr="0062774F">
              <w:t xml:space="preserve">The government </w:t>
            </w:r>
            <w:r w:rsidR="00A90B5E">
              <w:t>intends</w:t>
            </w:r>
            <w:r>
              <w:t xml:space="preserve"> to</w:t>
            </w:r>
            <w:r w:rsidRPr="0062774F">
              <w:t xml:space="preserve"> </w:t>
            </w:r>
            <w:r w:rsidR="00127337" w:rsidRPr="0062774F">
              <w:t>consult</w:t>
            </w:r>
            <w:r w:rsidRPr="0062774F">
              <w:t xml:space="preserve"> </w:t>
            </w:r>
            <w:r w:rsidRPr="0062774F">
              <w:rPr>
                <w:bCs/>
              </w:rPr>
              <w:t>on</w:t>
            </w:r>
            <w:r w:rsidRPr="0062774F">
              <w:t xml:space="preserve"> </w:t>
            </w:r>
            <w:r w:rsidR="00E6324E">
              <w:t xml:space="preserve">draft </w:t>
            </w:r>
            <w:r w:rsidR="00E6324E" w:rsidRPr="0062774F">
              <w:t>designation</w:t>
            </w:r>
            <w:r w:rsidRPr="0062774F">
              <w:t xml:space="preserve"> and external dispute resolution scheme </w:t>
            </w:r>
            <w:proofErr w:type="spellStart"/>
            <w:r w:rsidRPr="0062774F">
              <w:t>authorisation</w:t>
            </w:r>
            <w:proofErr w:type="spellEnd"/>
            <w:r w:rsidRPr="0062774F">
              <w:t xml:space="preserve"> instruments</w:t>
            </w:r>
            <w:r w:rsidR="00C77E28">
              <w:t>.</w:t>
            </w:r>
            <w:r>
              <w:t xml:space="preserve"> The government will also release a discussion paper to inform the development of </w:t>
            </w:r>
            <w:r w:rsidRPr="0062774F">
              <w:t>sector</w:t>
            </w:r>
            <w:r w:rsidR="003D486F">
              <w:noBreakHyphen/>
            </w:r>
            <w:r w:rsidRPr="0062774F">
              <w:t>specific codes and supporting SPF rules.</w:t>
            </w:r>
            <w:r w:rsidR="00C77E28">
              <w:t xml:space="preserve"> Timing of any further work is contingent on the outcomes of this consultation</w:t>
            </w:r>
          </w:p>
        </w:tc>
        <w:tc>
          <w:tcPr>
            <w:tcW w:w="1247" w:type="dxa"/>
            <w:tcBorders>
              <w:top w:val="single" w:sz="4" w:space="0" w:color="BCE4CF"/>
              <w:bottom w:val="single" w:sz="4" w:space="0" w:color="BCE4CF"/>
            </w:tcBorders>
            <w:shd w:val="clear" w:color="auto" w:fill="ECF7F1"/>
          </w:tcPr>
          <w:p w14:paraId="61EE3A60" w14:textId="77777777" w:rsidR="00F56A72" w:rsidRPr="0049307A" w:rsidRDefault="00F56A72" w:rsidP="00F56A72">
            <w:pPr>
              <w:pStyle w:val="TableTextLeft"/>
              <w:cnfStyle w:val="000000000000" w:firstRow="0" w:lastRow="0" w:firstColumn="0" w:lastColumn="0" w:oddVBand="0" w:evenVBand="0" w:oddHBand="0" w:evenHBand="0" w:firstRowFirstColumn="0" w:firstRowLastColumn="0" w:lastRowFirstColumn="0" w:lastRowLastColumn="0"/>
              <w:rPr>
                <w:highlight w:val="yellow"/>
              </w:rPr>
            </w:pPr>
          </w:p>
          <w:p w14:paraId="0B426C17" w14:textId="77777777" w:rsidR="00F56A72" w:rsidRPr="00AF43B7" w:rsidRDefault="00F56A72" w:rsidP="00F56A72">
            <w:pPr>
              <w:pStyle w:val="TableTextLeft7pt"/>
              <w:cnfStyle w:val="000000000000" w:firstRow="0" w:lastRow="0" w:firstColumn="0" w:lastColumn="0" w:oddVBand="0" w:evenVBand="0" w:oddHBand="0" w:evenHBand="0" w:firstRowFirstColumn="0" w:firstRowLastColumn="0" w:lastRowFirstColumn="0" w:lastRowLastColumn="0"/>
              <w:rPr>
                <w:lang w:val="en-AU"/>
              </w:rPr>
            </w:pPr>
          </w:p>
        </w:tc>
        <w:tc>
          <w:tcPr>
            <w:tcW w:w="1247" w:type="dxa"/>
            <w:tcBorders>
              <w:top w:val="single" w:sz="4" w:space="0" w:color="BCE4CF"/>
              <w:bottom w:val="single" w:sz="4" w:space="0" w:color="BCE4CF"/>
            </w:tcBorders>
            <w:shd w:val="clear" w:color="auto" w:fill="ECF7F1"/>
          </w:tcPr>
          <w:p w14:paraId="0E396176" w14:textId="77777777" w:rsidR="00F56A72" w:rsidRPr="00AF43B7" w:rsidRDefault="00F56A72" w:rsidP="00F56A72">
            <w:pPr>
              <w:pStyle w:val="TableTextLeft7pt"/>
              <w:cnfStyle w:val="000000000000" w:firstRow="0" w:lastRow="0" w:firstColumn="0" w:lastColumn="0" w:oddVBand="0" w:evenVBand="0" w:oddHBand="0" w:evenHBand="0" w:firstRowFirstColumn="0" w:firstRowLastColumn="0" w:lastRowFirstColumn="0" w:lastRowLastColumn="0"/>
              <w:rPr>
                <w:lang w:val="en-AU"/>
              </w:rPr>
            </w:pPr>
          </w:p>
        </w:tc>
        <w:tc>
          <w:tcPr>
            <w:tcW w:w="1247" w:type="dxa"/>
            <w:tcBorders>
              <w:top w:val="single" w:sz="4" w:space="0" w:color="BCE4CF"/>
              <w:bottom w:val="single" w:sz="4" w:space="0" w:color="BCE4CF"/>
            </w:tcBorders>
            <w:shd w:val="clear" w:color="auto" w:fill="ECF7F1"/>
          </w:tcPr>
          <w:p w14:paraId="7FCBFBBE" w14:textId="369FE466" w:rsidR="00F56A72" w:rsidRPr="00AF43B7" w:rsidRDefault="00F56A72" w:rsidP="00F56A72">
            <w:pPr>
              <w:pStyle w:val="TableTextLeft"/>
              <w:cnfStyle w:val="000000000000" w:firstRow="0" w:lastRow="0" w:firstColumn="0" w:lastColumn="0" w:oddVBand="0" w:evenVBand="0" w:oddHBand="0" w:evenHBand="0" w:firstRowFirstColumn="0" w:firstRowLastColumn="0" w:lastRowFirstColumn="0" w:lastRowLastColumn="0"/>
              <w:rPr>
                <w:lang w:val="en-AU"/>
              </w:rPr>
            </w:pPr>
          </w:p>
        </w:tc>
        <w:tc>
          <w:tcPr>
            <w:tcW w:w="1247" w:type="dxa"/>
            <w:tcBorders>
              <w:top w:val="single" w:sz="4" w:space="0" w:color="BCE4CF"/>
              <w:bottom w:val="single" w:sz="4" w:space="0" w:color="BCE4CF"/>
            </w:tcBorders>
            <w:shd w:val="clear" w:color="auto" w:fill="ECF7F1"/>
          </w:tcPr>
          <w:p w14:paraId="4F85ABBF" w14:textId="77777777" w:rsidR="00F56A72" w:rsidRPr="00AF43B7"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561AA4D0" w14:textId="77777777" w:rsidR="00F56A72" w:rsidRPr="00AF43B7" w:rsidRDefault="00F56A72" w:rsidP="00F56A72">
            <w:pPr>
              <w:pStyle w:val="TableTextLeft"/>
              <w:cnfStyle w:val="000000000000" w:firstRow="0" w:lastRow="0" w:firstColumn="0" w:lastColumn="0" w:oddVBand="0" w:evenVBand="0" w:oddHBand="0" w:evenHBand="0" w:firstRowFirstColumn="0" w:firstRowLastColumn="0" w:lastRowFirstColumn="0" w:lastRowLastColumn="0"/>
              <w:rPr>
                <w:lang w:val="en-AU"/>
              </w:rPr>
            </w:pPr>
          </w:p>
        </w:tc>
        <w:tc>
          <w:tcPr>
            <w:tcW w:w="1108" w:type="dxa"/>
            <w:tcBorders>
              <w:top w:val="single" w:sz="4" w:space="0" w:color="BCE4CF"/>
              <w:bottom w:val="single" w:sz="4" w:space="0" w:color="BCE4CF"/>
            </w:tcBorders>
            <w:shd w:val="clear" w:color="auto" w:fill="F5FBF8"/>
          </w:tcPr>
          <w:p w14:paraId="5731A504" w14:textId="179F1C2F" w:rsidR="00F56A72" w:rsidRPr="00AF43B7" w:rsidRDefault="00F56A72" w:rsidP="00F56A72">
            <w:pPr>
              <w:pStyle w:val="TableTextLeft"/>
              <w:cnfStyle w:val="000000000000" w:firstRow="0" w:lastRow="0" w:firstColumn="0" w:lastColumn="0" w:oddVBand="0" w:evenVBand="0" w:oddHBand="0" w:evenHBand="0" w:firstRowFirstColumn="0" w:firstRowLastColumn="0" w:lastRowFirstColumn="0" w:lastRowLastColumn="0"/>
              <w:rPr>
                <w:lang w:val="en-AU"/>
              </w:rPr>
            </w:pPr>
          </w:p>
        </w:tc>
        <w:tc>
          <w:tcPr>
            <w:tcW w:w="1386" w:type="dxa"/>
            <w:tcBorders>
              <w:top w:val="single" w:sz="4" w:space="0" w:color="BCE4CF"/>
              <w:bottom w:val="single" w:sz="4" w:space="0" w:color="BCE4CF"/>
            </w:tcBorders>
            <w:shd w:val="clear" w:color="auto" w:fill="F5FBF8"/>
          </w:tcPr>
          <w:p w14:paraId="258226CD" w14:textId="77777777" w:rsidR="00F56A72" w:rsidRPr="001F37AD" w:rsidRDefault="00F56A72" w:rsidP="00F56A72">
            <w:pPr>
              <w:pStyle w:val="TableTextLeft"/>
              <w:cnfStyle w:val="000000000000" w:firstRow="0" w:lastRow="0" w:firstColumn="0" w:lastColumn="0" w:oddVBand="0" w:evenVBand="0" w:oddHBand="0" w:evenHBand="0" w:firstRowFirstColumn="0" w:firstRowLastColumn="0" w:lastRowFirstColumn="0" w:lastRowLastColumn="0"/>
              <w:rPr>
                <w:highlight w:val="yellow"/>
              </w:rPr>
            </w:pPr>
          </w:p>
          <w:p w14:paraId="0D17420B" w14:textId="77777777" w:rsidR="00F56A72" w:rsidRPr="00AF43B7" w:rsidRDefault="00F56A72" w:rsidP="00F56A72">
            <w:pPr>
              <w:pStyle w:val="TableTextLeft"/>
              <w:cnfStyle w:val="000000000000" w:firstRow="0" w:lastRow="0" w:firstColumn="0" w:lastColumn="0" w:oddVBand="0" w:evenVBand="0" w:oddHBand="0" w:evenHBand="0" w:firstRowFirstColumn="0" w:firstRowLastColumn="0" w:lastRowFirstColumn="0" w:lastRowLastColumn="0"/>
              <w:rPr>
                <w:lang w:val="en-AU"/>
              </w:rPr>
            </w:pPr>
          </w:p>
        </w:tc>
      </w:tr>
      <w:tr w:rsidR="00F56A72" w:rsidRPr="00AF43B7" w14:paraId="5FB5FFE2" w14:textId="77777777" w:rsidTr="00290C68">
        <w:trPr>
          <w:cantSplit/>
          <w:trHeight w:val="410"/>
        </w:trPr>
        <w:tc>
          <w:tcPr>
            <w:cnfStyle w:val="001000000000" w:firstRow="0" w:lastRow="0" w:firstColumn="1" w:lastColumn="0" w:oddVBand="0" w:evenVBand="0" w:oddHBand="0" w:evenHBand="0" w:firstRowFirstColumn="0" w:firstRowLastColumn="0" w:lastRowFirstColumn="0" w:lastRowLastColumn="0"/>
            <w:tcW w:w="794" w:type="dxa"/>
            <w:tcBorders>
              <w:top w:val="single" w:sz="4" w:space="0" w:color="BCE4CF"/>
              <w:bottom w:val="single" w:sz="4" w:space="0" w:color="B1F0CF" w:themeColor="accent4"/>
            </w:tcBorders>
          </w:tcPr>
          <w:p w14:paraId="43DB1FDC" w14:textId="77777777" w:rsidR="00F56A72" w:rsidRPr="00300D4C" w:rsidRDefault="00F56A72" w:rsidP="00F56A72">
            <w:pPr>
              <w:pStyle w:val="TableLeadAgency"/>
              <w:spacing w:before="0" w:after="0"/>
              <w:rPr>
                <w:b/>
              </w:rPr>
            </w:pPr>
            <w:r w:rsidRPr="00300D4C">
              <w:rPr>
                <w:b/>
              </w:rPr>
              <w:t>TSY</w:t>
            </w:r>
          </w:p>
          <w:p w14:paraId="48620B3F" w14:textId="77777777" w:rsidR="00F56A72" w:rsidRPr="009417BD" w:rsidRDefault="00F56A72" w:rsidP="00F56A72">
            <w:pPr>
              <w:pStyle w:val="TableLeadAgency"/>
              <w:spacing w:before="0" w:after="0"/>
              <w:rPr>
                <w:b/>
              </w:rPr>
            </w:pPr>
            <w:r w:rsidRPr="00300D4C">
              <w:rPr>
                <w:i/>
                <w:iCs/>
              </w:rPr>
              <w:t>APRA</w:t>
            </w:r>
          </w:p>
        </w:tc>
        <w:tc>
          <w:tcPr>
            <w:tcW w:w="1304" w:type="dxa"/>
            <w:tcBorders>
              <w:top w:val="single" w:sz="4" w:space="0" w:color="BCE4CF"/>
              <w:bottom w:val="single" w:sz="4" w:space="0" w:color="B1F0CF" w:themeColor="accent4"/>
            </w:tcBorders>
          </w:tcPr>
          <w:p w14:paraId="74563EEF" w14:textId="77777777" w:rsidR="00F56A72" w:rsidRPr="0052695A"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r>
              <w:t>Superannuation and retirement income</w:t>
            </w:r>
          </w:p>
        </w:tc>
        <w:tc>
          <w:tcPr>
            <w:tcW w:w="3175" w:type="dxa"/>
            <w:tcBorders>
              <w:top w:val="single" w:sz="4" w:space="0" w:color="BCE4CF"/>
              <w:bottom w:val="single" w:sz="4" w:space="0" w:color="B1F0CF" w:themeColor="accent4"/>
            </w:tcBorders>
          </w:tcPr>
          <w:p w14:paraId="2BB948DE" w14:textId="7DED8AAC" w:rsidR="00F56A72" w:rsidRPr="00283753" w:rsidRDefault="00F56A72" w:rsidP="00283753">
            <w:pPr>
              <w:pStyle w:val="TableLink"/>
              <w:cnfStyle w:val="000000000000" w:firstRow="0" w:lastRow="0" w:firstColumn="0" w:lastColumn="0" w:oddVBand="0" w:evenVBand="0" w:oddHBand="0" w:evenHBand="0" w:firstRowFirstColumn="0" w:firstRowLastColumn="0" w:lastRowFirstColumn="0" w:lastRowLastColumn="0"/>
              <w:rPr>
                <w:b w:val="0"/>
                <w:color w:val="4D7861" w:themeColor="accent2"/>
                <w:szCs w:val="16"/>
              </w:rPr>
            </w:pPr>
            <w:hyperlink r:id="rId90" w:history="1">
              <w:r w:rsidRPr="00283753">
                <w:rPr>
                  <w:rStyle w:val="Hyperlink"/>
                  <w:color w:val="5D779D" w:themeColor="accent3"/>
                  <w:u w:val="single"/>
                </w:rPr>
                <w:t>Superannuation Performance Test</w:t>
              </w:r>
            </w:hyperlink>
            <w:r w:rsidR="00283753" w:rsidRPr="00283753">
              <w:rPr>
                <w:szCs w:val="16"/>
                <w:u w:val="none"/>
              </w:rPr>
              <w:t xml:space="preserve"> </w:t>
            </w:r>
            <w:r w:rsidR="00283753" w:rsidRPr="00283753">
              <w:rPr>
                <w:rStyle w:val="NewInitiativeChar"/>
                <w:b/>
                <w:bCs/>
                <w:sz w:val="16"/>
                <w:szCs w:val="16"/>
                <w:u w:val="none"/>
              </w:rPr>
              <w:t>(new)</w:t>
            </w:r>
          </w:p>
          <w:p w14:paraId="7E2D31CE" w14:textId="45F15995" w:rsidR="00F56A72" w:rsidRPr="009417BD" w:rsidRDefault="00F56A72" w:rsidP="00F56A72">
            <w:pPr>
              <w:pStyle w:val="TableTextLeft"/>
              <w:cnfStyle w:val="000000000000" w:firstRow="0" w:lastRow="0" w:firstColumn="0" w:lastColumn="0" w:oddVBand="0" w:evenVBand="0" w:oddHBand="0" w:evenHBand="0" w:firstRowFirstColumn="0" w:firstRowLastColumn="0" w:lastRowFirstColumn="0" w:lastRowLastColumn="0"/>
              <w:rPr>
                <w:b/>
                <w:bCs/>
                <w:u w:val="single"/>
              </w:rPr>
            </w:pPr>
            <w:r w:rsidRPr="004124AB">
              <w:rPr>
                <w:bCs/>
                <w:color w:val="auto"/>
              </w:rPr>
              <w:t xml:space="preserve">The </w:t>
            </w:r>
            <w:r>
              <w:rPr>
                <w:bCs/>
                <w:color w:val="auto"/>
              </w:rPr>
              <w:t>g</w:t>
            </w:r>
            <w:r w:rsidRPr="004124AB">
              <w:rPr>
                <w:bCs/>
                <w:color w:val="auto"/>
              </w:rPr>
              <w:t xml:space="preserve">overnment will consult on reforms to the performance test to ensure it remains fit for purpose for the long term, while ensuring consumers remain protected from underperformance. </w:t>
            </w:r>
            <w:r>
              <w:t>T</w:t>
            </w:r>
            <w:r w:rsidRPr="009A3724">
              <w:t xml:space="preserve">iming of </w:t>
            </w:r>
            <w:r>
              <w:t>any further work will be announced in due course.</w:t>
            </w:r>
          </w:p>
        </w:tc>
        <w:tc>
          <w:tcPr>
            <w:tcW w:w="1247" w:type="dxa"/>
            <w:tcBorders>
              <w:top w:val="single" w:sz="4" w:space="0" w:color="BCE4CF"/>
              <w:bottom w:val="single" w:sz="4" w:space="0" w:color="B1F0CF" w:themeColor="accent4"/>
            </w:tcBorders>
            <w:shd w:val="clear" w:color="auto" w:fill="F4FAF7"/>
          </w:tcPr>
          <w:p w14:paraId="26DC9EC7" w14:textId="523A8B30" w:rsidR="00F56A72" w:rsidRPr="00B555A9" w:rsidDel="00CA3485"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1F0CF" w:themeColor="accent4"/>
            </w:tcBorders>
            <w:shd w:val="clear" w:color="auto" w:fill="F4FAF7"/>
          </w:tcPr>
          <w:p w14:paraId="78C40458" w14:textId="77777777" w:rsidR="00F56A72" w:rsidRPr="00B555A9"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1F0CF" w:themeColor="accent4"/>
            </w:tcBorders>
            <w:shd w:val="clear" w:color="auto" w:fill="F4FAF7"/>
          </w:tcPr>
          <w:p w14:paraId="12E78BD3" w14:textId="77777777" w:rsidR="00F56A72" w:rsidRPr="00B555A9"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1F0CF" w:themeColor="accent4"/>
            </w:tcBorders>
            <w:shd w:val="clear" w:color="auto" w:fill="F4FAF7"/>
          </w:tcPr>
          <w:p w14:paraId="57EBC7D6" w14:textId="77777777" w:rsidR="00F56A72" w:rsidRPr="00B555A9"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1F0CF" w:themeColor="accent4"/>
            </w:tcBorders>
            <w:shd w:val="clear" w:color="auto" w:fill="F4FAF7"/>
          </w:tcPr>
          <w:p w14:paraId="0B5E40B3" w14:textId="77777777" w:rsidR="00F56A72" w:rsidRPr="00B555A9"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108" w:type="dxa"/>
            <w:tcBorders>
              <w:top w:val="single" w:sz="4" w:space="0" w:color="BCE4CF"/>
              <w:bottom w:val="single" w:sz="4" w:space="0" w:color="B1F0CF" w:themeColor="accent4"/>
            </w:tcBorders>
            <w:shd w:val="clear" w:color="auto" w:fill="F4FAF7"/>
          </w:tcPr>
          <w:p w14:paraId="39E4D258" w14:textId="77777777" w:rsidR="00F56A72" w:rsidRPr="00B555A9"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386" w:type="dxa"/>
            <w:tcBorders>
              <w:top w:val="single" w:sz="4" w:space="0" w:color="BCE4CF"/>
              <w:bottom w:val="single" w:sz="4" w:space="0" w:color="B1F0CF" w:themeColor="accent4"/>
            </w:tcBorders>
            <w:shd w:val="clear" w:color="auto" w:fill="F4FAF7"/>
          </w:tcPr>
          <w:p w14:paraId="1A66401B" w14:textId="77777777" w:rsidR="00F56A72" w:rsidRPr="00B555A9" w:rsidDel="00CA3485"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r>
      <w:tr w:rsidR="00F56A72" w:rsidRPr="00AF43B7" w14:paraId="1583409E" w14:textId="77777777" w:rsidTr="00290C68">
        <w:trPr>
          <w:cantSplit/>
          <w:trHeight w:val="410"/>
        </w:trPr>
        <w:tc>
          <w:tcPr>
            <w:cnfStyle w:val="001000000000" w:firstRow="0" w:lastRow="0" w:firstColumn="1" w:lastColumn="0" w:oddVBand="0" w:evenVBand="0" w:oddHBand="0" w:evenHBand="0" w:firstRowFirstColumn="0" w:firstRowLastColumn="0" w:lastRowFirstColumn="0" w:lastRowLastColumn="0"/>
            <w:tcW w:w="794" w:type="dxa"/>
            <w:tcBorders>
              <w:top w:val="single" w:sz="4" w:space="0" w:color="B1F0CF" w:themeColor="accent4"/>
              <w:bottom w:val="single" w:sz="4" w:space="0" w:color="BCE4CF"/>
            </w:tcBorders>
          </w:tcPr>
          <w:p w14:paraId="63B919C5" w14:textId="77777777" w:rsidR="00F56A72" w:rsidRPr="00A564A2" w:rsidRDefault="00F56A72" w:rsidP="00F56A72">
            <w:pPr>
              <w:pStyle w:val="TableLeadAgency"/>
              <w:rPr>
                <w:b/>
                <w:bCs/>
                <w:lang w:eastAsia="en-US"/>
              </w:rPr>
            </w:pPr>
            <w:r w:rsidRPr="006B5DF0">
              <w:rPr>
                <w:b/>
                <w:bCs/>
                <w:lang w:eastAsia="en-US"/>
              </w:rPr>
              <w:lastRenderedPageBreak/>
              <w:t>Home Affairs</w:t>
            </w:r>
          </w:p>
          <w:p w14:paraId="2FDD3151" w14:textId="331B3B9F" w:rsidR="00F56A72" w:rsidRPr="002931AD" w:rsidRDefault="00F56A72" w:rsidP="00F56A72">
            <w:pPr>
              <w:pStyle w:val="TableSecondaryAgency"/>
              <w:rPr>
                <w:b w:val="0"/>
              </w:rPr>
            </w:pPr>
            <w:r w:rsidRPr="00B01252">
              <w:rPr>
                <w:b w:val="0"/>
                <w:lang w:eastAsia="en-US"/>
              </w:rPr>
              <w:t>AUSTRAC</w:t>
            </w:r>
            <w:r w:rsidRPr="006B5DF0" w:rsidDel="006A755A">
              <w:rPr>
                <w:b w:val="0"/>
                <w:lang w:eastAsia="en-US"/>
              </w:rPr>
              <w:t xml:space="preserve"> </w:t>
            </w:r>
          </w:p>
        </w:tc>
        <w:tc>
          <w:tcPr>
            <w:tcW w:w="1304" w:type="dxa"/>
            <w:tcBorders>
              <w:top w:val="single" w:sz="4" w:space="0" w:color="B1F0CF" w:themeColor="accent4"/>
              <w:bottom w:val="single" w:sz="4" w:space="0" w:color="BCE4CF"/>
            </w:tcBorders>
          </w:tcPr>
          <w:p w14:paraId="53B9C1A6" w14:textId="6A50526A" w:rsidR="00F56A72" w:rsidRPr="0052695A"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r>
              <w:t>All</w:t>
            </w:r>
          </w:p>
        </w:tc>
        <w:tc>
          <w:tcPr>
            <w:tcW w:w="3175" w:type="dxa"/>
            <w:tcBorders>
              <w:top w:val="single" w:sz="4" w:space="0" w:color="B1F0CF" w:themeColor="accent4"/>
              <w:bottom w:val="single" w:sz="4" w:space="0" w:color="BCE4CF"/>
            </w:tcBorders>
          </w:tcPr>
          <w:p w14:paraId="1846D340" w14:textId="00934890" w:rsidR="00F56A72" w:rsidRPr="008943A0" w:rsidRDefault="00F56A72" w:rsidP="00F56A72">
            <w:pPr>
              <w:pStyle w:val="TableLink"/>
              <w:cnfStyle w:val="000000000000" w:firstRow="0" w:lastRow="0" w:firstColumn="0" w:lastColumn="0" w:oddVBand="0" w:evenVBand="0" w:oddHBand="0" w:evenHBand="0" w:firstRowFirstColumn="0" w:firstRowLastColumn="0" w:lastRowFirstColumn="0" w:lastRowLastColumn="0"/>
              <w:rPr>
                <w:bCs/>
                <w:i/>
                <w:iCs/>
                <w:lang w:eastAsia="en-US"/>
              </w:rPr>
            </w:pPr>
            <w:r w:rsidRPr="008943A0">
              <w:rPr>
                <w:bCs/>
                <w:iCs/>
                <w:lang w:eastAsia="en-US"/>
              </w:rPr>
              <w:t xml:space="preserve">Transitional Rules under the </w:t>
            </w:r>
            <w:r w:rsidRPr="008943A0">
              <w:rPr>
                <w:bCs/>
                <w:i/>
                <w:iCs/>
                <w:lang w:eastAsia="en-US"/>
              </w:rPr>
              <w:t>Anti</w:t>
            </w:r>
            <w:r w:rsidR="003D486F">
              <w:rPr>
                <w:bCs/>
                <w:i/>
                <w:iCs/>
                <w:lang w:eastAsia="en-US"/>
              </w:rPr>
              <w:noBreakHyphen/>
            </w:r>
            <w:r w:rsidRPr="008943A0">
              <w:rPr>
                <w:bCs/>
                <w:i/>
                <w:iCs/>
                <w:lang w:eastAsia="en-US"/>
              </w:rPr>
              <w:t>Money Laundering and Counter</w:t>
            </w:r>
            <w:r w:rsidR="003D486F">
              <w:rPr>
                <w:bCs/>
                <w:i/>
                <w:iCs/>
                <w:lang w:eastAsia="en-US"/>
              </w:rPr>
              <w:noBreakHyphen/>
            </w:r>
            <w:r w:rsidRPr="008943A0">
              <w:rPr>
                <w:bCs/>
                <w:i/>
                <w:iCs/>
                <w:lang w:eastAsia="en-US"/>
              </w:rPr>
              <w:t>Terrorism Financing Amendment Act 2024</w:t>
            </w:r>
            <w:r w:rsidR="000A7759" w:rsidRPr="00283753">
              <w:rPr>
                <w:szCs w:val="16"/>
                <w:u w:val="none"/>
              </w:rPr>
              <w:t xml:space="preserve"> </w:t>
            </w:r>
            <w:r w:rsidR="000A7759" w:rsidRPr="00283753">
              <w:rPr>
                <w:rStyle w:val="NewInitiativeChar"/>
                <w:b/>
                <w:bCs/>
                <w:sz w:val="16"/>
                <w:szCs w:val="16"/>
                <w:u w:val="none"/>
              </w:rPr>
              <w:t>(new)</w:t>
            </w:r>
          </w:p>
          <w:p w14:paraId="7022FED6" w14:textId="77777777" w:rsidR="00F56A72" w:rsidRPr="00A564A2" w:rsidRDefault="00F56A72" w:rsidP="00F56A72">
            <w:pPr>
              <w:pStyle w:val="TableLink"/>
              <w:cnfStyle w:val="000000000000" w:firstRow="0" w:lastRow="0" w:firstColumn="0" w:lastColumn="0" w:oddVBand="0" w:evenVBand="0" w:oddHBand="0" w:evenHBand="0" w:firstRowFirstColumn="0" w:firstRowLastColumn="0" w:lastRowFirstColumn="0" w:lastRowLastColumn="0"/>
              <w:rPr>
                <w:b w:val="0"/>
                <w:iCs/>
                <w:color w:val="auto"/>
                <w:u w:val="none"/>
                <w:lang w:eastAsia="en-US"/>
              </w:rPr>
            </w:pPr>
            <w:r w:rsidRPr="00A564A2">
              <w:rPr>
                <w:b w:val="0"/>
                <w:iCs/>
                <w:color w:val="auto"/>
                <w:u w:val="none"/>
                <w:lang w:eastAsia="en-US"/>
              </w:rPr>
              <w:t>Transitional rules will modify or extend the timeframe for the application of parts of the AML/CTF Amendment Act, to allow entities additional time to comply with their obligations. Two of the proposed transitional rules</w:t>
            </w:r>
            <w:r w:rsidRPr="53DA4CD4">
              <w:rPr>
                <w:b w:val="0"/>
                <w:color w:val="auto"/>
                <w:u w:val="none"/>
                <w:lang w:eastAsia="en-US"/>
              </w:rPr>
              <w:t xml:space="preserve">, </w:t>
            </w:r>
            <w:r w:rsidRPr="633EA398">
              <w:rPr>
                <w:b w:val="0"/>
                <w:color w:val="auto"/>
                <w:u w:val="none"/>
                <w:lang w:eastAsia="en-US"/>
              </w:rPr>
              <w:t xml:space="preserve">the </w:t>
            </w:r>
            <w:r w:rsidRPr="00A564A2">
              <w:rPr>
                <w:b w:val="0"/>
                <w:iCs/>
                <w:color w:val="auto"/>
                <w:u w:val="none"/>
                <w:lang w:eastAsia="en-US"/>
              </w:rPr>
              <w:t xml:space="preserve">extension of the timeframe for </w:t>
            </w:r>
            <w:r>
              <w:rPr>
                <w:b w:val="0"/>
                <w:iCs/>
                <w:color w:val="auto"/>
                <w:u w:val="none"/>
                <w:lang w:eastAsia="en-US"/>
              </w:rPr>
              <w:t>international value transfer service (</w:t>
            </w:r>
            <w:r w:rsidRPr="00A564A2">
              <w:rPr>
                <w:b w:val="0"/>
                <w:iCs/>
                <w:color w:val="auto"/>
                <w:u w:val="none"/>
                <w:lang w:eastAsia="en-US"/>
              </w:rPr>
              <w:t>IVTS</w:t>
            </w:r>
            <w:r>
              <w:rPr>
                <w:b w:val="0"/>
                <w:iCs/>
                <w:color w:val="auto"/>
                <w:u w:val="none"/>
                <w:lang w:eastAsia="en-US"/>
              </w:rPr>
              <w:t>)</w:t>
            </w:r>
            <w:r w:rsidRPr="00A564A2">
              <w:rPr>
                <w:b w:val="0"/>
                <w:iCs/>
                <w:color w:val="auto"/>
                <w:u w:val="none"/>
                <w:lang w:eastAsia="en-US"/>
              </w:rPr>
              <w:t xml:space="preserve"> reporting and postponement of the requirement to notify AUSTRAC of a compliance </w:t>
            </w:r>
            <w:r w:rsidRPr="53DA4CD4">
              <w:rPr>
                <w:b w:val="0"/>
                <w:color w:val="auto"/>
                <w:u w:val="none"/>
                <w:lang w:eastAsia="en-US"/>
              </w:rPr>
              <w:t>officer, will</w:t>
            </w:r>
            <w:r w:rsidRPr="00A564A2">
              <w:rPr>
                <w:b w:val="0"/>
                <w:iCs/>
                <w:color w:val="auto"/>
                <w:u w:val="none"/>
                <w:lang w:eastAsia="en-US"/>
              </w:rPr>
              <w:t xml:space="preserve"> impact the financial </w:t>
            </w:r>
            <w:r w:rsidRPr="198752AC">
              <w:rPr>
                <w:b w:val="0"/>
                <w:color w:val="auto"/>
                <w:u w:val="none"/>
                <w:lang w:eastAsia="en-US"/>
              </w:rPr>
              <w:t>sector.</w:t>
            </w:r>
          </w:p>
          <w:p w14:paraId="0997479D" w14:textId="04A01AF9" w:rsidR="00F56A72" w:rsidRPr="00D80718" w:rsidRDefault="00F56A72" w:rsidP="00F56A72">
            <w:pPr>
              <w:pStyle w:val="TableLink"/>
              <w:cnfStyle w:val="000000000000" w:firstRow="0" w:lastRow="0" w:firstColumn="0" w:lastColumn="0" w:oddVBand="0" w:evenVBand="0" w:oddHBand="0" w:evenHBand="0" w:firstRowFirstColumn="0" w:firstRowLastColumn="0" w:lastRowFirstColumn="0" w:lastRowLastColumn="0"/>
              <w:rPr>
                <w:b w:val="0"/>
                <w:color w:val="auto"/>
                <w:u w:val="none"/>
                <w:lang w:eastAsia="en-US"/>
              </w:rPr>
            </w:pPr>
            <w:r>
              <w:rPr>
                <w:b w:val="0"/>
                <w:iCs/>
                <w:color w:val="auto"/>
                <w:u w:val="none"/>
                <w:lang w:eastAsia="en-US"/>
              </w:rPr>
              <w:t>Initial targeted consultation with peak bodies occurred in July 2025.</w:t>
            </w:r>
            <w:r w:rsidRPr="00A564A2">
              <w:rPr>
                <w:b w:val="0"/>
                <w:iCs/>
                <w:color w:val="auto"/>
                <w:u w:val="none"/>
                <w:lang w:eastAsia="en-US"/>
              </w:rPr>
              <w:t xml:space="preserve"> </w:t>
            </w:r>
          </w:p>
        </w:tc>
        <w:tc>
          <w:tcPr>
            <w:tcW w:w="1247" w:type="dxa"/>
            <w:tcBorders>
              <w:top w:val="single" w:sz="4" w:space="0" w:color="B1F0CF" w:themeColor="accent4"/>
              <w:bottom w:val="single" w:sz="4" w:space="0" w:color="BCE4CF"/>
            </w:tcBorders>
            <w:shd w:val="clear" w:color="auto" w:fill="ECF7F1"/>
          </w:tcPr>
          <w:p w14:paraId="0BA30CDB" w14:textId="77777777" w:rsidR="00F56A72" w:rsidRPr="00B555A9"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r w:rsidRPr="00A76AA0">
              <w:rPr>
                <w:lang w:eastAsia="en-US"/>
              </w:rPr>
              <w:t>Additional consultation with peak bodies and drafting of transitional provisions.</w:t>
            </w:r>
          </w:p>
        </w:tc>
        <w:tc>
          <w:tcPr>
            <w:tcW w:w="1247" w:type="dxa"/>
            <w:tcBorders>
              <w:top w:val="single" w:sz="4" w:space="0" w:color="B1F0CF" w:themeColor="accent4"/>
              <w:bottom w:val="single" w:sz="4" w:space="0" w:color="BCE4CF"/>
            </w:tcBorders>
            <w:shd w:val="clear" w:color="auto" w:fill="ECF7F1"/>
          </w:tcPr>
          <w:p w14:paraId="0930F797" w14:textId="77777777" w:rsidR="00F56A72" w:rsidRPr="00B555A9"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1F0CF" w:themeColor="accent4"/>
              <w:bottom w:val="single" w:sz="4" w:space="0" w:color="BCE4CF"/>
            </w:tcBorders>
            <w:shd w:val="clear" w:color="auto" w:fill="ECF7F1"/>
          </w:tcPr>
          <w:p w14:paraId="36972104" w14:textId="77777777" w:rsidR="00F56A72" w:rsidRPr="00B555A9"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1F0CF" w:themeColor="accent4"/>
              <w:bottom w:val="single" w:sz="4" w:space="0" w:color="BCE4CF"/>
            </w:tcBorders>
            <w:shd w:val="clear" w:color="auto" w:fill="ECF7F1"/>
          </w:tcPr>
          <w:p w14:paraId="5EDA6307" w14:textId="77777777" w:rsidR="00F56A72" w:rsidRPr="00B555A9"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1F0CF" w:themeColor="accent4"/>
              <w:bottom w:val="single" w:sz="4" w:space="0" w:color="BCE4CF"/>
            </w:tcBorders>
            <w:shd w:val="clear" w:color="auto" w:fill="ECF7F1"/>
          </w:tcPr>
          <w:p w14:paraId="7B15F5CE" w14:textId="77777777" w:rsidR="00F56A72" w:rsidRPr="00B555A9"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108" w:type="dxa"/>
            <w:tcBorders>
              <w:top w:val="single" w:sz="4" w:space="0" w:color="B1F0CF" w:themeColor="accent4"/>
              <w:bottom w:val="single" w:sz="4" w:space="0" w:color="BCE4CF"/>
            </w:tcBorders>
            <w:shd w:val="clear" w:color="auto" w:fill="F5FBF8"/>
          </w:tcPr>
          <w:p w14:paraId="1483E01E" w14:textId="77777777" w:rsidR="00F56A72" w:rsidRPr="00B555A9"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386" w:type="dxa"/>
            <w:tcBorders>
              <w:top w:val="single" w:sz="4" w:space="0" w:color="B1F0CF" w:themeColor="accent4"/>
              <w:bottom w:val="single" w:sz="4" w:space="0" w:color="BCE4CF"/>
            </w:tcBorders>
            <w:shd w:val="clear" w:color="auto" w:fill="F5FBF8"/>
          </w:tcPr>
          <w:p w14:paraId="2239912D" w14:textId="77777777" w:rsidR="00F56A72" w:rsidRPr="00B555A9"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r>
      <w:tr w:rsidR="00F56A72" w:rsidRPr="00AF43B7" w14:paraId="03563759" w14:textId="77777777" w:rsidTr="00290C68">
        <w:trPr>
          <w:cantSplit/>
          <w:trHeight w:val="410"/>
        </w:trPr>
        <w:tc>
          <w:tcPr>
            <w:cnfStyle w:val="001000000000" w:firstRow="0" w:lastRow="0" w:firstColumn="1" w:lastColumn="0" w:oddVBand="0" w:evenVBand="0" w:oddHBand="0" w:evenHBand="0" w:firstRowFirstColumn="0" w:firstRowLastColumn="0" w:lastRowFirstColumn="0" w:lastRowLastColumn="0"/>
            <w:tcW w:w="794" w:type="dxa"/>
            <w:tcBorders>
              <w:top w:val="single" w:sz="4" w:space="0" w:color="BCE4CF"/>
              <w:bottom w:val="single" w:sz="4" w:space="0" w:color="BCE4CF"/>
            </w:tcBorders>
          </w:tcPr>
          <w:p w14:paraId="6752BBFF" w14:textId="77777777" w:rsidR="00F56A72" w:rsidRPr="00AD71F3" w:rsidRDefault="00F56A72" w:rsidP="00F56A72">
            <w:pPr>
              <w:pStyle w:val="TableLeadAgency"/>
              <w:spacing w:before="0" w:after="0"/>
            </w:pPr>
            <w:r w:rsidRPr="00AD71F3">
              <w:rPr>
                <w:b/>
              </w:rPr>
              <w:t>TSY</w:t>
            </w:r>
          </w:p>
          <w:p w14:paraId="6C03143A" w14:textId="77777777" w:rsidR="00F56A72" w:rsidRPr="00AD71F3" w:rsidRDefault="00F56A72" w:rsidP="00F56A72">
            <w:pPr>
              <w:pStyle w:val="TableSecondaryAgency"/>
              <w:rPr>
                <w:b w:val="0"/>
                <w:bCs/>
              </w:rPr>
            </w:pPr>
          </w:p>
        </w:tc>
        <w:tc>
          <w:tcPr>
            <w:tcW w:w="1304" w:type="dxa"/>
            <w:tcBorders>
              <w:top w:val="single" w:sz="4" w:space="0" w:color="BCE4CF"/>
              <w:bottom w:val="single" w:sz="4" w:space="0" w:color="BCE4CF"/>
            </w:tcBorders>
          </w:tcPr>
          <w:p w14:paraId="4D2BF92B" w14:textId="77777777" w:rsidR="00F56A72" w:rsidRPr="0052695A"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r>
              <w:t>Payment services and digital assets</w:t>
            </w:r>
          </w:p>
        </w:tc>
        <w:tc>
          <w:tcPr>
            <w:tcW w:w="3175" w:type="dxa"/>
            <w:tcBorders>
              <w:top w:val="single" w:sz="4" w:space="0" w:color="BCE4CF"/>
              <w:bottom w:val="single" w:sz="4" w:space="0" w:color="BCE4CF"/>
            </w:tcBorders>
          </w:tcPr>
          <w:p w14:paraId="2B02C974" w14:textId="5EBB2108" w:rsidR="00F56A72" w:rsidRPr="00EF51B0" w:rsidRDefault="00F56A72" w:rsidP="00F56A72">
            <w:pPr>
              <w:pStyle w:val="TableLink"/>
              <w:spacing w:before="0" w:after="0"/>
              <w:cnfStyle w:val="000000000000" w:firstRow="0" w:lastRow="0" w:firstColumn="0" w:lastColumn="0" w:oddVBand="0" w:evenVBand="0" w:oddHBand="0" w:evenHBand="0" w:firstRowFirstColumn="0" w:firstRowLastColumn="0" w:lastRowFirstColumn="0" w:lastRowLastColumn="0"/>
              <w:rPr>
                <w:b w:val="0"/>
              </w:rPr>
            </w:pPr>
            <w:hyperlink r:id="rId91" w:history="1">
              <w:r w:rsidRPr="000A7759">
                <w:t>Winding down Australia</w:t>
              </w:r>
              <w:r w:rsidR="003D486F" w:rsidRPr="000A7759">
                <w:t>’</w:t>
              </w:r>
              <w:r w:rsidRPr="000A7759">
                <w:t>s cheques system</w:t>
              </w:r>
            </w:hyperlink>
            <w:r w:rsidR="000A7759" w:rsidRPr="00283753">
              <w:rPr>
                <w:szCs w:val="16"/>
                <w:u w:val="none"/>
              </w:rPr>
              <w:t xml:space="preserve"> </w:t>
            </w:r>
            <w:r w:rsidR="000A7759" w:rsidRPr="00283753">
              <w:rPr>
                <w:rStyle w:val="NewInitiativeChar"/>
                <w:b/>
                <w:bCs/>
                <w:sz w:val="16"/>
                <w:szCs w:val="16"/>
                <w:u w:val="none"/>
              </w:rPr>
              <w:t>(new)</w:t>
            </w:r>
          </w:p>
          <w:p w14:paraId="24F73106" w14:textId="6A3A16D8" w:rsidR="00F56A72" w:rsidRPr="00872792" w:rsidRDefault="00F56A72" w:rsidP="00F56A72">
            <w:pPr>
              <w:pStyle w:val="TableTextLeft"/>
              <w:cnfStyle w:val="000000000000" w:firstRow="0" w:lastRow="0" w:firstColumn="0" w:lastColumn="0" w:oddVBand="0" w:evenVBand="0" w:oddHBand="0" w:evenHBand="0" w:firstRowFirstColumn="0" w:firstRowLastColumn="0" w:lastRowFirstColumn="0" w:lastRowLastColumn="0"/>
              <w:rPr>
                <w:b/>
              </w:rPr>
            </w:pPr>
            <w:r w:rsidRPr="00597DAC">
              <w:rPr>
                <w:bCs/>
                <w:color w:val="auto"/>
              </w:rPr>
              <w:t xml:space="preserve">The </w:t>
            </w:r>
            <w:r>
              <w:rPr>
                <w:bCs/>
                <w:color w:val="auto"/>
              </w:rPr>
              <w:t>g</w:t>
            </w:r>
            <w:r w:rsidRPr="00597DAC">
              <w:rPr>
                <w:bCs/>
                <w:color w:val="auto"/>
              </w:rPr>
              <w:t>overnment released Australia</w:t>
            </w:r>
            <w:r w:rsidR="003D486F">
              <w:rPr>
                <w:bCs/>
                <w:color w:val="auto"/>
              </w:rPr>
              <w:t>’</w:t>
            </w:r>
            <w:r w:rsidRPr="00597DAC">
              <w:rPr>
                <w:bCs/>
                <w:color w:val="auto"/>
              </w:rPr>
              <w:t>s Cheques Transition Plan</w:t>
            </w:r>
            <w:r>
              <w:rPr>
                <w:bCs/>
                <w:color w:val="auto"/>
              </w:rPr>
              <w:t xml:space="preserve"> on 18 November 2024</w:t>
            </w:r>
            <w:r w:rsidRPr="00597DAC">
              <w:rPr>
                <w:bCs/>
                <w:color w:val="auto"/>
              </w:rPr>
              <w:t xml:space="preserve">, to ensure an orderly and </w:t>
            </w:r>
            <w:r w:rsidRPr="70A65BBC">
              <w:rPr>
                <w:color w:val="auto"/>
              </w:rPr>
              <w:t>smooth closure of Australia</w:t>
            </w:r>
            <w:r w:rsidR="003D486F">
              <w:rPr>
                <w:color w:val="auto"/>
              </w:rPr>
              <w:t>’</w:t>
            </w:r>
            <w:r w:rsidRPr="70A65BBC">
              <w:rPr>
                <w:color w:val="auto"/>
              </w:rPr>
              <w:t>s cheques system.</w:t>
            </w:r>
            <w:r w:rsidRPr="00597DAC">
              <w:rPr>
                <w:bCs/>
                <w:color w:val="auto"/>
              </w:rPr>
              <w:t xml:space="preserve"> This includes a 2</w:t>
            </w:r>
            <w:r w:rsidR="003D486F">
              <w:rPr>
                <w:bCs/>
                <w:color w:val="auto"/>
              </w:rPr>
              <w:noBreakHyphen/>
            </w:r>
            <w:r w:rsidRPr="00597DAC">
              <w:rPr>
                <w:bCs/>
                <w:color w:val="auto"/>
              </w:rPr>
              <w:t xml:space="preserve">step </w:t>
            </w:r>
            <w:r w:rsidRPr="70A65BBC">
              <w:rPr>
                <w:color w:val="auto"/>
              </w:rPr>
              <w:t>transition timeline</w:t>
            </w:r>
            <w:r w:rsidRPr="00597DAC">
              <w:rPr>
                <w:bCs/>
                <w:color w:val="auto"/>
              </w:rPr>
              <w:t xml:space="preserve"> for ceasing issuance of cheques by 30 June 2028 and ceasing acceptance of cheques on 30 September 2029. </w:t>
            </w:r>
            <w:r w:rsidRPr="70A65BBC">
              <w:rPr>
                <w:color w:val="auto"/>
              </w:rPr>
              <w:t xml:space="preserve">The Government will </w:t>
            </w:r>
            <w:r w:rsidRPr="70A65BBC">
              <w:rPr>
                <w:lang w:val="en-AU"/>
              </w:rPr>
              <w:t>work with state governments to reduce government cheque use ahead of the target end dates and will</w:t>
            </w:r>
            <w:r w:rsidRPr="70A65BBC">
              <w:rPr>
                <w:color w:val="auto"/>
              </w:rPr>
              <w:t xml:space="preserve"> </w:t>
            </w:r>
            <w:r w:rsidRPr="00597DAC">
              <w:rPr>
                <w:bCs/>
                <w:color w:val="auto"/>
              </w:rPr>
              <w:t xml:space="preserve">remove legislative and regulatory barriers entrenching </w:t>
            </w:r>
            <w:r w:rsidRPr="70A65BBC">
              <w:rPr>
                <w:color w:val="auto"/>
              </w:rPr>
              <w:t xml:space="preserve">the use of </w:t>
            </w:r>
            <w:r w:rsidRPr="00597DAC">
              <w:rPr>
                <w:bCs/>
                <w:color w:val="auto"/>
              </w:rPr>
              <w:t>cheque</w:t>
            </w:r>
            <w:r>
              <w:rPr>
                <w:bCs/>
                <w:color w:val="auto"/>
              </w:rPr>
              <w:t>s</w:t>
            </w:r>
            <w:r w:rsidRPr="00597DAC">
              <w:rPr>
                <w:bCs/>
                <w:color w:val="auto"/>
              </w:rPr>
              <w:t xml:space="preserve"> ahead of the milestone dates.</w:t>
            </w:r>
          </w:p>
        </w:tc>
        <w:tc>
          <w:tcPr>
            <w:tcW w:w="1247" w:type="dxa"/>
            <w:tcBorders>
              <w:top w:val="single" w:sz="4" w:space="0" w:color="BCE4CF"/>
              <w:bottom w:val="single" w:sz="4" w:space="0" w:color="BCE4CF"/>
            </w:tcBorders>
            <w:shd w:val="clear" w:color="auto" w:fill="ECF7F1"/>
          </w:tcPr>
          <w:p w14:paraId="3A206A67" w14:textId="77777777" w:rsidR="00F56A72" w:rsidRPr="008F5B2F"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089EC63E" w14:textId="77777777" w:rsidR="00F56A72" w:rsidRPr="008F5B2F"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4E27DD50" w14:textId="77777777" w:rsidR="00F56A72" w:rsidRPr="008F5B2F"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6A622704" w14:textId="77777777" w:rsidR="00F56A72" w:rsidRPr="008F5B2F"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BCE4CF"/>
              <w:bottom w:val="single" w:sz="4" w:space="0" w:color="BCE4CF"/>
            </w:tcBorders>
            <w:shd w:val="clear" w:color="auto" w:fill="ECF7F1"/>
          </w:tcPr>
          <w:p w14:paraId="527FC64E" w14:textId="77777777" w:rsidR="00F56A72" w:rsidRPr="008F5B2F"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108" w:type="dxa"/>
            <w:tcBorders>
              <w:top w:val="single" w:sz="4" w:space="0" w:color="BCE4CF"/>
              <w:bottom w:val="single" w:sz="4" w:space="0" w:color="BCE4CF"/>
            </w:tcBorders>
            <w:shd w:val="clear" w:color="auto" w:fill="F5FBF8"/>
          </w:tcPr>
          <w:p w14:paraId="0AE76FDD" w14:textId="77777777" w:rsidR="00F56A72" w:rsidRPr="008F5B2F"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c>
          <w:tcPr>
            <w:tcW w:w="1386" w:type="dxa"/>
            <w:tcBorders>
              <w:top w:val="single" w:sz="4" w:space="0" w:color="BCE4CF"/>
              <w:bottom w:val="single" w:sz="4" w:space="0" w:color="BCE4CF"/>
            </w:tcBorders>
            <w:shd w:val="clear" w:color="auto" w:fill="F5FBF8"/>
          </w:tcPr>
          <w:p w14:paraId="6BBB165F" w14:textId="77777777" w:rsidR="00F56A72" w:rsidRPr="008F5B2F" w:rsidRDefault="00F56A72" w:rsidP="00F56A72">
            <w:pPr>
              <w:pStyle w:val="TableTextLeft"/>
              <w:cnfStyle w:val="000000000000" w:firstRow="0" w:lastRow="0" w:firstColumn="0" w:lastColumn="0" w:oddVBand="0" w:evenVBand="0" w:oddHBand="0" w:evenHBand="0" w:firstRowFirstColumn="0" w:firstRowLastColumn="0" w:lastRowFirstColumn="0" w:lastRowLastColumn="0"/>
            </w:pPr>
          </w:p>
        </w:tc>
      </w:tr>
    </w:tbl>
    <w:p w14:paraId="3CFA8C1B" w14:textId="77777777" w:rsidR="004163E8" w:rsidRPr="00ED09F1" w:rsidRDefault="004163E8" w:rsidP="00ED09F1">
      <w:pPr>
        <w:pStyle w:val="NoSpacing"/>
      </w:pPr>
      <w:r w:rsidRPr="00ED09F1">
        <w:br w:type="page"/>
      </w:r>
    </w:p>
    <w:p w14:paraId="60AF225F" w14:textId="08646EB1" w:rsidR="00B54CF6" w:rsidRPr="009831FF" w:rsidRDefault="00B54CF6" w:rsidP="009831FF">
      <w:pPr>
        <w:pStyle w:val="Heading1Numbered"/>
      </w:pPr>
      <w:bookmarkStart w:id="47" w:name="_Toc210050735"/>
      <w:r w:rsidRPr="009831FF">
        <w:lastRenderedPageBreak/>
        <w:t xml:space="preserve">Ongoing </w:t>
      </w:r>
      <w:r w:rsidR="004F10AD" w:rsidRPr="009831FF">
        <w:t>p</w:t>
      </w:r>
      <w:r w:rsidRPr="009831FF">
        <w:t xml:space="preserve">rogram </w:t>
      </w:r>
      <w:r w:rsidR="004F10AD" w:rsidRPr="009831FF">
        <w:t>i</w:t>
      </w:r>
      <w:r w:rsidRPr="009831FF">
        <w:t>mplementation</w:t>
      </w:r>
      <w:bookmarkEnd w:id="47"/>
    </w:p>
    <w:p w14:paraId="733311B9" w14:textId="29DC0D66" w:rsidR="00D723F0" w:rsidRDefault="00B54CF6" w:rsidP="00B54CF6">
      <w:pPr>
        <w:rPr>
          <w:rFonts w:cs="Calibri Light"/>
        </w:rPr>
      </w:pPr>
      <w:r w:rsidRPr="341FD202">
        <w:rPr>
          <w:rFonts w:cs="Calibri Light"/>
        </w:rPr>
        <w:t xml:space="preserve">This </w:t>
      </w:r>
      <w:r w:rsidR="00C734E8" w:rsidRPr="341FD202">
        <w:rPr>
          <w:rFonts w:cs="Calibri Light"/>
        </w:rPr>
        <w:t>category</w:t>
      </w:r>
      <w:r w:rsidRPr="341FD202">
        <w:rPr>
          <w:rFonts w:cs="Calibri Light"/>
        </w:rPr>
        <w:t xml:space="preserve"> includes </w:t>
      </w:r>
      <w:r w:rsidR="1AF4C640" w:rsidRPr="002931AD">
        <w:rPr>
          <w:rFonts w:cs="Calibri Light"/>
          <w:b/>
        </w:rPr>
        <w:t>23</w:t>
      </w:r>
      <w:r w:rsidR="009B6078" w:rsidRPr="002931AD">
        <w:rPr>
          <w:rFonts w:cs="Calibri Light"/>
        </w:rPr>
        <w:t xml:space="preserve"> </w:t>
      </w:r>
      <w:r w:rsidRPr="341FD202">
        <w:rPr>
          <w:rFonts w:cs="Calibri Light"/>
        </w:rPr>
        <w:t xml:space="preserve">initiatives. The initiatives in this section cover </w:t>
      </w:r>
      <w:r w:rsidR="000D63BF" w:rsidRPr="341FD202">
        <w:rPr>
          <w:rFonts w:cs="Calibri Light"/>
        </w:rPr>
        <w:t>the broad spectrum of activit</w:t>
      </w:r>
      <w:r w:rsidR="00CD2B9A" w:rsidRPr="341FD202">
        <w:rPr>
          <w:rFonts w:cs="Calibri Light"/>
        </w:rPr>
        <w:t xml:space="preserve">ies </w:t>
      </w:r>
      <w:r w:rsidR="00F6016A" w:rsidRPr="341FD202">
        <w:rPr>
          <w:rFonts w:cs="Calibri Light"/>
        </w:rPr>
        <w:t xml:space="preserve">being </w:t>
      </w:r>
      <w:r w:rsidR="00023CFC" w:rsidRPr="341FD202">
        <w:rPr>
          <w:rFonts w:cs="Calibri Light"/>
        </w:rPr>
        <w:t>administer</w:t>
      </w:r>
      <w:r w:rsidR="006E03E0" w:rsidRPr="341FD202">
        <w:rPr>
          <w:rFonts w:cs="Calibri Light"/>
        </w:rPr>
        <w:t>ed</w:t>
      </w:r>
      <w:r w:rsidR="00023CFC" w:rsidRPr="341FD202">
        <w:rPr>
          <w:rFonts w:cs="Calibri Light"/>
        </w:rPr>
        <w:t xml:space="preserve"> </w:t>
      </w:r>
      <w:r w:rsidR="00FF04E1" w:rsidRPr="341FD202">
        <w:rPr>
          <w:rFonts w:cs="Calibri Light"/>
        </w:rPr>
        <w:t xml:space="preserve">under </w:t>
      </w:r>
      <w:r w:rsidR="00F6016A" w:rsidRPr="341FD202">
        <w:rPr>
          <w:rFonts w:cs="Calibri Light"/>
        </w:rPr>
        <w:t>existing policy and/or legislative frameworks</w:t>
      </w:r>
      <w:r w:rsidR="000D63BF" w:rsidRPr="341FD202">
        <w:rPr>
          <w:rFonts w:cs="Calibri Light"/>
        </w:rPr>
        <w:t xml:space="preserve">, including </w:t>
      </w:r>
      <w:r w:rsidRPr="341FD202">
        <w:rPr>
          <w:rFonts w:cs="Calibri Light"/>
        </w:rPr>
        <w:t xml:space="preserve">the development of </w:t>
      </w:r>
      <w:r w:rsidR="000D63BF" w:rsidRPr="341FD202">
        <w:rPr>
          <w:rFonts w:cs="Calibri Light"/>
        </w:rPr>
        <w:t xml:space="preserve">regulatory </w:t>
      </w:r>
      <w:r w:rsidRPr="341FD202">
        <w:rPr>
          <w:rFonts w:cs="Calibri Light"/>
        </w:rPr>
        <w:t xml:space="preserve">guidance material, program reconciliation and acquittal </w:t>
      </w:r>
      <w:r w:rsidR="000D63BF" w:rsidRPr="341FD202">
        <w:rPr>
          <w:rFonts w:cs="Calibri Light"/>
        </w:rPr>
        <w:t xml:space="preserve">activity, </w:t>
      </w:r>
      <w:r w:rsidRPr="341FD202">
        <w:rPr>
          <w:rFonts w:cs="Calibri Light"/>
        </w:rPr>
        <w:t>the roll out of new portal</w:t>
      </w:r>
      <w:r w:rsidR="007618AA" w:rsidRPr="341FD202">
        <w:rPr>
          <w:rFonts w:cs="Calibri Light"/>
        </w:rPr>
        <w:t>s</w:t>
      </w:r>
      <w:r w:rsidRPr="341FD202">
        <w:rPr>
          <w:rFonts w:cs="Calibri Light"/>
        </w:rPr>
        <w:t xml:space="preserve"> and software and technology</w:t>
      </w:r>
      <w:r w:rsidR="00B6384F" w:rsidRPr="341FD202">
        <w:rPr>
          <w:rFonts w:cs="Calibri Light"/>
        </w:rPr>
        <w:t xml:space="preserve">, and thematic surveillances that review compliance by entities with their </w:t>
      </w:r>
      <w:r w:rsidR="007959A3" w:rsidRPr="341FD202">
        <w:rPr>
          <w:rFonts w:cs="Calibri Light"/>
        </w:rPr>
        <w:t xml:space="preserve">existing </w:t>
      </w:r>
      <w:r w:rsidR="00B6384F" w:rsidRPr="341FD202">
        <w:rPr>
          <w:rFonts w:cs="Calibri Light"/>
        </w:rPr>
        <w:t>obligations</w:t>
      </w:r>
      <w:r w:rsidR="000D63BF" w:rsidRPr="341FD202">
        <w:rPr>
          <w:rFonts w:cs="Calibri Light"/>
        </w:rPr>
        <w:t>.</w:t>
      </w:r>
    </w:p>
    <w:p w14:paraId="5DD2E65A" w14:textId="77777777" w:rsidR="00776E56" w:rsidRPr="00EC27BF" w:rsidRDefault="00776E56" w:rsidP="00776E56">
      <w:pPr>
        <w:spacing w:before="0" w:after="0"/>
        <w:rPr>
          <w:rStyle w:val="Strong"/>
          <w:sz w:val="20"/>
        </w:rPr>
      </w:pPr>
      <w:r w:rsidRPr="00EC27BF">
        <w:rPr>
          <w:rStyle w:val="Strong"/>
          <w:sz w:val="20"/>
        </w:rPr>
        <w:t xml:space="preserve">A * indicates a new milestone for an initiative that was included in Edition 1 where progress on the work has occurred. </w:t>
      </w:r>
    </w:p>
    <w:p w14:paraId="7E5D81C4" w14:textId="7EDBF756" w:rsidR="00776E56" w:rsidRPr="003A5852" w:rsidRDefault="00776E56" w:rsidP="00776E56">
      <w:pPr>
        <w:rPr>
          <w:rFonts w:cs="Calibri Light"/>
        </w:rPr>
      </w:pPr>
      <w:r w:rsidRPr="00EC27BF">
        <w:rPr>
          <w:rStyle w:val="Strong"/>
          <w:sz w:val="20"/>
        </w:rPr>
        <w:t xml:space="preserve">A ^ indicates where a milestone has changed from Edition 1 to this Edition. A changes table at the end of this document </w:t>
      </w:r>
      <w:proofErr w:type="gramStart"/>
      <w:r w:rsidRPr="00EC27BF">
        <w:rPr>
          <w:rStyle w:val="Strong"/>
          <w:sz w:val="20"/>
        </w:rPr>
        <w:t>explains</w:t>
      </w:r>
      <w:proofErr w:type="gramEnd"/>
      <w:r w:rsidRPr="00EC27BF">
        <w:rPr>
          <w:rStyle w:val="Strong"/>
          <w:sz w:val="20"/>
        </w:rPr>
        <w:t xml:space="preserve"> the</w:t>
      </w:r>
      <w:r>
        <w:rPr>
          <w:rStyle w:val="Strong"/>
          <w:sz w:val="20"/>
        </w:rPr>
        <w:t xml:space="preserve"> change.</w:t>
      </w:r>
    </w:p>
    <w:p w14:paraId="5E4F8371" w14:textId="5C142D6D" w:rsidR="004E39D5" w:rsidRPr="001A2FFC" w:rsidRDefault="004E39D5" w:rsidP="000A7759">
      <w:pPr>
        <w:pStyle w:val="TableMainHeading"/>
        <w:rPr>
          <w:b/>
          <w:bCs/>
        </w:rPr>
      </w:pPr>
      <w:r w:rsidRPr="001A2FFC">
        <w:rPr>
          <w:b/>
          <w:bCs/>
        </w:rPr>
        <w:t>Forward calendar</w:t>
      </w:r>
    </w:p>
    <w:tbl>
      <w:tblPr>
        <w:tblW w:w="5000" w:type="pct"/>
        <w:tblInd w:w="-1" w:type="dxa"/>
        <w:tblBorders>
          <w:bottom w:val="single" w:sz="4" w:space="0" w:color="90B6F0"/>
          <w:insideH w:val="single" w:sz="4" w:space="0" w:color="5D779D" w:themeColor="accent3"/>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794"/>
        <w:gridCol w:w="1304"/>
        <w:gridCol w:w="3175"/>
        <w:gridCol w:w="1247"/>
        <w:gridCol w:w="1247"/>
        <w:gridCol w:w="1247"/>
        <w:gridCol w:w="1247"/>
        <w:gridCol w:w="1247"/>
        <w:gridCol w:w="1247"/>
        <w:gridCol w:w="1247"/>
      </w:tblGrid>
      <w:tr w:rsidR="00E6324E" w:rsidRPr="00AF43B7" w14:paraId="4B16157F" w14:textId="77777777" w:rsidTr="74251931">
        <w:trPr>
          <w:cantSplit/>
          <w:trHeight w:val="567"/>
          <w:tblHeader/>
        </w:trPr>
        <w:tc>
          <w:tcPr>
            <w:tcW w:w="794" w:type="dxa"/>
            <w:tcBorders>
              <w:top w:val="nil"/>
              <w:bottom w:val="single" w:sz="4" w:space="0" w:color="5D779D" w:themeColor="accent3"/>
            </w:tcBorders>
            <w:shd w:val="clear" w:color="auto" w:fill="AEBBCE"/>
            <w:vAlign w:val="center"/>
            <w:hideMark/>
          </w:tcPr>
          <w:p w14:paraId="5BA8FB15" w14:textId="77777777" w:rsidR="00127337" w:rsidRPr="00F91AB2" w:rsidRDefault="00127337" w:rsidP="005E5C59">
            <w:pPr>
              <w:pStyle w:val="TableColumnHeadingLeft"/>
            </w:pPr>
            <w:r w:rsidRPr="00F91AB2">
              <w:t>Agency</w:t>
            </w:r>
          </w:p>
        </w:tc>
        <w:tc>
          <w:tcPr>
            <w:tcW w:w="1304" w:type="dxa"/>
            <w:tcBorders>
              <w:top w:val="nil"/>
              <w:bottom w:val="single" w:sz="4" w:space="0" w:color="5D779D" w:themeColor="accent3"/>
            </w:tcBorders>
            <w:shd w:val="clear" w:color="auto" w:fill="AEBBCE"/>
            <w:vAlign w:val="center"/>
          </w:tcPr>
          <w:p w14:paraId="7CB530DD" w14:textId="77777777" w:rsidR="00127337" w:rsidRPr="00F91AB2" w:rsidRDefault="00127337" w:rsidP="005E5C59">
            <w:pPr>
              <w:pStyle w:val="TableColumnHeadingLeft"/>
            </w:pPr>
            <w:r w:rsidRPr="00F91AB2">
              <w:t>Sector</w:t>
            </w:r>
          </w:p>
        </w:tc>
        <w:tc>
          <w:tcPr>
            <w:tcW w:w="3175" w:type="dxa"/>
            <w:tcBorders>
              <w:top w:val="nil"/>
              <w:bottom w:val="single" w:sz="4" w:space="0" w:color="5D779D" w:themeColor="accent3"/>
            </w:tcBorders>
            <w:shd w:val="clear" w:color="auto" w:fill="AEBBCE"/>
            <w:vAlign w:val="center"/>
          </w:tcPr>
          <w:p w14:paraId="4E207F20" w14:textId="77777777" w:rsidR="00127337" w:rsidRPr="00F91AB2" w:rsidRDefault="00127337" w:rsidP="005E5C59">
            <w:pPr>
              <w:pStyle w:val="TableColumnHeadingLeft"/>
            </w:pPr>
            <w:r w:rsidRPr="00F91AB2">
              <w:t>Initiative</w:t>
            </w:r>
          </w:p>
        </w:tc>
        <w:tc>
          <w:tcPr>
            <w:tcW w:w="1247" w:type="dxa"/>
            <w:tcBorders>
              <w:top w:val="nil"/>
              <w:bottom w:val="single" w:sz="4" w:space="0" w:color="5D779D" w:themeColor="accent3"/>
            </w:tcBorders>
            <w:shd w:val="clear" w:color="auto" w:fill="AEBBCE"/>
            <w:vAlign w:val="center"/>
            <w:hideMark/>
          </w:tcPr>
          <w:p w14:paraId="4FB9DDBE" w14:textId="77777777" w:rsidR="00127337" w:rsidRPr="00F91AB2" w:rsidRDefault="00127337" w:rsidP="005E5C59">
            <w:pPr>
              <w:pStyle w:val="TableColumnHeadingLeft"/>
            </w:pPr>
            <w:r w:rsidRPr="00F91AB2">
              <w:t xml:space="preserve">Q4 2025 </w:t>
            </w:r>
            <w:r w:rsidRPr="00F91AB2" w:rsidDel="008C7AC5">
              <w:t>activity</w:t>
            </w:r>
          </w:p>
        </w:tc>
        <w:tc>
          <w:tcPr>
            <w:tcW w:w="1247" w:type="dxa"/>
            <w:tcBorders>
              <w:top w:val="nil"/>
              <w:bottom w:val="single" w:sz="4" w:space="0" w:color="5D779D" w:themeColor="accent3"/>
            </w:tcBorders>
            <w:shd w:val="clear" w:color="auto" w:fill="AEBBCE"/>
            <w:vAlign w:val="center"/>
          </w:tcPr>
          <w:p w14:paraId="287CAA2D" w14:textId="77777777" w:rsidR="00127337" w:rsidRPr="00F91AB2" w:rsidRDefault="00127337" w:rsidP="005E5C59">
            <w:pPr>
              <w:pStyle w:val="TableColumnHeadingLeft"/>
            </w:pPr>
            <w:r w:rsidRPr="00F91AB2">
              <w:t xml:space="preserve">Q1 2026 </w:t>
            </w:r>
            <w:r w:rsidRPr="00F91AB2" w:rsidDel="008C7AC5">
              <w:t>activity</w:t>
            </w:r>
          </w:p>
        </w:tc>
        <w:tc>
          <w:tcPr>
            <w:tcW w:w="1247" w:type="dxa"/>
            <w:tcBorders>
              <w:top w:val="nil"/>
              <w:bottom w:val="single" w:sz="4" w:space="0" w:color="5D779D" w:themeColor="accent3"/>
            </w:tcBorders>
            <w:shd w:val="clear" w:color="auto" w:fill="AEBBCE"/>
            <w:vAlign w:val="center"/>
          </w:tcPr>
          <w:p w14:paraId="51994641" w14:textId="77777777" w:rsidR="00127337" w:rsidRPr="00F91AB2" w:rsidRDefault="00127337" w:rsidP="005E5C59">
            <w:pPr>
              <w:pStyle w:val="TableColumnHeadingLeft"/>
            </w:pPr>
            <w:r w:rsidRPr="00F91AB2">
              <w:t xml:space="preserve">Q2 2026 </w:t>
            </w:r>
            <w:r w:rsidRPr="00F91AB2" w:rsidDel="008C7AC5">
              <w:t>activity</w:t>
            </w:r>
          </w:p>
        </w:tc>
        <w:tc>
          <w:tcPr>
            <w:tcW w:w="1247" w:type="dxa"/>
            <w:tcBorders>
              <w:top w:val="nil"/>
              <w:bottom w:val="single" w:sz="4" w:space="0" w:color="5D779D" w:themeColor="accent3"/>
            </w:tcBorders>
            <w:shd w:val="clear" w:color="auto" w:fill="AEBBCE"/>
            <w:vAlign w:val="center"/>
          </w:tcPr>
          <w:p w14:paraId="00291784" w14:textId="77777777" w:rsidR="00127337" w:rsidRPr="00F91AB2" w:rsidRDefault="00127337" w:rsidP="005E5C59">
            <w:pPr>
              <w:pStyle w:val="TableColumnHeadingLeft"/>
            </w:pPr>
            <w:r w:rsidRPr="00F91AB2">
              <w:t>Q3 2026 activity</w:t>
            </w:r>
          </w:p>
        </w:tc>
        <w:tc>
          <w:tcPr>
            <w:tcW w:w="1247" w:type="dxa"/>
            <w:tcBorders>
              <w:top w:val="nil"/>
              <w:bottom w:val="single" w:sz="4" w:space="0" w:color="5D779D" w:themeColor="accent3"/>
            </w:tcBorders>
            <w:shd w:val="clear" w:color="auto" w:fill="AEBBCE"/>
            <w:vAlign w:val="center"/>
          </w:tcPr>
          <w:p w14:paraId="4377C5A5" w14:textId="77777777" w:rsidR="00127337" w:rsidRPr="00F91AB2" w:rsidRDefault="00127337" w:rsidP="005E5C59">
            <w:pPr>
              <w:pStyle w:val="TableColumnHeadingLeft"/>
            </w:pPr>
            <w:r w:rsidRPr="00F91AB2">
              <w:t xml:space="preserve">Q4 2026 </w:t>
            </w:r>
            <w:r w:rsidRPr="00F91AB2" w:rsidDel="008C7AC5">
              <w:t>activity</w:t>
            </w:r>
          </w:p>
        </w:tc>
        <w:tc>
          <w:tcPr>
            <w:tcW w:w="1247" w:type="dxa"/>
            <w:tcBorders>
              <w:top w:val="nil"/>
              <w:bottom w:val="single" w:sz="4" w:space="0" w:color="5D779D" w:themeColor="accent3"/>
            </w:tcBorders>
            <w:shd w:val="clear" w:color="auto" w:fill="AEBBCE"/>
            <w:vAlign w:val="center"/>
          </w:tcPr>
          <w:p w14:paraId="64E6289A" w14:textId="77777777" w:rsidR="00127337" w:rsidRPr="00F91AB2" w:rsidRDefault="00127337" w:rsidP="005E5C59">
            <w:pPr>
              <w:pStyle w:val="TableColumnHeadingLeft"/>
            </w:pPr>
            <w:r w:rsidRPr="00F91AB2">
              <w:t xml:space="preserve">Q1 2027 </w:t>
            </w:r>
            <w:r w:rsidRPr="00F91AB2" w:rsidDel="008C7AC5">
              <w:t>activity</w:t>
            </w:r>
          </w:p>
        </w:tc>
        <w:tc>
          <w:tcPr>
            <w:tcW w:w="1247" w:type="dxa"/>
            <w:tcBorders>
              <w:top w:val="nil"/>
              <w:bottom w:val="single" w:sz="4" w:space="0" w:color="5D779D" w:themeColor="accent3"/>
            </w:tcBorders>
            <w:shd w:val="clear" w:color="auto" w:fill="AEBBCE"/>
            <w:vAlign w:val="center"/>
          </w:tcPr>
          <w:p w14:paraId="6CB0861E" w14:textId="77777777" w:rsidR="00127337" w:rsidRPr="00F91AB2" w:rsidRDefault="00127337" w:rsidP="005E5C59">
            <w:pPr>
              <w:pStyle w:val="TableColumnHeadingLeft"/>
            </w:pPr>
            <w:r w:rsidRPr="00F91AB2">
              <w:t>Q2</w:t>
            </w:r>
            <w:r>
              <w:t>–</w:t>
            </w:r>
            <w:r w:rsidRPr="00F91AB2">
              <w:t xml:space="preserve">3 2027 </w:t>
            </w:r>
            <w:r w:rsidRPr="00F91AB2" w:rsidDel="008C7AC5">
              <w:t>activity</w:t>
            </w:r>
          </w:p>
        </w:tc>
      </w:tr>
      <w:tr w:rsidR="00E6324E" w:rsidRPr="00AF43B7" w14:paraId="5B592FDE" w14:textId="77777777" w:rsidTr="74251931">
        <w:trPr>
          <w:cantSplit/>
          <w:trHeight w:val="410"/>
        </w:trPr>
        <w:tc>
          <w:tcPr>
            <w:tcW w:w="794" w:type="dxa"/>
          </w:tcPr>
          <w:p w14:paraId="294398DB" w14:textId="77777777" w:rsidR="00127337" w:rsidRPr="002346D9" w:rsidRDefault="00127337" w:rsidP="00F30D3C">
            <w:pPr>
              <w:pStyle w:val="TableLeadAgency"/>
            </w:pPr>
            <w:r w:rsidRPr="00011F86">
              <w:t>RBA</w:t>
            </w:r>
          </w:p>
        </w:tc>
        <w:tc>
          <w:tcPr>
            <w:tcW w:w="1304" w:type="dxa"/>
          </w:tcPr>
          <w:p w14:paraId="214BDCBB" w14:textId="77777777" w:rsidR="00127337" w:rsidRPr="00F91AB2" w:rsidRDefault="00127337" w:rsidP="00F30D3C">
            <w:pPr>
              <w:pStyle w:val="TableTextLeft"/>
            </w:pPr>
            <w:r>
              <w:t>Payment services and digital assets</w:t>
            </w:r>
          </w:p>
        </w:tc>
        <w:tc>
          <w:tcPr>
            <w:tcW w:w="3175" w:type="dxa"/>
          </w:tcPr>
          <w:p w14:paraId="765FBD3C" w14:textId="1201B257" w:rsidR="00127337" w:rsidRDefault="00127337" w:rsidP="00F30D3C">
            <w:pPr>
              <w:pStyle w:val="TableTextLeft"/>
              <w:rPr>
                <w:b/>
                <w:bCs/>
              </w:rPr>
            </w:pPr>
            <w:r>
              <w:rPr>
                <w:b/>
                <w:bCs/>
              </w:rPr>
              <w:t>Account</w:t>
            </w:r>
            <w:r w:rsidR="003D486F">
              <w:rPr>
                <w:b/>
                <w:bCs/>
              </w:rPr>
              <w:noBreakHyphen/>
            </w:r>
            <w:r>
              <w:rPr>
                <w:b/>
                <w:bCs/>
              </w:rPr>
              <w:t>to</w:t>
            </w:r>
            <w:r w:rsidR="003D486F">
              <w:rPr>
                <w:b/>
                <w:bCs/>
              </w:rPr>
              <w:noBreakHyphen/>
            </w:r>
            <w:r>
              <w:rPr>
                <w:b/>
                <w:bCs/>
              </w:rPr>
              <w:t xml:space="preserve">account payments pricing – annual data collection </w:t>
            </w:r>
            <w:r w:rsidR="000A7759" w:rsidRPr="000A7759">
              <w:rPr>
                <w:rStyle w:val="NewInitiativeChar"/>
                <w:sz w:val="16"/>
                <w:szCs w:val="16"/>
              </w:rPr>
              <w:t>(new)</w:t>
            </w:r>
          </w:p>
          <w:p w14:paraId="51EB95B1" w14:textId="5C4FC45D" w:rsidR="00127337" w:rsidRPr="00F91AB2" w:rsidRDefault="00127337" w:rsidP="00F30D3C">
            <w:pPr>
              <w:pStyle w:val="TableTextLeft"/>
            </w:pPr>
            <w:r w:rsidRPr="008D7D0E">
              <w:t xml:space="preserve">The </w:t>
            </w:r>
            <w:r>
              <w:t>RBA will collect data annually on</w:t>
            </w:r>
            <w:r w:rsidRPr="008D7D0E">
              <w:t xml:space="preserve"> the wholesale, intermediary and end</w:t>
            </w:r>
            <w:r w:rsidR="003D486F">
              <w:noBreakHyphen/>
            </w:r>
            <w:r w:rsidRPr="008D7D0E">
              <w:t xml:space="preserve">user fees associated with the use of BECS, BPAY and the NPP. </w:t>
            </w:r>
            <w:r>
              <w:t>These data will give the RBA greater visibility of the pricing of account</w:t>
            </w:r>
            <w:r w:rsidR="003D486F">
              <w:noBreakHyphen/>
            </w:r>
            <w:r>
              <w:t>to</w:t>
            </w:r>
            <w:r w:rsidR="003D486F">
              <w:noBreakHyphen/>
            </w:r>
            <w:r>
              <w:t>account payments. This will facilitate the analysis of policy issues relating to account</w:t>
            </w:r>
            <w:r w:rsidR="003D486F">
              <w:noBreakHyphen/>
            </w:r>
            <w:r>
              <w:t>to</w:t>
            </w:r>
            <w:r w:rsidR="003D486F">
              <w:noBreakHyphen/>
            </w:r>
            <w:r>
              <w:t xml:space="preserve">account payments, including the risks to, and flowing from, </w:t>
            </w:r>
            <w:r w:rsidRPr="008D7D0E">
              <w:t xml:space="preserve">the </w:t>
            </w:r>
            <w:r>
              <w:t>proposed decommissioning of BECS.</w:t>
            </w:r>
          </w:p>
        </w:tc>
        <w:tc>
          <w:tcPr>
            <w:tcW w:w="1247" w:type="dxa"/>
            <w:shd w:val="clear" w:color="auto" w:fill="DFE4EB"/>
          </w:tcPr>
          <w:p w14:paraId="55DA7A8C" w14:textId="77777777" w:rsidR="00127337" w:rsidRPr="00F91AB2" w:rsidRDefault="00127337" w:rsidP="00F30D3C">
            <w:pPr>
              <w:pStyle w:val="TableTextLeft"/>
            </w:pPr>
            <w:r>
              <w:t>Data to be submitted by reporting institutions</w:t>
            </w:r>
          </w:p>
        </w:tc>
        <w:tc>
          <w:tcPr>
            <w:tcW w:w="1247" w:type="dxa"/>
            <w:shd w:val="clear" w:color="auto" w:fill="DFE4EB"/>
          </w:tcPr>
          <w:p w14:paraId="399C1F22" w14:textId="77777777" w:rsidR="00127337" w:rsidRPr="00F91AB2" w:rsidRDefault="00127337" w:rsidP="00F30D3C">
            <w:pPr>
              <w:pStyle w:val="TableTextLeft"/>
            </w:pPr>
          </w:p>
        </w:tc>
        <w:tc>
          <w:tcPr>
            <w:tcW w:w="1247" w:type="dxa"/>
            <w:shd w:val="clear" w:color="auto" w:fill="DFE4EB"/>
          </w:tcPr>
          <w:p w14:paraId="35631FC3" w14:textId="77777777" w:rsidR="00127337" w:rsidRPr="00F91AB2" w:rsidRDefault="00127337" w:rsidP="00F30D3C">
            <w:pPr>
              <w:pStyle w:val="TableTextLeft"/>
            </w:pPr>
          </w:p>
        </w:tc>
        <w:tc>
          <w:tcPr>
            <w:tcW w:w="1247" w:type="dxa"/>
            <w:shd w:val="clear" w:color="auto" w:fill="DFE4EB"/>
          </w:tcPr>
          <w:p w14:paraId="36C64F76" w14:textId="77777777" w:rsidR="00127337" w:rsidRPr="00F91AB2" w:rsidRDefault="00127337" w:rsidP="00F30D3C">
            <w:pPr>
              <w:pStyle w:val="TableTextLeft"/>
            </w:pPr>
          </w:p>
        </w:tc>
        <w:tc>
          <w:tcPr>
            <w:tcW w:w="1247" w:type="dxa"/>
            <w:shd w:val="clear" w:color="auto" w:fill="DFE4EB"/>
          </w:tcPr>
          <w:p w14:paraId="70E3309D" w14:textId="77777777" w:rsidR="00127337" w:rsidRPr="00F91AB2" w:rsidRDefault="00127337" w:rsidP="00F30D3C">
            <w:pPr>
              <w:pStyle w:val="TableTextLeft"/>
            </w:pPr>
          </w:p>
        </w:tc>
        <w:tc>
          <w:tcPr>
            <w:tcW w:w="1247" w:type="dxa"/>
            <w:shd w:val="clear" w:color="auto" w:fill="EFF1F5"/>
          </w:tcPr>
          <w:p w14:paraId="56CCF391" w14:textId="77777777" w:rsidR="00127337" w:rsidRPr="00F91AB2" w:rsidRDefault="00127337" w:rsidP="00F30D3C">
            <w:pPr>
              <w:pStyle w:val="TableTextLeft"/>
            </w:pPr>
          </w:p>
        </w:tc>
        <w:tc>
          <w:tcPr>
            <w:tcW w:w="1247" w:type="dxa"/>
            <w:shd w:val="clear" w:color="auto" w:fill="EFF1F5"/>
          </w:tcPr>
          <w:p w14:paraId="0FA8D752" w14:textId="77777777" w:rsidR="00127337" w:rsidRPr="00F91AB2" w:rsidRDefault="00127337" w:rsidP="00F30D3C">
            <w:pPr>
              <w:pStyle w:val="TableTextLeft"/>
            </w:pPr>
          </w:p>
        </w:tc>
      </w:tr>
      <w:tr w:rsidR="00E6324E" w:rsidRPr="00AF43B7" w14:paraId="15B3E684" w14:textId="77777777" w:rsidTr="74251931">
        <w:trPr>
          <w:cantSplit/>
          <w:trHeight w:val="410"/>
        </w:trPr>
        <w:tc>
          <w:tcPr>
            <w:tcW w:w="794" w:type="dxa"/>
          </w:tcPr>
          <w:p w14:paraId="078E31A4" w14:textId="77777777" w:rsidR="00127337" w:rsidRDefault="00127337" w:rsidP="00BB722F">
            <w:pPr>
              <w:pStyle w:val="TableLeadAgency"/>
              <w:rPr>
                <w:lang w:val="en-US" w:eastAsia="ja-JP"/>
              </w:rPr>
            </w:pPr>
            <w:r>
              <w:t>ATO</w:t>
            </w:r>
          </w:p>
        </w:tc>
        <w:tc>
          <w:tcPr>
            <w:tcW w:w="1304" w:type="dxa"/>
          </w:tcPr>
          <w:p w14:paraId="751319D2" w14:textId="77777777" w:rsidR="00127337" w:rsidRDefault="00127337" w:rsidP="000A7759">
            <w:pPr>
              <w:pStyle w:val="TableTextLeft"/>
              <w:rPr>
                <w:lang w:val="en-US" w:eastAsia="ja-JP"/>
              </w:rPr>
            </w:pPr>
            <w:r>
              <w:t>All</w:t>
            </w:r>
          </w:p>
        </w:tc>
        <w:tc>
          <w:tcPr>
            <w:tcW w:w="3175" w:type="dxa"/>
          </w:tcPr>
          <w:p w14:paraId="78D284CC" w14:textId="6AA0CCB6" w:rsidR="00127337" w:rsidRPr="00301F93" w:rsidRDefault="00127337" w:rsidP="000A7759">
            <w:pPr>
              <w:pStyle w:val="TableLink"/>
              <w:rPr>
                <w:bCs/>
              </w:rPr>
            </w:pPr>
            <w:hyperlink r:id="rId92">
              <w:r w:rsidRPr="00F57BE5">
                <w:t>Administration of penalties that apply where employers or superannuation funds fail to comply with event</w:t>
              </w:r>
              <w:r w:rsidR="003D486F" w:rsidRPr="00F57BE5">
                <w:noBreakHyphen/>
              </w:r>
              <w:r w:rsidRPr="00F57BE5">
                <w:t>based reporting obligations – Law Administration Practice Statement</w:t>
              </w:r>
            </w:hyperlink>
            <w:r>
              <w:t xml:space="preserve"> </w:t>
            </w:r>
            <w:r w:rsidR="00F57BE5">
              <w:br/>
            </w:r>
            <w:r w:rsidRPr="000A7759">
              <w:rPr>
                <w:rStyle w:val="TableTextLeftChar"/>
                <w:u w:val="none"/>
              </w:rPr>
              <w:t>(ATO guidance reference number 4200)</w:t>
            </w:r>
            <w:r w:rsidR="000A7759" w:rsidRPr="00283753">
              <w:rPr>
                <w:szCs w:val="16"/>
                <w:u w:val="none"/>
              </w:rPr>
              <w:t xml:space="preserve"> </w:t>
            </w:r>
            <w:r w:rsidR="000A7759" w:rsidRPr="00283753">
              <w:rPr>
                <w:rStyle w:val="NewInitiativeChar"/>
                <w:b/>
                <w:bCs/>
                <w:sz w:val="16"/>
                <w:szCs w:val="16"/>
                <w:u w:val="none"/>
              </w:rPr>
              <w:t>(new)</w:t>
            </w:r>
          </w:p>
          <w:p w14:paraId="3F3D7B86" w14:textId="569435B2" w:rsidR="00127337" w:rsidRDefault="00127337" w:rsidP="00BB722F">
            <w:pPr>
              <w:pStyle w:val="TableTextLeft"/>
              <w:rPr>
                <w:b/>
                <w:bCs/>
                <w:lang w:val="en-US" w:eastAsia="ja-JP"/>
              </w:rPr>
            </w:pPr>
            <w:r>
              <w:t>Event</w:t>
            </w:r>
            <w:r w:rsidR="003D486F">
              <w:noBreakHyphen/>
            </w:r>
            <w:r>
              <w:t xml:space="preserve">based reporting regimes were introduced in 2018 for employers (Single Touch Payroll) and for superannuation funds (member account transactions and attributes). </w:t>
            </w:r>
            <w:r w:rsidRPr="00367C94">
              <w:t>This Practice Statement will provide guidance for ATO staff on the administration of penalties that may apply to employers or superannuation funds that fail to meet their reporting obligations.</w:t>
            </w:r>
          </w:p>
        </w:tc>
        <w:tc>
          <w:tcPr>
            <w:tcW w:w="1247" w:type="dxa"/>
            <w:shd w:val="clear" w:color="auto" w:fill="DFE4EB"/>
          </w:tcPr>
          <w:p w14:paraId="34B88F6F" w14:textId="77777777" w:rsidR="00127337" w:rsidRDefault="00127337" w:rsidP="00BB722F">
            <w:pPr>
              <w:pStyle w:val="TableTextLeft"/>
              <w:rPr>
                <w:lang w:val="en-US" w:eastAsia="ja-JP"/>
              </w:rPr>
            </w:pPr>
            <w:r w:rsidRPr="00DD36EB">
              <w:rPr>
                <w:lang w:val="en-US" w:eastAsia="ja-JP"/>
              </w:rPr>
              <w:t>Draft public advice and guidance released for consultation</w:t>
            </w:r>
          </w:p>
        </w:tc>
        <w:tc>
          <w:tcPr>
            <w:tcW w:w="1247" w:type="dxa"/>
            <w:shd w:val="clear" w:color="auto" w:fill="DFE4EB"/>
          </w:tcPr>
          <w:p w14:paraId="2763614E" w14:textId="77777777" w:rsidR="00127337" w:rsidRPr="00F91AB2" w:rsidRDefault="00127337" w:rsidP="00BB722F">
            <w:pPr>
              <w:pStyle w:val="TableTextLeft"/>
            </w:pPr>
          </w:p>
        </w:tc>
        <w:tc>
          <w:tcPr>
            <w:tcW w:w="1247" w:type="dxa"/>
            <w:shd w:val="clear" w:color="auto" w:fill="DFE4EB"/>
          </w:tcPr>
          <w:p w14:paraId="2A98A7DB" w14:textId="77777777" w:rsidR="00127337" w:rsidRPr="00F91AB2" w:rsidDel="005C4CE7" w:rsidRDefault="00127337" w:rsidP="00BB722F">
            <w:pPr>
              <w:pStyle w:val="TableTextLeft"/>
            </w:pPr>
          </w:p>
        </w:tc>
        <w:tc>
          <w:tcPr>
            <w:tcW w:w="1247" w:type="dxa"/>
            <w:shd w:val="clear" w:color="auto" w:fill="DFE4EB"/>
          </w:tcPr>
          <w:p w14:paraId="3D6C5114" w14:textId="77777777" w:rsidR="00127337" w:rsidRPr="00F91AB2" w:rsidRDefault="00127337" w:rsidP="00BB722F">
            <w:pPr>
              <w:pStyle w:val="TableTextLeft"/>
            </w:pPr>
          </w:p>
        </w:tc>
        <w:tc>
          <w:tcPr>
            <w:tcW w:w="1247" w:type="dxa"/>
            <w:shd w:val="clear" w:color="auto" w:fill="DFE4EB"/>
          </w:tcPr>
          <w:p w14:paraId="7F6F41E8" w14:textId="77777777" w:rsidR="00127337" w:rsidRPr="00F91AB2" w:rsidDel="005C4CE7" w:rsidRDefault="00127337" w:rsidP="00BB722F">
            <w:pPr>
              <w:pStyle w:val="TableTextLeft"/>
            </w:pPr>
          </w:p>
        </w:tc>
        <w:tc>
          <w:tcPr>
            <w:tcW w:w="1247" w:type="dxa"/>
            <w:shd w:val="clear" w:color="auto" w:fill="EFF1F5"/>
          </w:tcPr>
          <w:p w14:paraId="6A4052B8" w14:textId="77777777" w:rsidR="00127337" w:rsidRPr="00F91AB2" w:rsidRDefault="00127337" w:rsidP="00BB722F">
            <w:pPr>
              <w:pStyle w:val="TableTextLeft"/>
            </w:pPr>
          </w:p>
        </w:tc>
        <w:tc>
          <w:tcPr>
            <w:tcW w:w="1247" w:type="dxa"/>
            <w:shd w:val="clear" w:color="auto" w:fill="EFF1F5"/>
          </w:tcPr>
          <w:p w14:paraId="40B25D59" w14:textId="77777777" w:rsidR="00127337" w:rsidRPr="00F91AB2" w:rsidRDefault="00127337" w:rsidP="00BB722F">
            <w:pPr>
              <w:pStyle w:val="TableTextLeft"/>
            </w:pPr>
          </w:p>
        </w:tc>
      </w:tr>
      <w:tr w:rsidR="00E6324E" w:rsidRPr="00AF43B7" w14:paraId="1D8609B5" w14:textId="77777777" w:rsidTr="74251931">
        <w:trPr>
          <w:cantSplit/>
          <w:trHeight w:val="410"/>
        </w:trPr>
        <w:tc>
          <w:tcPr>
            <w:tcW w:w="794" w:type="dxa"/>
            <w:tcBorders>
              <w:bottom w:val="single" w:sz="4" w:space="0" w:color="5D779D" w:themeColor="accent3"/>
            </w:tcBorders>
          </w:tcPr>
          <w:p w14:paraId="319F1EDC" w14:textId="77777777" w:rsidR="00127337" w:rsidRDefault="00127337" w:rsidP="002932A5">
            <w:pPr>
              <w:pStyle w:val="TableLeadAgency"/>
            </w:pPr>
            <w:r>
              <w:rPr>
                <w:lang w:eastAsia="en-US"/>
              </w:rPr>
              <w:lastRenderedPageBreak/>
              <w:t>ASIC</w:t>
            </w:r>
          </w:p>
        </w:tc>
        <w:tc>
          <w:tcPr>
            <w:tcW w:w="1304" w:type="dxa"/>
            <w:tcBorders>
              <w:bottom w:val="single" w:sz="4" w:space="0" w:color="5D779D" w:themeColor="accent3"/>
            </w:tcBorders>
          </w:tcPr>
          <w:p w14:paraId="406FADA5" w14:textId="77777777" w:rsidR="00127337" w:rsidRDefault="00127337" w:rsidP="002932A5">
            <w:pPr>
              <w:pStyle w:val="TableTextLeft"/>
            </w:pPr>
            <w:r>
              <w:rPr>
                <w:lang w:eastAsia="en-US"/>
              </w:rPr>
              <w:t>Superannuation and Retirement Income</w:t>
            </w:r>
          </w:p>
        </w:tc>
        <w:tc>
          <w:tcPr>
            <w:tcW w:w="3175" w:type="dxa"/>
            <w:tcBorders>
              <w:bottom w:val="single" w:sz="4" w:space="0" w:color="5D779D" w:themeColor="accent3"/>
            </w:tcBorders>
          </w:tcPr>
          <w:p w14:paraId="176576F9" w14:textId="5EA0F0EF" w:rsidR="00127337" w:rsidRDefault="00127337" w:rsidP="002932A5">
            <w:pPr>
              <w:pStyle w:val="TableTextLeft"/>
              <w:spacing w:line="256" w:lineRule="auto"/>
              <w:rPr>
                <w:b/>
                <w:bCs/>
                <w:lang w:eastAsia="en-US"/>
              </w:rPr>
            </w:pPr>
            <w:r>
              <w:rPr>
                <w:b/>
                <w:bCs/>
                <w:lang w:eastAsia="en-US"/>
              </w:rPr>
              <w:t>ASIC review of superannuation investment requirements</w:t>
            </w:r>
            <w:r w:rsidR="000A7759" w:rsidRPr="00283753">
              <w:rPr>
                <w:szCs w:val="16"/>
              </w:rPr>
              <w:t xml:space="preserve"> </w:t>
            </w:r>
            <w:r w:rsidR="000A7759" w:rsidRPr="000A7759">
              <w:rPr>
                <w:rStyle w:val="NewInitiativeChar"/>
                <w:sz w:val="16"/>
                <w:szCs w:val="16"/>
              </w:rPr>
              <w:t>(new)</w:t>
            </w:r>
          </w:p>
          <w:p w14:paraId="2A91F4BE" w14:textId="77777777" w:rsidR="00127337" w:rsidRDefault="00127337" w:rsidP="002932A5">
            <w:pPr>
              <w:pStyle w:val="TableTextLeft"/>
              <w:spacing w:line="256" w:lineRule="auto"/>
              <w:rPr>
                <w:lang w:eastAsia="en-US"/>
              </w:rPr>
            </w:pPr>
            <w:r>
              <w:rPr>
                <w:lang w:eastAsia="en-US"/>
              </w:rPr>
              <w:t xml:space="preserve"> ASIC has commenced a targeted review focusing on requirements to disclose stamp duty payments in Regulatory Guide 97 Disclosing fees and costs in PDSs and periodic statements. </w:t>
            </w:r>
          </w:p>
          <w:p w14:paraId="3C66DF09" w14:textId="77777777" w:rsidR="00127337" w:rsidRDefault="00127337" w:rsidP="002932A5">
            <w:pPr>
              <w:pStyle w:val="TableTextLeft"/>
            </w:pPr>
            <w:r>
              <w:rPr>
                <w:lang w:eastAsia="en-US"/>
              </w:rPr>
              <w:t>The review panel will be led by ASIC and will seek direct submissions from experts and key stakeholders.</w:t>
            </w:r>
          </w:p>
        </w:tc>
        <w:tc>
          <w:tcPr>
            <w:tcW w:w="1247" w:type="dxa"/>
            <w:tcBorders>
              <w:bottom w:val="single" w:sz="4" w:space="0" w:color="5D779D" w:themeColor="accent3"/>
            </w:tcBorders>
            <w:shd w:val="clear" w:color="auto" w:fill="DFE4EB"/>
          </w:tcPr>
          <w:p w14:paraId="51873715" w14:textId="66EB4CA2" w:rsidR="00127337" w:rsidRDefault="00127337" w:rsidP="002932A5">
            <w:pPr>
              <w:pStyle w:val="TableTextLeft"/>
            </w:pPr>
            <w:r>
              <w:rPr>
                <w:lang w:eastAsia="en-US"/>
              </w:rPr>
              <w:t>Consultation on changes to RG and publication of ASIC</w:t>
            </w:r>
            <w:r w:rsidR="003D486F">
              <w:rPr>
                <w:lang w:eastAsia="en-US"/>
              </w:rPr>
              <w:t>’</w:t>
            </w:r>
            <w:r>
              <w:rPr>
                <w:lang w:eastAsia="en-US"/>
              </w:rPr>
              <w:t xml:space="preserve">s position  </w:t>
            </w:r>
          </w:p>
        </w:tc>
        <w:tc>
          <w:tcPr>
            <w:tcW w:w="1247" w:type="dxa"/>
            <w:tcBorders>
              <w:bottom w:val="single" w:sz="4" w:space="0" w:color="5D779D" w:themeColor="accent3"/>
            </w:tcBorders>
            <w:shd w:val="clear" w:color="auto" w:fill="DFE4EB"/>
          </w:tcPr>
          <w:p w14:paraId="4B59002A" w14:textId="77777777" w:rsidR="00127337" w:rsidRPr="00F91AB2" w:rsidRDefault="00127337" w:rsidP="002932A5">
            <w:pPr>
              <w:pStyle w:val="TableTextLeft"/>
            </w:pPr>
          </w:p>
        </w:tc>
        <w:tc>
          <w:tcPr>
            <w:tcW w:w="1247" w:type="dxa"/>
            <w:tcBorders>
              <w:bottom w:val="single" w:sz="4" w:space="0" w:color="5D779D" w:themeColor="accent3"/>
            </w:tcBorders>
            <w:shd w:val="clear" w:color="auto" w:fill="DFE4EB"/>
          </w:tcPr>
          <w:p w14:paraId="30681570" w14:textId="77777777" w:rsidR="00127337" w:rsidRPr="00F91AB2" w:rsidDel="005C4CE7" w:rsidRDefault="00127337" w:rsidP="002932A5">
            <w:pPr>
              <w:pStyle w:val="TableTextLeft"/>
            </w:pPr>
          </w:p>
        </w:tc>
        <w:tc>
          <w:tcPr>
            <w:tcW w:w="1247" w:type="dxa"/>
            <w:tcBorders>
              <w:bottom w:val="single" w:sz="4" w:space="0" w:color="5D779D" w:themeColor="accent3"/>
            </w:tcBorders>
            <w:shd w:val="clear" w:color="auto" w:fill="DFE4EB"/>
          </w:tcPr>
          <w:p w14:paraId="240B3CC9" w14:textId="77777777" w:rsidR="00127337" w:rsidRPr="00F91AB2" w:rsidRDefault="00127337" w:rsidP="002932A5">
            <w:pPr>
              <w:pStyle w:val="TableTextLeft"/>
            </w:pPr>
          </w:p>
        </w:tc>
        <w:tc>
          <w:tcPr>
            <w:tcW w:w="1247" w:type="dxa"/>
            <w:tcBorders>
              <w:bottom w:val="single" w:sz="4" w:space="0" w:color="5D779D" w:themeColor="accent3"/>
            </w:tcBorders>
            <w:shd w:val="clear" w:color="auto" w:fill="DFE4EB"/>
          </w:tcPr>
          <w:p w14:paraId="5E27AF5A" w14:textId="77777777" w:rsidR="00127337" w:rsidRPr="00F91AB2" w:rsidDel="005C4CE7" w:rsidRDefault="00127337" w:rsidP="002932A5">
            <w:pPr>
              <w:pStyle w:val="TableTextLeft"/>
            </w:pPr>
          </w:p>
        </w:tc>
        <w:tc>
          <w:tcPr>
            <w:tcW w:w="1247" w:type="dxa"/>
            <w:tcBorders>
              <w:bottom w:val="single" w:sz="4" w:space="0" w:color="5D779D" w:themeColor="accent3"/>
            </w:tcBorders>
            <w:shd w:val="clear" w:color="auto" w:fill="EFF1F5"/>
          </w:tcPr>
          <w:p w14:paraId="337F02B6" w14:textId="77777777" w:rsidR="00127337" w:rsidRPr="00F91AB2" w:rsidRDefault="00127337" w:rsidP="002932A5">
            <w:pPr>
              <w:pStyle w:val="TableTextLeft"/>
            </w:pPr>
          </w:p>
        </w:tc>
        <w:tc>
          <w:tcPr>
            <w:tcW w:w="1247" w:type="dxa"/>
            <w:tcBorders>
              <w:bottom w:val="single" w:sz="4" w:space="0" w:color="5D779D" w:themeColor="accent3"/>
            </w:tcBorders>
            <w:shd w:val="clear" w:color="auto" w:fill="EFF1F5"/>
          </w:tcPr>
          <w:p w14:paraId="2A97D2FD" w14:textId="77777777" w:rsidR="00127337" w:rsidRPr="00F91AB2" w:rsidRDefault="00127337" w:rsidP="002932A5">
            <w:pPr>
              <w:pStyle w:val="TableTextLeft"/>
            </w:pPr>
          </w:p>
        </w:tc>
      </w:tr>
      <w:tr w:rsidR="00E6324E" w:rsidRPr="00AF43B7" w14:paraId="44998CB9" w14:textId="77777777" w:rsidTr="74251931">
        <w:trPr>
          <w:cantSplit/>
          <w:trHeight w:val="410"/>
        </w:trPr>
        <w:tc>
          <w:tcPr>
            <w:tcW w:w="794" w:type="dxa"/>
            <w:tcBorders>
              <w:bottom w:val="single" w:sz="4" w:space="0" w:color="5D779D" w:themeColor="accent3"/>
            </w:tcBorders>
          </w:tcPr>
          <w:p w14:paraId="3A2F1768" w14:textId="77777777" w:rsidR="00127337" w:rsidRPr="00E7433A" w:rsidRDefault="00127337" w:rsidP="00744529">
            <w:pPr>
              <w:pStyle w:val="TableLeadAgency"/>
            </w:pPr>
            <w:r w:rsidRPr="00E7433A">
              <w:t xml:space="preserve">RBA </w:t>
            </w:r>
          </w:p>
          <w:p w14:paraId="3BA1C287" w14:textId="77777777" w:rsidR="00127337" w:rsidRPr="00E7433A" w:rsidRDefault="00127337" w:rsidP="00744529">
            <w:pPr>
              <w:pStyle w:val="TableSecondaryAgency"/>
            </w:pPr>
            <w:r w:rsidRPr="00E7433A">
              <w:t xml:space="preserve">ASIC </w:t>
            </w:r>
          </w:p>
          <w:p w14:paraId="47B09567" w14:textId="77777777" w:rsidR="00127337" w:rsidRPr="00E7433A" w:rsidRDefault="00127337" w:rsidP="00744529">
            <w:pPr>
              <w:pStyle w:val="TableSecondaryAgency"/>
              <w:rPr>
                <w:b/>
              </w:rPr>
            </w:pPr>
            <w:r w:rsidRPr="00E7433A">
              <w:t>TSY</w:t>
            </w:r>
          </w:p>
        </w:tc>
        <w:tc>
          <w:tcPr>
            <w:tcW w:w="1304" w:type="dxa"/>
            <w:tcBorders>
              <w:bottom w:val="single" w:sz="4" w:space="0" w:color="5D779D" w:themeColor="accent3"/>
            </w:tcBorders>
          </w:tcPr>
          <w:p w14:paraId="5C605A85" w14:textId="77777777" w:rsidR="00127337" w:rsidRPr="00F91AB2" w:rsidRDefault="00127337" w:rsidP="00744529">
            <w:pPr>
              <w:pStyle w:val="TableTextLeft"/>
            </w:pPr>
            <w:r>
              <w:t>Financial markets</w:t>
            </w:r>
          </w:p>
        </w:tc>
        <w:tc>
          <w:tcPr>
            <w:tcW w:w="3175" w:type="dxa"/>
            <w:tcBorders>
              <w:bottom w:val="single" w:sz="4" w:space="0" w:color="5D779D" w:themeColor="accent3"/>
            </w:tcBorders>
          </w:tcPr>
          <w:p w14:paraId="777D92CE" w14:textId="77777777" w:rsidR="00127337" w:rsidRPr="000A7759" w:rsidRDefault="00127337" w:rsidP="000A7759">
            <w:pPr>
              <w:pStyle w:val="TableLink"/>
            </w:pPr>
            <w:hyperlink r:id="rId93" w:history="1">
              <w:r w:rsidRPr="000A7759">
                <w:rPr>
                  <w:rStyle w:val="Hyperlink"/>
                  <w:color w:val="5D779D" w:themeColor="accent3"/>
                  <w:u w:val="single"/>
                </w:rPr>
                <w:t>Clearing and settlement facility resolution guidance</w:t>
              </w:r>
            </w:hyperlink>
          </w:p>
          <w:p w14:paraId="2775D7A8" w14:textId="77777777" w:rsidR="00127337" w:rsidRPr="00F91AB2" w:rsidRDefault="00127337" w:rsidP="00744529">
            <w:pPr>
              <w:pStyle w:val="TableTextLeft"/>
            </w:pPr>
            <w:r>
              <w:t>The RBA will provide g</w:t>
            </w:r>
            <w:r w:rsidRPr="009A3724">
              <w:t>uidance for clearing and settlement facilities and market participants describing how and when the RBA expects to use the resolution powers provided by the recent financial market infrastructure (FMI) regulatory reforms.</w:t>
            </w:r>
          </w:p>
        </w:tc>
        <w:tc>
          <w:tcPr>
            <w:tcW w:w="1247" w:type="dxa"/>
            <w:tcBorders>
              <w:bottom w:val="single" w:sz="4" w:space="0" w:color="5D779D" w:themeColor="accent3"/>
            </w:tcBorders>
            <w:shd w:val="clear" w:color="auto" w:fill="DFE4EB"/>
          </w:tcPr>
          <w:p w14:paraId="6EDF1461" w14:textId="77777777" w:rsidR="00127337" w:rsidRPr="00F91AB2" w:rsidRDefault="00127337" w:rsidP="00744529">
            <w:pPr>
              <w:pStyle w:val="TableTextLeft"/>
            </w:pPr>
            <w:r w:rsidRPr="004A360B">
              <w:rPr>
                <w:lang w:val="en-US"/>
              </w:rPr>
              <w:t>Guidance published</w:t>
            </w:r>
            <w:r>
              <w:rPr>
                <w:lang w:val="en-US"/>
              </w:rPr>
              <w:t>*</w:t>
            </w:r>
          </w:p>
        </w:tc>
        <w:tc>
          <w:tcPr>
            <w:tcW w:w="1247" w:type="dxa"/>
            <w:tcBorders>
              <w:bottom w:val="single" w:sz="4" w:space="0" w:color="5D779D" w:themeColor="accent3"/>
            </w:tcBorders>
            <w:shd w:val="clear" w:color="auto" w:fill="DFE4EB"/>
          </w:tcPr>
          <w:p w14:paraId="7F1DD0F5" w14:textId="77777777" w:rsidR="00127337" w:rsidRPr="00F91AB2" w:rsidRDefault="00127337" w:rsidP="00744529">
            <w:pPr>
              <w:pStyle w:val="TableTextLeft"/>
            </w:pPr>
          </w:p>
        </w:tc>
        <w:tc>
          <w:tcPr>
            <w:tcW w:w="1247" w:type="dxa"/>
            <w:tcBorders>
              <w:bottom w:val="single" w:sz="4" w:space="0" w:color="5D779D" w:themeColor="accent3"/>
            </w:tcBorders>
            <w:shd w:val="clear" w:color="auto" w:fill="DFE4EB"/>
          </w:tcPr>
          <w:p w14:paraId="35E653CC" w14:textId="77777777" w:rsidR="00127337" w:rsidRPr="00F91AB2" w:rsidRDefault="00127337" w:rsidP="00744529">
            <w:pPr>
              <w:pStyle w:val="TableTextLeft"/>
            </w:pPr>
          </w:p>
        </w:tc>
        <w:tc>
          <w:tcPr>
            <w:tcW w:w="1247" w:type="dxa"/>
            <w:tcBorders>
              <w:bottom w:val="single" w:sz="4" w:space="0" w:color="5D779D" w:themeColor="accent3"/>
            </w:tcBorders>
            <w:shd w:val="clear" w:color="auto" w:fill="DFE4EB"/>
          </w:tcPr>
          <w:p w14:paraId="60297846" w14:textId="77777777" w:rsidR="00127337" w:rsidRPr="00F91AB2" w:rsidRDefault="00127337" w:rsidP="00744529">
            <w:pPr>
              <w:pStyle w:val="TableTextLeft"/>
            </w:pPr>
          </w:p>
        </w:tc>
        <w:tc>
          <w:tcPr>
            <w:tcW w:w="1247" w:type="dxa"/>
            <w:tcBorders>
              <w:bottom w:val="single" w:sz="4" w:space="0" w:color="5D779D" w:themeColor="accent3"/>
            </w:tcBorders>
            <w:shd w:val="clear" w:color="auto" w:fill="DFE4EB"/>
          </w:tcPr>
          <w:p w14:paraId="31F7F3FE" w14:textId="77777777" w:rsidR="00127337" w:rsidRPr="00F91AB2" w:rsidRDefault="00127337" w:rsidP="00744529">
            <w:pPr>
              <w:pStyle w:val="TableTextLeft"/>
            </w:pPr>
          </w:p>
        </w:tc>
        <w:tc>
          <w:tcPr>
            <w:tcW w:w="1247" w:type="dxa"/>
            <w:tcBorders>
              <w:bottom w:val="single" w:sz="4" w:space="0" w:color="5D779D" w:themeColor="accent3"/>
            </w:tcBorders>
            <w:shd w:val="clear" w:color="auto" w:fill="EFF1F5"/>
          </w:tcPr>
          <w:p w14:paraId="10581398" w14:textId="77777777" w:rsidR="00127337" w:rsidRPr="00F91AB2" w:rsidRDefault="00127337" w:rsidP="00744529">
            <w:pPr>
              <w:pStyle w:val="TableTextLeft"/>
            </w:pPr>
          </w:p>
        </w:tc>
        <w:tc>
          <w:tcPr>
            <w:tcW w:w="1247" w:type="dxa"/>
            <w:tcBorders>
              <w:bottom w:val="single" w:sz="4" w:space="0" w:color="5D779D" w:themeColor="accent3"/>
            </w:tcBorders>
            <w:shd w:val="clear" w:color="auto" w:fill="EFF1F5"/>
          </w:tcPr>
          <w:p w14:paraId="1DF46A2A" w14:textId="77777777" w:rsidR="00127337" w:rsidRPr="00F91AB2" w:rsidRDefault="00127337" w:rsidP="00744529">
            <w:pPr>
              <w:pStyle w:val="TableTextLeft"/>
            </w:pPr>
          </w:p>
        </w:tc>
      </w:tr>
      <w:tr w:rsidR="00E6324E" w:rsidRPr="00AF43B7" w14:paraId="577BC90F" w14:textId="77777777" w:rsidTr="74251931">
        <w:trPr>
          <w:cantSplit/>
          <w:trHeight w:val="410"/>
        </w:trPr>
        <w:tc>
          <w:tcPr>
            <w:tcW w:w="794" w:type="dxa"/>
            <w:tcBorders>
              <w:top w:val="single" w:sz="4" w:space="0" w:color="5D779D" w:themeColor="accent3"/>
              <w:bottom w:val="single" w:sz="4" w:space="0" w:color="5D779D" w:themeColor="accent3"/>
            </w:tcBorders>
          </w:tcPr>
          <w:p w14:paraId="51B86947" w14:textId="77777777" w:rsidR="00127337" w:rsidRPr="00E7433A" w:rsidRDefault="00127337" w:rsidP="0025748A">
            <w:pPr>
              <w:pStyle w:val="TableLeadAgency"/>
            </w:pPr>
            <w:r w:rsidRPr="00E7433A">
              <w:t xml:space="preserve">TSY </w:t>
            </w:r>
          </w:p>
          <w:p w14:paraId="2AAB9AFE" w14:textId="77777777" w:rsidR="00127337" w:rsidRPr="00E7433A" w:rsidRDefault="00127337" w:rsidP="0025748A">
            <w:pPr>
              <w:pStyle w:val="TableSecondaryAgency"/>
            </w:pPr>
            <w:r w:rsidRPr="00E7433A">
              <w:t xml:space="preserve">ASIC </w:t>
            </w:r>
          </w:p>
          <w:p w14:paraId="1465BFB8" w14:textId="77777777" w:rsidR="00127337" w:rsidRPr="00E7433A" w:rsidRDefault="00127337" w:rsidP="0025748A">
            <w:pPr>
              <w:pStyle w:val="TableSecondaryAgency"/>
              <w:rPr>
                <w:b/>
              </w:rPr>
            </w:pPr>
            <w:r w:rsidRPr="00E7433A">
              <w:t>Other</w:t>
            </w:r>
          </w:p>
        </w:tc>
        <w:tc>
          <w:tcPr>
            <w:tcW w:w="1304" w:type="dxa"/>
            <w:tcBorders>
              <w:top w:val="single" w:sz="4" w:space="0" w:color="5D779D" w:themeColor="accent3"/>
              <w:bottom w:val="single" w:sz="4" w:space="0" w:color="5D779D" w:themeColor="accent3"/>
            </w:tcBorders>
          </w:tcPr>
          <w:p w14:paraId="1E78A739" w14:textId="77777777" w:rsidR="00127337" w:rsidRPr="005938DB" w:rsidRDefault="00127337" w:rsidP="0025748A">
            <w:pPr>
              <w:pStyle w:val="TableTextLeft"/>
            </w:pPr>
            <w:r w:rsidRPr="00B052EB">
              <w:t>All</w:t>
            </w:r>
          </w:p>
        </w:tc>
        <w:tc>
          <w:tcPr>
            <w:tcW w:w="3175" w:type="dxa"/>
            <w:tcBorders>
              <w:top w:val="single" w:sz="4" w:space="0" w:color="5D779D" w:themeColor="accent3"/>
              <w:bottom w:val="single" w:sz="4" w:space="0" w:color="5D779D" w:themeColor="accent3"/>
            </w:tcBorders>
          </w:tcPr>
          <w:p w14:paraId="15B40416" w14:textId="77777777" w:rsidR="00127337" w:rsidRPr="000A7759" w:rsidRDefault="00127337" w:rsidP="000A7759">
            <w:pPr>
              <w:pStyle w:val="TableLink"/>
              <w:rPr>
                <w:rStyle w:val="Hyperlink"/>
                <w:color w:val="5D779D" w:themeColor="accent3"/>
                <w:u w:val="single"/>
              </w:rPr>
            </w:pPr>
            <w:hyperlink r:id="rId94">
              <w:r w:rsidRPr="000A7759">
                <w:rPr>
                  <w:rStyle w:val="Hyperlink"/>
                  <w:color w:val="5D779D" w:themeColor="accent3"/>
                  <w:u w:val="single"/>
                </w:rPr>
                <w:t>Climate related financial disclosures</w:t>
              </w:r>
            </w:hyperlink>
          </w:p>
          <w:p w14:paraId="360D7352" w14:textId="77777777" w:rsidR="00127337" w:rsidRDefault="00127337" w:rsidP="0025748A">
            <w:pPr>
              <w:pStyle w:val="TableTextLeft"/>
              <w:rPr>
                <w:color w:val="auto"/>
                <w:lang w:eastAsia="en-US"/>
              </w:rPr>
            </w:pPr>
            <w:r w:rsidRPr="00BB5692">
              <w:rPr>
                <w:bCs/>
                <w:color w:val="auto"/>
                <w:lang w:eastAsia="en-US"/>
              </w:rPr>
              <w:t xml:space="preserve">The </w:t>
            </w:r>
            <w:r>
              <w:rPr>
                <w:bCs/>
                <w:color w:val="auto"/>
                <w:lang w:eastAsia="en-US"/>
              </w:rPr>
              <w:t>g</w:t>
            </w:r>
            <w:r w:rsidRPr="00BB5692">
              <w:rPr>
                <w:bCs/>
                <w:color w:val="auto"/>
                <w:lang w:eastAsia="en-US"/>
              </w:rPr>
              <w:t>overnment is implementing mandatory climate</w:t>
            </w:r>
            <w:r>
              <w:rPr>
                <w:bCs/>
                <w:color w:val="auto"/>
                <w:lang w:eastAsia="en-US"/>
              </w:rPr>
              <w:t xml:space="preserve"> </w:t>
            </w:r>
            <w:r w:rsidRPr="00BB5692">
              <w:rPr>
                <w:bCs/>
                <w:color w:val="auto"/>
                <w:lang w:eastAsia="en-US"/>
              </w:rPr>
              <w:t xml:space="preserve">related financial disclosure requirements for large businesses and financial institutions. Legislation received </w:t>
            </w:r>
            <w:r>
              <w:rPr>
                <w:bCs/>
                <w:color w:val="auto"/>
                <w:lang w:eastAsia="en-US"/>
              </w:rPr>
              <w:t>R</w:t>
            </w:r>
            <w:r w:rsidRPr="00BB5692">
              <w:rPr>
                <w:bCs/>
                <w:color w:val="auto"/>
                <w:lang w:eastAsia="en-US"/>
              </w:rPr>
              <w:t xml:space="preserve">oyal </w:t>
            </w:r>
            <w:r>
              <w:rPr>
                <w:bCs/>
                <w:color w:val="auto"/>
                <w:lang w:eastAsia="en-US"/>
              </w:rPr>
              <w:t>A</w:t>
            </w:r>
            <w:r w:rsidRPr="00BB5692">
              <w:rPr>
                <w:bCs/>
                <w:color w:val="auto"/>
                <w:lang w:eastAsia="en-US"/>
              </w:rPr>
              <w:t>ssent on 17 September 2024 and requirements will phase in for different</w:t>
            </w:r>
            <w:r>
              <w:rPr>
                <w:bCs/>
                <w:color w:val="auto"/>
                <w:lang w:eastAsia="en-US"/>
              </w:rPr>
              <w:t xml:space="preserve"> </w:t>
            </w:r>
            <w:r w:rsidRPr="00BB5692">
              <w:rPr>
                <w:bCs/>
                <w:color w:val="auto"/>
                <w:lang w:eastAsia="en-US"/>
              </w:rPr>
              <w:t>sized entities, commencing 1 January 2025.</w:t>
            </w:r>
            <w:r>
              <w:t xml:space="preserve"> </w:t>
            </w:r>
          </w:p>
          <w:p w14:paraId="3D0DD486" w14:textId="37C25B7F" w:rsidR="00127337" w:rsidRPr="005B4E8E" w:rsidRDefault="00127337" w:rsidP="0025748A">
            <w:pPr>
              <w:pStyle w:val="TableTextLeft"/>
              <w:rPr>
                <w:b/>
              </w:rPr>
            </w:pPr>
            <w:r>
              <w:rPr>
                <w:bCs/>
                <w:color w:val="auto"/>
                <w:lang w:eastAsia="en-US"/>
              </w:rPr>
              <w:t>ASIC published a regulatory guide (RG280) to help reporting entities comply with the new sustainability reporting obligations and to explain ASIC</w:t>
            </w:r>
            <w:r w:rsidR="003D486F">
              <w:rPr>
                <w:bCs/>
                <w:color w:val="auto"/>
                <w:lang w:eastAsia="en-US"/>
              </w:rPr>
              <w:t>’</w:t>
            </w:r>
            <w:r>
              <w:rPr>
                <w:bCs/>
                <w:color w:val="auto"/>
                <w:lang w:eastAsia="en-US"/>
              </w:rPr>
              <w:t>s approach to administration of the regime.</w:t>
            </w:r>
            <w:r>
              <w:rPr>
                <w:rFonts w:cs="Calibri Light"/>
                <w:color w:val="00B050"/>
                <w:szCs w:val="16"/>
              </w:rPr>
              <w:t xml:space="preserve"> </w:t>
            </w:r>
            <w:r w:rsidRPr="00FD1789">
              <w:rPr>
                <w:bCs/>
                <w:color w:val="auto"/>
                <w:lang w:eastAsia="en-US"/>
              </w:rPr>
              <w:t>The AASB released Australian Sustainability Reporting Standards (AASB S2) in support of the new requirements in September 2024.</w:t>
            </w:r>
          </w:p>
        </w:tc>
        <w:tc>
          <w:tcPr>
            <w:tcW w:w="1247" w:type="dxa"/>
            <w:tcBorders>
              <w:top w:val="single" w:sz="4" w:space="0" w:color="5D779D" w:themeColor="accent3"/>
              <w:bottom w:val="single" w:sz="4" w:space="0" w:color="5D779D" w:themeColor="accent3"/>
            </w:tcBorders>
            <w:shd w:val="clear" w:color="auto" w:fill="DFE4EB"/>
          </w:tcPr>
          <w:p w14:paraId="569EFA4F" w14:textId="77777777" w:rsidR="00127337" w:rsidRPr="00F91AB2" w:rsidRDefault="00127337" w:rsidP="0025748A">
            <w:pPr>
              <w:pStyle w:val="TableTextLeft"/>
            </w:pPr>
          </w:p>
        </w:tc>
        <w:tc>
          <w:tcPr>
            <w:tcW w:w="1247" w:type="dxa"/>
            <w:tcBorders>
              <w:top w:val="single" w:sz="4" w:space="0" w:color="5D779D" w:themeColor="accent3"/>
              <w:bottom w:val="single" w:sz="4" w:space="0" w:color="5D779D" w:themeColor="accent3"/>
            </w:tcBorders>
            <w:shd w:val="clear" w:color="auto" w:fill="DFE4EB"/>
          </w:tcPr>
          <w:p w14:paraId="2BF59C8A" w14:textId="77777777" w:rsidR="00127337" w:rsidRDefault="00127337" w:rsidP="0025748A">
            <w:pPr>
              <w:pStyle w:val="TableTextLeft"/>
            </w:pPr>
            <w:r>
              <w:t>ASIC to release additional capacity building materials*</w:t>
            </w:r>
          </w:p>
          <w:p w14:paraId="08832CEF" w14:textId="77777777" w:rsidR="00127337" w:rsidRPr="00F91AB2" w:rsidRDefault="00127337" w:rsidP="0025748A">
            <w:pPr>
              <w:pStyle w:val="TableTextLeft"/>
            </w:pPr>
          </w:p>
        </w:tc>
        <w:tc>
          <w:tcPr>
            <w:tcW w:w="1247" w:type="dxa"/>
            <w:tcBorders>
              <w:top w:val="single" w:sz="4" w:space="0" w:color="5D779D" w:themeColor="accent3"/>
              <w:bottom w:val="single" w:sz="4" w:space="0" w:color="5D779D" w:themeColor="accent3"/>
            </w:tcBorders>
            <w:shd w:val="clear" w:color="auto" w:fill="DFE4EB"/>
          </w:tcPr>
          <w:p w14:paraId="2B5F7549" w14:textId="77777777" w:rsidR="00127337" w:rsidRPr="00F91AB2" w:rsidRDefault="00127337" w:rsidP="0025748A">
            <w:pPr>
              <w:pStyle w:val="TableTextLeft"/>
            </w:pPr>
            <w:r>
              <w:t>ASIC to review first round of reports from Group 1 entities*</w:t>
            </w:r>
          </w:p>
        </w:tc>
        <w:tc>
          <w:tcPr>
            <w:tcW w:w="1247" w:type="dxa"/>
            <w:tcBorders>
              <w:top w:val="single" w:sz="4" w:space="0" w:color="5D779D" w:themeColor="accent3"/>
              <w:bottom w:val="single" w:sz="4" w:space="0" w:color="5D779D" w:themeColor="accent3"/>
            </w:tcBorders>
            <w:shd w:val="clear" w:color="auto" w:fill="DFE4EB"/>
          </w:tcPr>
          <w:p w14:paraId="08234EA9" w14:textId="77777777" w:rsidR="00127337" w:rsidRDefault="00127337" w:rsidP="0089759E">
            <w:pPr>
              <w:pStyle w:val="TableTextLeft"/>
            </w:pPr>
            <w:r>
              <w:t>Obligations commence for Group 2 reporting entities*</w:t>
            </w:r>
          </w:p>
          <w:p w14:paraId="4D8D5467" w14:textId="77777777" w:rsidR="00127337" w:rsidRPr="00F91AB2" w:rsidRDefault="00127337" w:rsidP="0025748A">
            <w:pPr>
              <w:pStyle w:val="TableTextLeft"/>
            </w:pPr>
          </w:p>
        </w:tc>
        <w:tc>
          <w:tcPr>
            <w:tcW w:w="1247" w:type="dxa"/>
            <w:tcBorders>
              <w:top w:val="single" w:sz="4" w:space="0" w:color="5D779D" w:themeColor="accent3"/>
              <w:bottom w:val="single" w:sz="4" w:space="0" w:color="5D779D" w:themeColor="accent3"/>
            </w:tcBorders>
            <w:shd w:val="clear" w:color="auto" w:fill="DFE4EB"/>
          </w:tcPr>
          <w:p w14:paraId="41EBD74C" w14:textId="77777777" w:rsidR="00127337" w:rsidRPr="00F91AB2" w:rsidRDefault="00127337" w:rsidP="0025748A">
            <w:pPr>
              <w:pStyle w:val="TableTextLeft"/>
            </w:pPr>
          </w:p>
        </w:tc>
        <w:tc>
          <w:tcPr>
            <w:tcW w:w="1247" w:type="dxa"/>
            <w:tcBorders>
              <w:top w:val="single" w:sz="4" w:space="0" w:color="5D779D" w:themeColor="accent3"/>
              <w:bottom w:val="single" w:sz="4" w:space="0" w:color="5D779D" w:themeColor="accent3"/>
            </w:tcBorders>
            <w:shd w:val="clear" w:color="auto" w:fill="EFF1F5"/>
          </w:tcPr>
          <w:p w14:paraId="0FAF5D52" w14:textId="77777777" w:rsidR="00127337" w:rsidRPr="00F91AB2" w:rsidRDefault="00127337" w:rsidP="0025748A">
            <w:pPr>
              <w:pStyle w:val="TableTextLeft"/>
            </w:pPr>
          </w:p>
        </w:tc>
        <w:tc>
          <w:tcPr>
            <w:tcW w:w="1247" w:type="dxa"/>
            <w:tcBorders>
              <w:top w:val="single" w:sz="4" w:space="0" w:color="5D779D" w:themeColor="accent3"/>
              <w:bottom w:val="single" w:sz="4" w:space="0" w:color="5D779D" w:themeColor="accent3"/>
            </w:tcBorders>
            <w:shd w:val="clear" w:color="auto" w:fill="EFF1F5"/>
          </w:tcPr>
          <w:p w14:paraId="559BDD0B" w14:textId="77777777" w:rsidR="00127337" w:rsidRPr="00F91AB2" w:rsidRDefault="00127337" w:rsidP="0025748A">
            <w:pPr>
              <w:pStyle w:val="TableTextLeft"/>
            </w:pPr>
            <w:r>
              <w:t>Obligations commence for Group 3 reporting entities*</w:t>
            </w:r>
          </w:p>
        </w:tc>
      </w:tr>
      <w:tr w:rsidR="00E6324E" w:rsidRPr="00AF43B7" w14:paraId="59F90E1B" w14:textId="77777777" w:rsidTr="74251931">
        <w:trPr>
          <w:cantSplit/>
          <w:trHeight w:val="410"/>
        </w:trPr>
        <w:tc>
          <w:tcPr>
            <w:tcW w:w="794" w:type="dxa"/>
            <w:tcBorders>
              <w:top w:val="single" w:sz="4" w:space="0" w:color="5D779D" w:themeColor="accent3"/>
            </w:tcBorders>
          </w:tcPr>
          <w:p w14:paraId="42DD2B07" w14:textId="77777777" w:rsidR="00127337" w:rsidRPr="00E7433A" w:rsidRDefault="00127337" w:rsidP="00744529">
            <w:pPr>
              <w:pStyle w:val="TableLeadAgency"/>
            </w:pPr>
            <w:r w:rsidRPr="00E7433A">
              <w:lastRenderedPageBreak/>
              <w:t>TSY</w:t>
            </w:r>
          </w:p>
          <w:p w14:paraId="39C87892" w14:textId="77777777" w:rsidR="00127337" w:rsidRPr="00E7433A" w:rsidRDefault="00127337" w:rsidP="00744529">
            <w:pPr>
              <w:pStyle w:val="TableSecondaryAgency"/>
            </w:pPr>
            <w:r w:rsidRPr="00E7433A">
              <w:t>ASIC</w:t>
            </w:r>
          </w:p>
        </w:tc>
        <w:tc>
          <w:tcPr>
            <w:tcW w:w="1304" w:type="dxa"/>
            <w:tcBorders>
              <w:top w:val="single" w:sz="4" w:space="0" w:color="5D779D" w:themeColor="accent3"/>
            </w:tcBorders>
          </w:tcPr>
          <w:p w14:paraId="5AC64863" w14:textId="77777777" w:rsidR="00127337" w:rsidRDefault="00127337" w:rsidP="00744529">
            <w:pPr>
              <w:pStyle w:val="TableTextLeft"/>
            </w:pPr>
            <w:r>
              <w:t xml:space="preserve">Financial advice </w:t>
            </w:r>
          </w:p>
          <w:p w14:paraId="03D3E585" w14:textId="77777777" w:rsidR="00127337" w:rsidRDefault="00127337" w:rsidP="00744529">
            <w:pPr>
              <w:pStyle w:val="TableTextLeft"/>
            </w:pPr>
            <w:r>
              <w:t>Banking, credit and lending</w:t>
            </w:r>
          </w:p>
          <w:p w14:paraId="7318D3D7" w14:textId="4E5EF511" w:rsidR="00127337" w:rsidRPr="00F91AB2" w:rsidRDefault="00DB0C4A" w:rsidP="00744529">
            <w:pPr>
              <w:pStyle w:val="TableTextLeft"/>
            </w:pPr>
            <w:r w:rsidRPr="00DB0C4A">
              <w:t>Collective management and investment management</w:t>
            </w:r>
          </w:p>
        </w:tc>
        <w:tc>
          <w:tcPr>
            <w:tcW w:w="3175" w:type="dxa"/>
            <w:tcBorders>
              <w:top w:val="single" w:sz="4" w:space="0" w:color="5D779D" w:themeColor="accent3"/>
            </w:tcBorders>
          </w:tcPr>
          <w:p w14:paraId="1A83C59C" w14:textId="77777777" w:rsidR="00127337" w:rsidRPr="000A7759" w:rsidRDefault="00127337" w:rsidP="000A7759">
            <w:pPr>
              <w:pStyle w:val="TableLink"/>
            </w:pPr>
            <w:hyperlink r:id="rId95" w:history="1">
              <w:r w:rsidRPr="000A7759">
                <w:rPr>
                  <w:rStyle w:val="Hyperlink"/>
                  <w:color w:val="5D779D" w:themeColor="accent3"/>
                  <w:u w:val="single"/>
                </w:rPr>
                <w:t>Compensation Scheme of Last Resort (CSLR)</w:t>
              </w:r>
            </w:hyperlink>
          </w:p>
          <w:p w14:paraId="4C40B7BB" w14:textId="29339F34" w:rsidR="00127337" w:rsidRPr="009954F3" w:rsidRDefault="00127337" w:rsidP="00744529">
            <w:pPr>
              <w:pStyle w:val="TableTextLeft"/>
              <w:rPr>
                <w:rFonts w:cs="Calibri Light"/>
              </w:rPr>
            </w:pPr>
            <w:r>
              <w:t xml:space="preserve">Ongoing work is progressing to facilitate the </w:t>
            </w:r>
            <w:r w:rsidRPr="009A3724">
              <w:t xml:space="preserve">payment </w:t>
            </w:r>
            <w:r>
              <w:t>of compensation</w:t>
            </w:r>
            <w:r w:rsidRPr="009A3724">
              <w:t xml:space="preserve"> to eligible consumers who have an unpaid determination from the Australian Financial Complaints Authority (AFCA), primarily due to the insolvency of the relevant financial service provider.</w:t>
            </w:r>
            <w:r>
              <w:t xml:space="preserve"> The CSLR Operator is working to finalise cost estimates for the 2026–27 annua</w:t>
            </w:r>
            <w:r w:rsidR="00A956DD">
              <w:t> </w:t>
            </w:r>
            <w:r>
              <w:t xml:space="preserve">levy. </w:t>
            </w:r>
          </w:p>
        </w:tc>
        <w:tc>
          <w:tcPr>
            <w:tcW w:w="1247" w:type="dxa"/>
            <w:tcBorders>
              <w:top w:val="single" w:sz="4" w:space="0" w:color="5D779D" w:themeColor="accent3"/>
            </w:tcBorders>
            <w:shd w:val="clear" w:color="auto" w:fill="DFE4EB"/>
          </w:tcPr>
          <w:p w14:paraId="69D55467" w14:textId="77777777" w:rsidR="00127337" w:rsidRDefault="00127337" w:rsidP="00BF1BAB">
            <w:pPr>
              <w:pStyle w:val="TableTextLeft"/>
            </w:pPr>
            <w:r>
              <w:t>Estimated costs for 2026–27 annual levy published by CSLR Operator*</w:t>
            </w:r>
          </w:p>
          <w:p w14:paraId="3813DA98" w14:textId="77777777" w:rsidR="00127337" w:rsidRDefault="00127337" w:rsidP="00BF1BAB">
            <w:pPr>
              <w:pStyle w:val="TableTextLeft"/>
            </w:pPr>
          </w:p>
          <w:p w14:paraId="6CB5D7A0" w14:textId="77777777" w:rsidR="00127337" w:rsidRPr="00F91AB2" w:rsidRDefault="00127337" w:rsidP="00744529">
            <w:pPr>
              <w:pStyle w:val="TableTextLeft"/>
            </w:pPr>
          </w:p>
        </w:tc>
        <w:tc>
          <w:tcPr>
            <w:tcW w:w="1247" w:type="dxa"/>
            <w:tcBorders>
              <w:top w:val="single" w:sz="4" w:space="0" w:color="5D779D" w:themeColor="accent3"/>
            </w:tcBorders>
            <w:shd w:val="clear" w:color="auto" w:fill="DFE4EB"/>
          </w:tcPr>
          <w:p w14:paraId="171E103C" w14:textId="77777777" w:rsidR="00127337" w:rsidRDefault="00127337" w:rsidP="00E41B1E">
            <w:pPr>
              <w:pStyle w:val="TableTextLeft"/>
            </w:pPr>
            <w:r>
              <w:t>Issuance of 2026–27 annual levy</w:t>
            </w:r>
          </w:p>
          <w:p w14:paraId="7761920E" w14:textId="77777777" w:rsidR="00127337" w:rsidRDefault="00127337" w:rsidP="00E41B1E">
            <w:pPr>
              <w:pStyle w:val="TableTextLeft"/>
            </w:pPr>
          </w:p>
          <w:p w14:paraId="752D0F21" w14:textId="77777777" w:rsidR="00127337" w:rsidRPr="00F91AB2" w:rsidRDefault="00127337" w:rsidP="00744529">
            <w:pPr>
              <w:pStyle w:val="TableTextLeft"/>
            </w:pPr>
          </w:p>
        </w:tc>
        <w:tc>
          <w:tcPr>
            <w:tcW w:w="1247" w:type="dxa"/>
            <w:tcBorders>
              <w:top w:val="single" w:sz="4" w:space="0" w:color="5D779D" w:themeColor="accent3"/>
            </w:tcBorders>
            <w:shd w:val="clear" w:color="auto" w:fill="DFE4EB"/>
          </w:tcPr>
          <w:p w14:paraId="5CAA627E" w14:textId="77777777" w:rsidR="00127337" w:rsidRPr="00F91AB2" w:rsidRDefault="00127337" w:rsidP="00744529">
            <w:pPr>
              <w:pStyle w:val="TableTextLeft"/>
            </w:pPr>
          </w:p>
        </w:tc>
        <w:tc>
          <w:tcPr>
            <w:tcW w:w="1247" w:type="dxa"/>
            <w:tcBorders>
              <w:top w:val="single" w:sz="4" w:space="0" w:color="5D779D" w:themeColor="accent3"/>
            </w:tcBorders>
            <w:shd w:val="clear" w:color="auto" w:fill="DFE4EB"/>
          </w:tcPr>
          <w:p w14:paraId="0F915F35" w14:textId="77777777" w:rsidR="00127337" w:rsidRPr="00F91AB2" w:rsidRDefault="00127337" w:rsidP="00744529">
            <w:pPr>
              <w:pStyle w:val="TableTextLeft"/>
            </w:pPr>
          </w:p>
        </w:tc>
        <w:tc>
          <w:tcPr>
            <w:tcW w:w="1247" w:type="dxa"/>
            <w:tcBorders>
              <w:top w:val="single" w:sz="4" w:space="0" w:color="5D779D" w:themeColor="accent3"/>
            </w:tcBorders>
            <w:shd w:val="clear" w:color="auto" w:fill="DFE4EB"/>
          </w:tcPr>
          <w:p w14:paraId="56FE2927" w14:textId="77777777" w:rsidR="00127337" w:rsidRPr="00F91AB2" w:rsidRDefault="00127337" w:rsidP="00744529">
            <w:pPr>
              <w:pStyle w:val="TableTextLeft"/>
            </w:pPr>
          </w:p>
        </w:tc>
        <w:tc>
          <w:tcPr>
            <w:tcW w:w="1247" w:type="dxa"/>
            <w:tcBorders>
              <w:top w:val="single" w:sz="4" w:space="0" w:color="5D779D" w:themeColor="accent3"/>
            </w:tcBorders>
            <w:shd w:val="clear" w:color="auto" w:fill="EFF1F5"/>
          </w:tcPr>
          <w:p w14:paraId="6F7DA025" w14:textId="77777777" w:rsidR="00127337" w:rsidRPr="00F91AB2" w:rsidRDefault="00127337" w:rsidP="00744529">
            <w:pPr>
              <w:pStyle w:val="TableTextLeft"/>
            </w:pPr>
          </w:p>
        </w:tc>
        <w:tc>
          <w:tcPr>
            <w:tcW w:w="1247" w:type="dxa"/>
            <w:tcBorders>
              <w:top w:val="single" w:sz="4" w:space="0" w:color="5D779D" w:themeColor="accent3"/>
            </w:tcBorders>
            <w:shd w:val="clear" w:color="auto" w:fill="EFF1F5"/>
          </w:tcPr>
          <w:p w14:paraId="4175A99F" w14:textId="77777777" w:rsidR="00127337" w:rsidRPr="00F91AB2" w:rsidRDefault="00127337" w:rsidP="00744529">
            <w:pPr>
              <w:pStyle w:val="TableTextLeft"/>
            </w:pPr>
          </w:p>
        </w:tc>
      </w:tr>
      <w:tr w:rsidR="00E6324E" w:rsidRPr="00AF43B7" w14:paraId="058C1702" w14:textId="77777777" w:rsidTr="6C33FF0B">
        <w:trPr>
          <w:cantSplit/>
          <w:trHeight w:val="300"/>
        </w:trPr>
        <w:tc>
          <w:tcPr>
            <w:tcW w:w="794" w:type="dxa"/>
            <w:tcBorders>
              <w:top w:val="single" w:sz="4" w:space="0" w:color="5D779D" w:themeColor="accent3"/>
            </w:tcBorders>
          </w:tcPr>
          <w:p w14:paraId="429EF760" w14:textId="77777777" w:rsidR="00127337" w:rsidRPr="00E7433A" w:rsidRDefault="00127337" w:rsidP="00985891">
            <w:pPr>
              <w:pStyle w:val="TableLeadAgency"/>
            </w:pPr>
            <w:r w:rsidRPr="00E7433A">
              <w:t>TSY</w:t>
            </w:r>
          </w:p>
          <w:p w14:paraId="67850859" w14:textId="77777777" w:rsidR="00127337" w:rsidRPr="00DD5FB7" w:rsidRDefault="00127337" w:rsidP="00985891">
            <w:pPr>
              <w:pStyle w:val="TableLeadAgency"/>
              <w:rPr>
                <w:b w:val="0"/>
                <w:bCs w:val="0"/>
              </w:rPr>
            </w:pPr>
            <w:r w:rsidRPr="00DD5FB7">
              <w:rPr>
                <w:b w:val="0"/>
                <w:bCs w:val="0"/>
              </w:rPr>
              <w:t>ASIC</w:t>
            </w:r>
          </w:p>
        </w:tc>
        <w:tc>
          <w:tcPr>
            <w:tcW w:w="1304" w:type="dxa"/>
            <w:tcBorders>
              <w:top w:val="single" w:sz="4" w:space="0" w:color="5D779D" w:themeColor="accent3"/>
            </w:tcBorders>
          </w:tcPr>
          <w:p w14:paraId="759E1C70" w14:textId="77777777" w:rsidR="00127337" w:rsidRDefault="00127337" w:rsidP="00985891">
            <w:pPr>
              <w:pStyle w:val="TableTextLeft"/>
            </w:pPr>
            <w:r>
              <w:t xml:space="preserve">Financial advice </w:t>
            </w:r>
          </w:p>
          <w:p w14:paraId="4DB5FA49" w14:textId="77777777" w:rsidR="00127337" w:rsidRDefault="00127337" w:rsidP="00985891">
            <w:pPr>
              <w:pStyle w:val="TableTextLeft"/>
            </w:pPr>
            <w:r>
              <w:t>Banking, credit and lending</w:t>
            </w:r>
          </w:p>
          <w:p w14:paraId="594F9743" w14:textId="57446117" w:rsidR="00127337" w:rsidRDefault="00DB0C4A" w:rsidP="00985891">
            <w:pPr>
              <w:pStyle w:val="TableTextLeft"/>
            </w:pPr>
            <w:r w:rsidRPr="00DB0C4A">
              <w:t>Collective management and investment management</w:t>
            </w:r>
          </w:p>
        </w:tc>
        <w:tc>
          <w:tcPr>
            <w:tcW w:w="3175" w:type="dxa"/>
            <w:tcBorders>
              <w:top w:val="single" w:sz="4" w:space="0" w:color="5D779D" w:themeColor="accent3"/>
            </w:tcBorders>
          </w:tcPr>
          <w:p w14:paraId="5D6ACFE3" w14:textId="69F0C38A" w:rsidR="00127337" w:rsidRPr="000A7759" w:rsidRDefault="00127337" w:rsidP="000A7759">
            <w:pPr>
              <w:pStyle w:val="TableLink"/>
            </w:pPr>
            <w:hyperlink r:id="rId96" w:history="1">
              <w:r w:rsidRPr="000A7759">
                <w:rPr>
                  <w:rStyle w:val="Hyperlink"/>
                  <w:color w:val="5D779D" w:themeColor="accent3"/>
                  <w:u w:val="single"/>
                </w:rPr>
                <w:t>Compensation Scheme of Last Resort (CSLR) –exceeding the sub</w:t>
              </w:r>
              <w:r w:rsidR="003D486F" w:rsidRPr="000A7759">
                <w:rPr>
                  <w:rStyle w:val="Hyperlink"/>
                  <w:color w:val="5D779D" w:themeColor="accent3"/>
                  <w:u w:val="single"/>
                </w:rPr>
                <w:noBreakHyphen/>
              </w:r>
              <w:r w:rsidRPr="000A7759">
                <w:rPr>
                  <w:rStyle w:val="Hyperlink"/>
                  <w:color w:val="5D779D" w:themeColor="accent3"/>
                  <w:u w:val="single"/>
                </w:rPr>
                <w:t>sector levy cap</w:t>
              </w:r>
            </w:hyperlink>
            <w:r w:rsidR="000A7759" w:rsidRPr="00283753">
              <w:rPr>
                <w:szCs w:val="16"/>
                <w:u w:val="none"/>
              </w:rPr>
              <w:t xml:space="preserve"> </w:t>
            </w:r>
            <w:r w:rsidR="000A7759" w:rsidRPr="00283753">
              <w:rPr>
                <w:rStyle w:val="NewInitiativeChar"/>
                <w:b/>
                <w:bCs/>
                <w:sz w:val="16"/>
                <w:szCs w:val="16"/>
                <w:u w:val="none"/>
              </w:rPr>
              <w:t>(new)</w:t>
            </w:r>
          </w:p>
          <w:p w14:paraId="65B61C8B" w14:textId="5738A849" w:rsidR="00127337" w:rsidRDefault="00127337" w:rsidP="00F15BA1">
            <w:pPr>
              <w:pStyle w:val="TableTextLeft"/>
            </w:pPr>
            <w:r>
              <w:t xml:space="preserve">On 4 July 2025, the CSLR Operator </w:t>
            </w:r>
            <w:r w:rsidRPr="005170C7">
              <w:t xml:space="preserve">notified </w:t>
            </w:r>
            <w:r>
              <w:t xml:space="preserve">the Assistant Treasurer and Minister for Financial Services </w:t>
            </w:r>
            <w:r w:rsidRPr="005170C7">
              <w:t xml:space="preserve">that the estimated claims costs relating to personal </w:t>
            </w:r>
            <w:r>
              <w:t xml:space="preserve">financial </w:t>
            </w:r>
            <w:r w:rsidRPr="005170C7">
              <w:t xml:space="preserve">advice </w:t>
            </w:r>
            <w:r>
              <w:t xml:space="preserve">for the </w:t>
            </w:r>
            <w:r w:rsidRPr="005170C7">
              <w:t>2025</w:t>
            </w:r>
            <w:r w:rsidR="003D486F">
              <w:noBreakHyphen/>
            </w:r>
            <w:r w:rsidRPr="005170C7">
              <w:t xml:space="preserve">26 </w:t>
            </w:r>
            <w:r>
              <w:t xml:space="preserve">period was </w:t>
            </w:r>
            <w:r w:rsidRPr="005170C7">
              <w:t>$67.3 million</w:t>
            </w:r>
            <w:r>
              <w:t>, exceeding the sub</w:t>
            </w:r>
            <w:r w:rsidR="003D486F">
              <w:noBreakHyphen/>
            </w:r>
            <w:r>
              <w:t>sector levy cap by $47.3 million.</w:t>
            </w:r>
          </w:p>
          <w:p w14:paraId="1671DB9D" w14:textId="77777777" w:rsidR="00127337" w:rsidRDefault="00127337" w:rsidP="005A782B">
            <w:pPr>
              <w:pStyle w:val="TableTextLeft"/>
            </w:pPr>
            <w:r w:rsidRPr="00F15BA1">
              <w:t xml:space="preserve">On </w:t>
            </w:r>
            <w:r>
              <w:t xml:space="preserve">1 August 2025, the Minister </w:t>
            </w:r>
            <w:r w:rsidRPr="009161D6">
              <w:t xml:space="preserve">asked Treasury to consult on all statutory options available to deal with </w:t>
            </w:r>
            <w:r>
              <w:t xml:space="preserve">this matter. Consultation concluded on 29 August 2025. Treasury continues to review stakeholder submissions. </w:t>
            </w:r>
          </w:p>
          <w:p w14:paraId="2902C4B8" w14:textId="02453D16" w:rsidR="00127337" w:rsidRPr="00DD5FB7" w:rsidRDefault="00127337" w:rsidP="00FC58C3">
            <w:pPr>
              <w:pStyle w:val="TableTextLeft"/>
              <w:rPr>
                <w:rFonts w:cs="Calibri Light"/>
              </w:rPr>
            </w:pPr>
            <w:r>
              <w:t>The timing</w:t>
            </w:r>
            <w:r w:rsidRPr="005A782B">
              <w:t xml:space="preserve"> </w:t>
            </w:r>
            <w:r>
              <w:t>of</w:t>
            </w:r>
            <w:r w:rsidRPr="005A782B">
              <w:t xml:space="preserve"> further work </w:t>
            </w:r>
            <w:r w:rsidR="00083BDD">
              <w:t>will be announced in due course.</w:t>
            </w:r>
            <w:r w:rsidRPr="009A0249">
              <w:rPr>
                <w:b/>
                <w:bCs/>
              </w:rPr>
              <w:t xml:space="preserve"> </w:t>
            </w:r>
          </w:p>
        </w:tc>
        <w:tc>
          <w:tcPr>
            <w:tcW w:w="1247" w:type="dxa"/>
            <w:tcBorders>
              <w:top w:val="single" w:sz="4" w:space="0" w:color="5D779D" w:themeColor="accent3"/>
            </w:tcBorders>
            <w:shd w:val="clear" w:color="auto" w:fill="DFE4EB"/>
          </w:tcPr>
          <w:p w14:paraId="6A418089" w14:textId="77777777" w:rsidR="00127337" w:rsidRDefault="00127337" w:rsidP="0064797E">
            <w:pPr>
              <w:pStyle w:val="TableTextLeft"/>
            </w:pPr>
          </w:p>
          <w:p w14:paraId="6DED02B9" w14:textId="77777777" w:rsidR="00127337" w:rsidRDefault="00127337" w:rsidP="0064797E">
            <w:pPr>
              <w:pStyle w:val="TableTextLeft"/>
            </w:pPr>
            <w:r>
              <w:t>.</w:t>
            </w:r>
          </w:p>
          <w:p w14:paraId="388E762F" w14:textId="77777777" w:rsidR="00127337" w:rsidRDefault="00127337" w:rsidP="0064797E">
            <w:pPr>
              <w:pStyle w:val="TableTextLeft"/>
            </w:pPr>
          </w:p>
          <w:p w14:paraId="4C58B008" w14:textId="77777777" w:rsidR="00127337" w:rsidRDefault="00127337" w:rsidP="0064797E">
            <w:pPr>
              <w:pStyle w:val="TableTextLeft"/>
            </w:pPr>
          </w:p>
        </w:tc>
        <w:tc>
          <w:tcPr>
            <w:tcW w:w="1247" w:type="dxa"/>
            <w:tcBorders>
              <w:top w:val="single" w:sz="4" w:space="0" w:color="5D779D" w:themeColor="accent3"/>
            </w:tcBorders>
            <w:shd w:val="clear" w:color="auto" w:fill="DFE4EB"/>
          </w:tcPr>
          <w:p w14:paraId="0165FD46" w14:textId="77777777" w:rsidR="00127337" w:rsidRDefault="00127337" w:rsidP="00985891">
            <w:pPr>
              <w:pStyle w:val="TableTextLeft"/>
            </w:pPr>
          </w:p>
        </w:tc>
        <w:tc>
          <w:tcPr>
            <w:tcW w:w="1247" w:type="dxa"/>
            <w:tcBorders>
              <w:top w:val="single" w:sz="4" w:space="0" w:color="5D779D" w:themeColor="accent3"/>
            </w:tcBorders>
            <w:shd w:val="clear" w:color="auto" w:fill="DFE4EB"/>
          </w:tcPr>
          <w:p w14:paraId="40B21C27" w14:textId="77777777" w:rsidR="00127337" w:rsidRPr="00F91AB2" w:rsidRDefault="00127337" w:rsidP="00985891">
            <w:pPr>
              <w:pStyle w:val="TableTextLeft"/>
            </w:pPr>
          </w:p>
        </w:tc>
        <w:tc>
          <w:tcPr>
            <w:tcW w:w="1247" w:type="dxa"/>
            <w:tcBorders>
              <w:top w:val="single" w:sz="4" w:space="0" w:color="5D779D" w:themeColor="accent3"/>
            </w:tcBorders>
            <w:shd w:val="clear" w:color="auto" w:fill="DFE4EB"/>
          </w:tcPr>
          <w:p w14:paraId="0BEEE714" w14:textId="77777777" w:rsidR="00127337" w:rsidRPr="00F91AB2" w:rsidRDefault="00127337" w:rsidP="00985891">
            <w:pPr>
              <w:pStyle w:val="TableTextLeft"/>
            </w:pPr>
          </w:p>
        </w:tc>
        <w:tc>
          <w:tcPr>
            <w:tcW w:w="1247" w:type="dxa"/>
            <w:tcBorders>
              <w:top w:val="single" w:sz="4" w:space="0" w:color="5D779D" w:themeColor="accent3"/>
            </w:tcBorders>
            <w:shd w:val="clear" w:color="auto" w:fill="DFE4EB"/>
          </w:tcPr>
          <w:p w14:paraId="6723A036" w14:textId="77777777" w:rsidR="00127337" w:rsidRPr="00F91AB2" w:rsidRDefault="00127337" w:rsidP="00985891">
            <w:pPr>
              <w:pStyle w:val="TableTextLeft"/>
            </w:pPr>
          </w:p>
        </w:tc>
        <w:tc>
          <w:tcPr>
            <w:tcW w:w="1247" w:type="dxa"/>
            <w:tcBorders>
              <w:top w:val="single" w:sz="4" w:space="0" w:color="5D779D" w:themeColor="accent3"/>
            </w:tcBorders>
            <w:shd w:val="clear" w:color="auto" w:fill="EFF1F5"/>
          </w:tcPr>
          <w:p w14:paraId="5CC62F6D" w14:textId="77777777" w:rsidR="00127337" w:rsidRPr="00F91AB2" w:rsidRDefault="00127337" w:rsidP="00985891">
            <w:pPr>
              <w:pStyle w:val="TableTextLeft"/>
            </w:pPr>
          </w:p>
        </w:tc>
        <w:tc>
          <w:tcPr>
            <w:tcW w:w="1247" w:type="dxa"/>
            <w:tcBorders>
              <w:top w:val="single" w:sz="4" w:space="0" w:color="5D779D" w:themeColor="accent3"/>
            </w:tcBorders>
            <w:shd w:val="clear" w:color="auto" w:fill="EFF1F5"/>
          </w:tcPr>
          <w:p w14:paraId="3A165372" w14:textId="77777777" w:rsidR="00127337" w:rsidRPr="00F91AB2" w:rsidRDefault="00127337" w:rsidP="00985891">
            <w:pPr>
              <w:pStyle w:val="TableTextLeft"/>
            </w:pPr>
          </w:p>
        </w:tc>
      </w:tr>
      <w:tr w:rsidR="00E6324E" w:rsidRPr="00AF43B7" w14:paraId="4EACC8EC" w14:textId="77777777" w:rsidTr="74251931">
        <w:trPr>
          <w:cantSplit/>
          <w:trHeight w:val="410"/>
        </w:trPr>
        <w:tc>
          <w:tcPr>
            <w:tcW w:w="794" w:type="dxa"/>
            <w:tcBorders>
              <w:top w:val="single" w:sz="4" w:space="0" w:color="5D779D" w:themeColor="accent3"/>
            </w:tcBorders>
          </w:tcPr>
          <w:p w14:paraId="6A5B4BFD" w14:textId="77777777" w:rsidR="00127337" w:rsidRPr="009C4097" w:rsidRDefault="00127337" w:rsidP="0025748A">
            <w:pPr>
              <w:pStyle w:val="TableLeadAgency"/>
            </w:pPr>
            <w:r w:rsidRPr="00DB61F5">
              <w:t xml:space="preserve">TSY </w:t>
            </w:r>
          </w:p>
          <w:p w14:paraId="4B7F25D1" w14:textId="77777777" w:rsidR="00127337" w:rsidRPr="0004190B" w:rsidRDefault="00127337" w:rsidP="0025748A">
            <w:pPr>
              <w:pStyle w:val="TableLeadAgency"/>
              <w:rPr>
                <w:b w:val="0"/>
                <w:bCs w:val="0"/>
                <w:i/>
                <w:iCs/>
              </w:rPr>
            </w:pPr>
            <w:r w:rsidRPr="0004190B">
              <w:rPr>
                <w:b w:val="0"/>
                <w:bCs w:val="0"/>
                <w:i/>
                <w:iCs/>
              </w:rPr>
              <w:t>ACCC</w:t>
            </w:r>
          </w:p>
        </w:tc>
        <w:tc>
          <w:tcPr>
            <w:tcW w:w="1304" w:type="dxa"/>
            <w:tcBorders>
              <w:top w:val="single" w:sz="4" w:space="0" w:color="5D779D" w:themeColor="accent3"/>
            </w:tcBorders>
          </w:tcPr>
          <w:p w14:paraId="67DA94E5" w14:textId="77777777" w:rsidR="00127337" w:rsidRPr="005938DB" w:rsidRDefault="00127337" w:rsidP="0025748A">
            <w:pPr>
              <w:pStyle w:val="TableTextLeft"/>
            </w:pPr>
            <w:r w:rsidRPr="00B052EB">
              <w:t>Banking, credit and lending</w:t>
            </w:r>
          </w:p>
        </w:tc>
        <w:tc>
          <w:tcPr>
            <w:tcW w:w="3175" w:type="dxa"/>
            <w:tcBorders>
              <w:top w:val="single" w:sz="4" w:space="0" w:color="5D779D" w:themeColor="accent3"/>
            </w:tcBorders>
          </w:tcPr>
          <w:p w14:paraId="478F0A74" w14:textId="77777777" w:rsidR="00127337" w:rsidRPr="00F57BE5" w:rsidRDefault="00127337" w:rsidP="00F57BE5">
            <w:pPr>
              <w:pStyle w:val="TableLink"/>
            </w:pPr>
            <w:hyperlink r:id="rId97" w:history="1">
              <w:r w:rsidRPr="00F57BE5">
                <w:rPr>
                  <w:rStyle w:val="Hyperlink"/>
                  <w:color w:val="5D779D" w:themeColor="accent3"/>
                  <w:u w:val="single"/>
                </w:rPr>
                <w:t>Consumer Data Right (CDR) Rules (Consent amendments and operational enhancements)</w:t>
              </w:r>
            </w:hyperlink>
          </w:p>
          <w:p w14:paraId="5590E83E" w14:textId="4FD5420E" w:rsidR="00127337" w:rsidRPr="005938DB" w:rsidRDefault="00127337" w:rsidP="0025748A">
            <w:pPr>
              <w:pStyle w:val="TableTextLeft"/>
            </w:pPr>
            <w:r w:rsidRPr="57BD8B19">
              <w:rPr>
                <w:rFonts w:cs="Calibri Light"/>
              </w:rPr>
              <w:t xml:space="preserve">Changes to the CDR Rules and standards (through the Data Standards Body) </w:t>
            </w:r>
            <w:r>
              <w:rPr>
                <w:rFonts w:cs="Calibri Light"/>
              </w:rPr>
              <w:t xml:space="preserve">aim </w:t>
            </w:r>
            <w:r w:rsidRPr="57BD8B19">
              <w:rPr>
                <w:rFonts w:cs="Calibri Light"/>
              </w:rPr>
              <w:t xml:space="preserve">to simplify the consumer consent process and support key use cases. </w:t>
            </w:r>
            <w:r>
              <w:rPr>
                <w:rFonts w:cs="Calibri Light"/>
              </w:rPr>
              <w:t xml:space="preserve">The Rules were registered on 11 November 2024. </w:t>
            </w:r>
            <w:r w:rsidRPr="3ABB0650">
              <w:rPr>
                <w:rFonts w:cs="Calibri Light"/>
              </w:rPr>
              <w:t xml:space="preserve">The standards were published on </w:t>
            </w:r>
            <w:r w:rsidRPr="07B1FFEC">
              <w:rPr>
                <w:rFonts w:cs="Calibri Light"/>
              </w:rPr>
              <w:t>15</w:t>
            </w:r>
            <w:r w:rsidR="00A956DD">
              <w:rPr>
                <w:rFonts w:cs="Calibri Light"/>
              </w:rPr>
              <w:t> </w:t>
            </w:r>
            <w:r w:rsidRPr="07B1FFEC">
              <w:rPr>
                <w:rFonts w:cs="Calibri Light"/>
              </w:rPr>
              <w:t>November</w:t>
            </w:r>
            <w:r w:rsidR="00A956DD">
              <w:rPr>
                <w:rFonts w:cs="Calibri Light"/>
              </w:rPr>
              <w:t> </w:t>
            </w:r>
            <w:r w:rsidRPr="07B1FFEC">
              <w:rPr>
                <w:rFonts w:cs="Calibri Light"/>
              </w:rPr>
              <w:t>2024</w:t>
            </w:r>
            <w:r w:rsidRPr="3648CEE1">
              <w:rPr>
                <w:rFonts w:cs="Calibri Light"/>
              </w:rPr>
              <w:t>.</w:t>
            </w:r>
            <w:r w:rsidRPr="5D709E95">
              <w:rPr>
                <w:rFonts w:cs="Calibri Light"/>
              </w:rPr>
              <w:t xml:space="preserve"> Commencement of obligations is </w:t>
            </w:r>
            <w:r w:rsidRPr="59E4A004">
              <w:rPr>
                <w:rFonts w:cs="Calibri Light"/>
              </w:rPr>
              <w:t>proceeding in stages between 14</w:t>
            </w:r>
            <w:r w:rsidR="00A956DD">
              <w:rPr>
                <w:rFonts w:cs="Calibri Light"/>
              </w:rPr>
              <w:t> </w:t>
            </w:r>
            <w:r w:rsidRPr="59E4A004">
              <w:rPr>
                <w:rFonts w:cs="Calibri Light"/>
              </w:rPr>
              <w:t xml:space="preserve">July 2025 and </w:t>
            </w:r>
            <w:r w:rsidRPr="671D14EB">
              <w:rPr>
                <w:rFonts w:cs="Calibri Light"/>
              </w:rPr>
              <w:t xml:space="preserve">11 November 2025. </w:t>
            </w:r>
          </w:p>
        </w:tc>
        <w:tc>
          <w:tcPr>
            <w:tcW w:w="1247" w:type="dxa"/>
            <w:tcBorders>
              <w:top w:val="single" w:sz="4" w:space="0" w:color="5D779D" w:themeColor="accent3"/>
            </w:tcBorders>
            <w:shd w:val="clear" w:color="auto" w:fill="DFE4EB"/>
          </w:tcPr>
          <w:p w14:paraId="332A8624" w14:textId="77777777" w:rsidR="00127337" w:rsidRPr="00F91AB2" w:rsidRDefault="00127337" w:rsidP="0025748A">
            <w:pPr>
              <w:pStyle w:val="TableTextLeft"/>
            </w:pPr>
            <w:r w:rsidRPr="00B052EB">
              <w:t xml:space="preserve">Obligations commence for </w:t>
            </w:r>
            <w:r>
              <w:t xml:space="preserve">data </w:t>
            </w:r>
            <w:r w:rsidRPr="00B052EB">
              <w:t xml:space="preserve">recipients and CDR representatives. </w:t>
            </w:r>
          </w:p>
        </w:tc>
        <w:tc>
          <w:tcPr>
            <w:tcW w:w="1247" w:type="dxa"/>
            <w:tcBorders>
              <w:top w:val="single" w:sz="4" w:space="0" w:color="5D779D" w:themeColor="accent3"/>
            </w:tcBorders>
            <w:shd w:val="clear" w:color="auto" w:fill="DFE4EB"/>
          </w:tcPr>
          <w:p w14:paraId="0168D0F9" w14:textId="77777777" w:rsidR="00127337" w:rsidRPr="00F91AB2" w:rsidRDefault="00127337" w:rsidP="0025748A">
            <w:pPr>
              <w:pStyle w:val="TableTextLeft"/>
            </w:pPr>
          </w:p>
        </w:tc>
        <w:tc>
          <w:tcPr>
            <w:tcW w:w="1247" w:type="dxa"/>
            <w:tcBorders>
              <w:top w:val="single" w:sz="4" w:space="0" w:color="5D779D" w:themeColor="accent3"/>
            </w:tcBorders>
            <w:shd w:val="clear" w:color="auto" w:fill="DFE4EB"/>
          </w:tcPr>
          <w:p w14:paraId="2D259548" w14:textId="77777777" w:rsidR="00127337" w:rsidRPr="00F91AB2" w:rsidRDefault="00127337" w:rsidP="0025748A">
            <w:pPr>
              <w:pStyle w:val="TableTextLeft"/>
            </w:pPr>
          </w:p>
        </w:tc>
        <w:tc>
          <w:tcPr>
            <w:tcW w:w="1247" w:type="dxa"/>
            <w:tcBorders>
              <w:top w:val="single" w:sz="4" w:space="0" w:color="5D779D" w:themeColor="accent3"/>
            </w:tcBorders>
            <w:shd w:val="clear" w:color="auto" w:fill="DFE4EB"/>
          </w:tcPr>
          <w:p w14:paraId="15DCC72C" w14:textId="77777777" w:rsidR="00127337" w:rsidRPr="00F91AB2" w:rsidRDefault="00127337" w:rsidP="0025748A">
            <w:pPr>
              <w:pStyle w:val="TableTextLeft"/>
            </w:pPr>
          </w:p>
        </w:tc>
        <w:tc>
          <w:tcPr>
            <w:tcW w:w="1247" w:type="dxa"/>
            <w:tcBorders>
              <w:top w:val="single" w:sz="4" w:space="0" w:color="5D779D" w:themeColor="accent3"/>
            </w:tcBorders>
            <w:shd w:val="clear" w:color="auto" w:fill="DFE4EB"/>
          </w:tcPr>
          <w:p w14:paraId="51D1A40F" w14:textId="77777777" w:rsidR="00127337" w:rsidRPr="00F91AB2" w:rsidRDefault="00127337" w:rsidP="0025748A">
            <w:pPr>
              <w:pStyle w:val="TableTextLeft"/>
            </w:pPr>
          </w:p>
        </w:tc>
        <w:tc>
          <w:tcPr>
            <w:tcW w:w="1247" w:type="dxa"/>
            <w:tcBorders>
              <w:top w:val="single" w:sz="4" w:space="0" w:color="5D779D" w:themeColor="accent3"/>
            </w:tcBorders>
            <w:shd w:val="clear" w:color="auto" w:fill="EFF1F5"/>
          </w:tcPr>
          <w:p w14:paraId="728FB710" w14:textId="77777777" w:rsidR="00127337" w:rsidRPr="00F91AB2" w:rsidRDefault="00127337" w:rsidP="0025748A">
            <w:pPr>
              <w:pStyle w:val="TableTextLeft"/>
            </w:pPr>
          </w:p>
        </w:tc>
        <w:tc>
          <w:tcPr>
            <w:tcW w:w="1247" w:type="dxa"/>
            <w:tcBorders>
              <w:top w:val="single" w:sz="4" w:space="0" w:color="5D779D" w:themeColor="accent3"/>
            </w:tcBorders>
            <w:shd w:val="clear" w:color="auto" w:fill="EFF1F5"/>
          </w:tcPr>
          <w:p w14:paraId="0E6EE0A5" w14:textId="77777777" w:rsidR="00127337" w:rsidRPr="00F91AB2" w:rsidRDefault="00127337" w:rsidP="0025748A">
            <w:pPr>
              <w:pStyle w:val="TableTextLeft"/>
            </w:pPr>
          </w:p>
        </w:tc>
      </w:tr>
      <w:tr w:rsidR="00E6324E" w:rsidRPr="00AF43B7" w14:paraId="46804905" w14:textId="77777777" w:rsidTr="74251931">
        <w:trPr>
          <w:cantSplit/>
          <w:trHeight w:val="410"/>
        </w:trPr>
        <w:tc>
          <w:tcPr>
            <w:tcW w:w="794" w:type="dxa"/>
            <w:tcBorders>
              <w:top w:val="single" w:sz="4" w:space="0" w:color="5D779D" w:themeColor="accent3"/>
              <w:bottom w:val="single" w:sz="4" w:space="0" w:color="5D779D" w:themeColor="accent3"/>
            </w:tcBorders>
          </w:tcPr>
          <w:p w14:paraId="55A4DB4D" w14:textId="77777777" w:rsidR="00127337" w:rsidRPr="00AD71F3" w:rsidRDefault="00127337" w:rsidP="0064735B">
            <w:pPr>
              <w:pStyle w:val="TableLeadAgency"/>
              <w:spacing w:before="0" w:after="0"/>
            </w:pPr>
            <w:r w:rsidRPr="00AD71F3">
              <w:lastRenderedPageBreak/>
              <w:t xml:space="preserve">TSY </w:t>
            </w:r>
          </w:p>
          <w:p w14:paraId="307E0372" w14:textId="77777777" w:rsidR="00127337" w:rsidRDefault="00127337" w:rsidP="0064735B">
            <w:pPr>
              <w:pStyle w:val="TableLeadAgency"/>
              <w:rPr>
                <w:lang w:eastAsia="en-US"/>
              </w:rPr>
            </w:pPr>
            <w:r w:rsidRPr="00AD71F3">
              <w:rPr>
                <w:b w:val="0"/>
              </w:rPr>
              <w:t>ACCC</w:t>
            </w:r>
          </w:p>
        </w:tc>
        <w:tc>
          <w:tcPr>
            <w:tcW w:w="1304" w:type="dxa"/>
            <w:tcBorders>
              <w:top w:val="single" w:sz="4" w:space="0" w:color="5D779D" w:themeColor="accent3"/>
              <w:bottom w:val="single" w:sz="4" w:space="0" w:color="5D779D" w:themeColor="accent3"/>
            </w:tcBorders>
          </w:tcPr>
          <w:p w14:paraId="6D570A86" w14:textId="77777777" w:rsidR="00127337" w:rsidRPr="00301F93" w:rsidRDefault="00127337" w:rsidP="0064735B">
            <w:pPr>
              <w:pStyle w:val="TableTextLeft"/>
            </w:pPr>
            <w:r w:rsidRPr="00301F93">
              <w:t>Banking</w:t>
            </w:r>
            <w:r w:rsidRPr="00DC0A25">
              <w:t>, credit and lending</w:t>
            </w:r>
          </w:p>
        </w:tc>
        <w:tc>
          <w:tcPr>
            <w:tcW w:w="3175" w:type="dxa"/>
            <w:tcBorders>
              <w:top w:val="single" w:sz="4" w:space="0" w:color="5D779D" w:themeColor="accent3"/>
              <w:bottom w:val="single" w:sz="4" w:space="0" w:color="5D779D" w:themeColor="accent3"/>
            </w:tcBorders>
          </w:tcPr>
          <w:p w14:paraId="3F3B95EA" w14:textId="21FFA7F1" w:rsidR="00127337" w:rsidRPr="000A7759" w:rsidRDefault="00127337" w:rsidP="000A7759">
            <w:pPr>
              <w:pStyle w:val="TableLink"/>
            </w:pPr>
            <w:hyperlink r:id="rId98" w:history="1">
              <w:r w:rsidRPr="000A7759">
                <w:rPr>
                  <w:rStyle w:val="Hyperlink"/>
                  <w:color w:val="5D779D" w:themeColor="accent3"/>
                  <w:u w:val="single"/>
                </w:rPr>
                <w:t>Consumer Data Right (CDR) Rules (Non</w:t>
              </w:r>
              <w:r w:rsidR="003D486F" w:rsidRPr="000A7759">
                <w:rPr>
                  <w:rStyle w:val="Hyperlink"/>
                  <w:color w:val="5D779D" w:themeColor="accent3"/>
                  <w:u w:val="single"/>
                </w:rPr>
                <w:noBreakHyphen/>
              </w:r>
              <w:r w:rsidRPr="000A7759">
                <w:rPr>
                  <w:rStyle w:val="Hyperlink"/>
                  <w:color w:val="5D779D" w:themeColor="accent3"/>
                  <w:u w:val="single"/>
                </w:rPr>
                <w:t>bank lending Rules and operational enhancements)</w:t>
              </w:r>
            </w:hyperlink>
          </w:p>
          <w:p w14:paraId="6BF306C0" w14:textId="45DA52F0" w:rsidR="00127337" w:rsidRDefault="00127337" w:rsidP="0064735B">
            <w:pPr>
              <w:pStyle w:val="TableTextLeft"/>
            </w:pPr>
            <w:r w:rsidRPr="57F86FDA">
              <w:rPr>
                <w:rFonts w:cs="Calibri Light"/>
              </w:rPr>
              <w:t xml:space="preserve">Changes to the CDR Rules and standards (through the Data </w:t>
            </w:r>
            <w:r w:rsidRPr="00DC0A25">
              <w:t>Standards Body) will implement mandatory non</w:t>
            </w:r>
            <w:r w:rsidR="003D486F">
              <w:noBreakHyphen/>
            </w:r>
            <w:r w:rsidRPr="00DC0A25">
              <w:t>bank lending sector participation, address industry costs and support key use cases.</w:t>
            </w:r>
            <w:r>
              <w:t xml:space="preserve"> </w:t>
            </w:r>
          </w:p>
          <w:p w14:paraId="6556DE4C" w14:textId="3FC7DD81" w:rsidR="00127337" w:rsidRDefault="00127337" w:rsidP="0064735B">
            <w:pPr>
              <w:pStyle w:val="TableTextLeft"/>
            </w:pPr>
            <w:r>
              <w:t>The Rules were registered on 3 March 2025.</w:t>
            </w:r>
            <w:r w:rsidRPr="00DC0A25">
              <w:t xml:space="preserve"> </w:t>
            </w:r>
            <w:r w:rsidRPr="0064735B">
              <w:t>The standards were published on 15</w:t>
            </w:r>
            <w:r w:rsidR="00A956DD">
              <w:t> </w:t>
            </w:r>
            <w:r w:rsidRPr="0064735B">
              <w:t>July</w:t>
            </w:r>
            <w:r w:rsidR="00A956DD">
              <w:t> </w:t>
            </w:r>
            <w:r w:rsidRPr="0064735B">
              <w:t>2025.</w:t>
            </w:r>
            <w:r>
              <w:t xml:space="preserve"> </w:t>
            </w:r>
          </w:p>
          <w:p w14:paraId="509AEED6" w14:textId="6DC4843B" w:rsidR="00127337" w:rsidRPr="004E7617" w:rsidRDefault="00127337" w:rsidP="0064735B">
            <w:pPr>
              <w:pStyle w:val="TableTextLeft"/>
            </w:pPr>
            <w:r>
              <w:t>Commencement of obligations will proceed in stages from 13 July 2026 to 10 May 2027. For some non</w:t>
            </w:r>
            <w:r w:rsidR="003D486F">
              <w:noBreakHyphen/>
            </w:r>
            <w:r>
              <w:t>bank lenders and buy now, pay later products, obligations may commence on dates after this period.</w:t>
            </w:r>
          </w:p>
        </w:tc>
        <w:tc>
          <w:tcPr>
            <w:tcW w:w="1247" w:type="dxa"/>
            <w:tcBorders>
              <w:top w:val="single" w:sz="4" w:space="0" w:color="5D779D" w:themeColor="accent3"/>
              <w:bottom w:val="single" w:sz="4" w:space="0" w:color="5D779D" w:themeColor="accent3"/>
            </w:tcBorders>
            <w:shd w:val="clear" w:color="auto" w:fill="DFE4EB"/>
          </w:tcPr>
          <w:p w14:paraId="62C970CA" w14:textId="77777777" w:rsidR="00127337" w:rsidRDefault="00127337" w:rsidP="0064735B">
            <w:pPr>
              <w:pStyle w:val="TableTextLeft"/>
              <w:rPr>
                <w:lang w:eastAsia="en-US"/>
              </w:rPr>
            </w:pPr>
          </w:p>
        </w:tc>
        <w:tc>
          <w:tcPr>
            <w:tcW w:w="1247" w:type="dxa"/>
            <w:tcBorders>
              <w:top w:val="single" w:sz="4" w:space="0" w:color="5D779D" w:themeColor="accent3"/>
              <w:bottom w:val="single" w:sz="4" w:space="0" w:color="5D779D" w:themeColor="accent3"/>
            </w:tcBorders>
            <w:shd w:val="clear" w:color="auto" w:fill="DFE4EB"/>
          </w:tcPr>
          <w:p w14:paraId="64F8E88C" w14:textId="77777777" w:rsidR="00127337" w:rsidRPr="00F91AB2" w:rsidRDefault="00127337" w:rsidP="0064735B">
            <w:pPr>
              <w:pStyle w:val="TableTextLeft"/>
            </w:pPr>
          </w:p>
        </w:tc>
        <w:tc>
          <w:tcPr>
            <w:tcW w:w="1247" w:type="dxa"/>
            <w:tcBorders>
              <w:top w:val="single" w:sz="4" w:space="0" w:color="5D779D" w:themeColor="accent3"/>
              <w:bottom w:val="single" w:sz="4" w:space="0" w:color="5D779D" w:themeColor="accent3"/>
            </w:tcBorders>
            <w:shd w:val="clear" w:color="auto" w:fill="DFE4EB"/>
          </w:tcPr>
          <w:p w14:paraId="3BFE23AB" w14:textId="77777777" w:rsidR="00127337" w:rsidRPr="00F91AB2" w:rsidRDefault="00127337" w:rsidP="0064735B">
            <w:pPr>
              <w:pStyle w:val="TableTextLeft"/>
            </w:pPr>
          </w:p>
        </w:tc>
        <w:tc>
          <w:tcPr>
            <w:tcW w:w="1247" w:type="dxa"/>
            <w:tcBorders>
              <w:top w:val="single" w:sz="4" w:space="0" w:color="5D779D" w:themeColor="accent3"/>
              <w:bottom w:val="single" w:sz="4" w:space="0" w:color="5D779D" w:themeColor="accent3"/>
            </w:tcBorders>
            <w:shd w:val="clear" w:color="auto" w:fill="DFE4EB"/>
          </w:tcPr>
          <w:p w14:paraId="1FAB24AD" w14:textId="77777777" w:rsidR="00127337" w:rsidRPr="004124AB" w:rsidRDefault="00127337" w:rsidP="0064735B">
            <w:pPr>
              <w:pStyle w:val="TableTextLeft"/>
              <w:rPr>
                <w:color w:val="auto"/>
              </w:rPr>
            </w:pPr>
            <w:r w:rsidRPr="004124AB">
              <w:rPr>
                <w:rFonts w:eastAsia="Calibri Light"/>
                <w:color w:val="auto"/>
              </w:rPr>
              <w:t>Product data sharing obligations for non</w:t>
            </w:r>
            <w:r w:rsidRPr="004124AB">
              <w:rPr>
                <w:rFonts w:ascii="Cambria Math" w:eastAsia="Calibri Light" w:hAnsi="Cambria Math" w:cs="Cambria Math"/>
                <w:color w:val="auto"/>
              </w:rPr>
              <w:t>‑</w:t>
            </w:r>
            <w:r w:rsidRPr="004124AB">
              <w:rPr>
                <w:rFonts w:eastAsia="Calibri Light"/>
                <w:color w:val="auto"/>
              </w:rPr>
              <w:t>bank lenders and BNPL products commence</w:t>
            </w:r>
            <w:r>
              <w:rPr>
                <w:rFonts w:eastAsia="Calibri Light"/>
                <w:color w:val="auto"/>
              </w:rPr>
              <w:t>*</w:t>
            </w:r>
          </w:p>
        </w:tc>
        <w:tc>
          <w:tcPr>
            <w:tcW w:w="1247" w:type="dxa"/>
            <w:tcBorders>
              <w:top w:val="single" w:sz="4" w:space="0" w:color="5D779D" w:themeColor="accent3"/>
              <w:bottom w:val="single" w:sz="4" w:space="0" w:color="5D779D" w:themeColor="accent3"/>
            </w:tcBorders>
            <w:shd w:val="clear" w:color="auto" w:fill="DFE4EB"/>
          </w:tcPr>
          <w:p w14:paraId="03AAB441" w14:textId="77777777" w:rsidR="00127337" w:rsidRPr="004124AB" w:rsidRDefault="00127337" w:rsidP="0064735B">
            <w:pPr>
              <w:pStyle w:val="TableTextLeft"/>
              <w:rPr>
                <w:color w:val="auto"/>
              </w:rPr>
            </w:pPr>
            <w:r w:rsidRPr="004124AB">
              <w:rPr>
                <w:rFonts w:eastAsia="Calibri Light"/>
                <w:color w:val="auto"/>
              </w:rPr>
              <w:t>Consumer data sharing obligations for largest non</w:t>
            </w:r>
            <w:r w:rsidRPr="004124AB">
              <w:rPr>
                <w:rFonts w:ascii="Cambria Math" w:eastAsia="Calibri Light" w:hAnsi="Cambria Math" w:cs="Cambria Math"/>
                <w:color w:val="auto"/>
              </w:rPr>
              <w:t>‑</w:t>
            </w:r>
            <w:r w:rsidRPr="004124AB">
              <w:rPr>
                <w:rFonts w:eastAsia="Calibri Light"/>
                <w:color w:val="auto"/>
              </w:rPr>
              <w:t>bank lenders and BNPL products commence</w:t>
            </w:r>
            <w:r>
              <w:rPr>
                <w:rFonts w:eastAsia="Calibri Light"/>
                <w:color w:val="auto"/>
              </w:rPr>
              <w:t>*</w:t>
            </w:r>
          </w:p>
        </w:tc>
        <w:tc>
          <w:tcPr>
            <w:tcW w:w="1247" w:type="dxa"/>
            <w:tcBorders>
              <w:top w:val="single" w:sz="4" w:space="0" w:color="5D779D" w:themeColor="accent3"/>
              <w:bottom w:val="single" w:sz="4" w:space="0" w:color="5D779D" w:themeColor="accent3"/>
            </w:tcBorders>
            <w:shd w:val="clear" w:color="auto" w:fill="EFF1F5"/>
          </w:tcPr>
          <w:p w14:paraId="46D1C5F4" w14:textId="77777777" w:rsidR="00127337" w:rsidRPr="004124AB" w:rsidRDefault="00127337" w:rsidP="0064735B">
            <w:pPr>
              <w:pStyle w:val="TableTextLeft"/>
              <w:rPr>
                <w:color w:val="auto"/>
              </w:rPr>
            </w:pPr>
          </w:p>
        </w:tc>
        <w:tc>
          <w:tcPr>
            <w:tcW w:w="1247" w:type="dxa"/>
            <w:tcBorders>
              <w:top w:val="single" w:sz="4" w:space="0" w:color="5D779D" w:themeColor="accent3"/>
              <w:bottom w:val="single" w:sz="4" w:space="0" w:color="5D779D" w:themeColor="accent3"/>
            </w:tcBorders>
            <w:shd w:val="clear" w:color="auto" w:fill="EFF1F5"/>
          </w:tcPr>
          <w:p w14:paraId="78A3FF26" w14:textId="1BBDE412" w:rsidR="00127337" w:rsidRPr="004124AB" w:rsidRDefault="00127337" w:rsidP="0064735B">
            <w:pPr>
              <w:pStyle w:val="TableTextLeft"/>
              <w:rPr>
                <w:color w:val="auto"/>
              </w:rPr>
            </w:pPr>
            <w:r w:rsidRPr="004124AB">
              <w:rPr>
                <w:rFonts w:eastAsia="Calibri Light"/>
                <w:color w:val="auto"/>
              </w:rPr>
              <w:t>Consumer data sharing obligations for smaller non</w:t>
            </w:r>
            <w:r w:rsidRPr="004124AB">
              <w:rPr>
                <w:rFonts w:ascii="Cambria Math" w:eastAsia="Calibri Light" w:hAnsi="Cambria Math" w:cs="Cambria Math"/>
                <w:color w:val="auto"/>
              </w:rPr>
              <w:t>‑</w:t>
            </w:r>
            <w:r w:rsidRPr="004124AB">
              <w:rPr>
                <w:rFonts w:eastAsia="Calibri Light"/>
                <w:color w:val="auto"/>
              </w:rPr>
              <w:t xml:space="preserve">bank lenders </w:t>
            </w:r>
            <w:r w:rsidRPr="004124AB" w:rsidDel="00EE4522">
              <w:rPr>
                <w:rFonts w:eastAsia="Calibri Light"/>
                <w:color w:val="auto"/>
              </w:rPr>
              <w:t>commence</w:t>
            </w:r>
            <w:r w:rsidR="00C54F5D">
              <w:rPr>
                <w:rFonts w:eastAsia="Calibri Light"/>
                <w:color w:val="auto"/>
              </w:rPr>
              <w:t>*</w:t>
            </w:r>
          </w:p>
        </w:tc>
      </w:tr>
      <w:tr w:rsidR="00E6324E" w:rsidRPr="00AF43B7" w14:paraId="2A606AC8" w14:textId="77777777" w:rsidTr="74251931">
        <w:trPr>
          <w:cantSplit/>
          <w:trHeight w:val="410"/>
        </w:trPr>
        <w:tc>
          <w:tcPr>
            <w:tcW w:w="794" w:type="dxa"/>
            <w:tcBorders>
              <w:top w:val="single" w:sz="4" w:space="0" w:color="5D779D" w:themeColor="accent3"/>
              <w:bottom w:val="single" w:sz="4" w:space="0" w:color="5D779D" w:themeColor="accent3"/>
            </w:tcBorders>
          </w:tcPr>
          <w:p w14:paraId="427E142A" w14:textId="77777777" w:rsidR="00127337" w:rsidRPr="00097CAA" w:rsidRDefault="00127337" w:rsidP="00F30D3C">
            <w:pPr>
              <w:pStyle w:val="TableLeadAgency"/>
            </w:pPr>
            <w:r w:rsidRPr="00BD1203">
              <w:t xml:space="preserve">ASIC </w:t>
            </w:r>
          </w:p>
        </w:tc>
        <w:tc>
          <w:tcPr>
            <w:tcW w:w="1304" w:type="dxa"/>
            <w:tcBorders>
              <w:top w:val="single" w:sz="4" w:space="0" w:color="5D779D" w:themeColor="accent3"/>
              <w:bottom w:val="single" w:sz="4" w:space="0" w:color="5D779D" w:themeColor="accent3"/>
            </w:tcBorders>
          </w:tcPr>
          <w:p w14:paraId="79D876CE" w14:textId="77777777" w:rsidR="00127337" w:rsidRPr="00F91AB2" w:rsidRDefault="00127337" w:rsidP="00F30D3C">
            <w:pPr>
              <w:pStyle w:val="TableTextLeft"/>
            </w:pPr>
            <w:r>
              <w:t>Financial markets</w:t>
            </w:r>
          </w:p>
        </w:tc>
        <w:tc>
          <w:tcPr>
            <w:tcW w:w="3175" w:type="dxa"/>
            <w:tcBorders>
              <w:top w:val="single" w:sz="4" w:space="0" w:color="5D779D" w:themeColor="accent3"/>
              <w:bottom w:val="single" w:sz="4" w:space="0" w:color="5D779D" w:themeColor="accent3"/>
            </w:tcBorders>
          </w:tcPr>
          <w:p w14:paraId="0052BE17" w14:textId="5D807A7B" w:rsidR="00127337" w:rsidRPr="000A7759" w:rsidRDefault="00127337" w:rsidP="000A7759">
            <w:pPr>
              <w:pStyle w:val="TableTextLeft"/>
              <w:rPr>
                <w:b/>
                <w:bCs/>
              </w:rPr>
            </w:pPr>
            <w:r w:rsidRPr="000A7759">
              <w:rPr>
                <w:b/>
                <w:bCs/>
              </w:rPr>
              <w:t>Market integrity rules – regulatory guidance</w:t>
            </w:r>
          </w:p>
          <w:p w14:paraId="01533893" w14:textId="2B19BECA" w:rsidR="00127337" w:rsidRPr="009A3724" w:rsidRDefault="00127337" w:rsidP="00F30D3C">
            <w:pPr>
              <w:pStyle w:val="TableTextLeft"/>
            </w:pPr>
            <w:r>
              <w:t>Contingent on amendments to ASIC</w:t>
            </w:r>
            <w:r w:rsidR="003D486F">
              <w:t>’</w:t>
            </w:r>
            <w:r>
              <w:t>s Market Integrity Rules related to trading, consult on updates to ASIC</w:t>
            </w:r>
            <w:r w:rsidR="003D486F">
              <w:t>’</w:t>
            </w:r>
            <w:r>
              <w:t xml:space="preserve">s </w:t>
            </w:r>
            <w:r w:rsidRPr="009A3724">
              <w:t>Regulatory Guid</w:t>
            </w:r>
            <w:r>
              <w:t>es</w:t>
            </w:r>
            <w:r w:rsidRPr="009A3724">
              <w:t>, including updating:</w:t>
            </w:r>
          </w:p>
          <w:p w14:paraId="70AE0610" w14:textId="77777777" w:rsidR="00127337" w:rsidRPr="001D50FB" w:rsidRDefault="00127337" w:rsidP="00F30D3C">
            <w:pPr>
              <w:pStyle w:val="TableTextBullet"/>
              <w:rPr>
                <w:i/>
                <w:iCs/>
              </w:rPr>
            </w:pPr>
            <w:r>
              <w:t xml:space="preserve">Regulatory Guide (RG) </w:t>
            </w:r>
            <w:r w:rsidRPr="001D50FB">
              <w:rPr>
                <w:i/>
                <w:iCs/>
              </w:rPr>
              <w:t>172 Financial markets: Domestic and overseas operators</w:t>
            </w:r>
          </w:p>
          <w:p w14:paraId="5F2B97E6" w14:textId="77777777" w:rsidR="00127337" w:rsidRPr="001D50FB" w:rsidRDefault="00127337" w:rsidP="00F30D3C">
            <w:pPr>
              <w:pStyle w:val="TableTextBullet"/>
              <w:rPr>
                <w:i/>
                <w:iCs/>
              </w:rPr>
            </w:pPr>
            <w:r>
              <w:t xml:space="preserve">RG 241 </w:t>
            </w:r>
            <w:r w:rsidRPr="001D50FB">
              <w:rPr>
                <w:i/>
                <w:iCs/>
              </w:rPr>
              <w:t>Electronic trading</w:t>
            </w:r>
          </w:p>
          <w:p w14:paraId="266F29FF" w14:textId="77777777" w:rsidR="00127337" w:rsidRPr="001D50FB" w:rsidRDefault="00127337" w:rsidP="00F30D3C">
            <w:pPr>
              <w:pStyle w:val="TableTextBullet"/>
              <w:rPr>
                <w:i/>
                <w:iCs/>
              </w:rPr>
            </w:pPr>
            <w:r>
              <w:t xml:space="preserve">RG 265 </w:t>
            </w:r>
            <w:r w:rsidRPr="001D50FB">
              <w:rPr>
                <w:i/>
                <w:iCs/>
              </w:rPr>
              <w:t>ASIC market integrity rules for participants of securities markets</w:t>
            </w:r>
          </w:p>
          <w:p w14:paraId="11AAF481" w14:textId="77777777" w:rsidR="00127337" w:rsidRPr="007B3B35" w:rsidRDefault="00127337" w:rsidP="00F30D3C">
            <w:pPr>
              <w:pStyle w:val="TableTextBullet"/>
            </w:pPr>
            <w:r>
              <w:t xml:space="preserve">RG 266 </w:t>
            </w:r>
            <w:r w:rsidRPr="001D50FB">
              <w:rPr>
                <w:i/>
                <w:iCs/>
              </w:rPr>
              <w:t>ASIC market integrity rules for participants of futures markets</w:t>
            </w:r>
          </w:p>
        </w:tc>
        <w:tc>
          <w:tcPr>
            <w:tcW w:w="1247" w:type="dxa"/>
            <w:tcBorders>
              <w:top w:val="single" w:sz="4" w:space="0" w:color="5D779D" w:themeColor="accent3"/>
              <w:bottom w:val="single" w:sz="4" w:space="0" w:color="5D779D" w:themeColor="accent3"/>
            </w:tcBorders>
            <w:shd w:val="clear" w:color="auto" w:fill="DFE4EB"/>
          </w:tcPr>
          <w:p w14:paraId="6672BCAC" w14:textId="77777777" w:rsidR="00127337" w:rsidRPr="00F91AB2" w:rsidRDefault="00127337" w:rsidP="00F30D3C">
            <w:pPr>
              <w:pStyle w:val="TableTextLeft"/>
            </w:pPr>
            <w:r>
              <w:t>Consultation on changes to RGs^</w:t>
            </w:r>
          </w:p>
        </w:tc>
        <w:tc>
          <w:tcPr>
            <w:tcW w:w="1247" w:type="dxa"/>
            <w:tcBorders>
              <w:top w:val="single" w:sz="4" w:space="0" w:color="5D779D" w:themeColor="accent3"/>
              <w:bottom w:val="single" w:sz="4" w:space="0" w:color="5D779D" w:themeColor="accent3"/>
            </w:tcBorders>
            <w:shd w:val="clear" w:color="auto" w:fill="DFE4EB"/>
          </w:tcPr>
          <w:p w14:paraId="5ABCFB15" w14:textId="77777777" w:rsidR="00127337" w:rsidRPr="00F91AB2" w:rsidRDefault="00127337" w:rsidP="00F30D3C">
            <w:pPr>
              <w:pStyle w:val="TableTextLeft"/>
            </w:pPr>
            <w:r>
              <w:t>Updated RG published^</w:t>
            </w:r>
          </w:p>
        </w:tc>
        <w:tc>
          <w:tcPr>
            <w:tcW w:w="1247" w:type="dxa"/>
            <w:tcBorders>
              <w:top w:val="single" w:sz="4" w:space="0" w:color="5D779D" w:themeColor="accent3"/>
              <w:bottom w:val="single" w:sz="4" w:space="0" w:color="5D779D" w:themeColor="accent3"/>
            </w:tcBorders>
            <w:shd w:val="clear" w:color="auto" w:fill="DFE4EB"/>
          </w:tcPr>
          <w:p w14:paraId="1EF94459" w14:textId="77777777" w:rsidR="00127337" w:rsidRPr="00F91AB2" w:rsidRDefault="00127337" w:rsidP="00F30D3C">
            <w:pPr>
              <w:pStyle w:val="TableTextLeft"/>
            </w:pPr>
          </w:p>
        </w:tc>
        <w:tc>
          <w:tcPr>
            <w:tcW w:w="1247" w:type="dxa"/>
            <w:tcBorders>
              <w:top w:val="single" w:sz="4" w:space="0" w:color="5D779D" w:themeColor="accent3"/>
              <w:bottom w:val="single" w:sz="4" w:space="0" w:color="5D779D" w:themeColor="accent3"/>
            </w:tcBorders>
            <w:shd w:val="clear" w:color="auto" w:fill="DFE4EB"/>
          </w:tcPr>
          <w:p w14:paraId="5BBFDD80" w14:textId="77777777" w:rsidR="00127337" w:rsidRPr="00F91AB2" w:rsidRDefault="00127337" w:rsidP="00F30D3C">
            <w:pPr>
              <w:pStyle w:val="TableTextLeft"/>
            </w:pPr>
          </w:p>
        </w:tc>
        <w:tc>
          <w:tcPr>
            <w:tcW w:w="1247" w:type="dxa"/>
            <w:tcBorders>
              <w:top w:val="single" w:sz="4" w:space="0" w:color="5D779D" w:themeColor="accent3"/>
              <w:bottom w:val="single" w:sz="4" w:space="0" w:color="5D779D" w:themeColor="accent3"/>
            </w:tcBorders>
            <w:shd w:val="clear" w:color="auto" w:fill="DFE4EB"/>
          </w:tcPr>
          <w:p w14:paraId="6AA1692A" w14:textId="77777777" w:rsidR="00127337" w:rsidRPr="00F91AB2" w:rsidRDefault="00127337" w:rsidP="00F30D3C">
            <w:pPr>
              <w:pStyle w:val="TableTextLeft"/>
            </w:pPr>
          </w:p>
        </w:tc>
        <w:tc>
          <w:tcPr>
            <w:tcW w:w="1247" w:type="dxa"/>
            <w:tcBorders>
              <w:top w:val="single" w:sz="4" w:space="0" w:color="5D779D" w:themeColor="accent3"/>
              <w:bottom w:val="single" w:sz="4" w:space="0" w:color="5D779D" w:themeColor="accent3"/>
            </w:tcBorders>
            <w:shd w:val="clear" w:color="auto" w:fill="EFF1F5"/>
          </w:tcPr>
          <w:p w14:paraId="4D4C5F27" w14:textId="77777777" w:rsidR="00127337" w:rsidRPr="00F91AB2" w:rsidRDefault="00127337" w:rsidP="00F30D3C">
            <w:pPr>
              <w:pStyle w:val="TableTextLeft"/>
            </w:pPr>
          </w:p>
        </w:tc>
        <w:tc>
          <w:tcPr>
            <w:tcW w:w="1247" w:type="dxa"/>
            <w:tcBorders>
              <w:top w:val="single" w:sz="4" w:space="0" w:color="5D779D" w:themeColor="accent3"/>
              <w:bottom w:val="single" w:sz="4" w:space="0" w:color="5D779D" w:themeColor="accent3"/>
            </w:tcBorders>
            <w:shd w:val="clear" w:color="auto" w:fill="EFF1F5"/>
          </w:tcPr>
          <w:p w14:paraId="05EB2E6B" w14:textId="77777777" w:rsidR="00127337" w:rsidRPr="00F91AB2" w:rsidRDefault="00127337" w:rsidP="00F30D3C">
            <w:pPr>
              <w:pStyle w:val="TableTextLeft"/>
            </w:pPr>
          </w:p>
        </w:tc>
      </w:tr>
      <w:tr w:rsidR="00E6324E" w:rsidRPr="00AF43B7" w14:paraId="4CAE75F3" w14:textId="77777777" w:rsidTr="00DF7C02">
        <w:trPr>
          <w:cantSplit/>
          <w:trHeight w:val="410"/>
        </w:trPr>
        <w:tc>
          <w:tcPr>
            <w:tcW w:w="794" w:type="dxa"/>
          </w:tcPr>
          <w:p w14:paraId="4FED3F11" w14:textId="77777777" w:rsidR="00127337" w:rsidRDefault="00127337" w:rsidP="00BB722F">
            <w:pPr>
              <w:pStyle w:val="TableLeadAgency"/>
              <w:rPr>
                <w:lang w:val="en-US" w:eastAsia="ja-JP"/>
              </w:rPr>
            </w:pPr>
            <w:r>
              <w:lastRenderedPageBreak/>
              <w:t>ATO</w:t>
            </w:r>
          </w:p>
        </w:tc>
        <w:tc>
          <w:tcPr>
            <w:tcW w:w="1304" w:type="dxa"/>
          </w:tcPr>
          <w:p w14:paraId="5B9942CB" w14:textId="77777777" w:rsidR="00127337" w:rsidRDefault="00127337" w:rsidP="00977DAF">
            <w:pPr>
              <w:pStyle w:val="TableTextLeft"/>
            </w:pPr>
            <w:r>
              <w:t>Superannuation and retirement income</w:t>
            </w:r>
          </w:p>
          <w:p w14:paraId="21A45ADC" w14:textId="20DEE09E" w:rsidR="00127337" w:rsidRDefault="00DB0C4A" w:rsidP="00BB722F">
            <w:pPr>
              <w:pStyle w:val="TableTextLeft"/>
              <w:rPr>
                <w:lang w:val="en-US" w:eastAsia="ja-JP"/>
              </w:rPr>
            </w:pPr>
            <w:r w:rsidRPr="00DB0C4A">
              <w:t>Collective management and investment management</w:t>
            </w:r>
          </w:p>
        </w:tc>
        <w:tc>
          <w:tcPr>
            <w:tcW w:w="3175" w:type="dxa"/>
          </w:tcPr>
          <w:p w14:paraId="393E8017" w14:textId="699A2904" w:rsidR="00127337" w:rsidRPr="00FA44DD" w:rsidRDefault="00127337" w:rsidP="000A7759">
            <w:pPr>
              <w:pStyle w:val="TableLink"/>
              <w:rPr>
                <w:bCs/>
              </w:rPr>
            </w:pPr>
            <w:hyperlink r:id="rId99">
              <w:r w:rsidRPr="000A7759">
                <w:t>Positions in relation to shares or interest in shares – Taxation Determination and Practical Compliance Guideline</w:t>
              </w:r>
            </w:hyperlink>
            <w:r w:rsidRPr="00F57BE5">
              <w:rPr>
                <w:u w:val="none"/>
              </w:rPr>
              <w:t xml:space="preserve"> </w:t>
            </w:r>
            <w:r w:rsidRPr="000A7759">
              <w:rPr>
                <w:rStyle w:val="TableTextLeftChar"/>
                <w:u w:val="none"/>
              </w:rPr>
              <w:t>(ATO guidance reference number 4146)</w:t>
            </w:r>
            <w:r w:rsidR="000A7759" w:rsidRPr="00283753">
              <w:rPr>
                <w:szCs w:val="16"/>
                <w:u w:val="none"/>
              </w:rPr>
              <w:t xml:space="preserve"> </w:t>
            </w:r>
            <w:r w:rsidR="000A7759" w:rsidRPr="00283753">
              <w:rPr>
                <w:rStyle w:val="NewInitiativeChar"/>
                <w:b/>
                <w:bCs/>
                <w:sz w:val="16"/>
                <w:szCs w:val="16"/>
                <w:u w:val="none"/>
              </w:rPr>
              <w:t>(new)</w:t>
            </w:r>
          </w:p>
          <w:p w14:paraId="2DC4C7DA" w14:textId="5A5CA627" w:rsidR="00127337" w:rsidRPr="00301F93" w:rsidRDefault="00127337" w:rsidP="004F2491">
            <w:pPr>
              <w:pStyle w:val="TableTextLeft"/>
              <w:rPr>
                <w:szCs w:val="16"/>
              </w:rPr>
            </w:pPr>
            <w:r w:rsidRPr="00367C94">
              <w:rPr>
                <w:szCs w:val="16"/>
              </w:rPr>
              <w:t>Th</w:t>
            </w:r>
            <w:r w:rsidRPr="5688D98E">
              <w:rPr>
                <w:szCs w:val="16"/>
              </w:rPr>
              <w:t xml:space="preserve">e Taxation </w:t>
            </w:r>
            <w:r w:rsidRPr="00367C94">
              <w:rPr>
                <w:szCs w:val="16"/>
              </w:rPr>
              <w:t>Determination will set out the Commissioner</w:t>
            </w:r>
            <w:r w:rsidR="003D486F">
              <w:rPr>
                <w:szCs w:val="16"/>
              </w:rPr>
              <w:t>’</w:t>
            </w:r>
            <w:r w:rsidRPr="00367C94">
              <w:rPr>
                <w:szCs w:val="16"/>
              </w:rPr>
              <w:t xml:space="preserve">s view in identifying the relevant shareholdings when applying the integrity rules under Division 1A of former Part IIIAA of the </w:t>
            </w:r>
            <w:r w:rsidRPr="00367C94">
              <w:rPr>
                <w:i/>
                <w:iCs/>
                <w:szCs w:val="16"/>
              </w:rPr>
              <w:t>Income Tax Assessment Act</w:t>
            </w:r>
            <w:r w:rsidR="000A7759">
              <w:rPr>
                <w:i/>
                <w:iCs/>
                <w:szCs w:val="16"/>
              </w:rPr>
              <w:t> </w:t>
            </w:r>
            <w:r w:rsidRPr="00367C94">
              <w:rPr>
                <w:i/>
                <w:iCs/>
                <w:szCs w:val="16"/>
              </w:rPr>
              <w:t>1936</w:t>
            </w:r>
            <w:r w:rsidRPr="00367C94">
              <w:rPr>
                <w:szCs w:val="16"/>
              </w:rPr>
              <w:t>.</w:t>
            </w:r>
          </w:p>
          <w:p w14:paraId="7133B356" w14:textId="2E4488E1" w:rsidR="00127337" w:rsidRDefault="00127337" w:rsidP="00BB722F">
            <w:pPr>
              <w:pStyle w:val="TableTextLeft"/>
            </w:pPr>
            <w:r>
              <w:t xml:space="preserve">The Practical Compliance Guideline will </w:t>
            </w:r>
            <w:r w:rsidR="2C3B0700">
              <w:t>outline how</w:t>
            </w:r>
            <w:r>
              <w:t xml:space="preserve"> the </w:t>
            </w:r>
            <w:r w:rsidR="2C3B0700">
              <w:t xml:space="preserve">ATO plans to approach </w:t>
            </w:r>
            <w:r>
              <w:t xml:space="preserve">compliance </w:t>
            </w:r>
            <w:r w:rsidR="2C3B0700">
              <w:t>and allocate</w:t>
            </w:r>
            <w:r>
              <w:t xml:space="preserve"> resources </w:t>
            </w:r>
            <w:r w:rsidR="2C3B0700">
              <w:t>when reviewing</w:t>
            </w:r>
            <w:r>
              <w:t xml:space="preserve"> arrangements where taxpayers </w:t>
            </w:r>
            <w:r w:rsidR="2C3B0700">
              <w:t>use</w:t>
            </w:r>
            <w:r>
              <w:t xml:space="preserve"> financial </w:t>
            </w:r>
            <w:r w:rsidR="2C3B0700">
              <w:t>derivatives</w:t>
            </w:r>
            <w:r>
              <w:t xml:space="preserve"> to reduce </w:t>
            </w:r>
            <w:r w:rsidR="2C3B0700">
              <w:t xml:space="preserve">their </w:t>
            </w:r>
            <w:r>
              <w:t>economic exposure to Australian shares.</w:t>
            </w:r>
          </w:p>
        </w:tc>
        <w:tc>
          <w:tcPr>
            <w:tcW w:w="1247" w:type="dxa"/>
            <w:shd w:val="clear" w:color="auto" w:fill="DFE4EB"/>
          </w:tcPr>
          <w:p w14:paraId="6773CC79" w14:textId="77777777" w:rsidR="00127337" w:rsidRDefault="00127337" w:rsidP="00BB722F">
            <w:pPr>
              <w:pStyle w:val="TableTextLeft"/>
              <w:rPr>
                <w:lang w:val="en-US" w:eastAsia="ja-JP"/>
              </w:rPr>
            </w:pPr>
            <w:r>
              <w:t>Draft public advice and guidance released for consultation</w:t>
            </w:r>
          </w:p>
        </w:tc>
        <w:tc>
          <w:tcPr>
            <w:tcW w:w="1247" w:type="dxa"/>
            <w:shd w:val="clear" w:color="auto" w:fill="DFE4EB"/>
          </w:tcPr>
          <w:p w14:paraId="60781CE4" w14:textId="77777777" w:rsidR="00127337" w:rsidRPr="00F91AB2" w:rsidRDefault="00127337" w:rsidP="00BB722F">
            <w:pPr>
              <w:pStyle w:val="TableTextLeft"/>
            </w:pPr>
          </w:p>
        </w:tc>
        <w:tc>
          <w:tcPr>
            <w:tcW w:w="1247" w:type="dxa"/>
            <w:shd w:val="clear" w:color="auto" w:fill="DFE4EB"/>
          </w:tcPr>
          <w:p w14:paraId="7AF935FC" w14:textId="77777777" w:rsidR="00127337" w:rsidRPr="00F91AB2" w:rsidDel="005C4CE7" w:rsidRDefault="00127337" w:rsidP="00BB722F">
            <w:pPr>
              <w:pStyle w:val="TableTextLeft"/>
            </w:pPr>
          </w:p>
        </w:tc>
        <w:tc>
          <w:tcPr>
            <w:tcW w:w="1247" w:type="dxa"/>
            <w:shd w:val="clear" w:color="auto" w:fill="DFE4EB"/>
          </w:tcPr>
          <w:p w14:paraId="4598F89C" w14:textId="77777777" w:rsidR="00127337" w:rsidRPr="00F91AB2" w:rsidRDefault="00127337" w:rsidP="00BB722F">
            <w:pPr>
              <w:pStyle w:val="TableTextLeft"/>
            </w:pPr>
          </w:p>
        </w:tc>
        <w:tc>
          <w:tcPr>
            <w:tcW w:w="1247" w:type="dxa"/>
            <w:shd w:val="clear" w:color="auto" w:fill="DFE4EB"/>
          </w:tcPr>
          <w:p w14:paraId="18866073" w14:textId="77777777" w:rsidR="00127337" w:rsidRPr="00F91AB2" w:rsidDel="005C4CE7" w:rsidRDefault="00127337" w:rsidP="00BB722F">
            <w:pPr>
              <w:pStyle w:val="TableTextLeft"/>
            </w:pPr>
          </w:p>
        </w:tc>
        <w:tc>
          <w:tcPr>
            <w:tcW w:w="1247" w:type="dxa"/>
            <w:shd w:val="clear" w:color="auto" w:fill="EFF1F5"/>
          </w:tcPr>
          <w:p w14:paraId="762EE534" w14:textId="77777777" w:rsidR="00127337" w:rsidRPr="00F91AB2" w:rsidRDefault="00127337" w:rsidP="00BB722F">
            <w:pPr>
              <w:pStyle w:val="TableTextLeft"/>
            </w:pPr>
          </w:p>
        </w:tc>
        <w:tc>
          <w:tcPr>
            <w:tcW w:w="1247" w:type="dxa"/>
            <w:shd w:val="clear" w:color="auto" w:fill="EFF1F5"/>
          </w:tcPr>
          <w:p w14:paraId="001BFC66" w14:textId="77777777" w:rsidR="00127337" w:rsidRPr="00F91AB2" w:rsidRDefault="00127337" w:rsidP="00BB722F">
            <w:pPr>
              <w:pStyle w:val="TableTextLeft"/>
            </w:pPr>
          </w:p>
        </w:tc>
      </w:tr>
      <w:tr w:rsidR="00E6324E" w:rsidRPr="00AF43B7" w14:paraId="37381AEB" w14:textId="77777777" w:rsidTr="74251931">
        <w:trPr>
          <w:cantSplit/>
          <w:trHeight w:val="410"/>
        </w:trPr>
        <w:tc>
          <w:tcPr>
            <w:tcW w:w="794" w:type="dxa"/>
            <w:tcBorders>
              <w:bottom w:val="single" w:sz="4" w:space="0" w:color="5D779D" w:themeColor="accent3"/>
            </w:tcBorders>
          </w:tcPr>
          <w:p w14:paraId="5BEFBB27" w14:textId="77777777" w:rsidR="00127337" w:rsidRPr="00E7433A" w:rsidRDefault="00127337" w:rsidP="00F30D3C">
            <w:pPr>
              <w:pStyle w:val="TableLeadAgency"/>
            </w:pPr>
            <w:r>
              <w:t>RBA</w:t>
            </w:r>
          </w:p>
        </w:tc>
        <w:tc>
          <w:tcPr>
            <w:tcW w:w="1304" w:type="dxa"/>
            <w:tcBorders>
              <w:bottom w:val="single" w:sz="4" w:space="0" w:color="5D779D" w:themeColor="accent3"/>
            </w:tcBorders>
          </w:tcPr>
          <w:p w14:paraId="16EBA129" w14:textId="77777777" w:rsidR="00127337" w:rsidRPr="00F91AB2" w:rsidRDefault="00127337" w:rsidP="00F30D3C">
            <w:pPr>
              <w:pStyle w:val="TableTextLeft"/>
            </w:pPr>
            <w:r w:rsidRPr="002E6989">
              <w:t>Payment services and digital assets</w:t>
            </w:r>
          </w:p>
        </w:tc>
        <w:tc>
          <w:tcPr>
            <w:tcW w:w="3175" w:type="dxa"/>
            <w:tcBorders>
              <w:bottom w:val="single" w:sz="4" w:space="0" w:color="5D779D" w:themeColor="accent3"/>
            </w:tcBorders>
          </w:tcPr>
          <w:p w14:paraId="68925B23" w14:textId="6C72453F" w:rsidR="00127337" w:rsidRDefault="00127337" w:rsidP="00F30D3C">
            <w:pPr>
              <w:pStyle w:val="TableTextLeft"/>
              <w:rPr>
                <w:b/>
                <w:bCs/>
              </w:rPr>
            </w:pPr>
            <w:r w:rsidRPr="002E6989">
              <w:rPr>
                <w:b/>
                <w:bCs/>
              </w:rPr>
              <w:t xml:space="preserve">Prominent Payment Systems (PPS) oversight </w:t>
            </w:r>
            <w:r w:rsidRPr="000A7759">
              <w:rPr>
                <w:b/>
                <w:bCs/>
              </w:rPr>
              <w:t>regime</w:t>
            </w:r>
            <w:r w:rsidR="000A7759" w:rsidRPr="000A7759">
              <w:rPr>
                <w:b/>
                <w:bCs/>
                <w:szCs w:val="16"/>
              </w:rPr>
              <w:t xml:space="preserve"> </w:t>
            </w:r>
            <w:r w:rsidR="000A7759" w:rsidRPr="000A7759">
              <w:rPr>
                <w:rStyle w:val="NewInitiativeChar"/>
                <w:sz w:val="16"/>
                <w:szCs w:val="16"/>
              </w:rPr>
              <w:t>(new)</w:t>
            </w:r>
          </w:p>
          <w:p w14:paraId="51BF453A" w14:textId="715EF6B7" w:rsidR="00127337" w:rsidRDefault="00127337" w:rsidP="00F30D3C">
            <w:pPr>
              <w:pStyle w:val="TableTextLeft"/>
            </w:pPr>
            <w:r w:rsidRPr="000170AD">
              <w:t xml:space="preserve">The RBA oversees the safety and stability of </w:t>
            </w:r>
            <w:r>
              <w:t xml:space="preserve">prominent </w:t>
            </w:r>
            <w:r w:rsidRPr="000170AD">
              <w:t>payment systems</w:t>
            </w:r>
            <w:r>
              <w:t xml:space="preserve">. The operators/administrators of </w:t>
            </w:r>
            <w:r w:rsidRPr="00C15013">
              <w:t>NPP</w:t>
            </w:r>
            <w:r>
              <w:t xml:space="preserve"> </w:t>
            </w:r>
            <w:r w:rsidRPr="00C15013">
              <w:t xml:space="preserve">and </w:t>
            </w:r>
            <w:r w:rsidRPr="00031E92">
              <w:t>BECS</w:t>
            </w:r>
            <w:r w:rsidRPr="00C15013">
              <w:t xml:space="preserve"> have agreed to risk</w:t>
            </w:r>
            <w:r w:rsidR="003D486F">
              <w:noBreakHyphen/>
            </w:r>
            <w:r w:rsidRPr="00C15013">
              <w:t>based oversight programs.</w:t>
            </w:r>
          </w:p>
        </w:tc>
        <w:tc>
          <w:tcPr>
            <w:tcW w:w="1247" w:type="dxa"/>
            <w:tcBorders>
              <w:bottom w:val="single" w:sz="4" w:space="0" w:color="5D779D" w:themeColor="accent3"/>
            </w:tcBorders>
            <w:shd w:val="clear" w:color="auto" w:fill="DFE4EB"/>
          </w:tcPr>
          <w:p w14:paraId="31CF910C" w14:textId="77777777" w:rsidR="00127337" w:rsidRPr="00F91AB2" w:rsidRDefault="00127337" w:rsidP="00F30D3C">
            <w:pPr>
              <w:pStyle w:val="TableTextLeft"/>
            </w:pPr>
          </w:p>
        </w:tc>
        <w:tc>
          <w:tcPr>
            <w:tcW w:w="1247" w:type="dxa"/>
            <w:tcBorders>
              <w:bottom w:val="single" w:sz="4" w:space="0" w:color="5D779D" w:themeColor="accent3"/>
            </w:tcBorders>
            <w:shd w:val="clear" w:color="auto" w:fill="DFE4EB"/>
          </w:tcPr>
          <w:p w14:paraId="02FC3E13" w14:textId="77777777" w:rsidR="00127337" w:rsidRPr="00F91AB2" w:rsidRDefault="00127337" w:rsidP="00F30D3C">
            <w:pPr>
              <w:pStyle w:val="TableTextLeft"/>
            </w:pPr>
            <w:r>
              <w:t>RBA to publish BECS risk assessment annual update.</w:t>
            </w:r>
          </w:p>
        </w:tc>
        <w:tc>
          <w:tcPr>
            <w:tcW w:w="1247" w:type="dxa"/>
            <w:tcBorders>
              <w:bottom w:val="single" w:sz="4" w:space="0" w:color="5D779D" w:themeColor="accent3"/>
            </w:tcBorders>
            <w:shd w:val="clear" w:color="auto" w:fill="DFE4EB"/>
          </w:tcPr>
          <w:p w14:paraId="21E601AC" w14:textId="77777777" w:rsidR="00127337" w:rsidRPr="00F91AB2" w:rsidRDefault="00127337" w:rsidP="00F30D3C">
            <w:pPr>
              <w:pStyle w:val="TableTextLeft"/>
            </w:pPr>
          </w:p>
        </w:tc>
        <w:tc>
          <w:tcPr>
            <w:tcW w:w="1247" w:type="dxa"/>
            <w:tcBorders>
              <w:bottom w:val="single" w:sz="4" w:space="0" w:color="5D779D" w:themeColor="accent3"/>
            </w:tcBorders>
            <w:shd w:val="clear" w:color="auto" w:fill="DFE4EB"/>
          </w:tcPr>
          <w:p w14:paraId="0FDAE1C1" w14:textId="77777777" w:rsidR="00127337" w:rsidRPr="00F91AB2" w:rsidRDefault="00127337" w:rsidP="00F30D3C">
            <w:pPr>
              <w:pStyle w:val="TableTextLeft"/>
            </w:pPr>
          </w:p>
        </w:tc>
        <w:tc>
          <w:tcPr>
            <w:tcW w:w="1247" w:type="dxa"/>
            <w:tcBorders>
              <w:bottom w:val="single" w:sz="4" w:space="0" w:color="5D779D" w:themeColor="accent3"/>
            </w:tcBorders>
            <w:shd w:val="clear" w:color="auto" w:fill="DFE4EB"/>
          </w:tcPr>
          <w:p w14:paraId="5B13716B" w14:textId="77777777" w:rsidR="00127337" w:rsidRPr="00F91AB2" w:rsidRDefault="00127337" w:rsidP="00F30D3C">
            <w:pPr>
              <w:pStyle w:val="TableTextLeft"/>
            </w:pPr>
          </w:p>
        </w:tc>
        <w:tc>
          <w:tcPr>
            <w:tcW w:w="1247" w:type="dxa"/>
            <w:tcBorders>
              <w:bottom w:val="single" w:sz="4" w:space="0" w:color="5D779D" w:themeColor="accent3"/>
            </w:tcBorders>
            <w:shd w:val="clear" w:color="auto" w:fill="EFF1F5"/>
          </w:tcPr>
          <w:p w14:paraId="13F2FA94" w14:textId="77777777" w:rsidR="00127337" w:rsidRPr="00F91AB2" w:rsidRDefault="00127337" w:rsidP="00F30D3C">
            <w:pPr>
              <w:pStyle w:val="TableTextLeft"/>
            </w:pPr>
            <w:r>
              <w:t>RBA to publish BECS risk assessment annual update.</w:t>
            </w:r>
          </w:p>
        </w:tc>
        <w:tc>
          <w:tcPr>
            <w:tcW w:w="1247" w:type="dxa"/>
            <w:tcBorders>
              <w:bottom w:val="single" w:sz="4" w:space="0" w:color="5D779D" w:themeColor="accent3"/>
            </w:tcBorders>
            <w:shd w:val="clear" w:color="auto" w:fill="EFF1F5"/>
          </w:tcPr>
          <w:p w14:paraId="6B83B809" w14:textId="77777777" w:rsidR="00127337" w:rsidRPr="00F91AB2" w:rsidRDefault="00127337" w:rsidP="00F30D3C">
            <w:pPr>
              <w:pStyle w:val="TableTextLeft"/>
            </w:pPr>
          </w:p>
        </w:tc>
      </w:tr>
      <w:tr w:rsidR="00E6324E" w:rsidRPr="00AF43B7" w14:paraId="75FFE374" w14:textId="77777777" w:rsidTr="74251931">
        <w:trPr>
          <w:cantSplit/>
          <w:trHeight w:val="410"/>
        </w:trPr>
        <w:tc>
          <w:tcPr>
            <w:tcW w:w="794" w:type="dxa"/>
          </w:tcPr>
          <w:p w14:paraId="7E6D87B4" w14:textId="77777777" w:rsidR="00127337" w:rsidRDefault="00127337" w:rsidP="00F30D3C">
            <w:pPr>
              <w:pStyle w:val="TableLeadAgency"/>
            </w:pPr>
            <w:r>
              <w:rPr>
                <w:lang w:val="en-US" w:eastAsia="ja-JP"/>
              </w:rPr>
              <w:t>ASIC</w:t>
            </w:r>
          </w:p>
        </w:tc>
        <w:tc>
          <w:tcPr>
            <w:tcW w:w="1304" w:type="dxa"/>
          </w:tcPr>
          <w:p w14:paraId="4AFBF887" w14:textId="77777777" w:rsidR="00127337" w:rsidRPr="00F91AB2" w:rsidRDefault="00127337" w:rsidP="00F30D3C">
            <w:pPr>
              <w:pStyle w:val="TableTextLeft"/>
            </w:pPr>
            <w:r>
              <w:rPr>
                <w:lang w:val="en-US" w:eastAsia="ja-JP"/>
              </w:rPr>
              <w:t>Financial markets</w:t>
            </w:r>
          </w:p>
        </w:tc>
        <w:tc>
          <w:tcPr>
            <w:tcW w:w="3175" w:type="dxa"/>
          </w:tcPr>
          <w:p w14:paraId="3F7A41DD" w14:textId="348B1227" w:rsidR="00127337" w:rsidRDefault="00127337" w:rsidP="00F30D3C">
            <w:pPr>
              <w:pStyle w:val="TableTextLeft"/>
              <w:rPr>
                <w:b/>
                <w:bCs/>
                <w:lang w:val="en-US" w:eastAsia="ja-JP"/>
              </w:rPr>
            </w:pPr>
            <w:r>
              <w:rPr>
                <w:b/>
                <w:bCs/>
                <w:lang w:val="en-US" w:eastAsia="ja-JP"/>
              </w:rPr>
              <w:t>Public and private markets</w:t>
            </w:r>
            <w:r w:rsidR="003D486F">
              <w:rPr>
                <w:b/>
                <w:bCs/>
                <w:lang w:val="en-US" w:eastAsia="ja-JP"/>
              </w:rPr>
              <w:t xml:space="preserve"> – </w:t>
            </w:r>
            <w:r>
              <w:rPr>
                <w:b/>
                <w:bCs/>
                <w:lang w:val="en-US" w:eastAsia="ja-JP"/>
              </w:rPr>
              <w:t>responding to changing market dynamics (ASIC, Markets Hub)</w:t>
            </w:r>
            <w:r w:rsidR="000A7759" w:rsidRPr="000A7759">
              <w:rPr>
                <w:rStyle w:val="NewInitiativeChar"/>
                <w:sz w:val="16"/>
                <w:szCs w:val="16"/>
              </w:rPr>
              <w:t xml:space="preserve"> (new)</w:t>
            </w:r>
          </w:p>
          <w:p w14:paraId="503D8790" w14:textId="22763CE8" w:rsidR="00127337" w:rsidRPr="009844AB" w:rsidRDefault="00127337" w:rsidP="009844AB">
            <w:pPr>
              <w:pStyle w:val="TableTextLeft"/>
              <w:rPr>
                <w:lang w:val="en-US" w:eastAsia="ja-JP"/>
              </w:rPr>
            </w:pPr>
            <w:proofErr w:type="spellStart"/>
            <w:r w:rsidRPr="009844AB">
              <w:rPr>
                <w:lang w:val="en-US" w:eastAsia="ja-JP"/>
              </w:rPr>
              <w:t>Finalise</w:t>
            </w:r>
            <w:proofErr w:type="spellEnd"/>
            <w:r w:rsidRPr="009844AB">
              <w:rPr>
                <w:lang w:val="en-US" w:eastAsia="ja-JP"/>
              </w:rPr>
              <w:t xml:space="preserve"> the assessment of stakeholder feedback to ASIC</w:t>
            </w:r>
            <w:r w:rsidR="003D486F">
              <w:rPr>
                <w:lang w:val="en-US" w:eastAsia="ja-JP"/>
              </w:rPr>
              <w:t>’</w:t>
            </w:r>
            <w:r w:rsidRPr="009844AB">
              <w:rPr>
                <w:lang w:val="en-US" w:eastAsia="ja-JP"/>
              </w:rPr>
              <w:t xml:space="preserve">s Discussion Paper, analysis of the future nature of our financial markets, the environmental scan of the private credit market and surveillance into private finance market funds. Publish the findings and response in Q4 2025. </w:t>
            </w:r>
          </w:p>
          <w:p w14:paraId="638675B4" w14:textId="235F9F1E" w:rsidR="00127337" w:rsidRPr="00F91AB2" w:rsidRDefault="00127337" w:rsidP="00F30D3C">
            <w:pPr>
              <w:pStyle w:val="TableTextLeft"/>
              <w:rPr>
                <w:rStyle w:val="Strong"/>
              </w:rPr>
            </w:pPr>
            <w:r w:rsidRPr="009844AB">
              <w:rPr>
                <w:lang w:val="en-US" w:eastAsia="ja-JP"/>
              </w:rPr>
              <w:t>Consultation opened on 26 February 2025 and closed on 28 April 2025</w:t>
            </w:r>
            <w:r w:rsidR="003D486F">
              <w:rPr>
                <w:lang w:val="en-US" w:eastAsia="ja-JP"/>
              </w:rPr>
              <w:t xml:space="preserve">. </w:t>
            </w:r>
            <w:r w:rsidRPr="009844AB">
              <w:rPr>
                <w:lang w:val="en-US" w:eastAsia="ja-JP"/>
              </w:rPr>
              <w:t xml:space="preserve"> </w:t>
            </w:r>
          </w:p>
        </w:tc>
        <w:tc>
          <w:tcPr>
            <w:tcW w:w="1247" w:type="dxa"/>
            <w:shd w:val="clear" w:color="auto" w:fill="DFE4EB"/>
          </w:tcPr>
          <w:p w14:paraId="385E64CA" w14:textId="77777777" w:rsidR="00127337" w:rsidRPr="00F91AB2" w:rsidRDefault="00127337" w:rsidP="00F30D3C">
            <w:pPr>
              <w:pStyle w:val="TableTextLeft"/>
            </w:pPr>
            <w:r w:rsidRPr="00900895">
              <w:rPr>
                <w:lang w:val="en-US" w:eastAsia="ja-JP"/>
              </w:rPr>
              <w:t>Findings and response report published</w:t>
            </w:r>
          </w:p>
        </w:tc>
        <w:tc>
          <w:tcPr>
            <w:tcW w:w="1247" w:type="dxa"/>
            <w:shd w:val="clear" w:color="auto" w:fill="DFE4EB"/>
          </w:tcPr>
          <w:p w14:paraId="184D7087" w14:textId="77777777" w:rsidR="00127337" w:rsidRPr="00F91AB2" w:rsidRDefault="00127337" w:rsidP="00F30D3C">
            <w:pPr>
              <w:pStyle w:val="TableTextLeft"/>
            </w:pPr>
          </w:p>
        </w:tc>
        <w:tc>
          <w:tcPr>
            <w:tcW w:w="1247" w:type="dxa"/>
            <w:shd w:val="clear" w:color="auto" w:fill="DFE4EB"/>
          </w:tcPr>
          <w:p w14:paraId="6DE2A808" w14:textId="77777777" w:rsidR="00127337" w:rsidRPr="00F91AB2" w:rsidDel="005C4CE7" w:rsidRDefault="00127337" w:rsidP="00F30D3C">
            <w:pPr>
              <w:pStyle w:val="TableTextLeft"/>
            </w:pPr>
          </w:p>
        </w:tc>
        <w:tc>
          <w:tcPr>
            <w:tcW w:w="1247" w:type="dxa"/>
            <w:shd w:val="clear" w:color="auto" w:fill="DFE4EB"/>
          </w:tcPr>
          <w:p w14:paraId="2B553591" w14:textId="77777777" w:rsidR="00127337" w:rsidRPr="00F91AB2" w:rsidRDefault="00127337" w:rsidP="00F30D3C">
            <w:pPr>
              <w:pStyle w:val="TableTextLeft"/>
            </w:pPr>
          </w:p>
        </w:tc>
        <w:tc>
          <w:tcPr>
            <w:tcW w:w="1247" w:type="dxa"/>
            <w:shd w:val="clear" w:color="auto" w:fill="DFE4EB"/>
          </w:tcPr>
          <w:p w14:paraId="7EF4BC7C" w14:textId="77777777" w:rsidR="00127337" w:rsidRPr="00F91AB2" w:rsidDel="005C4CE7" w:rsidRDefault="00127337" w:rsidP="00F30D3C">
            <w:pPr>
              <w:pStyle w:val="TableTextLeft"/>
            </w:pPr>
          </w:p>
        </w:tc>
        <w:tc>
          <w:tcPr>
            <w:tcW w:w="1247" w:type="dxa"/>
            <w:shd w:val="clear" w:color="auto" w:fill="EFF1F5"/>
          </w:tcPr>
          <w:p w14:paraId="0DEFE5D3" w14:textId="77777777" w:rsidR="00127337" w:rsidRPr="00F91AB2" w:rsidRDefault="00127337" w:rsidP="00F30D3C">
            <w:pPr>
              <w:pStyle w:val="TableTextLeft"/>
            </w:pPr>
          </w:p>
        </w:tc>
        <w:tc>
          <w:tcPr>
            <w:tcW w:w="1247" w:type="dxa"/>
            <w:shd w:val="clear" w:color="auto" w:fill="EFF1F5"/>
          </w:tcPr>
          <w:p w14:paraId="47507E08" w14:textId="77777777" w:rsidR="00127337" w:rsidRPr="00F91AB2" w:rsidRDefault="00127337" w:rsidP="00F30D3C">
            <w:pPr>
              <w:pStyle w:val="TableTextLeft"/>
            </w:pPr>
          </w:p>
        </w:tc>
      </w:tr>
      <w:tr w:rsidR="00E6324E" w:rsidRPr="00AF43B7" w14:paraId="00A80EC5" w14:textId="77777777" w:rsidTr="74251931">
        <w:trPr>
          <w:cantSplit/>
          <w:trHeight w:val="410"/>
        </w:trPr>
        <w:tc>
          <w:tcPr>
            <w:tcW w:w="794" w:type="dxa"/>
            <w:tcBorders>
              <w:top w:val="single" w:sz="4" w:space="0" w:color="5D779D" w:themeColor="accent3"/>
              <w:bottom w:val="single" w:sz="4" w:space="0" w:color="5D779D" w:themeColor="accent3"/>
            </w:tcBorders>
          </w:tcPr>
          <w:p w14:paraId="74C5BE37" w14:textId="77777777" w:rsidR="00127337" w:rsidRPr="00256752" w:rsidRDefault="00127337" w:rsidP="00F30D3C">
            <w:pPr>
              <w:pStyle w:val="TableTextLeft"/>
              <w:rPr>
                <w:b/>
                <w:bCs/>
              </w:rPr>
            </w:pPr>
            <w:r w:rsidRPr="002931AD">
              <w:rPr>
                <w:b/>
              </w:rPr>
              <w:lastRenderedPageBreak/>
              <w:t xml:space="preserve">RBA </w:t>
            </w:r>
          </w:p>
          <w:p w14:paraId="611F4588" w14:textId="77777777" w:rsidR="00127337" w:rsidRPr="00E7433A" w:rsidRDefault="00127337" w:rsidP="00F30D3C">
            <w:pPr>
              <w:pStyle w:val="TableSecondaryAgency"/>
              <w:rPr>
                <w:b/>
              </w:rPr>
            </w:pPr>
            <w:r w:rsidRPr="00E7433A">
              <w:t>Other</w:t>
            </w:r>
          </w:p>
        </w:tc>
        <w:tc>
          <w:tcPr>
            <w:tcW w:w="1304" w:type="dxa"/>
            <w:tcBorders>
              <w:top w:val="single" w:sz="4" w:space="0" w:color="5D779D" w:themeColor="accent3"/>
              <w:bottom w:val="single" w:sz="4" w:space="0" w:color="5D779D" w:themeColor="accent3"/>
            </w:tcBorders>
          </w:tcPr>
          <w:p w14:paraId="07BB4E7F" w14:textId="77777777" w:rsidR="00127337" w:rsidRPr="00ED10E0" w:rsidDel="00AF3AA5" w:rsidRDefault="00127337" w:rsidP="00F30D3C">
            <w:pPr>
              <w:pStyle w:val="TableTextLeft"/>
            </w:pPr>
            <w:r w:rsidRPr="00A56D83" w:rsidDel="00AF3AA5">
              <w:t>Payment services and digital assets</w:t>
            </w:r>
          </w:p>
        </w:tc>
        <w:tc>
          <w:tcPr>
            <w:tcW w:w="3175" w:type="dxa"/>
            <w:tcBorders>
              <w:top w:val="single" w:sz="4" w:space="0" w:color="5D779D" w:themeColor="accent3"/>
              <w:bottom w:val="single" w:sz="4" w:space="0" w:color="5D779D" w:themeColor="accent3"/>
            </w:tcBorders>
          </w:tcPr>
          <w:p w14:paraId="37BF1AAE" w14:textId="77777777" w:rsidR="00127337" w:rsidRPr="001B1F27" w:rsidRDefault="00127337" w:rsidP="00F30D3C">
            <w:pPr>
              <w:pStyle w:val="TableTextLeft"/>
              <w:rPr>
                <w:b/>
                <w:bCs/>
              </w:rPr>
            </w:pPr>
            <w:r w:rsidRPr="001B1F27">
              <w:rPr>
                <w:b/>
              </w:rPr>
              <w:t xml:space="preserve">Receipt of </w:t>
            </w:r>
            <w:r w:rsidRPr="001B1F27">
              <w:rPr>
                <w:b/>
                <w:bCs/>
                <w:i/>
                <w:iCs/>
              </w:rPr>
              <w:t>Security of Critical Infrastructure (SOCI) Act</w:t>
            </w:r>
            <w:r w:rsidRPr="001B1F27">
              <w:rPr>
                <w:b/>
                <w:bCs/>
              </w:rPr>
              <w:t xml:space="preserve"> </w:t>
            </w:r>
            <w:r w:rsidRPr="001B1F27">
              <w:rPr>
                <w:b/>
                <w:bCs/>
                <w:i/>
                <w:iCs/>
              </w:rPr>
              <w:t xml:space="preserve">2018 </w:t>
            </w:r>
            <w:r w:rsidRPr="001B1F27">
              <w:rPr>
                <w:b/>
              </w:rPr>
              <w:t>annual attestations</w:t>
            </w:r>
          </w:p>
          <w:p w14:paraId="396F560F" w14:textId="77777777" w:rsidR="00127337" w:rsidRPr="00F91AB2" w:rsidRDefault="00127337" w:rsidP="00F30D3C">
            <w:pPr>
              <w:pStyle w:val="TableTextLeft"/>
            </w:pPr>
            <w:r w:rsidRPr="000C4FD5">
              <w:t>Under</w:t>
            </w:r>
            <w:r w:rsidRPr="00493923">
              <w:t xml:space="preserve"> the SOCI Act, </w:t>
            </w:r>
            <w:r>
              <w:t xml:space="preserve">the </w:t>
            </w:r>
            <w:r w:rsidRPr="00493923">
              <w:t xml:space="preserve">RBA will receive annual attestations of compliance with the SOCI Act Risk Management Program rules. </w:t>
            </w:r>
            <w:r>
              <w:t xml:space="preserve">The </w:t>
            </w:r>
            <w:r w:rsidRPr="00493923">
              <w:t xml:space="preserve">RBA is establishing a portal on the RBA website to streamline </w:t>
            </w:r>
            <w:r>
              <w:t xml:space="preserve">the </w:t>
            </w:r>
            <w:r w:rsidRPr="00493923">
              <w:t xml:space="preserve">submission process. This item is limited to a focus on critical </w:t>
            </w:r>
            <w:r>
              <w:t xml:space="preserve">infrastructure </w:t>
            </w:r>
            <w:r w:rsidRPr="00493923">
              <w:t xml:space="preserve">payment systems only. </w:t>
            </w:r>
            <w:r>
              <w:t>This c</w:t>
            </w:r>
            <w:r w:rsidRPr="0086284E">
              <w:rPr>
                <w:rFonts w:cs="Calibri Light"/>
                <w:szCs w:val="16"/>
              </w:rPr>
              <w:t xml:space="preserve">ommenced </w:t>
            </w:r>
            <w:r>
              <w:rPr>
                <w:rFonts w:cs="Calibri Light"/>
                <w:szCs w:val="16"/>
              </w:rPr>
              <w:t xml:space="preserve">in </w:t>
            </w:r>
            <w:r w:rsidRPr="0086284E">
              <w:rPr>
                <w:rFonts w:cs="Calibri Light"/>
                <w:szCs w:val="16"/>
              </w:rPr>
              <w:t>September 2024</w:t>
            </w:r>
            <w:r>
              <w:rPr>
                <w:rFonts w:cs="Calibri Light"/>
                <w:szCs w:val="16"/>
              </w:rPr>
              <w:t>.</w:t>
            </w:r>
          </w:p>
        </w:tc>
        <w:tc>
          <w:tcPr>
            <w:tcW w:w="1247" w:type="dxa"/>
            <w:tcBorders>
              <w:top w:val="single" w:sz="4" w:space="0" w:color="5D779D" w:themeColor="accent3"/>
              <w:bottom w:val="single" w:sz="4" w:space="0" w:color="5D779D" w:themeColor="accent3"/>
            </w:tcBorders>
            <w:shd w:val="clear" w:color="auto" w:fill="DFE4EB"/>
          </w:tcPr>
          <w:p w14:paraId="7F4556E9" w14:textId="77777777" w:rsidR="00127337" w:rsidRPr="00F91AB2" w:rsidRDefault="00127337" w:rsidP="00F30D3C">
            <w:pPr>
              <w:pStyle w:val="TableTextLeft"/>
            </w:pPr>
          </w:p>
        </w:tc>
        <w:tc>
          <w:tcPr>
            <w:tcW w:w="1247" w:type="dxa"/>
            <w:tcBorders>
              <w:top w:val="single" w:sz="4" w:space="0" w:color="5D779D" w:themeColor="accent3"/>
              <w:bottom w:val="single" w:sz="4" w:space="0" w:color="5D779D" w:themeColor="accent3"/>
            </w:tcBorders>
            <w:shd w:val="clear" w:color="auto" w:fill="DFE4EB"/>
          </w:tcPr>
          <w:p w14:paraId="22242434" w14:textId="77777777" w:rsidR="00127337" w:rsidRPr="00F91AB2" w:rsidRDefault="00127337" w:rsidP="00F30D3C">
            <w:pPr>
              <w:pStyle w:val="TableTextLeft"/>
            </w:pPr>
          </w:p>
        </w:tc>
        <w:tc>
          <w:tcPr>
            <w:tcW w:w="1247" w:type="dxa"/>
            <w:tcBorders>
              <w:top w:val="single" w:sz="4" w:space="0" w:color="5D779D" w:themeColor="accent3"/>
              <w:bottom w:val="single" w:sz="4" w:space="0" w:color="5D779D" w:themeColor="accent3"/>
            </w:tcBorders>
            <w:shd w:val="clear" w:color="auto" w:fill="DFE4EB"/>
          </w:tcPr>
          <w:p w14:paraId="5F8DA698" w14:textId="77777777" w:rsidR="00127337" w:rsidRPr="00F91AB2" w:rsidDel="00612932" w:rsidRDefault="00127337" w:rsidP="00F30D3C">
            <w:pPr>
              <w:pStyle w:val="TableTextLeft"/>
            </w:pPr>
          </w:p>
        </w:tc>
        <w:tc>
          <w:tcPr>
            <w:tcW w:w="1247" w:type="dxa"/>
            <w:tcBorders>
              <w:top w:val="single" w:sz="4" w:space="0" w:color="5D779D" w:themeColor="accent3"/>
              <w:bottom w:val="single" w:sz="4" w:space="0" w:color="5D779D" w:themeColor="accent3"/>
            </w:tcBorders>
            <w:shd w:val="clear" w:color="auto" w:fill="DFE4EB"/>
          </w:tcPr>
          <w:p w14:paraId="583D0EE7" w14:textId="6A4E6B8C" w:rsidR="00127337" w:rsidRPr="00F91AB2" w:rsidRDefault="007F3003" w:rsidP="00F30D3C">
            <w:pPr>
              <w:pStyle w:val="TableTextLeft"/>
              <w:rPr>
                <w:rStyle w:val="CommentReference"/>
                <w:sz w:val="18"/>
                <w:szCs w:val="20"/>
              </w:rPr>
            </w:pPr>
            <w:r w:rsidRPr="007F3003">
              <w:rPr>
                <w:rFonts w:cs="Calibri Light"/>
                <w:szCs w:val="16"/>
              </w:rPr>
              <w:t>Annual attestations due</w:t>
            </w:r>
          </w:p>
        </w:tc>
        <w:tc>
          <w:tcPr>
            <w:tcW w:w="1247" w:type="dxa"/>
            <w:tcBorders>
              <w:top w:val="single" w:sz="4" w:space="0" w:color="5D779D" w:themeColor="accent3"/>
              <w:bottom w:val="single" w:sz="4" w:space="0" w:color="5D779D" w:themeColor="accent3"/>
            </w:tcBorders>
            <w:shd w:val="clear" w:color="auto" w:fill="DFE4EB"/>
          </w:tcPr>
          <w:p w14:paraId="39718D29" w14:textId="2F621330" w:rsidR="00127337" w:rsidRPr="00F91AB2" w:rsidRDefault="00127337" w:rsidP="00F30D3C">
            <w:pPr>
              <w:pStyle w:val="TableTextLeft"/>
              <w:rPr>
                <w:rStyle w:val="CommentReference"/>
                <w:sz w:val="18"/>
                <w:szCs w:val="20"/>
              </w:rPr>
            </w:pPr>
          </w:p>
        </w:tc>
        <w:tc>
          <w:tcPr>
            <w:tcW w:w="1247" w:type="dxa"/>
            <w:tcBorders>
              <w:top w:val="single" w:sz="4" w:space="0" w:color="5D779D" w:themeColor="accent3"/>
              <w:bottom w:val="single" w:sz="4" w:space="0" w:color="5D779D" w:themeColor="accent3"/>
            </w:tcBorders>
            <w:shd w:val="clear" w:color="auto" w:fill="EFF1F5"/>
          </w:tcPr>
          <w:p w14:paraId="54411E2F" w14:textId="77777777" w:rsidR="00127337" w:rsidRPr="00F91AB2" w:rsidRDefault="00127337" w:rsidP="00F30D3C">
            <w:pPr>
              <w:pStyle w:val="TableTextLeft"/>
            </w:pPr>
          </w:p>
        </w:tc>
        <w:tc>
          <w:tcPr>
            <w:tcW w:w="1247" w:type="dxa"/>
            <w:tcBorders>
              <w:top w:val="single" w:sz="4" w:space="0" w:color="5D779D" w:themeColor="accent3"/>
              <w:bottom w:val="single" w:sz="4" w:space="0" w:color="5D779D" w:themeColor="accent3"/>
            </w:tcBorders>
            <w:shd w:val="clear" w:color="auto" w:fill="EFF1F5"/>
          </w:tcPr>
          <w:p w14:paraId="612FC511" w14:textId="77777777" w:rsidR="00127337" w:rsidRPr="00F91AB2" w:rsidRDefault="00127337" w:rsidP="00F30D3C">
            <w:pPr>
              <w:pStyle w:val="TableTextLeft"/>
            </w:pPr>
          </w:p>
        </w:tc>
      </w:tr>
      <w:tr w:rsidR="00E6324E" w:rsidRPr="00AF43B7" w14:paraId="7D8B0B15" w14:textId="77777777" w:rsidTr="74251931">
        <w:trPr>
          <w:cantSplit/>
          <w:trHeight w:val="410"/>
        </w:trPr>
        <w:tc>
          <w:tcPr>
            <w:tcW w:w="794" w:type="dxa"/>
          </w:tcPr>
          <w:p w14:paraId="4A4B5D21" w14:textId="77777777" w:rsidR="00127337" w:rsidRPr="00AD71F3" w:rsidRDefault="00127337" w:rsidP="00B617F4">
            <w:pPr>
              <w:pStyle w:val="TableLeadAgency"/>
              <w:spacing w:before="0" w:after="0"/>
            </w:pPr>
            <w:r w:rsidRPr="00AD71F3">
              <w:t>DSS</w:t>
            </w:r>
          </w:p>
          <w:p w14:paraId="4840925B" w14:textId="77777777" w:rsidR="00127337" w:rsidRPr="00AD71F3" w:rsidRDefault="00127337" w:rsidP="00B617F4">
            <w:pPr>
              <w:pStyle w:val="TableSecondaryAgency"/>
              <w:spacing w:before="0" w:after="0"/>
            </w:pPr>
            <w:r w:rsidRPr="00AD71F3">
              <w:t>ATO</w:t>
            </w:r>
          </w:p>
          <w:p w14:paraId="703B8A6B" w14:textId="77777777" w:rsidR="00127337" w:rsidRPr="002931AD" w:rsidRDefault="00127337" w:rsidP="00BB722F">
            <w:pPr>
              <w:pStyle w:val="TableLeadAgency"/>
              <w:rPr>
                <w:b w:val="0"/>
                <w:i/>
                <w:lang w:val="en-US" w:eastAsia="ja-JP"/>
              </w:rPr>
            </w:pPr>
            <w:r w:rsidRPr="002931AD">
              <w:rPr>
                <w:b w:val="0"/>
                <w:i/>
              </w:rPr>
              <w:t>TSY</w:t>
            </w:r>
          </w:p>
        </w:tc>
        <w:tc>
          <w:tcPr>
            <w:tcW w:w="1304" w:type="dxa"/>
          </w:tcPr>
          <w:p w14:paraId="373A1126" w14:textId="77777777" w:rsidR="00127337" w:rsidRDefault="00127337" w:rsidP="00BB722F">
            <w:pPr>
              <w:pStyle w:val="TableTextLeft"/>
              <w:rPr>
                <w:lang w:val="en-US" w:eastAsia="ja-JP"/>
              </w:rPr>
            </w:pPr>
            <w:r w:rsidRPr="00F534FF">
              <w:t>Superannuation and retirement income</w:t>
            </w:r>
          </w:p>
        </w:tc>
        <w:tc>
          <w:tcPr>
            <w:tcW w:w="3175" w:type="dxa"/>
          </w:tcPr>
          <w:p w14:paraId="49B0B665" w14:textId="77777777" w:rsidR="00127337" w:rsidRPr="001B1F27" w:rsidRDefault="00127337" w:rsidP="001B1F27">
            <w:pPr>
              <w:pStyle w:val="TableLink"/>
            </w:pPr>
            <w:hyperlink r:id="rId100">
              <w:r w:rsidRPr="001B1F27">
                <w:rPr>
                  <w:rStyle w:val="Hyperlink"/>
                  <w:color w:val="5D779D" w:themeColor="accent3"/>
                  <w:u w:val="single"/>
                </w:rPr>
                <w:t>Superannuation on Paid Parental Leave</w:t>
              </w:r>
            </w:hyperlink>
            <w:r w:rsidRPr="001B1F27">
              <w:rPr>
                <w:rStyle w:val="Hyperlink"/>
                <w:color w:val="5D779D" w:themeColor="accent3"/>
                <w:u w:val="single"/>
              </w:rPr>
              <w:t xml:space="preserve"> </w:t>
            </w:r>
          </w:p>
          <w:p w14:paraId="1B52277F" w14:textId="77777777" w:rsidR="00127337" w:rsidRPr="00F534FF" w:rsidRDefault="00127337" w:rsidP="00992D9E">
            <w:pPr>
              <w:pStyle w:val="TableTextLeft"/>
              <w:spacing w:before="0" w:after="0"/>
            </w:pPr>
            <w:r w:rsidRPr="00F534FF">
              <w:t xml:space="preserve">The </w:t>
            </w:r>
            <w:r>
              <w:t>g</w:t>
            </w:r>
            <w:r w:rsidRPr="00F534FF">
              <w:t xml:space="preserve">overnment will make Superannuation Guarantee equivalent payments to recipients of Commonwealth </w:t>
            </w:r>
            <w:r>
              <w:t>g</w:t>
            </w:r>
            <w:r w:rsidRPr="00F534FF">
              <w:t xml:space="preserve">overnment funded Paid Parental </w:t>
            </w:r>
            <w:r>
              <w:t>L</w:t>
            </w:r>
            <w:r w:rsidRPr="00F534FF">
              <w:t>eave, for parents of babies born or adopted on or after 1</w:t>
            </w:r>
            <w:r>
              <w:t> </w:t>
            </w:r>
            <w:r w:rsidRPr="00F534FF">
              <w:t>July</w:t>
            </w:r>
            <w:r>
              <w:t> </w:t>
            </w:r>
            <w:r w:rsidRPr="00F534FF">
              <w:t>2025.</w:t>
            </w:r>
          </w:p>
          <w:p w14:paraId="39C1EEB5" w14:textId="254A0E9B" w:rsidR="00127337" w:rsidRDefault="00127337" w:rsidP="00BB722F">
            <w:pPr>
              <w:pStyle w:val="TableTextLeft"/>
              <w:rPr>
                <w:lang w:val="en-US" w:eastAsia="ja-JP"/>
              </w:rPr>
            </w:pPr>
            <w:r w:rsidRPr="00F534FF">
              <w:t xml:space="preserve">The </w:t>
            </w:r>
            <w:r w:rsidRPr="00357120">
              <w:rPr>
                <w:i/>
                <w:iCs/>
              </w:rPr>
              <w:t>Paid Parental Leave Amendment (Adding Superannuation for a More Secure Retirement) Act 2024</w:t>
            </w:r>
            <w:r>
              <w:rPr>
                <w:i/>
                <w:iCs/>
              </w:rPr>
              <w:t xml:space="preserve"> </w:t>
            </w:r>
            <w:r>
              <w:t>legislation commenced 1 July 2025, with payments commencing 1 July 2026. These payments will be made by the ATO directly into recipients</w:t>
            </w:r>
            <w:r w:rsidR="003D486F">
              <w:t>’</w:t>
            </w:r>
            <w:r>
              <w:t xml:space="preserve"> superannuation accounts annually. </w:t>
            </w:r>
          </w:p>
        </w:tc>
        <w:tc>
          <w:tcPr>
            <w:tcW w:w="1247" w:type="dxa"/>
            <w:shd w:val="clear" w:color="auto" w:fill="DFE4EB"/>
          </w:tcPr>
          <w:p w14:paraId="5FEF58BD" w14:textId="77777777" w:rsidR="00127337" w:rsidRDefault="00127337" w:rsidP="00BB722F">
            <w:pPr>
              <w:pStyle w:val="TableTextLeft"/>
              <w:rPr>
                <w:lang w:val="en-US" w:eastAsia="ja-JP"/>
              </w:rPr>
            </w:pPr>
          </w:p>
        </w:tc>
        <w:tc>
          <w:tcPr>
            <w:tcW w:w="1247" w:type="dxa"/>
            <w:shd w:val="clear" w:color="auto" w:fill="DFE4EB"/>
          </w:tcPr>
          <w:p w14:paraId="7C2C3355" w14:textId="77777777" w:rsidR="00127337" w:rsidRPr="00F91AB2" w:rsidRDefault="00127337" w:rsidP="00BB722F">
            <w:pPr>
              <w:pStyle w:val="TableTextLeft"/>
            </w:pPr>
          </w:p>
        </w:tc>
        <w:tc>
          <w:tcPr>
            <w:tcW w:w="1247" w:type="dxa"/>
            <w:shd w:val="clear" w:color="auto" w:fill="DFE4EB"/>
          </w:tcPr>
          <w:p w14:paraId="46BA3A91" w14:textId="77777777" w:rsidR="00127337" w:rsidRPr="00F91AB2" w:rsidDel="005C4CE7" w:rsidRDefault="00127337" w:rsidP="00BB722F">
            <w:pPr>
              <w:pStyle w:val="TableTextLeft"/>
            </w:pPr>
          </w:p>
        </w:tc>
        <w:tc>
          <w:tcPr>
            <w:tcW w:w="1247" w:type="dxa"/>
            <w:shd w:val="clear" w:color="auto" w:fill="DFE4EB"/>
          </w:tcPr>
          <w:p w14:paraId="71659BB9" w14:textId="77777777" w:rsidR="00127337" w:rsidRPr="00D813A6" w:rsidRDefault="00127337" w:rsidP="00BD3D0C">
            <w:pPr>
              <w:pStyle w:val="TableTextLeft"/>
              <w:spacing w:before="0" w:after="0"/>
            </w:pPr>
            <w:r>
              <w:t xml:space="preserve">Commencement of payments to eligible parents </w:t>
            </w:r>
            <w:r w:rsidRPr="00F534FF">
              <w:t>from 1</w:t>
            </w:r>
            <w:r>
              <w:t> </w:t>
            </w:r>
            <w:r w:rsidRPr="00F534FF">
              <w:t>July</w:t>
            </w:r>
            <w:r>
              <w:t> </w:t>
            </w:r>
            <w:r w:rsidRPr="00F534FF">
              <w:t>2026</w:t>
            </w:r>
          </w:p>
          <w:p w14:paraId="6213FA3F" w14:textId="77777777" w:rsidR="00127337" w:rsidRPr="00F91AB2" w:rsidRDefault="00127337" w:rsidP="00BB722F">
            <w:pPr>
              <w:pStyle w:val="TableTextLeft"/>
            </w:pPr>
          </w:p>
        </w:tc>
        <w:tc>
          <w:tcPr>
            <w:tcW w:w="1247" w:type="dxa"/>
            <w:shd w:val="clear" w:color="auto" w:fill="DFE4EB"/>
          </w:tcPr>
          <w:p w14:paraId="33742E69" w14:textId="77777777" w:rsidR="00127337" w:rsidRPr="00F91AB2" w:rsidDel="005C4CE7" w:rsidRDefault="00127337" w:rsidP="00BB722F">
            <w:pPr>
              <w:pStyle w:val="TableTextLeft"/>
            </w:pPr>
          </w:p>
        </w:tc>
        <w:tc>
          <w:tcPr>
            <w:tcW w:w="1247" w:type="dxa"/>
            <w:shd w:val="clear" w:color="auto" w:fill="EFF1F5"/>
          </w:tcPr>
          <w:p w14:paraId="0B253EBA" w14:textId="77777777" w:rsidR="00127337" w:rsidRPr="00F91AB2" w:rsidRDefault="00127337" w:rsidP="00BB722F">
            <w:pPr>
              <w:pStyle w:val="TableTextLeft"/>
            </w:pPr>
          </w:p>
        </w:tc>
        <w:tc>
          <w:tcPr>
            <w:tcW w:w="1247" w:type="dxa"/>
            <w:shd w:val="clear" w:color="auto" w:fill="EFF1F5"/>
          </w:tcPr>
          <w:p w14:paraId="2EE40B1C" w14:textId="77777777" w:rsidR="00127337" w:rsidRPr="00F91AB2" w:rsidRDefault="00127337" w:rsidP="00BB722F">
            <w:pPr>
              <w:pStyle w:val="TableTextLeft"/>
            </w:pPr>
          </w:p>
        </w:tc>
      </w:tr>
      <w:tr w:rsidR="00E6324E" w:rsidRPr="00AF43B7" w14:paraId="6FF903E5" w14:textId="77777777" w:rsidTr="74251931">
        <w:trPr>
          <w:cantSplit/>
          <w:trHeight w:val="410"/>
        </w:trPr>
        <w:tc>
          <w:tcPr>
            <w:tcW w:w="794" w:type="dxa"/>
            <w:tcBorders>
              <w:top w:val="single" w:sz="4" w:space="0" w:color="5D779D" w:themeColor="accent3"/>
              <w:bottom w:val="single" w:sz="4" w:space="0" w:color="5D779D" w:themeColor="accent3"/>
            </w:tcBorders>
          </w:tcPr>
          <w:p w14:paraId="5A3523A2" w14:textId="77777777" w:rsidR="00127337" w:rsidRPr="00E7433A" w:rsidRDefault="00127337" w:rsidP="0025748A">
            <w:pPr>
              <w:pStyle w:val="TableLeadAgency"/>
            </w:pPr>
            <w:r w:rsidRPr="00E7433A">
              <w:t>APRA</w:t>
            </w:r>
          </w:p>
        </w:tc>
        <w:tc>
          <w:tcPr>
            <w:tcW w:w="1304" w:type="dxa"/>
            <w:tcBorders>
              <w:top w:val="single" w:sz="4" w:space="0" w:color="5D779D" w:themeColor="accent3"/>
              <w:bottom w:val="single" w:sz="4" w:space="0" w:color="5D779D" w:themeColor="accent3"/>
            </w:tcBorders>
          </w:tcPr>
          <w:p w14:paraId="43A4D332" w14:textId="77777777" w:rsidR="00127337" w:rsidRDefault="00127337" w:rsidP="0025748A">
            <w:pPr>
              <w:pStyle w:val="TableTextLeft"/>
            </w:pPr>
            <w:r>
              <w:t>Banking, credit and lending</w:t>
            </w:r>
          </w:p>
          <w:p w14:paraId="2546FABC" w14:textId="77777777" w:rsidR="00127337" w:rsidRPr="005938DB" w:rsidRDefault="00127337" w:rsidP="0025748A">
            <w:pPr>
              <w:pStyle w:val="TableTextLeft"/>
            </w:pPr>
            <w:r>
              <w:t>Superannuation and retirement income</w:t>
            </w:r>
          </w:p>
        </w:tc>
        <w:tc>
          <w:tcPr>
            <w:tcW w:w="3175" w:type="dxa"/>
            <w:tcBorders>
              <w:top w:val="single" w:sz="4" w:space="0" w:color="5D779D" w:themeColor="accent3"/>
              <w:bottom w:val="single" w:sz="4" w:space="0" w:color="5D779D" w:themeColor="accent3"/>
            </w:tcBorders>
          </w:tcPr>
          <w:p w14:paraId="2F0DC268" w14:textId="24E7B2F4" w:rsidR="00127337" w:rsidRPr="001B1F27" w:rsidRDefault="00127337" w:rsidP="0025748A">
            <w:pPr>
              <w:pStyle w:val="TableTextLeft"/>
              <w:rPr>
                <w:b/>
                <w:bCs/>
              </w:rPr>
            </w:pPr>
            <w:r w:rsidRPr="001B1F27">
              <w:rPr>
                <w:b/>
                <w:bCs/>
              </w:rPr>
              <w:t>System stress test</w:t>
            </w:r>
          </w:p>
          <w:p w14:paraId="3DE7EDE4" w14:textId="77777777" w:rsidR="00127337" w:rsidRPr="005938DB" w:rsidRDefault="00127337" w:rsidP="0025748A">
            <w:pPr>
              <w:pStyle w:val="TableTextLeft"/>
            </w:pPr>
            <w:r w:rsidRPr="009A3724">
              <w:t>APRA will undertake a system stress test to understand resilience and risk across the financial system.</w:t>
            </w:r>
          </w:p>
        </w:tc>
        <w:tc>
          <w:tcPr>
            <w:tcW w:w="1247" w:type="dxa"/>
            <w:tcBorders>
              <w:top w:val="single" w:sz="4" w:space="0" w:color="5D779D" w:themeColor="accent3"/>
              <w:bottom w:val="single" w:sz="4" w:space="0" w:color="5D779D" w:themeColor="accent3"/>
            </w:tcBorders>
            <w:shd w:val="clear" w:color="auto" w:fill="DFE4EB"/>
          </w:tcPr>
          <w:p w14:paraId="059E2311" w14:textId="77777777" w:rsidR="00127337" w:rsidRPr="00F91AB2" w:rsidRDefault="00127337" w:rsidP="0025748A">
            <w:pPr>
              <w:pStyle w:val="TableTextLeft"/>
            </w:pPr>
            <w:r>
              <w:t xml:space="preserve">Entity engagement* </w:t>
            </w:r>
          </w:p>
        </w:tc>
        <w:tc>
          <w:tcPr>
            <w:tcW w:w="1247" w:type="dxa"/>
            <w:tcBorders>
              <w:top w:val="single" w:sz="4" w:space="0" w:color="5D779D" w:themeColor="accent3"/>
              <w:bottom w:val="single" w:sz="4" w:space="0" w:color="5D779D" w:themeColor="accent3"/>
            </w:tcBorders>
            <w:shd w:val="clear" w:color="auto" w:fill="DFE4EB"/>
          </w:tcPr>
          <w:p w14:paraId="1EB3F17C" w14:textId="77777777" w:rsidR="00127337" w:rsidRPr="00F91AB2" w:rsidRDefault="00127337" w:rsidP="0025748A">
            <w:pPr>
              <w:pStyle w:val="TableTextLeft"/>
            </w:pPr>
          </w:p>
        </w:tc>
        <w:tc>
          <w:tcPr>
            <w:tcW w:w="1247" w:type="dxa"/>
            <w:tcBorders>
              <w:top w:val="single" w:sz="4" w:space="0" w:color="5D779D" w:themeColor="accent3"/>
              <w:bottom w:val="single" w:sz="4" w:space="0" w:color="5D779D" w:themeColor="accent3"/>
            </w:tcBorders>
            <w:shd w:val="clear" w:color="auto" w:fill="DFE4EB"/>
          </w:tcPr>
          <w:p w14:paraId="7843DF43" w14:textId="77777777" w:rsidR="00127337" w:rsidRPr="00F91AB2" w:rsidRDefault="00127337" w:rsidP="0025748A">
            <w:pPr>
              <w:pStyle w:val="TableTextLeft"/>
            </w:pPr>
            <w:r>
              <w:t>Entity engagement*</w:t>
            </w:r>
          </w:p>
        </w:tc>
        <w:tc>
          <w:tcPr>
            <w:tcW w:w="1247" w:type="dxa"/>
            <w:tcBorders>
              <w:top w:val="single" w:sz="4" w:space="0" w:color="5D779D" w:themeColor="accent3"/>
              <w:bottom w:val="single" w:sz="4" w:space="0" w:color="5D779D" w:themeColor="accent3"/>
            </w:tcBorders>
            <w:shd w:val="clear" w:color="auto" w:fill="DFE4EB"/>
          </w:tcPr>
          <w:p w14:paraId="5ED8F68A" w14:textId="77777777" w:rsidR="00127337" w:rsidRPr="00F91AB2" w:rsidRDefault="00127337" w:rsidP="0025748A">
            <w:pPr>
              <w:pStyle w:val="TableTextLeft"/>
            </w:pPr>
          </w:p>
        </w:tc>
        <w:tc>
          <w:tcPr>
            <w:tcW w:w="1247" w:type="dxa"/>
            <w:tcBorders>
              <w:top w:val="single" w:sz="4" w:space="0" w:color="5D779D" w:themeColor="accent3"/>
              <w:bottom w:val="single" w:sz="4" w:space="0" w:color="5D779D" w:themeColor="accent3"/>
            </w:tcBorders>
            <w:shd w:val="clear" w:color="auto" w:fill="DFE4EB"/>
          </w:tcPr>
          <w:p w14:paraId="4476E6DF" w14:textId="77777777" w:rsidR="00127337" w:rsidRPr="00F91AB2" w:rsidRDefault="00127337" w:rsidP="0025748A">
            <w:pPr>
              <w:pStyle w:val="TableTextLeft"/>
            </w:pPr>
          </w:p>
        </w:tc>
        <w:tc>
          <w:tcPr>
            <w:tcW w:w="1247" w:type="dxa"/>
            <w:tcBorders>
              <w:top w:val="single" w:sz="4" w:space="0" w:color="5D779D" w:themeColor="accent3"/>
              <w:bottom w:val="single" w:sz="4" w:space="0" w:color="5D779D" w:themeColor="accent3"/>
            </w:tcBorders>
            <w:shd w:val="clear" w:color="auto" w:fill="EFF1F5"/>
          </w:tcPr>
          <w:p w14:paraId="2083D194" w14:textId="77777777" w:rsidR="00127337" w:rsidRPr="00F91AB2" w:rsidRDefault="00127337" w:rsidP="0025748A">
            <w:pPr>
              <w:pStyle w:val="TableTextLeft"/>
            </w:pPr>
          </w:p>
        </w:tc>
        <w:tc>
          <w:tcPr>
            <w:tcW w:w="1247" w:type="dxa"/>
            <w:tcBorders>
              <w:top w:val="single" w:sz="4" w:space="0" w:color="5D779D" w:themeColor="accent3"/>
              <w:bottom w:val="single" w:sz="4" w:space="0" w:color="5D779D" w:themeColor="accent3"/>
            </w:tcBorders>
            <w:shd w:val="clear" w:color="auto" w:fill="EFF1F5"/>
          </w:tcPr>
          <w:p w14:paraId="7C0BE910" w14:textId="77777777" w:rsidR="00127337" w:rsidRPr="00F91AB2" w:rsidRDefault="00127337" w:rsidP="0025748A">
            <w:pPr>
              <w:pStyle w:val="TableTextLeft"/>
            </w:pPr>
          </w:p>
        </w:tc>
      </w:tr>
      <w:tr w:rsidR="00E6324E" w:rsidRPr="00AF43B7" w14:paraId="4867473C" w14:textId="77777777" w:rsidTr="74251931">
        <w:trPr>
          <w:cantSplit/>
          <w:trHeight w:val="410"/>
        </w:trPr>
        <w:tc>
          <w:tcPr>
            <w:tcW w:w="794" w:type="dxa"/>
            <w:tcBorders>
              <w:top w:val="single" w:sz="4" w:space="0" w:color="5D779D" w:themeColor="accent3"/>
            </w:tcBorders>
          </w:tcPr>
          <w:p w14:paraId="3F175669" w14:textId="77777777" w:rsidR="00127337" w:rsidRPr="00E7433A" w:rsidRDefault="00127337" w:rsidP="00F30D3C">
            <w:pPr>
              <w:pStyle w:val="TableLeadAgency"/>
            </w:pPr>
            <w:r w:rsidRPr="00E7433A">
              <w:t>A</w:t>
            </w:r>
            <w:r>
              <w:t>SIC</w:t>
            </w:r>
          </w:p>
        </w:tc>
        <w:tc>
          <w:tcPr>
            <w:tcW w:w="1304" w:type="dxa"/>
            <w:tcBorders>
              <w:top w:val="single" w:sz="4" w:space="0" w:color="5D779D" w:themeColor="accent3"/>
            </w:tcBorders>
          </w:tcPr>
          <w:p w14:paraId="7D5ADB79" w14:textId="77777777" w:rsidR="00127337" w:rsidRPr="00ED10E0" w:rsidDel="00AF3AA5" w:rsidRDefault="00127337" w:rsidP="00F30D3C">
            <w:pPr>
              <w:pStyle w:val="TableTextLeft"/>
            </w:pPr>
            <w:r>
              <w:t xml:space="preserve">Payment services and digital assets </w:t>
            </w:r>
          </w:p>
        </w:tc>
        <w:tc>
          <w:tcPr>
            <w:tcW w:w="3175" w:type="dxa"/>
            <w:tcBorders>
              <w:top w:val="single" w:sz="4" w:space="0" w:color="5D779D" w:themeColor="accent3"/>
            </w:tcBorders>
          </w:tcPr>
          <w:p w14:paraId="21A2AF4A" w14:textId="77777777" w:rsidR="00127337" w:rsidRPr="001B1F27" w:rsidRDefault="00127337" w:rsidP="00F30D3C">
            <w:pPr>
              <w:pStyle w:val="TableLink"/>
              <w:rPr>
                <w:color w:val="auto"/>
                <w:u w:val="none"/>
              </w:rPr>
            </w:pPr>
            <w:r w:rsidRPr="001B1F27">
              <w:rPr>
                <w:color w:val="auto"/>
                <w:u w:val="none"/>
              </w:rPr>
              <w:t xml:space="preserve">Update crypto assets guidance </w:t>
            </w:r>
          </w:p>
          <w:p w14:paraId="792B66F2" w14:textId="3525820F" w:rsidR="00127337" w:rsidRDefault="00127337" w:rsidP="00F30D3C">
            <w:pPr>
              <w:pStyle w:val="TableTextLeft"/>
            </w:pPr>
            <w:r>
              <w:t>ASIC will finalise a consultation on possible updates to</w:t>
            </w:r>
            <w:r w:rsidRPr="0C886121">
              <w:t xml:space="preserve"> </w:t>
            </w:r>
            <w:r w:rsidRPr="310899F7">
              <w:t>Information Sheet</w:t>
            </w:r>
            <w:r w:rsidRPr="0C886121">
              <w:t xml:space="preserve"> 225 to clarify ASIC</w:t>
            </w:r>
            <w:r w:rsidR="003D486F">
              <w:t>’</w:t>
            </w:r>
            <w:r w:rsidRPr="0C886121">
              <w:t>s views about the regulatory perimeter as it applies to crypto assets.</w:t>
            </w:r>
          </w:p>
          <w:p w14:paraId="1119538B" w14:textId="7F623CD8" w:rsidR="00127337" w:rsidRPr="00ED10E0" w:rsidRDefault="00127337" w:rsidP="00F30D3C">
            <w:pPr>
              <w:pStyle w:val="TableTextLeft"/>
            </w:pPr>
            <w:r w:rsidRPr="005F0D73">
              <w:t>Consultation opened on 4 December 2024 and closed on 28 February 2025</w:t>
            </w:r>
            <w:r w:rsidR="003D486F">
              <w:t xml:space="preserve">. </w:t>
            </w:r>
          </w:p>
        </w:tc>
        <w:tc>
          <w:tcPr>
            <w:tcW w:w="1247" w:type="dxa"/>
            <w:tcBorders>
              <w:top w:val="single" w:sz="4" w:space="0" w:color="5D779D" w:themeColor="accent3"/>
            </w:tcBorders>
            <w:shd w:val="clear" w:color="auto" w:fill="DFE4EB"/>
          </w:tcPr>
          <w:p w14:paraId="13A6B844" w14:textId="77777777" w:rsidR="00127337" w:rsidRPr="002E4362" w:rsidRDefault="00127337" w:rsidP="00BB722F">
            <w:pPr>
              <w:pStyle w:val="TableTextLeft"/>
            </w:pPr>
            <w:r>
              <w:t>Publication of any changes to the Information Sheet^</w:t>
            </w:r>
          </w:p>
          <w:p w14:paraId="25C40DD2" w14:textId="77777777" w:rsidR="00127337" w:rsidRPr="00F91AB2" w:rsidRDefault="00127337" w:rsidP="00F30D3C">
            <w:pPr>
              <w:pStyle w:val="TableTextLeft"/>
            </w:pPr>
          </w:p>
        </w:tc>
        <w:tc>
          <w:tcPr>
            <w:tcW w:w="1247" w:type="dxa"/>
            <w:tcBorders>
              <w:top w:val="single" w:sz="4" w:space="0" w:color="5D779D" w:themeColor="accent3"/>
            </w:tcBorders>
            <w:shd w:val="clear" w:color="auto" w:fill="DFE4EB"/>
          </w:tcPr>
          <w:p w14:paraId="6D5307AE" w14:textId="77777777" w:rsidR="00127337" w:rsidRPr="00F91AB2" w:rsidRDefault="00127337" w:rsidP="00F30D3C">
            <w:pPr>
              <w:pStyle w:val="TableTextLeft"/>
            </w:pPr>
          </w:p>
        </w:tc>
        <w:tc>
          <w:tcPr>
            <w:tcW w:w="1247" w:type="dxa"/>
            <w:tcBorders>
              <w:top w:val="single" w:sz="4" w:space="0" w:color="5D779D" w:themeColor="accent3"/>
            </w:tcBorders>
            <w:shd w:val="clear" w:color="auto" w:fill="DFE4EB"/>
          </w:tcPr>
          <w:p w14:paraId="255A889C" w14:textId="77777777" w:rsidR="00127337" w:rsidRPr="00F91AB2" w:rsidRDefault="00127337" w:rsidP="00F30D3C">
            <w:pPr>
              <w:pStyle w:val="TableTextLeft"/>
            </w:pPr>
          </w:p>
        </w:tc>
        <w:tc>
          <w:tcPr>
            <w:tcW w:w="1247" w:type="dxa"/>
            <w:tcBorders>
              <w:top w:val="single" w:sz="4" w:space="0" w:color="5D779D" w:themeColor="accent3"/>
            </w:tcBorders>
            <w:shd w:val="clear" w:color="auto" w:fill="DFE4EB"/>
          </w:tcPr>
          <w:p w14:paraId="1D379FD1" w14:textId="77777777" w:rsidR="00127337" w:rsidRPr="00F91AB2" w:rsidRDefault="00127337" w:rsidP="00F30D3C">
            <w:pPr>
              <w:pStyle w:val="TableTextLeft"/>
            </w:pPr>
          </w:p>
        </w:tc>
        <w:tc>
          <w:tcPr>
            <w:tcW w:w="1247" w:type="dxa"/>
            <w:tcBorders>
              <w:top w:val="single" w:sz="4" w:space="0" w:color="5D779D" w:themeColor="accent3"/>
            </w:tcBorders>
            <w:shd w:val="clear" w:color="auto" w:fill="DFE4EB"/>
          </w:tcPr>
          <w:p w14:paraId="79FAD1EA" w14:textId="77777777" w:rsidR="00127337" w:rsidRPr="00F91AB2" w:rsidRDefault="00127337" w:rsidP="00F30D3C">
            <w:pPr>
              <w:pStyle w:val="TableTextLeft"/>
            </w:pPr>
          </w:p>
        </w:tc>
        <w:tc>
          <w:tcPr>
            <w:tcW w:w="1247" w:type="dxa"/>
            <w:tcBorders>
              <w:top w:val="single" w:sz="4" w:space="0" w:color="5D779D" w:themeColor="accent3"/>
            </w:tcBorders>
            <w:shd w:val="clear" w:color="auto" w:fill="EFF1F5"/>
          </w:tcPr>
          <w:p w14:paraId="2653F8AB" w14:textId="77777777" w:rsidR="00127337" w:rsidRPr="00F91AB2" w:rsidRDefault="00127337" w:rsidP="00F30D3C">
            <w:pPr>
              <w:pStyle w:val="TableTextLeft"/>
            </w:pPr>
          </w:p>
        </w:tc>
        <w:tc>
          <w:tcPr>
            <w:tcW w:w="1247" w:type="dxa"/>
            <w:tcBorders>
              <w:top w:val="single" w:sz="4" w:space="0" w:color="5D779D" w:themeColor="accent3"/>
            </w:tcBorders>
            <w:shd w:val="clear" w:color="auto" w:fill="EFF1F5"/>
          </w:tcPr>
          <w:p w14:paraId="7E7778EE" w14:textId="77777777" w:rsidR="00127337" w:rsidRPr="00F91AB2" w:rsidRDefault="00127337" w:rsidP="00F30D3C">
            <w:pPr>
              <w:pStyle w:val="TableTextLeft"/>
            </w:pPr>
          </w:p>
        </w:tc>
      </w:tr>
      <w:tr w:rsidR="00E6324E" w:rsidRPr="00AF43B7" w14:paraId="3EB6B52B" w14:textId="77777777" w:rsidTr="74251931">
        <w:trPr>
          <w:cantSplit/>
          <w:trHeight w:val="410"/>
        </w:trPr>
        <w:tc>
          <w:tcPr>
            <w:tcW w:w="794" w:type="dxa"/>
            <w:tcBorders>
              <w:bottom w:val="single" w:sz="4" w:space="0" w:color="5D779D" w:themeColor="accent3"/>
            </w:tcBorders>
          </w:tcPr>
          <w:p w14:paraId="3D249D8B" w14:textId="77777777" w:rsidR="00127337" w:rsidRPr="00E7433A" w:rsidRDefault="00127337" w:rsidP="00F30D3C">
            <w:pPr>
              <w:pStyle w:val="TableLeadAgency"/>
            </w:pPr>
            <w:r w:rsidRPr="009C4097">
              <w:lastRenderedPageBreak/>
              <w:t>ASIC</w:t>
            </w:r>
          </w:p>
        </w:tc>
        <w:tc>
          <w:tcPr>
            <w:tcW w:w="1304" w:type="dxa"/>
            <w:tcBorders>
              <w:bottom w:val="single" w:sz="4" w:space="0" w:color="5D779D" w:themeColor="accent3"/>
            </w:tcBorders>
          </w:tcPr>
          <w:p w14:paraId="40BCA1AE" w14:textId="77777777" w:rsidR="00127337" w:rsidRPr="00ED10E0" w:rsidRDefault="00127337" w:rsidP="00F30D3C">
            <w:pPr>
              <w:pStyle w:val="TableTextLeft"/>
            </w:pPr>
            <w:r w:rsidRPr="009A5125">
              <w:t>Superannuation and retirement income</w:t>
            </w:r>
          </w:p>
        </w:tc>
        <w:tc>
          <w:tcPr>
            <w:tcW w:w="3175" w:type="dxa"/>
            <w:tcBorders>
              <w:bottom w:val="single" w:sz="4" w:space="0" w:color="5D779D" w:themeColor="accent3"/>
            </w:tcBorders>
          </w:tcPr>
          <w:p w14:paraId="1F93754B" w14:textId="77777777" w:rsidR="00127337" w:rsidRPr="001B1F27" w:rsidRDefault="00127337" w:rsidP="001B1F27">
            <w:pPr>
              <w:pStyle w:val="TableLink"/>
            </w:pPr>
            <w:hyperlink r:id="rId101" w:history="1">
              <w:r w:rsidRPr="001B1F27">
                <w:rPr>
                  <w:rStyle w:val="Hyperlink"/>
                  <w:color w:val="5D779D" w:themeColor="accent3"/>
                  <w:u w:val="single"/>
                </w:rPr>
                <w:t>Update of ASIC Regulatory Guidance – Financial reporting obligations</w:t>
              </w:r>
            </w:hyperlink>
          </w:p>
          <w:p w14:paraId="770772FE" w14:textId="15278189" w:rsidR="00127337" w:rsidRPr="00ED10E0" w:rsidRDefault="00127337" w:rsidP="00F30D3C">
            <w:pPr>
              <w:pStyle w:val="TableTextLeft"/>
            </w:pPr>
            <w:r w:rsidRPr="00914F1E">
              <w:t xml:space="preserve">ASIC will update its Regulatory Guides on financial reporting obligations to include registrable superannuation entities, including Regulatory Guide 34 </w:t>
            </w:r>
            <w:r w:rsidRPr="00914F1E">
              <w:rPr>
                <w:i/>
                <w:iCs/>
              </w:rPr>
              <w:t>Auditor</w:t>
            </w:r>
            <w:r w:rsidR="003D486F">
              <w:rPr>
                <w:i/>
                <w:iCs/>
              </w:rPr>
              <w:t>’</w:t>
            </w:r>
            <w:r w:rsidRPr="00914F1E">
              <w:rPr>
                <w:i/>
                <w:iCs/>
              </w:rPr>
              <w:t>s obligations: Reporting to ASIC</w:t>
            </w:r>
            <w:r w:rsidRPr="00914F1E">
              <w:t xml:space="preserve"> and Regulatory Guide 43 </w:t>
            </w:r>
            <w:r w:rsidRPr="00914F1E">
              <w:rPr>
                <w:i/>
                <w:iCs/>
              </w:rPr>
              <w:t>Financial reports and audit relief</w:t>
            </w:r>
            <w:r w:rsidRPr="00914F1E">
              <w:t>.</w:t>
            </w:r>
          </w:p>
        </w:tc>
        <w:tc>
          <w:tcPr>
            <w:tcW w:w="1247" w:type="dxa"/>
            <w:tcBorders>
              <w:bottom w:val="single" w:sz="4" w:space="0" w:color="5D779D" w:themeColor="accent3"/>
            </w:tcBorders>
            <w:shd w:val="clear" w:color="auto" w:fill="DFE4EB"/>
          </w:tcPr>
          <w:p w14:paraId="73D375AD" w14:textId="77777777" w:rsidR="00127337" w:rsidRPr="00DA745F" w:rsidRDefault="00127337" w:rsidP="00F30D3C">
            <w:pPr>
              <w:pStyle w:val="TableTextLeft"/>
            </w:pPr>
            <w:r w:rsidRPr="00DA745F">
              <w:t xml:space="preserve">Finalisation of guidance material </w:t>
            </w:r>
          </w:p>
          <w:p w14:paraId="12567459" w14:textId="77777777" w:rsidR="00127337" w:rsidRPr="00F91AB2" w:rsidRDefault="00127337" w:rsidP="00F30D3C">
            <w:pPr>
              <w:pStyle w:val="TableTextLeft"/>
            </w:pPr>
          </w:p>
        </w:tc>
        <w:tc>
          <w:tcPr>
            <w:tcW w:w="1247" w:type="dxa"/>
            <w:tcBorders>
              <w:bottom w:val="single" w:sz="4" w:space="0" w:color="5D779D" w:themeColor="accent3"/>
            </w:tcBorders>
            <w:shd w:val="clear" w:color="auto" w:fill="DFE4EB"/>
          </w:tcPr>
          <w:p w14:paraId="19BA2F9C" w14:textId="77777777" w:rsidR="00127337" w:rsidRPr="00F91AB2" w:rsidRDefault="00127337" w:rsidP="00F30D3C">
            <w:pPr>
              <w:pStyle w:val="TableTextLeft"/>
            </w:pPr>
          </w:p>
        </w:tc>
        <w:tc>
          <w:tcPr>
            <w:tcW w:w="1247" w:type="dxa"/>
            <w:tcBorders>
              <w:bottom w:val="single" w:sz="4" w:space="0" w:color="5D779D" w:themeColor="accent3"/>
            </w:tcBorders>
            <w:shd w:val="clear" w:color="auto" w:fill="DFE4EB"/>
          </w:tcPr>
          <w:p w14:paraId="16C12CC5" w14:textId="77777777" w:rsidR="00127337" w:rsidRPr="00F91AB2" w:rsidRDefault="00127337" w:rsidP="00F30D3C">
            <w:pPr>
              <w:pStyle w:val="TableTextLeft"/>
            </w:pPr>
          </w:p>
        </w:tc>
        <w:tc>
          <w:tcPr>
            <w:tcW w:w="1247" w:type="dxa"/>
            <w:tcBorders>
              <w:bottom w:val="single" w:sz="4" w:space="0" w:color="5D779D" w:themeColor="accent3"/>
            </w:tcBorders>
            <w:shd w:val="clear" w:color="auto" w:fill="DFE4EB"/>
          </w:tcPr>
          <w:p w14:paraId="0BDF44C8" w14:textId="77777777" w:rsidR="00127337" w:rsidRPr="00F91AB2" w:rsidRDefault="00127337" w:rsidP="00F30D3C">
            <w:pPr>
              <w:pStyle w:val="TableTextLeft"/>
            </w:pPr>
          </w:p>
        </w:tc>
        <w:tc>
          <w:tcPr>
            <w:tcW w:w="1247" w:type="dxa"/>
            <w:tcBorders>
              <w:bottom w:val="single" w:sz="4" w:space="0" w:color="5D779D" w:themeColor="accent3"/>
            </w:tcBorders>
            <w:shd w:val="clear" w:color="auto" w:fill="DFE4EB"/>
          </w:tcPr>
          <w:p w14:paraId="0F5E5D83" w14:textId="77777777" w:rsidR="00127337" w:rsidRPr="00F91AB2" w:rsidRDefault="00127337" w:rsidP="00F30D3C">
            <w:pPr>
              <w:pStyle w:val="TableTextLeft"/>
            </w:pPr>
          </w:p>
        </w:tc>
        <w:tc>
          <w:tcPr>
            <w:tcW w:w="1247" w:type="dxa"/>
            <w:tcBorders>
              <w:bottom w:val="single" w:sz="4" w:space="0" w:color="5D779D" w:themeColor="accent3"/>
            </w:tcBorders>
            <w:shd w:val="clear" w:color="auto" w:fill="EFF1F5"/>
          </w:tcPr>
          <w:p w14:paraId="32362E8D" w14:textId="77777777" w:rsidR="00127337" w:rsidRPr="00F91AB2" w:rsidRDefault="00127337" w:rsidP="00F30D3C">
            <w:pPr>
              <w:pStyle w:val="TableTextLeft"/>
            </w:pPr>
          </w:p>
        </w:tc>
        <w:tc>
          <w:tcPr>
            <w:tcW w:w="1247" w:type="dxa"/>
            <w:tcBorders>
              <w:bottom w:val="single" w:sz="4" w:space="0" w:color="5D779D" w:themeColor="accent3"/>
            </w:tcBorders>
            <w:shd w:val="clear" w:color="auto" w:fill="EFF1F5"/>
          </w:tcPr>
          <w:p w14:paraId="63A4A765" w14:textId="77777777" w:rsidR="00127337" w:rsidRPr="00F91AB2" w:rsidRDefault="00127337" w:rsidP="00F30D3C">
            <w:pPr>
              <w:pStyle w:val="TableTextLeft"/>
            </w:pPr>
          </w:p>
        </w:tc>
      </w:tr>
      <w:tr w:rsidR="00E6324E" w:rsidRPr="00AF43B7" w14:paraId="782C768D" w14:textId="77777777" w:rsidTr="74251931">
        <w:trPr>
          <w:cantSplit/>
          <w:trHeight w:val="410"/>
        </w:trPr>
        <w:tc>
          <w:tcPr>
            <w:tcW w:w="794" w:type="dxa"/>
            <w:tcBorders>
              <w:bottom w:val="single" w:sz="4" w:space="0" w:color="5D779D" w:themeColor="accent3"/>
            </w:tcBorders>
          </w:tcPr>
          <w:p w14:paraId="0251068B" w14:textId="77777777" w:rsidR="00127337" w:rsidRPr="00E7433A" w:rsidRDefault="00127337" w:rsidP="00744529">
            <w:pPr>
              <w:pStyle w:val="TableLeadAgency"/>
            </w:pPr>
            <w:r>
              <w:rPr>
                <w:lang w:eastAsia="en-US"/>
              </w:rPr>
              <w:t>ASIC</w:t>
            </w:r>
          </w:p>
        </w:tc>
        <w:tc>
          <w:tcPr>
            <w:tcW w:w="1304" w:type="dxa"/>
            <w:tcBorders>
              <w:bottom w:val="single" w:sz="4" w:space="0" w:color="5D779D" w:themeColor="accent3"/>
            </w:tcBorders>
          </w:tcPr>
          <w:p w14:paraId="7974C6C1" w14:textId="77777777" w:rsidR="00127337" w:rsidRDefault="00127337" w:rsidP="00744529">
            <w:pPr>
              <w:pStyle w:val="TableTextLeft"/>
              <w:spacing w:line="256" w:lineRule="auto"/>
              <w:rPr>
                <w:lang w:eastAsia="en-US"/>
              </w:rPr>
            </w:pPr>
            <w:r>
              <w:rPr>
                <w:lang w:eastAsia="en-US"/>
              </w:rPr>
              <w:t xml:space="preserve">Financial advice </w:t>
            </w:r>
          </w:p>
          <w:p w14:paraId="301961A4" w14:textId="77777777" w:rsidR="00DB0C4A" w:rsidRDefault="00DB0C4A" w:rsidP="00744529">
            <w:pPr>
              <w:pStyle w:val="TableTextLeft"/>
              <w:spacing w:line="256" w:lineRule="auto"/>
              <w:rPr>
                <w:lang w:eastAsia="en-US"/>
              </w:rPr>
            </w:pPr>
            <w:r w:rsidRPr="00DB0C4A">
              <w:t>Collective management and investment management</w:t>
            </w:r>
          </w:p>
          <w:p w14:paraId="7C3400F6" w14:textId="73E194E1" w:rsidR="00127337" w:rsidRDefault="00127337" w:rsidP="00744529">
            <w:pPr>
              <w:pStyle w:val="TableTextLeft"/>
              <w:spacing w:line="256" w:lineRule="auto"/>
              <w:rPr>
                <w:lang w:eastAsia="en-US"/>
              </w:rPr>
            </w:pPr>
            <w:r>
              <w:rPr>
                <w:lang w:eastAsia="en-US"/>
              </w:rPr>
              <w:t>Insurance and reinsurance</w:t>
            </w:r>
          </w:p>
          <w:p w14:paraId="7215D70C" w14:textId="77777777" w:rsidR="00127337" w:rsidRPr="00F91AB2" w:rsidRDefault="00127337" w:rsidP="00744529">
            <w:pPr>
              <w:pStyle w:val="TableTextLeft"/>
            </w:pPr>
            <w:r>
              <w:rPr>
                <w:lang w:eastAsia="en-US"/>
              </w:rPr>
              <w:t>Superannuation and retirement income</w:t>
            </w:r>
          </w:p>
        </w:tc>
        <w:tc>
          <w:tcPr>
            <w:tcW w:w="3175" w:type="dxa"/>
            <w:tcBorders>
              <w:bottom w:val="single" w:sz="4" w:space="0" w:color="5D779D" w:themeColor="accent3"/>
            </w:tcBorders>
          </w:tcPr>
          <w:p w14:paraId="4AE7E6F6" w14:textId="67C8EE30" w:rsidR="00127337" w:rsidRPr="001B1F27" w:rsidRDefault="00127337" w:rsidP="00744529">
            <w:pPr>
              <w:pStyle w:val="TableTextLeft"/>
              <w:rPr>
                <w:b/>
                <w:bCs/>
              </w:rPr>
            </w:pPr>
            <w:r w:rsidRPr="001B1F27">
              <w:rPr>
                <w:b/>
                <w:bCs/>
              </w:rPr>
              <w:t xml:space="preserve">Update of Regulatory Guide 168 </w:t>
            </w:r>
            <w:r w:rsidRPr="001B1F27">
              <w:rPr>
                <w:b/>
                <w:bCs/>
                <w:i/>
                <w:iCs/>
              </w:rPr>
              <w:t>Product Disclosure Statements (and other disclosure documents)</w:t>
            </w:r>
          </w:p>
          <w:p w14:paraId="3D945218" w14:textId="77777777" w:rsidR="00127337" w:rsidRPr="001B1F27" w:rsidRDefault="00127337" w:rsidP="001B1F27">
            <w:pPr>
              <w:pStyle w:val="TableTextLeft"/>
            </w:pPr>
            <w:r>
              <w:rPr>
                <w:lang w:eastAsia="en-US"/>
              </w:rPr>
              <w:t xml:space="preserve">ASIC will undertake a comprehensive update of Regulatory Guide 168 </w:t>
            </w:r>
            <w:r>
              <w:rPr>
                <w:i/>
                <w:iCs/>
                <w:lang w:eastAsia="en-US"/>
              </w:rPr>
              <w:t>Disclosure: Product Disclosure Statements (and other disclosure obligations)</w:t>
            </w:r>
            <w:r>
              <w:rPr>
                <w:lang w:eastAsia="en-US"/>
              </w:rPr>
              <w:t xml:space="preserve">, </w:t>
            </w:r>
            <w:r w:rsidRPr="001B1F27">
              <w:t xml:space="preserve">including consideration of changes resulting from the Delivering Better Financial Outcomes reforms. </w:t>
            </w:r>
          </w:p>
          <w:p w14:paraId="7E1E3DAE" w14:textId="01F7DD35" w:rsidR="00127337" w:rsidRPr="00651052" w:rsidRDefault="00127337" w:rsidP="001B1F27">
            <w:pPr>
              <w:pStyle w:val="TableTextLeft"/>
            </w:pPr>
            <w:r w:rsidRPr="001B1F27">
              <w:t>Consultation opened on 9 July 2025 and closed on 6 August 2025</w:t>
            </w:r>
            <w:r w:rsidR="003D486F" w:rsidRPr="001B1F27">
              <w:t>.</w:t>
            </w:r>
            <w:r w:rsidR="003D486F">
              <w:t xml:space="preserve"> </w:t>
            </w:r>
          </w:p>
        </w:tc>
        <w:tc>
          <w:tcPr>
            <w:tcW w:w="1247" w:type="dxa"/>
            <w:tcBorders>
              <w:bottom w:val="single" w:sz="4" w:space="0" w:color="5D779D" w:themeColor="accent3"/>
            </w:tcBorders>
            <w:shd w:val="clear" w:color="auto" w:fill="DFE4EB"/>
          </w:tcPr>
          <w:p w14:paraId="693129AE" w14:textId="77777777" w:rsidR="00127337" w:rsidRDefault="00127337" w:rsidP="00744529">
            <w:pPr>
              <w:pStyle w:val="TableTextLeft"/>
              <w:spacing w:line="256" w:lineRule="auto"/>
              <w:rPr>
                <w:lang w:eastAsia="en-US"/>
              </w:rPr>
            </w:pPr>
            <w:r>
              <w:rPr>
                <w:lang w:eastAsia="en-US"/>
              </w:rPr>
              <w:t>Updated guidance published</w:t>
            </w:r>
          </w:p>
          <w:p w14:paraId="1E18E097" w14:textId="77777777" w:rsidR="00127337" w:rsidRPr="00F91AB2" w:rsidRDefault="00127337" w:rsidP="00744529">
            <w:pPr>
              <w:pStyle w:val="TableTextLeft"/>
            </w:pPr>
          </w:p>
        </w:tc>
        <w:tc>
          <w:tcPr>
            <w:tcW w:w="1247" w:type="dxa"/>
            <w:tcBorders>
              <w:bottom w:val="single" w:sz="4" w:space="0" w:color="5D779D" w:themeColor="accent3"/>
            </w:tcBorders>
            <w:shd w:val="clear" w:color="auto" w:fill="DFE4EB"/>
          </w:tcPr>
          <w:p w14:paraId="3B6CB54E" w14:textId="77777777" w:rsidR="00127337" w:rsidRPr="00F91AB2" w:rsidRDefault="00127337" w:rsidP="00744529">
            <w:pPr>
              <w:pStyle w:val="TableTextLeft"/>
            </w:pPr>
          </w:p>
        </w:tc>
        <w:tc>
          <w:tcPr>
            <w:tcW w:w="1247" w:type="dxa"/>
            <w:tcBorders>
              <w:bottom w:val="single" w:sz="4" w:space="0" w:color="5D779D" w:themeColor="accent3"/>
            </w:tcBorders>
            <w:shd w:val="clear" w:color="auto" w:fill="DFE4EB"/>
          </w:tcPr>
          <w:p w14:paraId="547450DE" w14:textId="77777777" w:rsidR="00127337" w:rsidRPr="00F91AB2" w:rsidRDefault="00127337" w:rsidP="00744529">
            <w:pPr>
              <w:pStyle w:val="TableTextLeft"/>
            </w:pPr>
          </w:p>
        </w:tc>
        <w:tc>
          <w:tcPr>
            <w:tcW w:w="1247" w:type="dxa"/>
            <w:tcBorders>
              <w:bottom w:val="single" w:sz="4" w:space="0" w:color="5D779D" w:themeColor="accent3"/>
            </w:tcBorders>
            <w:shd w:val="clear" w:color="auto" w:fill="DFE4EB"/>
          </w:tcPr>
          <w:p w14:paraId="0D4F4532" w14:textId="77777777" w:rsidR="00127337" w:rsidRPr="00F91AB2" w:rsidRDefault="00127337" w:rsidP="00744529">
            <w:pPr>
              <w:pStyle w:val="TableTextLeft"/>
            </w:pPr>
          </w:p>
        </w:tc>
        <w:tc>
          <w:tcPr>
            <w:tcW w:w="1247" w:type="dxa"/>
            <w:tcBorders>
              <w:bottom w:val="single" w:sz="4" w:space="0" w:color="5D779D" w:themeColor="accent3"/>
            </w:tcBorders>
            <w:shd w:val="clear" w:color="auto" w:fill="DFE4EB"/>
          </w:tcPr>
          <w:p w14:paraId="351E3BE6" w14:textId="77777777" w:rsidR="00127337" w:rsidRPr="00F91AB2" w:rsidRDefault="00127337" w:rsidP="00744529">
            <w:pPr>
              <w:pStyle w:val="TableTextLeft"/>
            </w:pPr>
          </w:p>
        </w:tc>
        <w:tc>
          <w:tcPr>
            <w:tcW w:w="1247" w:type="dxa"/>
            <w:tcBorders>
              <w:bottom w:val="single" w:sz="4" w:space="0" w:color="5D779D" w:themeColor="accent3"/>
            </w:tcBorders>
            <w:shd w:val="clear" w:color="auto" w:fill="EFF1F5"/>
          </w:tcPr>
          <w:p w14:paraId="63ECAAE3" w14:textId="77777777" w:rsidR="00127337" w:rsidRPr="00F91AB2" w:rsidRDefault="00127337" w:rsidP="00744529">
            <w:pPr>
              <w:pStyle w:val="TableTextLeft"/>
            </w:pPr>
          </w:p>
        </w:tc>
        <w:tc>
          <w:tcPr>
            <w:tcW w:w="1247" w:type="dxa"/>
            <w:tcBorders>
              <w:bottom w:val="single" w:sz="4" w:space="0" w:color="5D779D" w:themeColor="accent3"/>
            </w:tcBorders>
            <w:shd w:val="clear" w:color="auto" w:fill="EFF1F5"/>
          </w:tcPr>
          <w:p w14:paraId="0964B97C" w14:textId="77777777" w:rsidR="00127337" w:rsidRPr="00F91AB2" w:rsidRDefault="00127337" w:rsidP="00744529">
            <w:pPr>
              <w:pStyle w:val="TableTextLeft"/>
            </w:pPr>
          </w:p>
        </w:tc>
      </w:tr>
      <w:tr w:rsidR="00E6324E" w:rsidRPr="00AF43B7" w14:paraId="4C518095" w14:textId="77777777" w:rsidTr="74251931">
        <w:trPr>
          <w:cantSplit/>
          <w:trHeight w:val="410"/>
        </w:trPr>
        <w:tc>
          <w:tcPr>
            <w:tcW w:w="794" w:type="dxa"/>
            <w:tcBorders>
              <w:bottom w:val="single" w:sz="4" w:space="0" w:color="5D779D" w:themeColor="accent3"/>
            </w:tcBorders>
          </w:tcPr>
          <w:p w14:paraId="5CCCFB61" w14:textId="77777777" w:rsidR="00127337" w:rsidRDefault="00127337" w:rsidP="00744529">
            <w:pPr>
              <w:pStyle w:val="TableLeadAgency"/>
              <w:rPr>
                <w:lang w:eastAsia="en-US"/>
              </w:rPr>
            </w:pPr>
            <w:r>
              <w:rPr>
                <w:lang w:eastAsia="en-US"/>
              </w:rPr>
              <w:t>ASIC</w:t>
            </w:r>
          </w:p>
        </w:tc>
        <w:tc>
          <w:tcPr>
            <w:tcW w:w="1304" w:type="dxa"/>
            <w:tcBorders>
              <w:bottom w:val="single" w:sz="4" w:space="0" w:color="5D779D" w:themeColor="accent3"/>
            </w:tcBorders>
          </w:tcPr>
          <w:p w14:paraId="3ED49154" w14:textId="77777777" w:rsidR="00127337" w:rsidRDefault="00127337" w:rsidP="00744529">
            <w:pPr>
              <w:pStyle w:val="TableTextLeft"/>
              <w:spacing w:line="256" w:lineRule="auto"/>
              <w:rPr>
                <w:lang w:eastAsia="en-US"/>
              </w:rPr>
            </w:pPr>
            <w:r>
              <w:rPr>
                <w:lang w:eastAsia="en-US"/>
              </w:rPr>
              <w:t xml:space="preserve">Financial advice </w:t>
            </w:r>
          </w:p>
          <w:p w14:paraId="69C6D64D" w14:textId="77777777" w:rsidR="00DB0C4A" w:rsidRDefault="00DB0C4A" w:rsidP="00744529">
            <w:pPr>
              <w:pStyle w:val="TableTextLeft"/>
              <w:spacing w:line="256" w:lineRule="auto"/>
              <w:rPr>
                <w:lang w:eastAsia="en-US"/>
              </w:rPr>
            </w:pPr>
            <w:r w:rsidRPr="00DB0C4A">
              <w:t>Collective management and investment management</w:t>
            </w:r>
          </w:p>
          <w:p w14:paraId="2CBFDFAC" w14:textId="012B00B5" w:rsidR="00127337" w:rsidRDefault="00127337" w:rsidP="00744529">
            <w:pPr>
              <w:pStyle w:val="TableTextLeft"/>
              <w:spacing w:line="256" w:lineRule="auto"/>
              <w:rPr>
                <w:lang w:eastAsia="en-US"/>
              </w:rPr>
            </w:pPr>
            <w:r>
              <w:rPr>
                <w:lang w:eastAsia="en-US"/>
              </w:rPr>
              <w:t>Insurance and reinsurance</w:t>
            </w:r>
          </w:p>
          <w:p w14:paraId="57F49409" w14:textId="77777777" w:rsidR="00127337" w:rsidRPr="00F91AB2" w:rsidRDefault="00127337" w:rsidP="00744529">
            <w:pPr>
              <w:pStyle w:val="TableTextLeft"/>
            </w:pPr>
            <w:r>
              <w:rPr>
                <w:lang w:eastAsia="en-US"/>
              </w:rPr>
              <w:t>Superannuation and retirement income</w:t>
            </w:r>
          </w:p>
        </w:tc>
        <w:tc>
          <w:tcPr>
            <w:tcW w:w="3175" w:type="dxa"/>
            <w:tcBorders>
              <w:bottom w:val="single" w:sz="4" w:space="0" w:color="5D779D" w:themeColor="accent3"/>
            </w:tcBorders>
          </w:tcPr>
          <w:p w14:paraId="5CE01335" w14:textId="77777777" w:rsidR="00127337" w:rsidRPr="001B1F27" w:rsidRDefault="00127337" w:rsidP="00744529">
            <w:pPr>
              <w:pStyle w:val="TableTextLeft"/>
              <w:rPr>
                <w:b/>
                <w:bCs/>
                <w:i/>
                <w:iCs/>
              </w:rPr>
            </w:pPr>
            <w:r w:rsidRPr="001B1F27">
              <w:rPr>
                <w:b/>
                <w:bCs/>
              </w:rPr>
              <w:t xml:space="preserve">Update of Regulatory Guide 181 </w:t>
            </w:r>
            <w:r w:rsidRPr="001B1F27">
              <w:rPr>
                <w:b/>
                <w:bCs/>
                <w:i/>
                <w:iCs/>
              </w:rPr>
              <w:t xml:space="preserve">Licensing: Managing conflicts of interest </w:t>
            </w:r>
          </w:p>
          <w:p w14:paraId="1B4DAE59" w14:textId="77777777" w:rsidR="00127337" w:rsidRDefault="00127337" w:rsidP="00744529">
            <w:pPr>
              <w:pStyle w:val="TableTextLeft"/>
              <w:rPr>
                <w:lang w:eastAsia="en-US"/>
              </w:rPr>
            </w:pPr>
            <w:r>
              <w:rPr>
                <w:lang w:eastAsia="en-US"/>
              </w:rPr>
              <w:t xml:space="preserve">ASIC will update Regulatory Guide 181 </w:t>
            </w:r>
            <w:r>
              <w:rPr>
                <w:i/>
                <w:iCs/>
                <w:lang w:eastAsia="en-US"/>
              </w:rPr>
              <w:t>Licensing: Managing conflicts of interest</w:t>
            </w:r>
            <w:r>
              <w:rPr>
                <w:lang w:eastAsia="en-US"/>
              </w:rPr>
              <w:t>, including consideration of case law and law reform (including penalties for breaching the conflicts management obligations).</w:t>
            </w:r>
          </w:p>
          <w:p w14:paraId="0E265ADC" w14:textId="6F5B69E1" w:rsidR="00127337" w:rsidRPr="00651052" w:rsidRDefault="00127337" w:rsidP="00744529">
            <w:pPr>
              <w:pStyle w:val="TableTextLeft"/>
              <w:rPr>
                <w:rStyle w:val="normaltextrun"/>
              </w:rPr>
            </w:pPr>
            <w:r w:rsidRPr="000052CD">
              <w:rPr>
                <w:rStyle w:val="normaltextrun"/>
              </w:rPr>
              <w:t>Consultation opened on 30 July 2025 and closed on 5 September 2025</w:t>
            </w:r>
            <w:r w:rsidR="003D486F">
              <w:rPr>
                <w:rStyle w:val="normaltextrun"/>
              </w:rPr>
              <w:t xml:space="preserve">. </w:t>
            </w:r>
          </w:p>
        </w:tc>
        <w:tc>
          <w:tcPr>
            <w:tcW w:w="1247" w:type="dxa"/>
            <w:tcBorders>
              <w:bottom w:val="single" w:sz="4" w:space="0" w:color="5D779D" w:themeColor="accent3"/>
            </w:tcBorders>
            <w:shd w:val="clear" w:color="auto" w:fill="DFE4EB"/>
          </w:tcPr>
          <w:p w14:paraId="70786B2F" w14:textId="77777777" w:rsidR="00127337" w:rsidRPr="00F91AB2" w:rsidRDefault="00127337" w:rsidP="00744529">
            <w:pPr>
              <w:pStyle w:val="TableTextLeft"/>
            </w:pPr>
            <w:r>
              <w:rPr>
                <w:lang w:eastAsia="en-US"/>
              </w:rPr>
              <w:t>Updated guidance published^</w:t>
            </w:r>
          </w:p>
        </w:tc>
        <w:tc>
          <w:tcPr>
            <w:tcW w:w="1247" w:type="dxa"/>
            <w:tcBorders>
              <w:bottom w:val="single" w:sz="4" w:space="0" w:color="5D779D" w:themeColor="accent3"/>
            </w:tcBorders>
            <w:shd w:val="clear" w:color="auto" w:fill="DFE4EB"/>
          </w:tcPr>
          <w:p w14:paraId="56B4CBEE" w14:textId="77777777" w:rsidR="00127337" w:rsidRPr="00F91AB2" w:rsidRDefault="00127337" w:rsidP="00744529">
            <w:pPr>
              <w:pStyle w:val="TableTextLeft"/>
            </w:pPr>
          </w:p>
        </w:tc>
        <w:tc>
          <w:tcPr>
            <w:tcW w:w="1247" w:type="dxa"/>
            <w:tcBorders>
              <w:bottom w:val="single" w:sz="4" w:space="0" w:color="5D779D" w:themeColor="accent3"/>
            </w:tcBorders>
            <w:shd w:val="clear" w:color="auto" w:fill="DFE4EB"/>
          </w:tcPr>
          <w:p w14:paraId="71004BFD" w14:textId="77777777" w:rsidR="00127337" w:rsidRPr="00F91AB2" w:rsidRDefault="00127337" w:rsidP="00744529">
            <w:pPr>
              <w:pStyle w:val="TableTextLeft"/>
            </w:pPr>
          </w:p>
        </w:tc>
        <w:tc>
          <w:tcPr>
            <w:tcW w:w="1247" w:type="dxa"/>
            <w:tcBorders>
              <w:bottom w:val="single" w:sz="4" w:space="0" w:color="5D779D" w:themeColor="accent3"/>
            </w:tcBorders>
            <w:shd w:val="clear" w:color="auto" w:fill="DFE4EB"/>
          </w:tcPr>
          <w:p w14:paraId="337023A5" w14:textId="77777777" w:rsidR="00127337" w:rsidRPr="00F91AB2" w:rsidRDefault="00127337" w:rsidP="00744529">
            <w:pPr>
              <w:pStyle w:val="TableTextLeft"/>
            </w:pPr>
          </w:p>
        </w:tc>
        <w:tc>
          <w:tcPr>
            <w:tcW w:w="1247" w:type="dxa"/>
            <w:tcBorders>
              <w:bottom w:val="single" w:sz="4" w:space="0" w:color="5D779D" w:themeColor="accent3"/>
            </w:tcBorders>
            <w:shd w:val="clear" w:color="auto" w:fill="DFE4EB"/>
          </w:tcPr>
          <w:p w14:paraId="701438CC" w14:textId="77777777" w:rsidR="00127337" w:rsidRPr="00F91AB2" w:rsidRDefault="00127337" w:rsidP="00744529">
            <w:pPr>
              <w:pStyle w:val="TableTextLeft"/>
            </w:pPr>
          </w:p>
        </w:tc>
        <w:tc>
          <w:tcPr>
            <w:tcW w:w="1247" w:type="dxa"/>
            <w:tcBorders>
              <w:bottom w:val="single" w:sz="4" w:space="0" w:color="5D779D" w:themeColor="accent3"/>
            </w:tcBorders>
            <w:shd w:val="clear" w:color="auto" w:fill="EFF1F5"/>
          </w:tcPr>
          <w:p w14:paraId="52D3CB5E" w14:textId="77777777" w:rsidR="00127337" w:rsidRPr="00F91AB2" w:rsidRDefault="00127337" w:rsidP="00744529">
            <w:pPr>
              <w:pStyle w:val="TableTextLeft"/>
            </w:pPr>
          </w:p>
        </w:tc>
        <w:tc>
          <w:tcPr>
            <w:tcW w:w="1247" w:type="dxa"/>
            <w:tcBorders>
              <w:bottom w:val="single" w:sz="4" w:space="0" w:color="5D779D" w:themeColor="accent3"/>
            </w:tcBorders>
            <w:shd w:val="clear" w:color="auto" w:fill="EFF1F5"/>
          </w:tcPr>
          <w:p w14:paraId="222DA64C" w14:textId="77777777" w:rsidR="00127337" w:rsidRPr="00F91AB2" w:rsidRDefault="00127337" w:rsidP="00744529">
            <w:pPr>
              <w:pStyle w:val="TableTextLeft"/>
            </w:pPr>
          </w:p>
        </w:tc>
      </w:tr>
      <w:tr w:rsidR="00E6324E" w:rsidRPr="00AF43B7" w14:paraId="4E48C4E3" w14:textId="77777777" w:rsidTr="74251931">
        <w:trPr>
          <w:cantSplit/>
          <w:trHeight w:val="410"/>
        </w:trPr>
        <w:tc>
          <w:tcPr>
            <w:tcW w:w="794" w:type="dxa"/>
            <w:tcBorders>
              <w:top w:val="single" w:sz="4" w:space="0" w:color="5D779D" w:themeColor="accent3"/>
              <w:bottom w:val="single" w:sz="4" w:space="0" w:color="5D779D" w:themeColor="accent3"/>
            </w:tcBorders>
          </w:tcPr>
          <w:p w14:paraId="6DBEBF33" w14:textId="77777777" w:rsidR="00127337" w:rsidRDefault="00127337" w:rsidP="00744529">
            <w:pPr>
              <w:pStyle w:val="TableLeadAgency"/>
              <w:rPr>
                <w:lang w:eastAsia="en-US"/>
              </w:rPr>
            </w:pPr>
            <w:r>
              <w:rPr>
                <w:lang w:eastAsia="en-US"/>
              </w:rPr>
              <w:lastRenderedPageBreak/>
              <w:t>ASIC</w:t>
            </w:r>
          </w:p>
        </w:tc>
        <w:tc>
          <w:tcPr>
            <w:tcW w:w="1304" w:type="dxa"/>
            <w:tcBorders>
              <w:top w:val="single" w:sz="4" w:space="0" w:color="5D779D" w:themeColor="accent3"/>
              <w:bottom w:val="single" w:sz="4" w:space="0" w:color="5D779D" w:themeColor="accent3"/>
            </w:tcBorders>
          </w:tcPr>
          <w:p w14:paraId="49B9F705" w14:textId="77777777" w:rsidR="00127337" w:rsidRPr="00651052" w:rsidRDefault="00127337" w:rsidP="00744529">
            <w:pPr>
              <w:pStyle w:val="TableTextLeft"/>
            </w:pPr>
            <w:r>
              <w:rPr>
                <w:lang w:eastAsia="en-US"/>
              </w:rPr>
              <w:t>All</w:t>
            </w:r>
          </w:p>
        </w:tc>
        <w:tc>
          <w:tcPr>
            <w:tcW w:w="3175" w:type="dxa"/>
            <w:tcBorders>
              <w:top w:val="single" w:sz="4" w:space="0" w:color="5D779D" w:themeColor="accent3"/>
              <w:bottom w:val="single" w:sz="4" w:space="0" w:color="5D779D" w:themeColor="accent3"/>
            </w:tcBorders>
          </w:tcPr>
          <w:p w14:paraId="7E465F71" w14:textId="77777777" w:rsidR="00127337" w:rsidRPr="001B1F27" w:rsidRDefault="00127337" w:rsidP="00744529">
            <w:pPr>
              <w:pStyle w:val="TableTextLeft"/>
              <w:rPr>
                <w:b/>
                <w:bCs/>
              </w:rPr>
            </w:pPr>
            <w:r w:rsidRPr="001B1F27">
              <w:rPr>
                <w:b/>
                <w:bCs/>
              </w:rPr>
              <w:t xml:space="preserve">Update of Regulatory Guide 183 </w:t>
            </w:r>
            <w:r w:rsidRPr="001B1F27">
              <w:rPr>
                <w:b/>
                <w:bCs/>
                <w:i/>
                <w:iCs/>
              </w:rPr>
              <w:t>Approval of financial services sector codes of conduct</w:t>
            </w:r>
            <w:r w:rsidRPr="001B1F27">
              <w:rPr>
                <w:b/>
                <w:bCs/>
              </w:rPr>
              <w:t xml:space="preserve"> </w:t>
            </w:r>
          </w:p>
          <w:p w14:paraId="6CC87014" w14:textId="634464B8" w:rsidR="00127337" w:rsidRDefault="00127337" w:rsidP="00744529">
            <w:pPr>
              <w:pStyle w:val="TableTextLeft"/>
              <w:rPr>
                <w:rStyle w:val="normaltextrun"/>
                <w:lang w:eastAsia="en-US"/>
              </w:rPr>
            </w:pPr>
            <w:r>
              <w:rPr>
                <w:lang w:eastAsia="en-US"/>
              </w:rPr>
              <w:t xml:space="preserve">ASIC will update Regulatory Guide 183 </w:t>
            </w:r>
            <w:r>
              <w:rPr>
                <w:i/>
                <w:iCs/>
                <w:lang w:eastAsia="en-US"/>
              </w:rPr>
              <w:t>Approval of financial services sector codes of conduct</w:t>
            </w:r>
            <w:r>
              <w:rPr>
                <w:lang w:eastAsia="en-US"/>
              </w:rPr>
              <w:t xml:space="preserve">, to consider changes such as reforms following the Financial Services Royal Commission to make certain parts of industry codes </w:t>
            </w:r>
            <w:r w:rsidR="003D486F">
              <w:rPr>
                <w:lang w:eastAsia="en-US"/>
              </w:rPr>
              <w:t>‘</w:t>
            </w:r>
            <w:r>
              <w:rPr>
                <w:lang w:eastAsia="en-US"/>
              </w:rPr>
              <w:t>enforceable code provisions</w:t>
            </w:r>
            <w:r w:rsidR="003D486F">
              <w:rPr>
                <w:lang w:eastAsia="en-US"/>
              </w:rPr>
              <w:t>’</w:t>
            </w:r>
            <w:r>
              <w:rPr>
                <w:lang w:eastAsia="en-US"/>
              </w:rPr>
              <w:t xml:space="preserve"> and for ASIC to designate those provisions.</w:t>
            </w:r>
          </w:p>
          <w:p w14:paraId="60809D2F" w14:textId="2CA0BB18" w:rsidR="00127337" w:rsidRDefault="00127337" w:rsidP="00744529">
            <w:pPr>
              <w:pStyle w:val="TableTextLeft"/>
              <w:rPr>
                <w:rStyle w:val="normaltextrun"/>
                <w:rFonts w:cs="Calibri"/>
                <w:lang w:eastAsia="en-US"/>
              </w:rPr>
            </w:pPr>
            <w:r w:rsidRPr="00861EA1">
              <w:rPr>
                <w:rStyle w:val="normaltextrun"/>
                <w:rFonts w:cs="Calibri"/>
                <w:lang w:eastAsia="en-US"/>
              </w:rPr>
              <w:t>Consultation opened on 24 July 2025 and closed on 1 September 2025</w:t>
            </w:r>
            <w:r w:rsidR="003D486F">
              <w:rPr>
                <w:rStyle w:val="normaltextrun"/>
                <w:rFonts w:cs="Calibri"/>
                <w:lang w:eastAsia="en-US"/>
              </w:rPr>
              <w:t xml:space="preserve">. </w:t>
            </w:r>
          </w:p>
        </w:tc>
        <w:tc>
          <w:tcPr>
            <w:tcW w:w="1247" w:type="dxa"/>
            <w:tcBorders>
              <w:top w:val="single" w:sz="4" w:space="0" w:color="5D779D" w:themeColor="accent3"/>
              <w:bottom w:val="single" w:sz="4" w:space="0" w:color="5D779D" w:themeColor="accent3"/>
            </w:tcBorders>
            <w:shd w:val="clear" w:color="auto" w:fill="DFE4EB"/>
          </w:tcPr>
          <w:p w14:paraId="411AFFE5" w14:textId="77777777" w:rsidR="00127337" w:rsidRPr="00F91AB2" w:rsidRDefault="00127337" w:rsidP="00744529">
            <w:pPr>
              <w:pStyle w:val="TableTextLeft"/>
            </w:pPr>
          </w:p>
        </w:tc>
        <w:tc>
          <w:tcPr>
            <w:tcW w:w="1247" w:type="dxa"/>
            <w:tcBorders>
              <w:top w:val="single" w:sz="4" w:space="0" w:color="5D779D" w:themeColor="accent3"/>
              <w:bottom w:val="single" w:sz="4" w:space="0" w:color="5D779D" w:themeColor="accent3"/>
            </w:tcBorders>
            <w:shd w:val="clear" w:color="auto" w:fill="DFE4EB"/>
          </w:tcPr>
          <w:p w14:paraId="43D7DCA4" w14:textId="77777777" w:rsidR="00127337" w:rsidRPr="00F91AB2" w:rsidRDefault="00127337" w:rsidP="00744529">
            <w:pPr>
              <w:pStyle w:val="TableTextLeft"/>
            </w:pPr>
            <w:r>
              <w:rPr>
                <w:lang w:eastAsia="en-US"/>
              </w:rPr>
              <w:t>Updated guidance published</w:t>
            </w:r>
          </w:p>
        </w:tc>
        <w:tc>
          <w:tcPr>
            <w:tcW w:w="1247" w:type="dxa"/>
            <w:tcBorders>
              <w:top w:val="single" w:sz="4" w:space="0" w:color="5D779D" w:themeColor="accent3"/>
              <w:bottom w:val="single" w:sz="4" w:space="0" w:color="5D779D" w:themeColor="accent3"/>
            </w:tcBorders>
            <w:shd w:val="clear" w:color="auto" w:fill="DFE4EB"/>
          </w:tcPr>
          <w:p w14:paraId="4B38615C" w14:textId="77777777" w:rsidR="00127337" w:rsidRPr="00F91AB2" w:rsidRDefault="00127337" w:rsidP="00744529">
            <w:pPr>
              <w:pStyle w:val="TableTextLeft"/>
            </w:pPr>
          </w:p>
        </w:tc>
        <w:tc>
          <w:tcPr>
            <w:tcW w:w="1247" w:type="dxa"/>
            <w:tcBorders>
              <w:top w:val="single" w:sz="4" w:space="0" w:color="5D779D" w:themeColor="accent3"/>
              <w:bottom w:val="single" w:sz="4" w:space="0" w:color="5D779D" w:themeColor="accent3"/>
            </w:tcBorders>
            <w:shd w:val="clear" w:color="auto" w:fill="DFE4EB"/>
          </w:tcPr>
          <w:p w14:paraId="4CFBE1D5" w14:textId="77777777" w:rsidR="00127337" w:rsidRPr="00F91AB2" w:rsidRDefault="00127337" w:rsidP="00744529">
            <w:pPr>
              <w:pStyle w:val="TableTextLeft"/>
            </w:pPr>
          </w:p>
        </w:tc>
        <w:tc>
          <w:tcPr>
            <w:tcW w:w="1247" w:type="dxa"/>
            <w:tcBorders>
              <w:top w:val="single" w:sz="4" w:space="0" w:color="5D779D" w:themeColor="accent3"/>
              <w:bottom w:val="single" w:sz="4" w:space="0" w:color="5D779D" w:themeColor="accent3"/>
            </w:tcBorders>
            <w:shd w:val="clear" w:color="auto" w:fill="DFE4EB"/>
          </w:tcPr>
          <w:p w14:paraId="7613994B" w14:textId="77777777" w:rsidR="00127337" w:rsidRPr="00F91AB2" w:rsidRDefault="00127337" w:rsidP="00744529">
            <w:pPr>
              <w:pStyle w:val="TableTextLeft"/>
            </w:pPr>
          </w:p>
        </w:tc>
        <w:tc>
          <w:tcPr>
            <w:tcW w:w="1247" w:type="dxa"/>
            <w:tcBorders>
              <w:top w:val="single" w:sz="4" w:space="0" w:color="5D779D" w:themeColor="accent3"/>
              <w:bottom w:val="single" w:sz="4" w:space="0" w:color="5D779D" w:themeColor="accent3"/>
            </w:tcBorders>
            <w:shd w:val="clear" w:color="auto" w:fill="EFF1F5"/>
          </w:tcPr>
          <w:p w14:paraId="68ECC82E" w14:textId="77777777" w:rsidR="00127337" w:rsidRPr="00F91AB2" w:rsidRDefault="00127337" w:rsidP="00744529">
            <w:pPr>
              <w:pStyle w:val="TableTextLeft"/>
            </w:pPr>
          </w:p>
        </w:tc>
        <w:tc>
          <w:tcPr>
            <w:tcW w:w="1247" w:type="dxa"/>
            <w:tcBorders>
              <w:top w:val="single" w:sz="4" w:space="0" w:color="5D779D" w:themeColor="accent3"/>
              <w:bottom w:val="single" w:sz="4" w:space="0" w:color="5D779D" w:themeColor="accent3"/>
            </w:tcBorders>
            <w:shd w:val="clear" w:color="auto" w:fill="EFF1F5"/>
          </w:tcPr>
          <w:p w14:paraId="5EC88951" w14:textId="77777777" w:rsidR="00127337" w:rsidRPr="00F91AB2" w:rsidRDefault="00127337" w:rsidP="00744529">
            <w:pPr>
              <w:pStyle w:val="TableTextLeft"/>
            </w:pPr>
          </w:p>
        </w:tc>
      </w:tr>
      <w:tr w:rsidR="00E6324E" w:rsidRPr="00AF43B7" w14:paraId="4B77FCDF" w14:textId="77777777" w:rsidTr="74251931">
        <w:trPr>
          <w:cantSplit/>
          <w:trHeight w:val="410"/>
        </w:trPr>
        <w:tc>
          <w:tcPr>
            <w:tcW w:w="794" w:type="dxa"/>
          </w:tcPr>
          <w:p w14:paraId="58B617D9" w14:textId="77777777" w:rsidR="00127337" w:rsidRPr="00E7433A" w:rsidRDefault="00127337" w:rsidP="00F30D3C">
            <w:pPr>
              <w:pStyle w:val="TableLeadAgency"/>
            </w:pPr>
            <w:r>
              <w:rPr>
                <w:lang w:val="en-US" w:eastAsia="ja-JP"/>
              </w:rPr>
              <w:t>ASIC</w:t>
            </w:r>
          </w:p>
        </w:tc>
        <w:tc>
          <w:tcPr>
            <w:tcW w:w="1304" w:type="dxa"/>
          </w:tcPr>
          <w:p w14:paraId="5CBDC270" w14:textId="77777777" w:rsidR="00127337" w:rsidRPr="00F91AB2" w:rsidRDefault="00127337" w:rsidP="00F30D3C">
            <w:pPr>
              <w:pStyle w:val="TableTextLeft"/>
            </w:pPr>
            <w:r>
              <w:rPr>
                <w:lang w:val="en-US" w:eastAsia="ja-JP"/>
              </w:rPr>
              <w:t>Financial Markets</w:t>
            </w:r>
          </w:p>
        </w:tc>
        <w:tc>
          <w:tcPr>
            <w:tcW w:w="3175" w:type="dxa"/>
          </w:tcPr>
          <w:p w14:paraId="76D91E06" w14:textId="33F83FE0" w:rsidR="00127337" w:rsidRPr="003B32EA" w:rsidRDefault="00127337" w:rsidP="00F30D3C">
            <w:pPr>
              <w:pStyle w:val="TableTextBullet"/>
              <w:numPr>
                <w:ilvl w:val="0"/>
                <w:numId w:val="0"/>
              </w:numPr>
              <w:rPr>
                <w:b/>
                <w:bCs/>
                <w:lang w:val="en-US" w:eastAsia="ja-JP"/>
              </w:rPr>
            </w:pPr>
            <w:r w:rsidRPr="75D8E63C">
              <w:rPr>
                <w:b/>
                <w:lang w:val="en-US" w:eastAsia="ja-JP"/>
              </w:rPr>
              <w:t xml:space="preserve">Update of Regulatory Guide 254 </w:t>
            </w:r>
            <w:r w:rsidRPr="75D8E63C">
              <w:rPr>
                <w:b/>
                <w:i/>
                <w:lang w:val="en-US" w:eastAsia="ja-JP"/>
              </w:rPr>
              <w:t>Offering securities under a disclosure document</w:t>
            </w:r>
            <w:r w:rsidR="001B1F27" w:rsidRPr="001B1F27">
              <w:rPr>
                <w:rStyle w:val="NewInitiativeChar"/>
                <w:sz w:val="16"/>
                <w:szCs w:val="16"/>
              </w:rPr>
              <w:t xml:space="preserve"> (new)</w:t>
            </w:r>
          </w:p>
          <w:p w14:paraId="0261B622" w14:textId="77777777" w:rsidR="00127337" w:rsidRPr="00364E88" w:rsidRDefault="00127337" w:rsidP="00364E88">
            <w:pPr>
              <w:pStyle w:val="TableTextBullet"/>
              <w:numPr>
                <w:ilvl w:val="0"/>
                <w:numId w:val="0"/>
              </w:numPr>
              <w:rPr>
                <w:b/>
                <w:szCs w:val="16"/>
                <w:lang w:val="en-US" w:eastAsia="ja-JP"/>
              </w:rPr>
            </w:pPr>
            <w:r>
              <w:rPr>
                <w:lang w:val="en-US" w:eastAsia="ja-JP"/>
              </w:rPr>
              <w:t xml:space="preserve">ASIC will update its Regulatory Guide 254 </w:t>
            </w:r>
            <w:r>
              <w:rPr>
                <w:i/>
                <w:iCs/>
                <w:lang w:val="en-US" w:eastAsia="ja-JP"/>
              </w:rPr>
              <w:t xml:space="preserve">Offering securities under a disclosure document </w:t>
            </w:r>
            <w:r>
              <w:rPr>
                <w:lang w:val="en-US" w:eastAsia="ja-JP"/>
              </w:rPr>
              <w:t xml:space="preserve">to reflect the relevant sunsetting instruments that will be remade to assist with the procedural aspects of preparing and lodging a disclosure document under Ch 6D of </w:t>
            </w:r>
            <w:r w:rsidRPr="00A956DD">
              <w:rPr>
                <w:lang w:val="en-US" w:eastAsia="ja-JP"/>
              </w:rPr>
              <w:t>the</w:t>
            </w:r>
            <w:r w:rsidRPr="00A956DD">
              <w:rPr>
                <w:i/>
                <w:iCs/>
                <w:lang w:val="en-US" w:eastAsia="ja-JP"/>
              </w:rPr>
              <w:t xml:space="preserve"> Corporations Act 2001</w:t>
            </w:r>
            <w:r>
              <w:rPr>
                <w:lang w:val="en-US" w:eastAsia="ja-JP"/>
              </w:rPr>
              <w:t xml:space="preserve">. </w:t>
            </w:r>
          </w:p>
        </w:tc>
        <w:tc>
          <w:tcPr>
            <w:tcW w:w="1247" w:type="dxa"/>
            <w:shd w:val="clear" w:color="auto" w:fill="DFE4EB"/>
          </w:tcPr>
          <w:p w14:paraId="7994E3D4" w14:textId="77777777" w:rsidR="00127337" w:rsidRPr="00F91AB2" w:rsidRDefault="00127337" w:rsidP="00F30D3C">
            <w:pPr>
              <w:pStyle w:val="TableTextLeft"/>
            </w:pPr>
          </w:p>
        </w:tc>
        <w:tc>
          <w:tcPr>
            <w:tcW w:w="1247" w:type="dxa"/>
            <w:shd w:val="clear" w:color="auto" w:fill="DFE4EB"/>
          </w:tcPr>
          <w:p w14:paraId="5FF54609" w14:textId="77777777" w:rsidR="00127337" w:rsidRPr="00F91AB2" w:rsidDel="005C4CE7" w:rsidRDefault="00127337" w:rsidP="00F30D3C">
            <w:pPr>
              <w:pStyle w:val="TableTextLeft"/>
            </w:pPr>
            <w:r w:rsidRPr="003448E5">
              <w:t>Updated Guidance published</w:t>
            </w:r>
          </w:p>
        </w:tc>
        <w:tc>
          <w:tcPr>
            <w:tcW w:w="1247" w:type="dxa"/>
            <w:shd w:val="clear" w:color="auto" w:fill="DFE4EB"/>
          </w:tcPr>
          <w:p w14:paraId="5F8CA826" w14:textId="77777777" w:rsidR="00127337" w:rsidRPr="00F91AB2" w:rsidDel="005C4CE7" w:rsidRDefault="00127337" w:rsidP="00F30D3C">
            <w:pPr>
              <w:pStyle w:val="TableTextLeft"/>
            </w:pPr>
          </w:p>
        </w:tc>
        <w:tc>
          <w:tcPr>
            <w:tcW w:w="1247" w:type="dxa"/>
            <w:shd w:val="clear" w:color="auto" w:fill="DFE4EB"/>
          </w:tcPr>
          <w:p w14:paraId="321BB4B0" w14:textId="77777777" w:rsidR="00127337" w:rsidRPr="00F91AB2" w:rsidRDefault="00127337" w:rsidP="00F30D3C">
            <w:pPr>
              <w:pStyle w:val="TableTextLeft"/>
            </w:pPr>
          </w:p>
        </w:tc>
        <w:tc>
          <w:tcPr>
            <w:tcW w:w="1247" w:type="dxa"/>
            <w:shd w:val="clear" w:color="auto" w:fill="DFE4EB"/>
          </w:tcPr>
          <w:p w14:paraId="6BEF9994" w14:textId="77777777" w:rsidR="00127337" w:rsidRPr="00F91AB2" w:rsidDel="005C4CE7" w:rsidRDefault="00127337" w:rsidP="00F30D3C">
            <w:pPr>
              <w:pStyle w:val="TableTextLeft"/>
            </w:pPr>
          </w:p>
        </w:tc>
        <w:tc>
          <w:tcPr>
            <w:tcW w:w="1247" w:type="dxa"/>
            <w:shd w:val="clear" w:color="auto" w:fill="EFF1F5"/>
          </w:tcPr>
          <w:p w14:paraId="61E3B435" w14:textId="77777777" w:rsidR="00127337" w:rsidRPr="00F91AB2" w:rsidRDefault="00127337" w:rsidP="00F30D3C">
            <w:pPr>
              <w:pStyle w:val="TableTextLeft"/>
            </w:pPr>
          </w:p>
        </w:tc>
        <w:tc>
          <w:tcPr>
            <w:tcW w:w="1247" w:type="dxa"/>
            <w:shd w:val="clear" w:color="auto" w:fill="EFF1F5"/>
          </w:tcPr>
          <w:p w14:paraId="77852F64" w14:textId="77777777" w:rsidR="00127337" w:rsidRPr="00F91AB2" w:rsidRDefault="00127337" w:rsidP="00F30D3C">
            <w:pPr>
              <w:pStyle w:val="TableTextLeft"/>
            </w:pPr>
          </w:p>
        </w:tc>
      </w:tr>
      <w:tr w:rsidR="00E6324E" w:rsidRPr="00AF43B7" w14:paraId="562A493A" w14:textId="77777777" w:rsidTr="74251931">
        <w:trPr>
          <w:cantSplit/>
          <w:trHeight w:val="410"/>
        </w:trPr>
        <w:tc>
          <w:tcPr>
            <w:tcW w:w="794" w:type="dxa"/>
            <w:tcBorders>
              <w:bottom w:val="single" w:sz="4" w:space="0" w:color="5D779D" w:themeColor="accent3"/>
            </w:tcBorders>
          </w:tcPr>
          <w:p w14:paraId="552CE66E" w14:textId="77777777" w:rsidR="00127337" w:rsidRPr="00E7433A" w:rsidRDefault="00127337" w:rsidP="0025748A">
            <w:pPr>
              <w:pStyle w:val="TableLeadAgency"/>
            </w:pPr>
            <w:r>
              <w:rPr>
                <w:lang w:eastAsia="en-US"/>
              </w:rPr>
              <w:t>ASIC</w:t>
            </w:r>
          </w:p>
        </w:tc>
        <w:tc>
          <w:tcPr>
            <w:tcW w:w="1304" w:type="dxa"/>
            <w:tcBorders>
              <w:bottom w:val="single" w:sz="4" w:space="0" w:color="5D779D" w:themeColor="accent3"/>
            </w:tcBorders>
          </w:tcPr>
          <w:p w14:paraId="3690E79F" w14:textId="77777777" w:rsidR="00127337" w:rsidRPr="00651052" w:rsidRDefault="00127337" w:rsidP="0025748A">
            <w:pPr>
              <w:pStyle w:val="TableTextLeft"/>
            </w:pPr>
            <w:r>
              <w:rPr>
                <w:lang w:eastAsia="en-US"/>
              </w:rPr>
              <w:t>All</w:t>
            </w:r>
          </w:p>
        </w:tc>
        <w:tc>
          <w:tcPr>
            <w:tcW w:w="3175" w:type="dxa"/>
            <w:tcBorders>
              <w:bottom w:val="single" w:sz="4" w:space="0" w:color="5D779D" w:themeColor="accent3"/>
            </w:tcBorders>
          </w:tcPr>
          <w:p w14:paraId="70129A8C" w14:textId="77777777" w:rsidR="00127337" w:rsidRPr="001B1F27" w:rsidRDefault="00127337" w:rsidP="0025748A">
            <w:pPr>
              <w:pStyle w:val="TableTextLeft"/>
            </w:pPr>
            <w:r w:rsidRPr="001B1F27">
              <w:rPr>
                <w:b/>
                <w:bCs/>
              </w:rPr>
              <w:t xml:space="preserve">Update of Regulatory Guide 53 </w:t>
            </w:r>
            <w:r w:rsidRPr="001B1F27">
              <w:rPr>
                <w:b/>
                <w:bCs/>
                <w:i/>
                <w:iCs/>
              </w:rPr>
              <w:t xml:space="preserve">The use of past performance in promotional material </w:t>
            </w:r>
            <w:r w:rsidRPr="001B1F27">
              <w:rPr>
                <w:b/>
                <w:bCs/>
              </w:rPr>
              <w:t>and Regulatory Guide 234</w:t>
            </w:r>
            <w:r w:rsidRPr="001B1F27">
              <w:rPr>
                <w:b/>
                <w:bCs/>
                <w:i/>
                <w:iCs/>
              </w:rPr>
              <w:t xml:space="preserve"> Advertising financial products and services (including credit</w:t>
            </w:r>
            <w:r w:rsidRPr="001B1F27">
              <w:rPr>
                <w:i/>
                <w:iCs/>
              </w:rPr>
              <w:t>)</w:t>
            </w:r>
            <w:r w:rsidRPr="001B1F27">
              <w:t xml:space="preserve"> </w:t>
            </w:r>
          </w:p>
          <w:p w14:paraId="14BFDA42" w14:textId="77777777" w:rsidR="00127337" w:rsidRDefault="00127337" w:rsidP="0025748A">
            <w:pPr>
              <w:pStyle w:val="TableTextLeft"/>
              <w:rPr>
                <w:lang w:eastAsia="en-US"/>
              </w:rPr>
            </w:pPr>
            <w:r>
              <w:rPr>
                <w:lang w:eastAsia="en-US"/>
              </w:rPr>
              <w:t>ASIC will update 2 disclosure</w:t>
            </w:r>
            <w:r w:rsidRPr="65B023C7">
              <w:rPr>
                <w:lang w:eastAsia="en-US"/>
              </w:rPr>
              <w:t xml:space="preserve"> </w:t>
            </w:r>
            <w:r>
              <w:rPr>
                <w:lang w:eastAsia="en-US"/>
              </w:rPr>
              <w:t>related guidance documents</w:t>
            </w:r>
            <w:r w:rsidRPr="00667583">
              <w:rPr>
                <w:lang w:eastAsia="en-US"/>
              </w:rPr>
              <w:t>, following consultation</w:t>
            </w:r>
            <w:r>
              <w:rPr>
                <w:lang w:eastAsia="en-US"/>
              </w:rPr>
              <w:t>:</w:t>
            </w:r>
          </w:p>
          <w:p w14:paraId="1F24D0F3" w14:textId="77777777" w:rsidR="00127337" w:rsidRPr="007E6DAB" w:rsidRDefault="00127337" w:rsidP="0025748A">
            <w:pPr>
              <w:pStyle w:val="TableTextBullet"/>
              <w:rPr>
                <w:i/>
                <w:iCs/>
                <w:lang w:eastAsia="en-US"/>
              </w:rPr>
            </w:pPr>
            <w:r>
              <w:rPr>
                <w:lang w:eastAsia="en-US"/>
              </w:rPr>
              <w:t xml:space="preserve">Regulatory Guide 53 </w:t>
            </w:r>
            <w:r w:rsidRPr="007E6DAB">
              <w:rPr>
                <w:i/>
                <w:iCs/>
                <w:lang w:eastAsia="en-US"/>
              </w:rPr>
              <w:t xml:space="preserve">The use of past performance in promotional material </w:t>
            </w:r>
          </w:p>
          <w:p w14:paraId="6270ABE1" w14:textId="77777777" w:rsidR="00127337" w:rsidRPr="007230EC" w:rsidRDefault="00127337" w:rsidP="0025748A">
            <w:pPr>
              <w:pStyle w:val="TableTextBullet"/>
              <w:rPr>
                <w:i/>
                <w:iCs/>
                <w:lang w:eastAsia="en-US"/>
              </w:rPr>
            </w:pPr>
            <w:r>
              <w:rPr>
                <w:lang w:eastAsia="en-US"/>
              </w:rPr>
              <w:t xml:space="preserve">Regulatory Guide 234 </w:t>
            </w:r>
            <w:r w:rsidRPr="007E6DAB">
              <w:rPr>
                <w:i/>
                <w:iCs/>
                <w:lang w:eastAsia="en-US"/>
              </w:rPr>
              <w:t>Advertising financial products and services (including credit): Good practice guidance.</w:t>
            </w:r>
          </w:p>
        </w:tc>
        <w:tc>
          <w:tcPr>
            <w:tcW w:w="1247" w:type="dxa"/>
            <w:tcBorders>
              <w:bottom w:val="single" w:sz="4" w:space="0" w:color="5D779D" w:themeColor="accent3"/>
            </w:tcBorders>
            <w:shd w:val="clear" w:color="auto" w:fill="DFE4EB"/>
          </w:tcPr>
          <w:p w14:paraId="177EBA05" w14:textId="77777777" w:rsidR="00127337" w:rsidRPr="00F91AB2" w:rsidRDefault="00127337" w:rsidP="0025748A">
            <w:pPr>
              <w:pStyle w:val="TableTextLeft"/>
            </w:pPr>
            <w:r>
              <w:rPr>
                <w:lang w:eastAsia="en-US"/>
              </w:rPr>
              <w:t>Consultation commences</w:t>
            </w:r>
          </w:p>
        </w:tc>
        <w:tc>
          <w:tcPr>
            <w:tcW w:w="1247" w:type="dxa"/>
            <w:tcBorders>
              <w:bottom w:val="single" w:sz="4" w:space="0" w:color="5D779D" w:themeColor="accent3"/>
            </w:tcBorders>
            <w:shd w:val="clear" w:color="auto" w:fill="DFE4EB"/>
          </w:tcPr>
          <w:p w14:paraId="73B31F24" w14:textId="77777777" w:rsidR="00127337" w:rsidRPr="00F91AB2" w:rsidRDefault="00127337" w:rsidP="0025748A">
            <w:pPr>
              <w:pStyle w:val="TableTextLeft"/>
            </w:pPr>
          </w:p>
        </w:tc>
        <w:tc>
          <w:tcPr>
            <w:tcW w:w="1247" w:type="dxa"/>
            <w:tcBorders>
              <w:bottom w:val="single" w:sz="4" w:space="0" w:color="5D779D" w:themeColor="accent3"/>
            </w:tcBorders>
            <w:shd w:val="clear" w:color="auto" w:fill="DFE4EB"/>
          </w:tcPr>
          <w:p w14:paraId="39BE934D" w14:textId="77777777" w:rsidR="00127337" w:rsidRPr="00F91AB2" w:rsidDel="00B43AD7" w:rsidRDefault="00127337" w:rsidP="0025748A">
            <w:pPr>
              <w:pStyle w:val="TableTextLeft"/>
            </w:pPr>
            <w:r>
              <w:rPr>
                <w:lang w:eastAsia="en-US"/>
              </w:rPr>
              <w:t>Updated guidance published^</w:t>
            </w:r>
          </w:p>
        </w:tc>
        <w:tc>
          <w:tcPr>
            <w:tcW w:w="1247" w:type="dxa"/>
            <w:tcBorders>
              <w:bottom w:val="single" w:sz="4" w:space="0" w:color="5D779D" w:themeColor="accent3"/>
            </w:tcBorders>
            <w:shd w:val="clear" w:color="auto" w:fill="DFE4EB"/>
          </w:tcPr>
          <w:p w14:paraId="5F25C81D" w14:textId="77777777" w:rsidR="00127337" w:rsidRPr="00F91AB2" w:rsidRDefault="00127337" w:rsidP="0025748A">
            <w:pPr>
              <w:pStyle w:val="TableTextLeft"/>
            </w:pPr>
          </w:p>
        </w:tc>
        <w:tc>
          <w:tcPr>
            <w:tcW w:w="1247" w:type="dxa"/>
            <w:tcBorders>
              <w:bottom w:val="single" w:sz="4" w:space="0" w:color="5D779D" w:themeColor="accent3"/>
            </w:tcBorders>
            <w:shd w:val="clear" w:color="auto" w:fill="DFE4EB"/>
          </w:tcPr>
          <w:p w14:paraId="477AE3E4" w14:textId="77777777" w:rsidR="00127337" w:rsidRPr="00F91AB2" w:rsidRDefault="00127337" w:rsidP="0025748A">
            <w:pPr>
              <w:pStyle w:val="TableTextLeft"/>
            </w:pPr>
          </w:p>
        </w:tc>
        <w:tc>
          <w:tcPr>
            <w:tcW w:w="1247" w:type="dxa"/>
            <w:tcBorders>
              <w:bottom w:val="single" w:sz="4" w:space="0" w:color="5D779D" w:themeColor="accent3"/>
            </w:tcBorders>
            <w:shd w:val="clear" w:color="auto" w:fill="EFF1F5"/>
          </w:tcPr>
          <w:p w14:paraId="5085761F" w14:textId="77777777" w:rsidR="00127337" w:rsidRPr="00F91AB2" w:rsidRDefault="00127337" w:rsidP="0025748A">
            <w:pPr>
              <w:pStyle w:val="TableTextLeft"/>
            </w:pPr>
          </w:p>
        </w:tc>
        <w:tc>
          <w:tcPr>
            <w:tcW w:w="1247" w:type="dxa"/>
            <w:tcBorders>
              <w:bottom w:val="single" w:sz="4" w:space="0" w:color="5D779D" w:themeColor="accent3"/>
            </w:tcBorders>
            <w:shd w:val="clear" w:color="auto" w:fill="EFF1F5"/>
          </w:tcPr>
          <w:p w14:paraId="2B116A5D" w14:textId="77777777" w:rsidR="00127337" w:rsidRPr="00F91AB2" w:rsidRDefault="00127337" w:rsidP="0025748A">
            <w:pPr>
              <w:pStyle w:val="TableTextLeft"/>
            </w:pPr>
          </w:p>
        </w:tc>
      </w:tr>
    </w:tbl>
    <w:p w14:paraId="2A9BCE02" w14:textId="77777777" w:rsidR="00A42B14" w:rsidRPr="00474645" w:rsidRDefault="00A42B14" w:rsidP="00474645">
      <w:r>
        <w:br w:type="page"/>
      </w:r>
    </w:p>
    <w:p w14:paraId="693D857F" w14:textId="6D21E692" w:rsidR="00B54CF6" w:rsidRPr="009831FF" w:rsidRDefault="00B54CF6" w:rsidP="009831FF">
      <w:pPr>
        <w:pStyle w:val="Heading1Numbered"/>
      </w:pPr>
      <w:bookmarkStart w:id="48" w:name="_Toc210050736"/>
      <w:r w:rsidRPr="009831FF">
        <w:lastRenderedPageBreak/>
        <w:t xml:space="preserve">Review and </w:t>
      </w:r>
      <w:r w:rsidR="00AE5232" w:rsidRPr="009831FF">
        <w:t>e</w:t>
      </w:r>
      <w:r w:rsidRPr="009831FF">
        <w:t>valuation</w:t>
      </w:r>
      <w:bookmarkEnd w:id="48"/>
    </w:p>
    <w:p w14:paraId="125E849D" w14:textId="22EE832E" w:rsidR="00D723F0" w:rsidRDefault="00B54CF6" w:rsidP="00B54CF6">
      <w:pPr>
        <w:rPr>
          <w:rFonts w:cs="Calibri Light"/>
        </w:rPr>
      </w:pPr>
      <w:r w:rsidRPr="37BC89A9">
        <w:rPr>
          <w:rFonts w:cs="Calibri Light"/>
        </w:rPr>
        <w:t xml:space="preserve">This </w:t>
      </w:r>
      <w:r w:rsidR="00C734E8" w:rsidRPr="37BC89A9">
        <w:rPr>
          <w:rFonts w:cs="Calibri Light"/>
        </w:rPr>
        <w:t xml:space="preserve">category </w:t>
      </w:r>
      <w:r w:rsidRPr="37BC89A9">
        <w:rPr>
          <w:rFonts w:cs="Calibri Light"/>
        </w:rPr>
        <w:t xml:space="preserve">includes </w:t>
      </w:r>
      <w:r w:rsidR="7FFE80FA" w:rsidRPr="003E1E14">
        <w:rPr>
          <w:rFonts w:cs="Calibri Light"/>
          <w:b/>
        </w:rPr>
        <w:t>17</w:t>
      </w:r>
      <w:r w:rsidR="00E95034" w:rsidRPr="00462329">
        <w:rPr>
          <w:rFonts w:cs="Calibri Light"/>
          <w:color w:val="FF0000"/>
        </w:rPr>
        <w:t xml:space="preserve"> </w:t>
      </w:r>
      <w:r w:rsidRPr="37BC89A9">
        <w:rPr>
          <w:rFonts w:cs="Calibri Light"/>
        </w:rPr>
        <w:t>initiatives</w:t>
      </w:r>
      <w:r w:rsidR="00F6016A" w:rsidRPr="37BC89A9">
        <w:rPr>
          <w:rFonts w:cs="Calibri Light"/>
        </w:rPr>
        <w:t>. The initiatives in this section</w:t>
      </w:r>
      <w:r w:rsidRPr="37BC89A9">
        <w:rPr>
          <w:rFonts w:cs="Calibri Light"/>
        </w:rPr>
        <w:t xml:space="preserve"> </w:t>
      </w:r>
      <w:r w:rsidR="00F6016A" w:rsidRPr="37BC89A9">
        <w:rPr>
          <w:rFonts w:cs="Calibri Light"/>
        </w:rPr>
        <w:t xml:space="preserve">cover those </w:t>
      </w:r>
      <w:r w:rsidR="007F2998" w:rsidRPr="37BC89A9">
        <w:rPr>
          <w:rFonts w:cs="Calibri Light"/>
        </w:rPr>
        <w:t xml:space="preserve">that relate to </w:t>
      </w:r>
      <w:r w:rsidRPr="37BC89A9">
        <w:rPr>
          <w:rFonts w:cs="Calibri Light"/>
        </w:rPr>
        <w:t xml:space="preserve">the final stage of </w:t>
      </w:r>
      <w:r w:rsidR="00CC1A2D" w:rsidRPr="37BC89A9">
        <w:rPr>
          <w:rFonts w:cs="Calibri Light"/>
        </w:rPr>
        <w:t xml:space="preserve">the </w:t>
      </w:r>
      <w:r w:rsidRPr="37BC89A9">
        <w:rPr>
          <w:rFonts w:cs="Calibri Light"/>
        </w:rPr>
        <w:t>policy</w:t>
      </w:r>
      <w:r w:rsidR="00CC1A2D" w:rsidRPr="37BC89A9">
        <w:rPr>
          <w:rFonts w:cs="Calibri Light"/>
        </w:rPr>
        <w:t xml:space="preserve"> </w:t>
      </w:r>
      <w:r w:rsidR="00463A7B" w:rsidRPr="37BC89A9">
        <w:rPr>
          <w:rFonts w:cs="Calibri Light"/>
        </w:rPr>
        <w:t xml:space="preserve">development </w:t>
      </w:r>
      <w:r w:rsidR="00CC1A2D" w:rsidRPr="37BC89A9">
        <w:rPr>
          <w:rFonts w:cs="Calibri Light"/>
        </w:rPr>
        <w:t>cycle</w:t>
      </w:r>
      <w:r w:rsidRPr="37BC89A9">
        <w:rPr>
          <w:rFonts w:cs="Calibri Light"/>
        </w:rPr>
        <w:t xml:space="preserve">, </w:t>
      </w:r>
      <w:r w:rsidR="00CC1A2D" w:rsidRPr="37BC89A9">
        <w:rPr>
          <w:rFonts w:cs="Calibri Light"/>
        </w:rPr>
        <w:t xml:space="preserve">including </w:t>
      </w:r>
      <w:r w:rsidRPr="37BC89A9">
        <w:rPr>
          <w:rFonts w:cs="Calibri Light"/>
        </w:rPr>
        <w:t xml:space="preserve">legislative reviews, policy reviews, </w:t>
      </w:r>
      <w:r w:rsidR="00133E6E" w:rsidRPr="37BC89A9">
        <w:rPr>
          <w:rFonts w:cs="Calibri Light"/>
        </w:rPr>
        <w:t xml:space="preserve">reviews of </w:t>
      </w:r>
      <w:r w:rsidR="007333F8" w:rsidRPr="37BC89A9">
        <w:rPr>
          <w:rFonts w:cs="Calibri Light"/>
        </w:rPr>
        <w:t xml:space="preserve">existing </w:t>
      </w:r>
      <w:r w:rsidR="00133E6E" w:rsidRPr="37BC89A9">
        <w:rPr>
          <w:rFonts w:cs="Calibri Light"/>
        </w:rPr>
        <w:t xml:space="preserve">prudential standards, </w:t>
      </w:r>
      <w:r w:rsidRPr="37BC89A9">
        <w:rPr>
          <w:rFonts w:cs="Calibri Light"/>
        </w:rPr>
        <w:t>government</w:t>
      </w:r>
      <w:r w:rsidR="4272591E" w:rsidRPr="37BC89A9">
        <w:rPr>
          <w:rFonts w:cs="Calibri Light"/>
        </w:rPr>
        <w:t xml:space="preserve"> </w:t>
      </w:r>
      <w:r w:rsidR="003D486F">
        <w:rPr>
          <w:rFonts w:cs="Calibri Light"/>
          <w:szCs w:val="22"/>
        </w:rPr>
        <w:noBreakHyphen/>
      </w:r>
      <w:r w:rsidRPr="37BC89A9">
        <w:rPr>
          <w:rFonts w:cs="Calibri Light"/>
        </w:rPr>
        <w:t>directed inquiries, audits and reports.</w:t>
      </w:r>
    </w:p>
    <w:p w14:paraId="5514A9EE" w14:textId="77777777" w:rsidR="00776E56" w:rsidRPr="00EC27BF" w:rsidRDefault="00776E56" w:rsidP="00776E56">
      <w:pPr>
        <w:spacing w:before="0" w:after="0"/>
        <w:rPr>
          <w:rStyle w:val="Strong"/>
          <w:sz w:val="20"/>
        </w:rPr>
      </w:pPr>
      <w:r w:rsidRPr="00EC27BF">
        <w:rPr>
          <w:rStyle w:val="Strong"/>
          <w:sz w:val="20"/>
        </w:rPr>
        <w:t xml:space="preserve">A * indicates a new milestone for an initiative that was included in Edition 1 where progress on the work has occurred. </w:t>
      </w:r>
    </w:p>
    <w:p w14:paraId="78B43BF6" w14:textId="14C7FAD6" w:rsidR="00776E56" w:rsidRPr="003A5852" w:rsidRDefault="00776E56" w:rsidP="00776E56">
      <w:pPr>
        <w:rPr>
          <w:rFonts w:cs="Calibri Light"/>
        </w:rPr>
      </w:pPr>
      <w:r w:rsidRPr="00EC27BF">
        <w:rPr>
          <w:rStyle w:val="Strong"/>
          <w:sz w:val="20"/>
        </w:rPr>
        <w:t xml:space="preserve">A ^ indicates where a milestone has changed from Edition 1 to this Edition. A changes table at the end of this document </w:t>
      </w:r>
      <w:proofErr w:type="gramStart"/>
      <w:r w:rsidRPr="00EC27BF">
        <w:rPr>
          <w:rStyle w:val="Strong"/>
          <w:sz w:val="20"/>
        </w:rPr>
        <w:t>explains</w:t>
      </w:r>
      <w:proofErr w:type="gramEnd"/>
      <w:r w:rsidRPr="00EC27BF">
        <w:rPr>
          <w:rStyle w:val="Strong"/>
          <w:sz w:val="20"/>
        </w:rPr>
        <w:t xml:space="preserve"> the</w:t>
      </w:r>
      <w:r>
        <w:rPr>
          <w:rStyle w:val="Strong"/>
          <w:sz w:val="20"/>
        </w:rPr>
        <w:t xml:space="preserve"> change.</w:t>
      </w:r>
    </w:p>
    <w:p w14:paraId="26F87867" w14:textId="12A11CE9" w:rsidR="00D56AA2" w:rsidRPr="0098521C" w:rsidRDefault="00D56AA2" w:rsidP="001B1F27">
      <w:pPr>
        <w:pStyle w:val="TableMainHeading"/>
        <w:rPr>
          <w:rStyle w:val="Strong"/>
        </w:rPr>
      </w:pPr>
      <w:r w:rsidRPr="0098521C">
        <w:rPr>
          <w:rStyle w:val="Strong"/>
        </w:rPr>
        <w:t>Forward calendar</w:t>
      </w:r>
    </w:p>
    <w:tbl>
      <w:tblPr>
        <w:tblW w:w="5000" w:type="pct"/>
        <w:tblInd w:w="-1" w:type="dxa"/>
        <w:tblBorders>
          <w:bottom w:val="single" w:sz="4" w:space="0" w:color="90B6F0" w:themeColor="accent5"/>
          <w:insideH w:val="single" w:sz="4" w:space="0" w:color="4D7861" w:themeColor="accent2"/>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794"/>
        <w:gridCol w:w="1304"/>
        <w:gridCol w:w="3175"/>
        <w:gridCol w:w="1247"/>
        <w:gridCol w:w="1247"/>
        <w:gridCol w:w="1247"/>
        <w:gridCol w:w="1247"/>
        <w:gridCol w:w="1247"/>
        <w:gridCol w:w="1247"/>
        <w:gridCol w:w="1247"/>
      </w:tblGrid>
      <w:tr w:rsidR="00E6324E" w:rsidRPr="00AF43B7" w14:paraId="63F51188" w14:textId="77777777" w:rsidTr="73625B8F">
        <w:trPr>
          <w:cantSplit/>
          <w:trHeight w:val="567"/>
          <w:tblHeader/>
        </w:trPr>
        <w:tc>
          <w:tcPr>
            <w:tcW w:w="794" w:type="dxa"/>
            <w:shd w:val="clear" w:color="auto" w:fill="B8C9C0"/>
            <w:vAlign w:val="center"/>
            <w:hideMark/>
          </w:tcPr>
          <w:p w14:paraId="4D21FF2D" w14:textId="77777777" w:rsidR="003869E6" w:rsidRPr="000A6BD2" w:rsidRDefault="003869E6" w:rsidP="005E5C59">
            <w:pPr>
              <w:pStyle w:val="TableColumnHeadingLeft"/>
            </w:pPr>
            <w:r w:rsidRPr="000A6BD2">
              <w:t>Agency</w:t>
            </w:r>
          </w:p>
        </w:tc>
        <w:tc>
          <w:tcPr>
            <w:tcW w:w="1304" w:type="dxa"/>
            <w:shd w:val="clear" w:color="auto" w:fill="B8C9C0"/>
            <w:vAlign w:val="center"/>
          </w:tcPr>
          <w:p w14:paraId="2C4734AB" w14:textId="77777777" w:rsidR="003869E6" w:rsidRPr="000A6BD2" w:rsidRDefault="003869E6" w:rsidP="005E5C59">
            <w:pPr>
              <w:pStyle w:val="TableColumnHeadingLeft"/>
            </w:pPr>
            <w:r w:rsidRPr="000A6BD2">
              <w:t>Sector</w:t>
            </w:r>
          </w:p>
        </w:tc>
        <w:tc>
          <w:tcPr>
            <w:tcW w:w="3175" w:type="dxa"/>
            <w:shd w:val="clear" w:color="auto" w:fill="B8C9C0"/>
            <w:vAlign w:val="center"/>
          </w:tcPr>
          <w:p w14:paraId="42BC5D5C" w14:textId="77777777" w:rsidR="003869E6" w:rsidRPr="000A6BD2" w:rsidRDefault="003869E6" w:rsidP="005E5C59">
            <w:pPr>
              <w:pStyle w:val="TableColumnHeadingLeft"/>
            </w:pPr>
            <w:r w:rsidRPr="000A6BD2">
              <w:t>Initiative</w:t>
            </w:r>
          </w:p>
        </w:tc>
        <w:tc>
          <w:tcPr>
            <w:tcW w:w="1247" w:type="dxa"/>
            <w:shd w:val="clear" w:color="auto" w:fill="B8C9C0"/>
            <w:vAlign w:val="center"/>
            <w:hideMark/>
          </w:tcPr>
          <w:p w14:paraId="4F567913" w14:textId="77777777" w:rsidR="003869E6" w:rsidRPr="000A6BD2" w:rsidRDefault="003869E6" w:rsidP="005E5C59">
            <w:pPr>
              <w:pStyle w:val="TableColumnHeadingLeft"/>
            </w:pPr>
            <w:r w:rsidRPr="000A6BD2">
              <w:t xml:space="preserve">Q4 2025 </w:t>
            </w:r>
            <w:r w:rsidRPr="000A6BD2" w:rsidDel="00973AC5">
              <w:t>activity</w:t>
            </w:r>
          </w:p>
        </w:tc>
        <w:tc>
          <w:tcPr>
            <w:tcW w:w="1247" w:type="dxa"/>
            <w:shd w:val="clear" w:color="auto" w:fill="B8C9C0"/>
            <w:vAlign w:val="center"/>
          </w:tcPr>
          <w:p w14:paraId="436FA1E6" w14:textId="77777777" w:rsidR="003869E6" w:rsidRPr="000A6BD2" w:rsidRDefault="003869E6" w:rsidP="005E5C59">
            <w:pPr>
              <w:pStyle w:val="TableColumnHeadingLeft"/>
            </w:pPr>
            <w:r w:rsidRPr="000A6BD2">
              <w:t xml:space="preserve">Q1 2026 </w:t>
            </w:r>
            <w:r w:rsidRPr="000A6BD2" w:rsidDel="00973AC5">
              <w:t>activity</w:t>
            </w:r>
          </w:p>
        </w:tc>
        <w:tc>
          <w:tcPr>
            <w:tcW w:w="1247" w:type="dxa"/>
            <w:shd w:val="clear" w:color="auto" w:fill="B8C9C0"/>
            <w:vAlign w:val="center"/>
          </w:tcPr>
          <w:p w14:paraId="2CA2BFC9" w14:textId="77777777" w:rsidR="003869E6" w:rsidRPr="000A6BD2" w:rsidRDefault="003869E6" w:rsidP="005E5C59">
            <w:pPr>
              <w:pStyle w:val="TableColumnHeadingLeft"/>
            </w:pPr>
            <w:r w:rsidRPr="000A6BD2">
              <w:t xml:space="preserve">Q2 2026 </w:t>
            </w:r>
            <w:r w:rsidRPr="000A6BD2" w:rsidDel="00973AC5">
              <w:t>activity</w:t>
            </w:r>
          </w:p>
        </w:tc>
        <w:tc>
          <w:tcPr>
            <w:tcW w:w="1247" w:type="dxa"/>
            <w:shd w:val="clear" w:color="auto" w:fill="B8C9C0"/>
            <w:vAlign w:val="center"/>
          </w:tcPr>
          <w:p w14:paraId="7AA44394" w14:textId="77777777" w:rsidR="003869E6" w:rsidRPr="000A6BD2" w:rsidRDefault="003869E6" w:rsidP="005E5C59">
            <w:pPr>
              <w:pStyle w:val="TableColumnHeadingLeft"/>
            </w:pPr>
            <w:r w:rsidRPr="000A6BD2">
              <w:t>Q3 2026 activity</w:t>
            </w:r>
          </w:p>
        </w:tc>
        <w:tc>
          <w:tcPr>
            <w:tcW w:w="1247" w:type="dxa"/>
            <w:shd w:val="clear" w:color="auto" w:fill="B8C9C0"/>
            <w:vAlign w:val="center"/>
          </w:tcPr>
          <w:p w14:paraId="0AC18280" w14:textId="77777777" w:rsidR="003869E6" w:rsidRPr="000A6BD2" w:rsidRDefault="003869E6" w:rsidP="005E5C59">
            <w:pPr>
              <w:pStyle w:val="TableColumnHeadingLeft"/>
            </w:pPr>
            <w:r w:rsidRPr="000A6BD2">
              <w:t xml:space="preserve">Q4 2026 </w:t>
            </w:r>
            <w:r w:rsidRPr="000A6BD2" w:rsidDel="00973AC5">
              <w:t>activity</w:t>
            </w:r>
          </w:p>
        </w:tc>
        <w:tc>
          <w:tcPr>
            <w:tcW w:w="1247" w:type="dxa"/>
            <w:shd w:val="clear" w:color="auto" w:fill="B8C9C0"/>
            <w:vAlign w:val="center"/>
          </w:tcPr>
          <w:p w14:paraId="3CB8142F" w14:textId="77777777" w:rsidR="003869E6" w:rsidRPr="000A6BD2" w:rsidRDefault="003869E6" w:rsidP="005E5C59">
            <w:pPr>
              <w:pStyle w:val="TableColumnHeadingLeft"/>
            </w:pPr>
            <w:r w:rsidRPr="000A6BD2">
              <w:t xml:space="preserve">Q1 2027 </w:t>
            </w:r>
            <w:r w:rsidRPr="000A6BD2" w:rsidDel="00973AC5">
              <w:t>activity</w:t>
            </w:r>
          </w:p>
        </w:tc>
        <w:tc>
          <w:tcPr>
            <w:tcW w:w="1247" w:type="dxa"/>
            <w:shd w:val="clear" w:color="auto" w:fill="B8C9C0"/>
            <w:vAlign w:val="center"/>
          </w:tcPr>
          <w:p w14:paraId="7CEB24F0" w14:textId="77777777" w:rsidR="003869E6" w:rsidRPr="000A6BD2" w:rsidRDefault="003869E6" w:rsidP="005E5C59">
            <w:pPr>
              <w:pStyle w:val="TableColumnHeadingLeft"/>
            </w:pPr>
            <w:r w:rsidRPr="000A6BD2">
              <w:t>Q2</w:t>
            </w:r>
            <w:r>
              <w:t>–</w:t>
            </w:r>
            <w:r w:rsidRPr="000A6BD2">
              <w:t xml:space="preserve">3 2027 </w:t>
            </w:r>
            <w:r w:rsidRPr="000A6BD2" w:rsidDel="00973AC5">
              <w:t>activity</w:t>
            </w:r>
          </w:p>
        </w:tc>
      </w:tr>
      <w:tr w:rsidR="00E6324E" w:rsidRPr="00AF43B7" w14:paraId="44AC1001" w14:textId="77777777" w:rsidTr="73625B8F">
        <w:trPr>
          <w:cantSplit/>
          <w:trHeight w:val="410"/>
        </w:trPr>
        <w:tc>
          <w:tcPr>
            <w:tcW w:w="794" w:type="dxa"/>
            <w:tcBorders>
              <w:top w:val="single" w:sz="4" w:space="0" w:color="4D7861" w:themeColor="accent2"/>
              <w:bottom w:val="single" w:sz="4" w:space="0" w:color="4D7861" w:themeColor="accent2"/>
            </w:tcBorders>
          </w:tcPr>
          <w:p w14:paraId="4BAE8278" w14:textId="77777777" w:rsidR="003869E6" w:rsidRPr="00E7433A" w:rsidRDefault="003869E6" w:rsidP="00195B9B">
            <w:pPr>
              <w:pStyle w:val="TableLeadAgency"/>
            </w:pPr>
            <w:r w:rsidRPr="00E7433A">
              <w:t>APRA</w:t>
            </w:r>
          </w:p>
        </w:tc>
        <w:tc>
          <w:tcPr>
            <w:tcW w:w="1304" w:type="dxa"/>
            <w:tcBorders>
              <w:top w:val="single" w:sz="4" w:space="0" w:color="4D7861" w:themeColor="accent2"/>
              <w:bottom w:val="single" w:sz="4" w:space="0" w:color="4D7861" w:themeColor="accent2"/>
            </w:tcBorders>
          </w:tcPr>
          <w:p w14:paraId="00D01D4C" w14:textId="77777777" w:rsidR="003869E6" w:rsidRPr="00301F93" w:rsidRDefault="003869E6" w:rsidP="00195B9B">
            <w:pPr>
              <w:pStyle w:val="TableTextLeft"/>
            </w:pPr>
            <w:r w:rsidRPr="00301F93">
              <w:t>Banking, credit and lending</w:t>
            </w:r>
          </w:p>
          <w:p w14:paraId="4B00AF12" w14:textId="77777777" w:rsidR="003869E6" w:rsidRPr="00F83E7F" w:rsidRDefault="003869E6" w:rsidP="00195B9B">
            <w:pPr>
              <w:pStyle w:val="TableTextLeft"/>
            </w:pPr>
            <w:r w:rsidRPr="00301F93">
              <w:t>Insurance and reinsurance</w:t>
            </w:r>
          </w:p>
        </w:tc>
        <w:tc>
          <w:tcPr>
            <w:tcW w:w="3175" w:type="dxa"/>
            <w:tcBorders>
              <w:top w:val="single" w:sz="4" w:space="0" w:color="4D7861" w:themeColor="accent2"/>
              <w:bottom w:val="single" w:sz="4" w:space="0" w:color="4D7861" w:themeColor="accent2"/>
            </w:tcBorders>
          </w:tcPr>
          <w:p w14:paraId="744923CC" w14:textId="77777777" w:rsidR="003869E6" w:rsidRPr="004D2523" w:rsidRDefault="003869E6" w:rsidP="00195B9B">
            <w:pPr>
              <w:pStyle w:val="TableTextLeft"/>
              <w:rPr>
                <w:b/>
                <w:bCs/>
              </w:rPr>
            </w:pPr>
            <w:r w:rsidRPr="004D2523">
              <w:rPr>
                <w:b/>
                <w:bCs/>
              </w:rPr>
              <w:t>Additional Tier 1 (AT1) capital</w:t>
            </w:r>
          </w:p>
          <w:p w14:paraId="34EF41BF" w14:textId="77777777" w:rsidR="003869E6" w:rsidRPr="00F91AB2" w:rsidRDefault="003869E6" w:rsidP="00195B9B">
            <w:pPr>
              <w:pStyle w:val="TableTextLeft"/>
            </w:pPr>
            <w:r w:rsidRPr="007E1AA3">
              <w:t>APRA will review and adjust the capital prudential standards to reflect lessons learned from the global banking instability in 2023 to ensure the prudential framework remains fit</w:t>
            </w:r>
            <w:r>
              <w:t xml:space="preserve"> </w:t>
            </w:r>
            <w:r w:rsidRPr="007E1AA3">
              <w:t>for</w:t>
            </w:r>
            <w:r>
              <w:t xml:space="preserve"> </w:t>
            </w:r>
            <w:r w:rsidRPr="007E1AA3">
              <w:t xml:space="preserve">purpose. </w:t>
            </w:r>
          </w:p>
        </w:tc>
        <w:tc>
          <w:tcPr>
            <w:tcW w:w="1247" w:type="dxa"/>
            <w:tcBorders>
              <w:top w:val="single" w:sz="4" w:space="0" w:color="4D7861" w:themeColor="accent2"/>
              <w:bottom w:val="single" w:sz="4" w:space="0" w:color="4D7861" w:themeColor="accent2"/>
            </w:tcBorders>
            <w:shd w:val="clear" w:color="auto" w:fill="DBE4DF"/>
          </w:tcPr>
          <w:p w14:paraId="59BA00F2" w14:textId="77777777" w:rsidR="003869E6" w:rsidRPr="00F91AB2" w:rsidRDefault="003869E6" w:rsidP="00195B9B">
            <w:pPr>
              <w:pStyle w:val="TableTextLeft"/>
            </w:pPr>
            <w:r>
              <w:t>Release final requirements</w:t>
            </w:r>
          </w:p>
        </w:tc>
        <w:tc>
          <w:tcPr>
            <w:tcW w:w="1247" w:type="dxa"/>
            <w:tcBorders>
              <w:top w:val="single" w:sz="4" w:space="0" w:color="4D7861" w:themeColor="accent2"/>
              <w:bottom w:val="single" w:sz="4" w:space="0" w:color="4D7861" w:themeColor="accent2"/>
            </w:tcBorders>
            <w:shd w:val="clear" w:color="auto" w:fill="DBE4DF"/>
          </w:tcPr>
          <w:p w14:paraId="4FC32578" w14:textId="77777777" w:rsidR="003869E6" w:rsidRPr="00F91AB2"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DBE4DF"/>
          </w:tcPr>
          <w:p w14:paraId="0C815978" w14:textId="77777777" w:rsidR="003869E6" w:rsidRPr="00F91AB2"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DBE4DF"/>
          </w:tcPr>
          <w:p w14:paraId="59520125" w14:textId="77777777" w:rsidR="003869E6" w:rsidRPr="00F91AB2"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DBE4DF"/>
          </w:tcPr>
          <w:p w14:paraId="3A02DD41" w14:textId="77777777" w:rsidR="003869E6" w:rsidRPr="00F91AB2"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EDF2EF"/>
          </w:tcPr>
          <w:p w14:paraId="1AEEE746" w14:textId="77777777" w:rsidR="003869E6" w:rsidRPr="00F91AB2" w:rsidRDefault="003869E6" w:rsidP="00195B9B">
            <w:pPr>
              <w:pStyle w:val="TableTextLeft"/>
            </w:pPr>
            <w:r>
              <w:t xml:space="preserve">Commencement* </w:t>
            </w:r>
          </w:p>
        </w:tc>
        <w:tc>
          <w:tcPr>
            <w:tcW w:w="1247" w:type="dxa"/>
            <w:tcBorders>
              <w:top w:val="single" w:sz="4" w:space="0" w:color="4D7861" w:themeColor="accent2"/>
              <w:bottom w:val="single" w:sz="4" w:space="0" w:color="4D7861" w:themeColor="accent2"/>
            </w:tcBorders>
            <w:shd w:val="clear" w:color="auto" w:fill="EDF2EF"/>
          </w:tcPr>
          <w:p w14:paraId="5A2B280B" w14:textId="77777777" w:rsidR="003869E6" w:rsidRPr="00F91AB2" w:rsidRDefault="003869E6" w:rsidP="00195B9B">
            <w:pPr>
              <w:pStyle w:val="TableTextLeft"/>
            </w:pPr>
          </w:p>
        </w:tc>
      </w:tr>
      <w:tr w:rsidR="00E6324E" w:rsidRPr="00AF43B7" w14:paraId="5620EF59" w14:textId="77777777" w:rsidTr="73625B8F">
        <w:trPr>
          <w:cantSplit/>
          <w:trHeight w:val="410"/>
        </w:trPr>
        <w:tc>
          <w:tcPr>
            <w:tcW w:w="794" w:type="dxa"/>
            <w:tcBorders>
              <w:top w:val="single" w:sz="4" w:space="0" w:color="4D7861" w:themeColor="accent2"/>
              <w:bottom w:val="single" w:sz="4" w:space="0" w:color="4D7861" w:themeColor="accent2"/>
            </w:tcBorders>
          </w:tcPr>
          <w:p w14:paraId="17EEC052" w14:textId="77777777" w:rsidR="003869E6" w:rsidRPr="00E7433A" w:rsidRDefault="003869E6" w:rsidP="00056351">
            <w:pPr>
              <w:pStyle w:val="TableLeadAgency"/>
            </w:pPr>
            <w:r>
              <w:t>APRA</w:t>
            </w:r>
          </w:p>
        </w:tc>
        <w:tc>
          <w:tcPr>
            <w:tcW w:w="1304" w:type="dxa"/>
            <w:tcBorders>
              <w:top w:val="single" w:sz="4" w:space="0" w:color="4D7861" w:themeColor="accent2"/>
              <w:bottom w:val="single" w:sz="4" w:space="0" w:color="4D7861" w:themeColor="accent2"/>
            </w:tcBorders>
          </w:tcPr>
          <w:p w14:paraId="3D54C7FB" w14:textId="77777777" w:rsidR="003869E6" w:rsidRPr="00ED10E0" w:rsidRDefault="003869E6" w:rsidP="00056351">
            <w:pPr>
              <w:pStyle w:val="TableTextLeft"/>
            </w:pPr>
            <w:r w:rsidDel="00963326">
              <w:t>Insurance and reinsurance</w:t>
            </w:r>
          </w:p>
        </w:tc>
        <w:tc>
          <w:tcPr>
            <w:tcW w:w="3175" w:type="dxa"/>
            <w:tcBorders>
              <w:top w:val="single" w:sz="4" w:space="0" w:color="4D7861" w:themeColor="accent2"/>
              <w:bottom w:val="single" w:sz="4" w:space="0" w:color="4D7861" w:themeColor="accent2"/>
            </w:tcBorders>
          </w:tcPr>
          <w:p w14:paraId="7888B8E1" w14:textId="4CBFF5EB" w:rsidR="003869E6" w:rsidRPr="00BB46A4" w:rsidRDefault="003869E6" w:rsidP="00056351">
            <w:pPr>
              <w:pStyle w:val="TableTextLeft"/>
              <w:rPr>
                <w:b/>
                <w:bCs/>
              </w:rPr>
            </w:pPr>
            <w:r w:rsidRPr="00BB46A4">
              <w:rPr>
                <w:b/>
                <w:bCs/>
              </w:rPr>
              <w:t>Capital for annuities</w:t>
            </w:r>
            <w:r>
              <w:rPr>
                <w:b/>
                <w:bCs/>
              </w:rPr>
              <w:t xml:space="preserve"> </w:t>
            </w:r>
            <w:r w:rsidR="001B1F27" w:rsidRPr="001B1F27">
              <w:rPr>
                <w:rStyle w:val="NewInitiativeChar"/>
                <w:sz w:val="16"/>
                <w:szCs w:val="16"/>
              </w:rPr>
              <w:t>(new)</w:t>
            </w:r>
          </w:p>
          <w:p w14:paraId="302981A1" w14:textId="05253713" w:rsidR="003869E6" w:rsidRPr="00667A54" w:rsidRDefault="003869E6" w:rsidP="73625B8F">
            <w:pPr>
              <w:pStyle w:val="TableTextLeft"/>
              <w:rPr>
                <w:b/>
                <w:lang w:val="en-US"/>
              </w:rPr>
            </w:pPr>
            <w:r w:rsidRPr="73625B8F">
              <w:rPr>
                <w:lang w:val="en-US"/>
              </w:rPr>
              <w:t>APRA will consult on a proposal to reduce prudential capital requirements for life insurers offering annuity products. APRA</w:t>
            </w:r>
            <w:r w:rsidR="003D486F">
              <w:rPr>
                <w:lang w:val="en-US"/>
              </w:rPr>
              <w:t>’</w:t>
            </w:r>
            <w:r w:rsidRPr="73625B8F">
              <w:rPr>
                <w:lang w:val="en-US"/>
              </w:rPr>
              <w:t>s aim is to lower the cost to life insurers of providing annuity products.</w:t>
            </w:r>
          </w:p>
        </w:tc>
        <w:tc>
          <w:tcPr>
            <w:tcW w:w="1247" w:type="dxa"/>
            <w:tcBorders>
              <w:top w:val="single" w:sz="4" w:space="0" w:color="4D7861" w:themeColor="accent2"/>
              <w:bottom w:val="single" w:sz="4" w:space="0" w:color="4D7861" w:themeColor="accent2"/>
            </w:tcBorders>
            <w:shd w:val="clear" w:color="auto" w:fill="DBE4DF"/>
          </w:tcPr>
          <w:p w14:paraId="435EDAED" w14:textId="77777777" w:rsidR="003869E6" w:rsidRPr="00BF4B8B" w:rsidRDefault="003869E6" w:rsidP="00056351">
            <w:pPr>
              <w:pStyle w:val="TableTextLeft"/>
            </w:pPr>
            <w:r w:rsidRPr="00FA1B82">
              <w:rPr>
                <w:bCs/>
              </w:rPr>
              <w:t>Consultation – draft standards</w:t>
            </w:r>
          </w:p>
        </w:tc>
        <w:tc>
          <w:tcPr>
            <w:tcW w:w="1247" w:type="dxa"/>
            <w:tcBorders>
              <w:top w:val="single" w:sz="4" w:space="0" w:color="4D7861" w:themeColor="accent2"/>
              <w:bottom w:val="single" w:sz="4" w:space="0" w:color="4D7861" w:themeColor="accent2"/>
            </w:tcBorders>
            <w:shd w:val="clear" w:color="auto" w:fill="DBE4DF"/>
          </w:tcPr>
          <w:p w14:paraId="29017CFB" w14:textId="77777777" w:rsidR="003869E6" w:rsidRPr="00BF4B8B" w:rsidRDefault="003869E6" w:rsidP="00056351">
            <w:pPr>
              <w:pStyle w:val="TableTextLeft"/>
            </w:pPr>
            <w:r w:rsidRPr="00275440">
              <w:t>Release final standards</w:t>
            </w:r>
          </w:p>
        </w:tc>
        <w:tc>
          <w:tcPr>
            <w:tcW w:w="1247" w:type="dxa"/>
            <w:tcBorders>
              <w:top w:val="single" w:sz="4" w:space="0" w:color="4D7861" w:themeColor="accent2"/>
              <w:bottom w:val="single" w:sz="4" w:space="0" w:color="4D7861" w:themeColor="accent2"/>
            </w:tcBorders>
            <w:shd w:val="clear" w:color="auto" w:fill="DBE4DF"/>
          </w:tcPr>
          <w:p w14:paraId="39247C94" w14:textId="77777777" w:rsidR="003869E6" w:rsidRPr="00BF4B8B" w:rsidRDefault="003869E6" w:rsidP="00056351">
            <w:pPr>
              <w:pStyle w:val="TableTextLeft"/>
            </w:pPr>
          </w:p>
        </w:tc>
        <w:tc>
          <w:tcPr>
            <w:tcW w:w="1247" w:type="dxa"/>
            <w:tcBorders>
              <w:top w:val="single" w:sz="4" w:space="0" w:color="4D7861" w:themeColor="accent2"/>
              <w:bottom w:val="single" w:sz="4" w:space="0" w:color="4D7861" w:themeColor="accent2"/>
            </w:tcBorders>
            <w:shd w:val="clear" w:color="auto" w:fill="DBE4DF"/>
          </w:tcPr>
          <w:p w14:paraId="47CC19F9" w14:textId="77777777" w:rsidR="003869E6" w:rsidRPr="00BF4B8B" w:rsidRDefault="003869E6" w:rsidP="00056351">
            <w:pPr>
              <w:pStyle w:val="TableTextLeft"/>
            </w:pPr>
            <w:r w:rsidRPr="00601D62">
              <w:t>Commences</w:t>
            </w:r>
          </w:p>
        </w:tc>
        <w:tc>
          <w:tcPr>
            <w:tcW w:w="1247" w:type="dxa"/>
            <w:tcBorders>
              <w:top w:val="single" w:sz="4" w:space="0" w:color="4D7861" w:themeColor="accent2"/>
              <w:bottom w:val="single" w:sz="4" w:space="0" w:color="4D7861" w:themeColor="accent2"/>
            </w:tcBorders>
            <w:shd w:val="clear" w:color="auto" w:fill="DBE4DF"/>
          </w:tcPr>
          <w:p w14:paraId="7C0D47FC" w14:textId="77777777" w:rsidR="003869E6" w:rsidRPr="00BF4B8B" w:rsidRDefault="003869E6" w:rsidP="00056351">
            <w:pPr>
              <w:pStyle w:val="TableTextLeft"/>
            </w:pPr>
          </w:p>
        </w:tc>
        <w:tc>
          <w:tcPr>
            <w:tcW w:w="1247" w:type="dxa"/>
            <w:tcBorders>
              <w:top w:val="single" w:sz="4" w:space="0" w:color="4D7861" w:themeColor="accent2"/>
              <w:bottom w:val="single" w:sz="4" w:space="0" w:color="4D7861" w:themeColor="accent2"/>
            </w:tcBorders>
            <w:shd w:val="clear" w:color="auto" w:fill="EDF2EF"/>
          </w:tcPr>
          <w:p w14:paraId="248F8948" w14:textId="77777777" w:rsidR="003869E6" w:rsidRPr="00BF4B8B" w:rsidRDefault="003869E6" w:rsidP="00056351">
            <w:pPr>
              <w:pStyle w:val="TableTextLeft"/>
            </w:pPr>
          </w:p>
        </w:tc>
        <w:tc>
          <w:tcPr>
            <w:tcW w:w="1247" w:type="dxa"/>
            <w:tcBorders>
              <w:top w:val="single" w:sz="4" w:space="0" w:color="4D7861" w:themeColor="accent2"/>
              <w:bottom w:val="single" w:sz="4" w:space="0" w:color="4D7861" w:themeColor="accent2"/>
            </w:tcBorders>
            <w:shd w:val="clear" w:color="auto" w:fill="EDF2EF"/>
          </w:tcPr>
          <w:p w14:paraId="31925704" w14:textId="77777777" w:rsidR="003869E6" w:rsidRPr="00BF4B8B" w:rsidRDefault="003869E6" w:rsidP="00056351">
            <w:pPr>
              <w:pStyle w:val="TableTextLeft"/>
            </w:pPr>
          </w:p>
        </w:tc>
      </w:tr>
      <w:tr w:rsidR="00E6324E" w14:paraId="6BF619CC" w14:textId="77777777" w:rsidTr="001B1F27">
        <w:trPr>
          <w:cantSplit/>
          <w:trHeight w:val="300"/>
        </w:trPr>
        <w:tc>
          <w:tcPr>
            <w:tcW w:w="794" w:type="dxa"/>
            <w:tcBorders>
              <w:top w:val="single" w:sz="4" w:space="0" w:color="4D7861" w:themeColor="accent2"/>
              <w:bottom w:val="single" w:sz="4" w:space="0" w:color="4D7861" w:themeColor="accent2"/>
            </w:tcBorders>
          </w:tcPr>
          <w:p w14:paraId="488AFA54" w14:textId="77777777" w:rsidR="003869E6" w:rsidRDefault="003869E6" w:rsidP="00DD5FB7">
            <w:pPr>
              <w:pStyle w:val="TableLeadAgency"/>
            </w:pPr>
            <w:r>
              <w:t>TSY</w:t>
            </w:r>
          </w:p>
          <w:p w14:paraId="16B24FEB" w14:textId="77777777" w:rsidR="003869E6" w:rsidRDefault="003869E6" w:rsidP="00DD5FB7">
            <w:pPr>
              <w:pStyle w:val="TableLeadAgency"/>
            </w:pPr>
          </w:p>
        </w:tc>
        <w:tc>
          <w:tcPr>
            <w:tcW w:w="1304" w:type="dxa"/>
            <w:tcBorders>
              <w:top w:val="single" w:sz="4" w:space="0" w:color="4D7861" w:themeColor="accent2"/>
              <w:bottom w:val="single" w:sz="4" w:space="0" w:color="4D7861" w:themeColor="accent2"/>
            </w:tcBorders>
          </w:tcPr>
          <w:p w14:paraId="51B0B752" w14:textId="77777777" w:rsidR="003869E6" w:rsidRDefault="003869E6" w:rsidP="00DD5FB7">
            <w:pPr>
              <w:pStyle w:val="TableTextLeft"/>
            </w:pPr>
            <w:r>
              <w:t>All</w:t>
            </w:r>
          </w:p>
        </w:tc>
        <w:tc>
          <w:tcPr>
            <w:tcW w:w="3175" w:type="dxa"/>
            <w:tcBorders>
              <w:top w:val="single" w:sz="4" w:space="0" w:color="4D7861" w:themeColor="accent2"/>
              <w:bottom w:val="single" w:sz="4" w:space="0" w:color="4D7861" w:themeColor="accent2"/>
            </w:tcBorders>
          </w:tcPr>
          <w:p w14:paraId="0375B389" w14:textId="34822E71" w:rsidR="003869E6" w:rsidRDefault="003869E6" w:rsidP="00DD5FB7">
            <w:pPr>
              <w:pStyle w:val="TableLink"/>
            </w:pPr>
            <w:r w:rsidRPr="003D19E1">
              <w:rPr>
                <w:color w:val="000000"/>
                <w:u w:val="none"/>
                <w:lang w:val="en-AU"/>
              </w:rPr>
              <w:t>CFR coordination</w:t>
            </w:r>
            <w:r w:rsidR="001B1F27" w:rsidRPr="001B1F27">
              <w:rPr>
                <w:u w:val="none"/>
              </w:rPr>
              <w:t xml:space="preserve"> </w:t>
            </w:r>
            <w:r w:rsidR="001B1F27" w:rsidRPr="00283753">
              <w:rPr>
                <w:rStyle w:val="NewInitiativeChar"/>
                <w:b/>
                <w:bCs/>
                <w:sz w:val="16"/>
                <w:szCs w:val="16"/>
                <w:u w:val="none"/>
              </w:rPr>
              <w:t>(new)</w:t>
            </w:r>
          </w:p>
          <w:p w14:paraId="55755414" w14:textId="30F8336B" w:rsidR="003869E6" w:rsidRPr="005C6E02" w:rsidRDefault="003869E6" w:rsidP="61666CA2">
            <w:pPr>
              <w:pStyle w:val="TableLink"/>
              <w:rPr>
                <w:rFonts w:eastAsia="Calibri Light"/>
                <w:b w:val="0"/>
                <w:u w:val="none"/>
              </w:rPr>
            </w:pPr>
            <w:r w:rsidRPr="005C6E02">
              <w:rPr>
                <w:b w:val="0"/>
                <w:color w:val="auto"/>
                <w:u w:val="none"/>
              </w:rPr>
              <w:t>The Treasurer has tasked the CFR agencies to work together to enhance regulatory coordination in the financial sector</w:t>
            </w:r>
            <w:r w:rsidR="00E74CA2">
              <w:rPr>
                <w:b w:val="0"/>
                <w:color w:val="auto"/>
                <w:u w:val="none"/>
              </w:rPr>
              <w:t xml:space="preserve"> consistent with the CFR Review initiative below</w:t>
            </w:r>
            <w:r w:rsidRPr="005C6E02">
              <w:rPr>
                <w:b w:val="0"/>
                <w:color w:val="auto"/>
                <w:u w:val="none"/>
              </w:rPr>
              <w:t xml:space="preserve">. This will include identifying opportunities to streamline and </w:t>
            </w:r>
            <w:proofErr w:type="spellStart"/>
            <w:r w:rsidRPr="005C6E02">
              <w:rPr>
                <w:b w:val="0"/>
                <w:color w:val="auto"/>
                <w:u w:val="none"/>
              </w:rPr>
              <w:t>harmonise</w:t>
            </w:r>
            <w:proofErr w:type="spellEnd"/>
            <w:r w:rsidRPr="005C6E02">
              <w:rPr>
                <w:b w:val="0"/>
                <w:color w:val="auto"/>
                <w:u w:val="none"/>
              </w:rPr>
              <w:t xml:space="preserve"> data collection. </w:t>
            </w:r>
          </w:p>
        </w:tc>
        <w:tc>
          <w:tcPr>
            <w:tcW w:w="1247" w:type="dxa"/>
            <w:tcBorders>
              <w:top w:val="single" w:sz="4" w:space="0" w:color="4D7861" w:themeColor="accent2"/>
              <w:bottom w:val="single" w:sz="4" w:space="0" w:color="4D7861" w:themeColor="accent2"/>
            </w:tcBorders>
            <w:shd w:val="clear" w:color="auto" w:fill="DBE4DF"/>
          </w:tcPr>
          <w:p w14:paraId="11275DC8" w14:textId="77777777" w:rsidR="003869E6" w:rsidRDefault="003869E6" w:rsidP="00DD5FB7">
            <w:pPr>
              <w:pStyle w:val="TableTextLeft"/>
            </w:pPr>
          </w:p>
        </w:tc>
        <w:tc>
          <w:tcPr>
            <w:tcW w:w="1247" w:type="dxa"/>
            <w:tcBorders>
              <w:top w:val="single" w:sz="4" w:space="0" w:color="4D7861" w:themeColor="accent2"/>
              <w:bottom w:val="single" w:sz="4" w:space="0" w:color="4D7861" w:themeColor="accent2"/>
            </w:tcBorders>
            <w:shd w:val="clear" w:color="auto" w:fill="DBE4DF"/>
          </w:tcPr>
          <w:p w14:paraId="2E458551" w14:textId="77777777" w:rsidR="003869E6" w:rsidRDefault="003869E6" w:rsidP="00DD5FB7">
            <w:pPr>
              <w:pStyle w:val="TableTextLeft"/>
            </w:pPr>
          </w:p>
        </w:tc>
        <w:tc>
          <w:tcPr>
            <w:tcW w:w="1247" w:type="dxa"/>
            <w:tcBorders>
              <w:top w:val="single" w:sz="4" w:space="0" w:color="4D7861" w:themeColor="accent2"/>
              <w:bottom w:val="single" w:sz="4" w:space="0" w:color="4D7861" w:themeColor="accent2"/>
            </w:tcBorders>
            <w:shd w:val="clear" w:color="auto" w:fill="DBE4DF"/>
          </w:tcPr>
          <w:p w14:paraId="3C184F17" w14:textId="77777777" w:rsidR="003869E6" w:rsidRDefault="003869E6" w:rsidP="00DD5FB7">
            <w:pPr>
              <w:pStyle w:val="TableTextLeft"/>
            </w:pPr>
          </w:p>
        </w:tc>
        <w:tc>
          <w:tcPr>
            <w:tcW w:w="1247" w:type="dxa"/>
            <w:tcBorders>
              <w:top w:val="single" w:sz="4" w:space="0" w:color="4D7861" w:themeColor="accent2"/>
              <w:bottom w:val="single" w:sz="4" w:space="0" w:color="4D7861" w:themeColor="accent2"/>
            </w:tcBorders>
            <w:shd w:val="clear" w:color="auto" w:fill="DBE4DF"/>
          </w:tcPr>
          <w:p w14:paraId="0B9EF6F5" w14:textId="77777777" w:rsidR="003869E6" w:rsidRDefault="003869E6" w:rsidP="00DD5FB7">
            <w:pPr>
              <w:pStyle w:val="TableTextLeft"/>
            </w:pPr>
          </w:p>
        </w:tc>
        <w:tc>
          <w:tcPr>
            <w:tcW w:w="1247" w:type="dxa"/>
            <w:tcBorders>
              <w:top w:val="single" w:sz="4" w:space="0" w:color="4D7861" w:themeColor="accent2"/>
              <w:bottom w:val="single" w:sz="4" w:space="0" w:color="4D7861" w:themeColor="accent2"/>
            </w:tcBorders>
            <w:shd w:val="clear" w:color="auto" w:fill="DBE4DF"/>
          </w:tcPr>
          <w:p w14:paraId="6C74C10F" w14:textId="77777777" w:rsidR="003869E6" w:rsidRDefault="003869E6" w:rsidP="00DD5FB7">
            <w:pPr>
              <w:pStyle w:val="TableTextLeft"/>
            </w:pPr>
          </w:p>
        </w:tc>
        <w:tc>
          <w:tcPr>
            <w:tcW w:w="1247" w:type="dxa"/>
            <w:tcBorders>
              <w:top w:val="single" w:sz="4" w:space="0" w:color="4D7861" w:themeColor="accent2"/>
              <w:bottom w:val="single" w:sz="4" w:space="0" w:color="4D7861" w:themeColor="accent2"/>
            </w:tcBorders>
            <w:shd w:val="clear" w:color="auto" w:fill="EDF2EF"/>
          </w:tcPr>
          <w:p w14:paraId="561F5528" w14:textId="77777777" w:rsidR="003869E6" w:rsidRDefault="003869E6" w:rsidP="00DD5FB7">
            <w:pPr>
              <w:pStyle w:val="TableTextLeft"/>
            </w:pPr>
          </w:p>
        </w:tc>
        <w:tc>
          <w:tcPr>
            <w:tcW w:w="1247" w:type="dxa"/>
            <w:tcBorders>
              <w:top w:val="single" w:sz="4" w:space="0" w:color="4D7861" w:themeColor="accent2"/>
              <w:bottom w:val="single" w:sz="4" w:space="0" w:color="4D7861" w:themeColor="accent2"/>
            </w:tcBorders>
            <w:shd w:val="clear" w:color="auto" w:fill="EDF2EF"/>
          </w:tcPr>
          <w:p w14:paraId="0B12D15A" w14:textId="77777777" w:rsidR="003869E6" w:rsidRDefault="003869E6" w:rsidP="00DD5FB7">
            <w:pPr>
              <w:pStyle w:val="TableTextLeft"/>
            </w:pPr>
          </w:p>
        </w:tc>
      </w:tr>
      <w:tr w:rsidR="00E6324E" w:rsidRPr="00AF43B7" w14:paraId="1468C5F9" w14:textId="77777777" w:rsidTr="001B1F27">
        <w:trPr>
          <w:cantSplit/>
          <w:trHeight w:val="410"/>
        </w:trPr>
        <w:tc>
          <w:tcPr>
            <w:tcW w:w="794" w:type="dxa"/>
            <w:tcBorders>
              <w:top w:val="single" w:sz="4" w:space="0" w:color="4D7861" w:themeColor="accent2"/>
              <w:bottom w:val="single" w:sz="4" w:space="0" w:color="4D7861" w:themeColor="accent2"/>
            </w:tcBorders>
          </w:tcPr>
          <w:p w14:paraId="5B489879" w14:textId="77777777" w:rsidR="003869E6" w:rsidRPr="00E7433A" w:rsidRDefault="003869E6" w:rsidP="002B3DB4">
            <w:pPr>
              <w:pStyle w:val="TableLeadAgency"/>
            </w:pPr>
            <w:r w:rsidRPr="00E7433A">
              <w:t>TSY</w:t>
            </w:r>
          </w:p>
        </w:tc>
        <w:tc>
          <w:tcPr>
            <w:tcW w:w="1304" w:type="dxa"/>
            <w:tcBorders>
              <w:top w:val="single" w:sz="4" w:space="0" w:color="4D7861" w:themeColor="accent2"/>
              <w:bottom w:val="single" w:sz="4" w:space="0" w:color="4D7861" w:themeColor="accent2"/>
            </w:tcBorders>
          </w:tcPr>
          <w:p w14:paraId="0B0E536B" w14:textId="77777777" w:rsidR="003869E6" w:rsidRPr="00DD5FB7" w:rsidRDefault="003869E6" w:rsidP="002B3DB4">
            <w:pPr>
              <w:pStyle w:val="TableTextLeft"/>
              <w:rPr>
                <w:b/>
                <w:bCs/>
                <w:color w:val="000000" w:themeColor="text1"/>
              </w:rPr>
            </w:pPr>
            <w:r>
              <w:t>All</w:t>
            </w:r>
          </w:p>
        </w:tc>
        <w:tc>
          <w:tcPr>
            <w:tcW w:w="3175" w:type="dxa"/>
            <w:tcBorders>
              <w:bottom w:val="single" w:sz="4" w:space="0" w:color="4D7861" w:themeColor="accent2"/>
            </w:tcBorders>
          </w:tcPr>
          <w:p w14:paraId="3FA2F435" w14:textId="79FC98D3" w:rsidR="003869E6" w:rsidRPr="001B1F27" w:rsidRDefault="003869E6" w:rsidP="001B1F27">
            <w:pPr>
              <w:pStyle w:val="TableLink"/>
            </w:pPr>
            <w:hyperlink r:id="rId102" w:history="1">
              <w:r w:rsidRPr="001B1F27">
                <w:rPr>
                  <w:rStyle w:val="Hyperlink"/>
                  <w:color w:val="5D779D" w:themeColor="accent3"/>
                  <w:u w:val="single"/>
                </w:rPr>
                <w:t>Compensation Scheme of Last Resort (CSLR) post</w:t>
              </w:r>
              <w:r w:rsidR="003D486F" w:rsidRPr="001B1F27">
                <w:rPr>
                  <w:rStyle w:val="Hyperlink"/>
                  <w:color w:val="5D779D" w:themeColor="accent3"/>
                  <w:u w:val="single"/>
                </w:rPr>
                <w:noBreakHyphen/>
              </w:r>
              <w:r w:rsidRPr="001B1F27">
                <w:rPr>
                  <w:rStyle w:val="Hyperlink"/>
                  <w:color w:val="5D779D" w:themeColor="accent3"/>
                  <w:u w:val="single"/>
                </w:rPr>
                <w:t>implementation review</w:t>
              </w:r>
            </w:hyperlink>
            <w:r w:rsidRPr="001B1F27">
              <w:rPr>
                <w:u w:val="none"/>
              </w:rPr>
              <w:t xml:space="preserve"> </w:t>
            </w:r>
            <w:r w:rsidR="001B1F27" w:rsidRPr="00283753">
              <w:rPr>
                <w:rStyle w:val="NewInitiativeChar"/>
                <w:b/>
                <w:bCs/>
                <w:sz w:val="16"/>
                <w:szCs w:val="16"/>
                <w:u w:val="none"/>
              </w:rPr>
              <w:t>(new)</w:t>
            </w:r>
          </w:p>
          <w:p w14:paraId="697F61E7" w14:textId="77777777" w:rsidR="003869E6" w:rsidRPr="00DD5FB7" w:rsidRDefault="003869E6" w:rsidP="002B3DB4">
            <w:pPr>
              <w:pStyle w:val="TableLink"/>
              <w:rPr>
                <w:b w:val="0"/>
                <w:bCs/>
                <w:color w:val="000000" w:themeColor="text1"/>
                <w:u w:val="none"/>
                <w:lang w:val="en-AU"/>
              </w:rPr>
            </w:pPr>
            <w:r w:rsidRPr="00E0690A">
              <w:rPr>
                <w:b w:val="0"/>
                <w:bCs/>
                <w:color w:val="000000" w:themeColor="text1"/>
                <w:u w:val="none"/>
                <w:lang w:val="en-AU"/>
              </w:rPr>
              <w:t>On 31 January 2025, the Assistant Treasurer announced a post</w:t>
            </w:r>
            <w:r w:rsidRPr="00E0690A">
              <w:rPr>
                <w:rFonts w:ascii="Cambria Math" w:hAnsi="Cambria Math" w:cs="Cambria Math"/>
                <w:b w:val="0"/>
                <w:bCs/>
                <w:color w:val="000000" w:themeColor="text1"/>
                <w:u w:val="none"/>
                <w:lang w:val="en-AU"/>
              </w:rPr>
              <w:t>‑</w:t>
            </w:r>
            <w:r w:rsidRPr="00E0690A">
              <w:rPr>
                <w:b w:val="0"/>
                <w:bCs/>
                <w:color w:val="000000" w:themeColor="text1"/>
                <w:u w:val="none"/>
                <w:lang w:val="en-AU"/>
              </w:rPr>
              <w:t xml:space="preserve">implementation review of the Compensation Scheme of Last Resort (CSLR). </w:t>
            </w:r>
            <w:r>
              <w:rPr>
                <w:b w:val="0"/>
                <w:bCs/>
                <w:color w:val="000000" w:themeColor="text1"/>
                <w:u w:val="none"/>
                <w:lang w:val="en-AU"/>
              </w:rPr>
              <w:t xml:space="preserve">The review remains </w:t>
            </w:r>
            <w:proofErr w:type="gramStart"/>
            <w:r>
              <w:rPr>
                <w:b w:val="0"/>
                <w:bCs/>
                <w:color w:val="000000" w:themeColor="text1"/>
                <w:u w:val="none"/>
                <w:lang w:val="en-AU"/>
              </w:rPr>
              <w:t>ongoing</w:t>
            </w:r>
            <w:proofErr w:type="gramEnd"/>
            <w:r>
              <w:rPr>
                <w:b w:val="0"/>
                <w:bCs/>
                <w:color w:val="000000" w:themeColor="text1"/>
                <w:u w:val="none"/>
                <w:lang w:val="en-AU"/>
              </w:rPr>
              <w:t xml:space="preserve"> and any further work will be announced in due course.</w:t>
            </w:r>
          </w:p>
        </w:tc>
        <w:tc>
          <w:tcPr>
            <w:tcW w:w="1247" w:type="dxa"/>
            <w:tcBorders>
              <w:bottom w:val="single" w:sz="4" w:space="0" w:color="4D7861" w:themeColor="accent2"/>
            </w:tcBorders>
            <w:shd w:val="clear" w:color="auto" w:fill="DBE4DF"/>
          </w:tcPr>
          <w:p w14:paraId="56DBD427" w14:textId="77777777" w:rsidR="003869E6" w:rsidRPr="00DD5FB7" w:rsidRDefault="003869E6" w:rsidP="002B3DB4">
            <w:pPr>
              <w:pStyle w:val="TableTextLeft"/>
              <w:rPr>
                <w:b/>
                <w:bCs/>
                <w:color w:val="000000" w:themeColor="text1"/>
              </w:rPr>
            </w:pPr>
          </w:p>
        </w:tc>
        <w:tc>
          <w:tcPr>
            <w:tcW w:w="1247" w:type="dxa"/>
            <w:tcBorders>
              <w:bottom w:val="single" w:sz="4" w:space="0" w:color="4D7861" w:themeColor="accent2"/>
            </w:tcBorders>
            <w:shd w:val="clear" w:color="auto" w:fill="DBE4DF"/>
          </w:tcPr>
          <w:p w14:paraId="4A66B1F6" w14:textId="77777777" w:rsidR="003869E6" w:rsidRPr="00DD5FB7" w:rsidRDefault="003869E6" w:rsidP="002B3DB4">
            <w:pPr>
              <w:pStyle w:val="TableTextLeft"/>
              <w:rPr>
                <w:b/>
                <w:bCs/>
                <w:color w:val="000000" w:themeColor="text1"/>
              </w:rPr>
            </w:pPr>
          </w:p>
        </w:tc>
        <w:tc>
          <w:tcPr>
            <w:tcW w:w="1247" w:type="dxa"/>
            <w:tcBorders>
              <w:bottom w:val="single" w:sz="4" w:space="0" w:color="4D7861" w:themeColor="accent2"/>
            </w:tcBorders>
            <w:shd w:val="clear" w:color="auto" w:fill="DBE4DF"/>
          </w:tcPr>
          <w:p w14:paraId="60C60361" w14:textId="77777777" w:rsidR="003869E6" w:rsidRPr="00DD5FB7" w:rsidRDefault="003869E6" w:rsidP="002B3DB4">
            <w:pPr>
              <w:pStyle w:val="TableTextLeft"/>
              <w:rPr>
                <w:b/>
                <w:bCs/>
                <w:color w:val="000000" w:themeColor="text1"/>
              </w:rPr>
            </w:pPr>
          </w:p>
        </w:tc>
        <w:tc>
          <w:tcPr>
            <w:tcW w:w="1247" w:type="dxa"/>
            <w:tcBorders>
              <w:bottom w:val="single" w:sz="4" w:space="0" w:color="4D7861" w:themeColor="accent2"/>
            </w:tcBorders>
            <w:shd w:val="clear" w:color="auto" w:fill="DBE4DF"/>
          </w:tcPr>
          <w:p w14:paraId="277C985A" w14:textId="77777777" w:rsidR="003869E6" w:rsidRPr="00DD5FB7" w:rsidRDefault="003869E6" w:rsidP="002B3DB4">
            <w:pPr>
              <w:pStyle w:val="TableTextLeft"/>
              <w:rPr>
                <w:b/>
                <w:bCs/>
                <w:color w:val="000000" w:themeColor="text1"/>
              </w:rPr>
            </w:pPr>
          </w:p>
        </w:tc>
        <w:tc>
          <w:tcPr>
            <w:tcW w:w="1247" w:type="dxa"/>
            <w:tcBorders>
              <w:bottom w:val="single" w:sz="4" w:space="0" w:color="4D7861" w:themeColor="accent2"/>
            </w:tcBorders>
            <w:shd w:val="clear" w:color="auto" w:fill="DBE4DF"/>
          </w:tcPr>
          <w:p w14:paraId="71ED6EB0" w14:textId="77777777" w:rsidR="003869E6" w:rsidRPr="00DD5FB7" w:rsidRDefault="003869E6" w:rsidP="002B3DB4">
            <w:pPr>
              <w:pStyle w:val="TableTextLeft"/>
              <w:rPr>
                <w:b/>
                <w:bCs/>
                <w:color w:val="000000" w:themeColor="text1"/>
              </w:rPr>
            </w:pPr>
          </w:p>
        </w:tc>
        <w:tc>
          <w:tcPr>
            <w:tcW w:w="1247" w:type="dxa"/>
            <w:tcBorders>
              <w:bottom w:val="single" w:sz="4" w:space="0" w:color="4D7861" w:themeColor="accent2"/>
            </w:tcBorders>
            <w:shd w:val="clear" w:color="auto" w:fill="EDF2EF"/>
          </w:tcPr>
          <w:p w14:paraId="3CBC4668" w14:textId="77777777" w:rsidR="003869E6" w:rsidRPr="00DD5FB7" w:rsidRDefault="003869E6" w:rsidP="002B3DB4">
            <w:pPr>
              <w:pStyle w:val="TableTextLeft"/>
              <w:rPr>
                <w:b/>
                <w:bCs/>
                <w:color w:val="000000" w:themeColor="text1"/>
              </w:rPr>
            </w:pPr>
          </w:p>
        </w:tc>
        <w:tc>
          <w:tcPr>
            <w:tcW w:w="1247" w:type="dxa"/>
            <w:tcBorders>
              <w:bottom w:val="single" w:sz="4" w:space="0" w:color="4D7861" w:themeColor="accent2"/>
            </w:tcBorders>
            <w:shd w:val="clear" w:color="auto" w:fill="EDF2EF"/>
          </w:tcPr>
          <w:p w14:paraId="1DE5CFFC" w14:textId="77777777" w:rsidR="003869E6" w:rsidRPr="00DD5FB7" w:rsidRDefault="003869E6" w:rsidP="002B3DB4">
            <w:pPr>
              <w:pStyle w:val="TableTextLeft"/>
              <w:rPr>
                <w:b/>
                <w:bCs/>
                <w:color w:val="000000" w:themeColor="text1"/>
              </w:rPr>
            </w:pPr>
          </w:p>
        </w:tc>
      </w:tr>
      <w:tr w:rsidR="00E6324E" w:rsidRPr="00AF43B7" w14:paraId="66DE1918" w14:textId="77777777" w:rsidTr="001B1F27">
        <w:trPr>
          <w:cantSplit/>
          <w:trHeight w:val="410"/>
        </w:trPr>
        <w:tc>
          <w:tcPr>
            <w:tcW w:w="794" w:type="dxa"/>
            <w:tcBorders>
              <w:top w:val="single" w:sz="4" w:space="0" w:color="4D7861" w:themeColor="accent2"/>
              <w:bottom w:val="single" w:sz="4" w:space="0" w:color="4D7861" w:themeColor="accent2"/>
            </w:tcBorders>
          </w:tcPr>
          <w:p w14:paraId="127FA99E" w14:textId="77777777" w:rsidR="003869E6" w:rsidRPr="00E7433A" w:rsidRDefault="003869E6" w:rsidP="00195B9B">
            <w:pPr>
              <w:pStyle w:val="TableLeadAgency"/>
            </w:pPr>
            <w:r w:rsidRPr="00E7433A">
              <w:lastRenderedPageBreak/>
              <w:t xml:space="preserve">TSY </w:t>
            </w:r>
          </w:p>
          <w:p w14:paraId="469AC2CD" w14:textId="77777777" w:rsidR="003869E6" w:rsidRDefault="003869E6" w:rsidP="00195B9B">
            <w:pPr>
              <w:pStyle w:val="TableSecondaryAgency"/>
            </w:pPr>
            <w:r>
              <w:t>ACCC</w:t>
            </w:r>
          </w:p>
          <w:p w14:paraId="3A30195A" w14:textId="77777777" w:rsidR="003869E6" w:rsidRPr="00E7433A" w:rsidRDefault="003869E6" w:rsidP="00195B9B">
            <w:pPr>
              <w:pStyle w:val="TableSecondaryAgency"/>
            </w:pPr>
            <w:r w:rsidRPr="00E7433A">
              <w:t>ASIC</w:t>
            </w:r>
          </w:p>
          <w:p w14:paraId="6249543B" w14:textId="77777777" w:rsidR="003869E6" w:rsidRPr="00E7433A" w:rsidRDefault="003869E6" w:rsidP="00195B9B">
            <w:pPr>
              <w:pStyle w:val="TableSecondaryAgency"/>
            </w:pPr>
            <w:r w:rsidRPr="00E7433A">
              <w:t>APRA</w:t>
            </w:r>
          </w:p>
          <w:p w14:paraId="323140AA" w14:textId="77777777" w:rsidR="003869E6" w:rsidRPr="00E7433A" w:rsidRDefault="003869E6" w:rsidP="00195B9B">
            <w:pPr>
              <w:pStyle w:val="TableSecondaryAgency"/>
              <w:rPr>
                <w:b/>
              </w:rPr>
            </w:pPr>
            <w:r w:rsidRPr="00E7433A">
              <w:t>RBA</w:t>
            </w:r>
            <w:r w:rsidRPr="00E7433A" w:rsidDel="00C65C4A">
              <w:rPr>
                <w:color w:val="0070C0"/>
              </w:rPr>
              <w:t xml:space="preserve"> </w:t>
            </w:r>
          </w:p>
        </w:tc>
        <w:tc>
          <w:tcPr>
            <w:tcW w:w="1304" w:type="dxa"/>
            <w:tcBorders>
              <w:top w:val="single" w:sz="4" w:space="0" w:color="4D7861" w:themeColor="accent2"/>
              <w:bottom w:val="single" w:sz="4" w:space="0" w:color="4D7861" w:themeColor="accent2"/>
            </w:tcBorders>
          </w:tcPr>
          <w:p w14:paraId="268A7C72" w14:textId="77777777" w:rsidR="003869E6" w:rsidRPr="00F91AB2" w:rsidRDefault="003869E6" w:rsidP="00195B9B">
            <w:pPr>
              <w:pStyle w:val="TableTextLeft"/>
            </w:pPr>
            <w:r w:rsidRPr="00301F93">
              <w:t>Banking, credit and lending</w:t>
            </w:r>
          </w:p>
        </w:tc>
        <w:tc>
          <w:tcPr>
            <w:tcW w:w="3175" w:type="dxa"/>
            <w:tcBorders>
              <w:bottom w:val="single" w:sz="4" w:space="0" w:color="4D7861" w:themeColor="accent2"/>
            </w:tcBorders>
          </w:tcPr>
          <w:p w14:paraId="29D4EE38" w14:textId="77777777" w:rsidR="003869E6" w:rsidRPr="001B1F27" w:rsidRDefault="003869E6" w:rsidP="001B1F27">
            <w:pPr>
              <w:pStyle w:val="TableLink"/>
            </w:pPr>
            <w:hyperlink r:id="rId103" w:history="1">
              <w:r w:rsidRPr="001B1F27">
                <w:rPr>
                  <w:rStyle w:val="Hyperlink"/>
                  <w:color w:val="5D779D" w:themeColor="accent3"/>
                  <w:u w:val="single"/>
                </w:rPr>
                <w:t>Council of Financial Regulators Review into small and medium sized banks</w:t>
              </w:r>
            </w:hyperlink>
          </w:p>
          <w:p w14:paraId="68C394C9" w14:textId="77777777" w:rsidR="003869E6" w:rsidRPr="000C4FD5" w:rsidRDefault="003869E6" w:rsidP="00195B9B">
            <w:pPr>
              <w:pStyle w:val="TableTextLeft"/>
            </w:pPr>
            <w:r>
              <w:t xml:space="preserve">On 6 August 2025, the Government accepted in‑principle 8 recommendations and welcomed all 9 commitments to action from regulators arising from the CFR Review into Small and Medium Sized Banks. It also committed to consult on Review proposals for enabling a lighter touch framework for very small banks. </w:t>
            </w:r>
          </w:p>
          <w:p w14:paraId="322FD6EF" w14:textId="249B4593" w:rsidR="003869E6" w:rsidRPr="00983D4A" w:rsidRDefault="003869E6" w:rsidP="00195B9B">
            <w:pPr>
              <w:pStyle w:val="TableTextLeft"/>
            </w:pPr>
            <w:r>
              <w:t xml:space="preserve">The recommendations and actions will improve proportionate regulation, improve, entry, exit, and scale, improve access to funding, and promote competition. </w:t>
            </w:r>
            <w:r w:rsidR="00033340">
              <w:t xml:space="preserve">The timing of next steps will be announced in due course. </w:t>
            </w:r>
          </w:p>
        </w:tc>
        <w:tc>
          <w:tcPr>
            <w:tcW w:w="1247" w:type="dxa"/>
            <w:tcBorders>
              <w:bottom w:val="single" w:sz="4" w:space="0" w:color="4D7861" w:themeColor="accent2"/>
            </w:tcBorders>
            <w:shd w:val="clear" w:color="auto" w:fill="DBE4DF"/>
          </w:tcPr>
          <w:p w14:paraId="70556896" w14:textId="39C7F8F2" w:rsidR="003869E6" w:rsidRPr="00F91AB2" w:rsidRDefault="003869E6" w:rsidP="00195B9B">
            <w:pPr>
              <w:pStyle w:val="TableTextLeft"/>
            </w:pPr>
          </w:p>
        </w:tc>
        <w:tc>
          <w:tcPr>
            <w:tcW w:w="1247" w:type="dxa"/>
            <w:tcBorders>
              <w:bottom w:val="single" w:sz="4" w:space="0" w:color="4D7861" w:themeColor="accent2"/>
            </w:tcBorders>
            <w:shd w:val="clear" w:color="auto" w:fill="DBE4DF"/>
          </w:tcPr>
          <w:p w14:paraId="179A3390" w14:textId="77777777" w:rsidR="003869E6" w:rsidRPr="00F91AB2" w:rsidRDefault="003869E6" w:rsidP="00195B9B">
            <w:pPr>
              <w:pStyle w:val="TableTextLeft"/>
            </w:pPr>
          </w:p>
        </w:tc>
        <w:tc>
          <w:tcPr>
            <w:tcW w:w="1247" w:type="dxa"/>
            <w:tcBorders>
              <w:bottom w:val="single" w:sz="4" w:space="0" w:color="4D7861" w:themeColor="accent2"/>
            </w:tcBorders>
            <w:shd w:val="clear" w:color="auto" w:fill="DBE4DF"/>
          </w:tcPr>
          <w:p w14:paraId="11B8D28A" w14:textId="77777777" w:rsidR="003869E6" w:rsidRPr="00F91AB2" w:rsidRDefault="003869E6" w:rsidP="00195B9B">
            <w:pPr>
              <w:pStyle w:val="TableTextLeft"/>
            </w:pPr>
          </w:p>
        </w:tc>
        <w:tc>
          <w:tcPr>
            <w:tcW w:w="1247" w:type="dxa"/>
            <w:tcBorders>
              <w:bottom w:val="single" w:sz="4" w:space="0" w:color="4D7861" w:themeColor="accent2"/>
            </w:tcBorders>
            <w:shd w:val="clear" w:color="auto" w:fill="DBE4DF"/>
          </w:tcPr>
          <w:p w14:paraId="7A71A696" w14:textId="77777777" w:rsidR="003869E6" w:rsidRPr="00F91AB2" w:rsidRDefault="003869E6" w:rsidP="00195B9B">
            <w:pPr>
              <w:pStyle w:val="TableTextLeft"/>
            </w:pPr>
          </w:p>
        </w:tc>
        <w:tc>
          <w:tcPr>
            <w:tcW w:w="1247" w:type="dxa"/>
            <w:tcBorders>
              <w:bottom w:val="single" w:sz="4" w:space="0" w:color="4D7861" w:themeColor="accent2"/>
            </w:tcBorders>
            <w:shd w:val="clear" w:color="auto" w:fill="DBE4DF"/>
          </w:tcPr>
          <w:p w14:paraId="7510BA01" w14:textId="77777777" w:rsidR="003869E6" w:rsidRPr="00F91AB2" w:rsidRDefault="003869E6" w:rsidP="00195B9B">
            <w:pPr>
              <w:pStyle w:val="TableTextLeft"/>
            </w:pPr>
          </w:p>
        </w:tc>
        <w:tc>
          <w:tcPr>
            <w:tcW w:w="1247" w:type="dxa"/>
            <w:tcBorders>
              <w:bottom w:val="single" w:sz="4" w:space="0" w:color="4D7861" w:themeColor="accent2"/>
            </w:tcBorders>
            <w:shd w:val="clear" w:color="auto" w:fill="EDF2EF"/>
          </w:tcPr>
          <w:p w14:paraId="1DBCBFC3" w14:textId="77777777" w:rsidR="003869E6" w:rsidRPr="00F91AB2" w:rsidRDefault="003869E6" w:rsidP="00195B9B">
            <w:pPr>
              <w:pStyle w:val="TableTextLeft"/>
            </w:pPr>
          </w:p>
        </w:tc>
        <w:tc>
          <w:tcPr>
            <w:tcW w:w="1247" w:type="dxa"/>
            <w:tcBorders>
              <w:bottom w:val="single" w:sz="4" w:space="0" w:color="4D7861" w:themeColor="accent2"/>
            </w:tcBorders>
            <w:shd w:val="clear" w:color="auto" w:fill="EDF2EF"/>
          </w:tcPr>
          <w:p w14:paraId="6D155801" w14:textId="77777777" w:rsidR="003869E6" w:rsidRPr="00F91AB2" w:rsidRDefault="003869E6" w:rsidP="00195B9B">
            <w:pPr>
              <w:pStyle w:val="TableTextLeft"/>
            </w:pPr>
          </w:p>
        </w:tc>
      </w:tr>
      <w:tr w:rsidR="00E6324E" w:rsidRPr="00AF43B7" w14:paraId="697D218F" w14:textId="77777777" w:rsidTr="73625B8F">
        <w:trPr>
          <w:cantSplit/>
          <w:trHeight w:val="410"/>
        </w:trPr>
        <w:tc>
          <w:tcPr>
            <w:tcW w:w="794" w:type="dxa"/>
            <w:tcBorders>
              <w:top w:val="single" w:sz="4" w:space="0" w:color="4D7861" w:themeColor="accent2"/>
              <w:bottom w:val="single" w:sz="4" w:space="0" w:color="4D7861" w:themeColor="accent2"/>
            </w:tcBorders>
          </w:tcPr>
          <w:p w14:paraId="71759BF0" w14:textId="77777777" w:rsidR="003869E6" w:rsidRDefault="003869E6" w:rsidP="00947AAD">
            <w:pPr>
              <w:pStyle w:val="TableLeadAgency"/>
            </w:pPr>
            <w:r>
              <w:t>TSY</w:t>
            </w:r>
          </w:p>
        </w:tc>
        <w:tc>
          <w:tcPr>
            <w:tcW w:w="1304" w:type="dxa"/>
            <w:tcBorders>
              <w:top w:val="single" w:sz="4" w:space="0" w:color="4D7861" w:themeColor="accent2"/>
              <w:bottom w:val="single" w:sz="4" w:space="0" w:color="4D7861" w:themeColor="accent2"/>
            </w:tcBorders>
          </w:tcPr>
          <w:p w14:paraId="47EC2772" w14:textId="77777777" w:rsidR="003869E6" w:rsidRDefault="003869E6" w:rsidP="00947AAD">
            <w:pPr>
              <w:pStyle w:val="TableTextLeft"/>
            </w:pPr>
            <w:r>
              <w:t>All</w:t>
            </w:r>
          </w:p>
        </w:tc>
        <w:tc>
          <w:tcPr>
            <w:tcW w:w="3175" w:type="dxa"/>
            <w:tcBorders>
              <w:top w:val="single" w:sz="4" w:space="0" w:color="4D7861" w:themeColor="accent2"/>
              <w:bottom w:val="single" w:sz="4" w:space="0" w:color="4D7861" w:themeColor="accent2"/>
            </w:tcBorders>
          </w:tcPr>
          <w:p w14:paraId="49B21190" w14:textId="6AC14390" w:rsidR="003869E6" w:rsidRPr="001B1F27" w:rsidRDefault="003869E6" w:rsidP="001B1F27">
            <w:pPr>
              <w:pStyle w:val="TableLink"/>
            </w:pPr>
            <w:hyperlink r:id="rId104" w:history="1">
              <w:r w:rsidRPr="001B1F27">
                <w:t>Financial Regulatory Assessment Authority (FRAA) review</w:t>
              </w:r>
            </w:hyperlink>
            <w:r w:rsidR="001B1F27" w:rsidRPr="00283753">
              <w:rPr>
                <w:szCs w:val="16"/>
                <w:u w:val="none"/>
              </w:rPr>
              <w:t xml:space="preserve"> </w:t>
            </w:r>
            <w:r w:rsidR="001B1F27" w:rsidRPr="00283753">
              <w:rPr>
                <w:rStyle w:val="NewInitiativeChar"/>
                <w:b/>
                <w:bCs/>
                <w:sz w:val="16"/>
                <w:szCs w:val="16"/>
                <w:u w:val="none"/>
              </w:rPr>
              <w:t>(new)</w:t>
            </w:r>
          </w:p>
          <w:p w14:paraId="4F589049" w14:textId="6C81715C" w:rsidR="003869E6" w:rsidRPr="004E7617" w:rsidRDefault="003869E6" w:rsidP="001B1F27">
            <w:pPr>
              <w:pStyle w:val="TableTextLeft"/>
            </w:pPr>
            <w:r w:rsidRPr="0056150E">
              <w:t>The FRAA will review the effectiveness and capability of ASIC and APRA. The Reviews will be completed by June 2028. In the 2023</w:t>
            </w:r>
            <w:r w:rsidR="003D486F">
              <w:noBreakHyphen/>
            </w:r>
            <w:r w:rsidRPr="0056150E">
              <w:t xml:space="preserve">24 Budget, the </w:t>
            </w:r>
            <w:r>
              <w:t>g</w:t>
            </w:r>
            <w:r w:rsidRPr="0056150E">
              <w:t xml:space="preserve">overnment announced its intention to reduce the frequency of the FRAA review cycle from a biennial basis to a </w:t>
            </w:r>
            <w:r>
              <w:t>5</w:t>
            </w:r>
            <w:r w:rsidRPr="0056150E">
              <w:t xml:space="preserve"> yearly cycle. Amendments to the FRAA Act to reflect this revised frequency </w:t>
            </w:r>
            <w:r w:rsidR="00AE38E8">
              <w:t>have been</w:t>
            </w:r>
            <w:r w:rsidRPr="0056150E">
              <w:t xml:space="preserve"> reintroduced </w:t>
            </w:r>
            <w:r w:rsidR="00735695">
              <w:t>in</w:t>
            </w:r>
            <w:r w:rsidRPr="0056150E">
              <w:t>to Parliament</w:t>
            </w:r>
            <w:r w:rsidR="00E8498C">
              <w:t xml:space="preserve"> on</w:t>
            </w:r>
            <w:r w:rsidR="001010D5">
              <w:t xml:space="preserve"> 4 September 2025</w:t>
            </w:r>
            <w:r w:rsidRPr="0056150E">
              <w:t>.</w:t>
            </w:r>
          </w:p>
        </w:tc>
        <w:tc>
          <w:tcPr>
            <w:tcW w:w="1247" w:type="dxa"/>
            <w:tcBorders>
              <w:top w:val="single" w:sz="4" w:space="0" w:color="4D7861" w:themeColor="accent2"/>
              <w:bottom w:val="single" w:sz="4" w:space="0" w:color="4D7861" w:themeColor="accent2"/>
            </w:tcBorders>
            <w:shd w:val="clear" w:color="auto" w:fill="DBE4DF"/>
          </w:tcPr>
          <w:p w14:paraId="13A42B98" w14:textId="77777777" w:rsidR="003869E6" w:rsidRDefault="003869E6" w:rsidP="00947AAD">
            <w:pPr>
              <w:pStyle w:val="TableTextLeft"/>
            </w:pPr>
          </w:p>
        </w:tc>
        <w:tc>
          <w:tcPr>
            <w:tcW w:w="1247" w:type="dxa"/>
            <w:tcBorders>
              <w:top w:val="single" w:sz="4" w:space="0" w:color="4D7861" w:themeColor="accent2"/>
              <w:bottom w:val="single" w:sz="4" w:space="0" w:color="4D7861" w:themeColor="accent2"/>
            </w:tcBorders>
            <w:shd w:val="clear" w:color="auto" w:fill="DBE4DF"/>
          </w:tcPr>
          <w:p w14:paraId="1C292F5A" w14:textId="77777777" w:rsidR="003869E6" w:rsidRPr="00546B01" w:rsidDel="00F2023F" w:rsidRDefault="003869E6" w:rsidP="00947AAD">
            <w:pPr>
              <w:pStyle w:val="TableTextLeft"/>
            </w:pPr>
            <w:r>
              <w:t>FRAA review commences (subject to passage of legislation)</w:t>
            </w:r>
          </w:p>
        </w:tc>
        <w:tc>
          <w:tcPr>
            <w:tcW w:w="1247" w:type="dxa"/>
            <w:tcBorders>
              <w:top w:val="single" w:sz="4" w:space="0" w:color="4D7861" w:themeColor="accent2"/>
              <w:bottom w:val="single" w:sz="4" w:space="0" w:color="4D7861" w:themeColor="accent2"/>
            </w:tcBorders>
            <w:shd w:val="clear" w:color="auto" w:fill="DBE4DF"/>
          </w:tcPr>
          <w:p w14:paraId="730A4DF5" w14:textId="77777777" w:rsidR="003869E6" w:rsidRPr="00546B01" w:rsidRDefault="003869E6" w:rsidP="00947AAD">
            <w:pPr>
              <w:pStyle w:val="TableTextLeft"/>
            </w:pPr>
          </w:p>
        </w:tc>
        <w:tc>
          <w:tcPr>
            <w:tcW w:w="1247" w:type="dxa"/>
            <w:tcBorders>
              <w:top w:val="single" w:sz="4" w:space="0" w:color="4D7861" w:themeColor="accent2"/>
              <w:bottom w:val="single" w:sz="4" w:space="0" w:color="4D7861" w:themeColor="accent2"/>
            </w:tcBorders>
            <w:shd w:val="clear" w:color="auto" w:fill="DBE4DF"/>
          </w:tcPr>
          <w:p w14:paraId="6D5DAE08" w14:textId="77777777" w:rsidR="003869E6" w:rsidRPr="00546B01" w:rsidRDefault="003869E6" w:rsidP="00947AAD">
            <w:pPr>
              <w:pStyle w:val="TableTextLeft"/>
            </w:pPr>
          </w:p>
        </w:tc>
        <w:tc>
          <w:tcPr>
            <w:tcW w:w="1247" w:type="dxa"/>
            <w:tcBorders>
              <w:top w:val="single" w:sz="4" w:space="0" w:color="4D7861" w:themeColor="accent2"/>
              <w:bottom w:val="single" w:sz="4" w:space="0" w:color="4D7861" w:themeColor="accent2"/>
            </w:tcBorders>
            <w:shd w:val="clear" w:color="auto" w:fill="DBE4DF"/>
          </w:tcPr>
          <w:p w14:paraId="3DEA56D4" w14:textId="77777777" w:rsidR="003869E6" w:rsidRPr="00546B01" w:rsidDel="00F2023F" w:rsidRDefault="003869E6" w:rsidP="00947AAD">
            <w:pPr>
              <w:pStyle w:val="TableTextLeft"/>
            </w:pPr>
          </w:p>
        </w:tc>
        <w:tc>
          <w:tcPr>
            <w:tcW w:w="1247" w:type="dxa"/>
            <w:tcBorders>
              <w:top w:val="single" w:sz="4" w:space="0" w:color="4D7861" w:themeColor="accent2"/>
              <w:bottom w:val="single" w:sz="4" w:space="0" w:color="4D7861" w:themeColor="accent2"/>
            </w:tcBorders>
            <w:shd w:val="clear" w:color="auto" w:fill="EDF2EF"/>
          </w:tcPr>
          <w:p w14:paraId="6211C879" w14:textId="77777777" w:rsidR="003869E6" w:rsidRPr="00546B01" w:rsidRDefault="003869E6" w:rsidP="00947AAD">
            <w:pPr>
              <w:pStyle w:val="TableTextLeft"/>
            </w:pPr>
          </w:p>
        </w:tc>
        <w:tc>
          <w:tcPr>
            <w:tcW w:w="1247" w:type="dxa"/>
            <w:tcBorders>
              <w:top w:val="single" w:sz="4" w:space="0" w:color="4D7861" w:themeColor="accent2"/>
              <w:bottom w:val="single" w:sz="4" w:space="0" w:color="4D7861" w:themeColor="accent2"/>
            </w:tcBorders>
            <w:shd w:val="clear" w:color="auto" w:fill="EDF2EF"/>
          </w:tcPr>
          <w:p w14:paraId="5F44B268" w14:textId="77777777" w:rsidR="003869E6" w:rsidRPr="00546B01" w:rsidRDefault="003869E6" w:rsidP="00947AAD">
            <w:pPr>
              <w:pStyle w:val="TableTextLeft"/>
            </w:pPr>
          </w:p>
        </w:tc>
      </w:tr>
      <w:tr w:rsidR="00E6324E" w:rsidRPr="00AF43B7" w14:paraId="3BE92EA6" w14:textId="77777777" w:rsidTr="73625B8F">
        <w:trPr>
          <w:cantSplit/>
          <w:trHeight w:val="410"/>
        </w:trPr>
        <w:tc>
          <w:tcPr>
            <w:tcW w:w="794" w:type="dxa"/>
            <w:tcBorders>
              <w:top w:val="single" w:sz="4" w:space="0" w:color="4D7861" w:themeColor="accent2"/>
              <w:bottom w:val="single" w:sz="4" w:space="0" w:color="4D7861" w:themeColor="accent2"/>
            </w:tcBorders>
          </w:tcPr>
          <w:p w14:paraId="007D6CBB" w14:textId="77777777" w:rsidR="003869E6" w:rsidRPr="00E7433A" w:rsidRDefault="003869E6" w:rsidP="00195B9B">
            <w:pPr>
              <w:pStyle w:val="TableLeadAgency"/>
            </w:pPr>
            <w:r w:rsidRPr="00E7433A">
              <w:t>APRA</w:t>
            </w:r>
          </w:p>
        </w:tc>
        <w:tc>
          <w:tcPr>
            <w:tcW w:w="1304" w:type="dxa"/>
            <w:tcBorders>
              <w:top w:val="single" w:sz="4" w:space="0" w:color="4D7861" w:themeColor="accent2"/>
              <w:bottom w:val="single" w:sz="4" w:space="0" w:color="4D7861" w:themeColor="accent2"/>
            </w:tcBorders>
          </w:tcPr>
          <w:p w14:paraId="66C0E61F" w14:textId="77777777" w:rsidR="003869E6" w:rsidRPr="00F83E7F" w:rsidRDefault="003869E6" w:rsidP="00195B9B">
            <w:pPr>
              <w:pStyle w:val="TableTextLeft"/>
            </w:pPr>
            <w:r w:rsidRPr="000C4FD5">
              <w:t>Insurance and reinsurance</w:t>
            </w:r>
          </w:p>
        </w:tc>
        <w:tc>
          <w:tcPr>
            <w:tcW w:w="3175" w:type="dxa"/>
            <w:tcBorders>
              <w:top w:val="single" w:sz="4" w:space="0" w:color="4D7861" w:themeColor="accent2"/>
              <w:bottom w:val="single" w:sz="4" w:space="0" w:color="4D7861" w:themeColor="accent2"/>
            </w:tcBorders>
          </w:tcPr>
          <w:p w14:paraId="11492934" w14:textId="77777777" w:rsidR="003869E6" w:rsidRPr="004E1B89" w:rsidRDefault="003869E6" w:rsidP="00195B9B">
            <w:pPr>
              <w:pStyle w:val="TableTextLeft"/>
              <w:rPr>
                <w:b/>
                <w:bCs/>
              </w:rPr>
            </w:pPr>
            <w:r w:rsidRPr="004E1B89">
              <w:rPr>
                <w:b/>
                <w:bCs/>
              </w:rPr>
              <w:t xml:space="preserve">General </w:t>
            </w:r>
            <w:r>
              <w:rPr>
                <w:b/>
                <w:bCs/>
              </w:rPr>
              <w:t>i</w:t>
            </w:r>
            <w:r w:rsidRPr="004E1B89">
              <w:rPr>
                <w:b/>
                <w:bCs/>
              </w:rPr>
              <w:t xml:space="preserve">nsurance </w:t>
            </w:r>
            <w:r>
              <w:rPr>
                <w:b/>
                <w:bCs/>
              </w:rPr>
              <w:t>r</w:t>
            </w:r>
            <w:r w:rsidRPr="004E1B89">
              <w:rPr>
                <w:b/>
                <w:bCs/>
              </w:rPr>
              <w:t>einsurance: Review reinsurance prudential requirements</w:t>
            </w:r>
          </w:p>
          <w:p w14:paraId="3EBE6B16" w14:textId="77777777" w:rsidR="003869E6" w:rsidRPr="00983D4A" w:rsidRDefault="003869E6" w:rsidP="00195B9B">
            <w:pPr>
              <w:pStyle w:val="TableTextLeft"/>
            </w:pPr>
            <w:r w:rsidRPr="00FE5E95">
              <w:t>APRA will consult on changes to reinsurance settings for general insurance aimed at promoting access to alternative reinsurance.</w:t>
            </w:r>
            <w:r w:rsidRPr="007E1AA3">
              <w:t xml:space="preserve"> </w:t>
            </w:r>
          </w:p>
        </w:tc>
        <w:tc>
          <w:tcPr>
            <w:tcW w:w="1247" w:type="dxa"/>
            <w:tcBorders>
              <w:top w:val="single" w:sz="4" w:space="0" w:color="4D7861" w:themeColor="accent2"/>
              <w:bottom w:val="single" w:sz="4" w:space="0" w:color="4D7861" w:themeColor="accent2"/>
            </w:tcBorders>
            <w:shd w:val="clear" w:color="auto" w:fill="DBE4DF"/>
          </w:tcPr>
          <w:p w14:paraId="2A1EF180" w14:textId="77777777" w:rsidR="003869E6" w:rsidRPr="00BF4B8B" w:rsidRDefault="003869E6" w:rsidP="00195B9B">
            <w:pPr>
              <w:pStyle w:val="TableTextLeft"/>
            </w:pPr>
            <w:r w:rsidRPr="00301F93">
              <w:t>Consultation</w:t>
            </w:r>
            <w:r>
              <w:t xml:space="preserve"> – draft standards and guidance^</w:t>
            </w:r>
          </w:p>
        </w:tc>
        <w:tc>
          <w:tcPr>
            <w:tcW w:w="1247" w:type="dxa"/>
            <w:tcBorders>
              <w:top w:val="single" w:sz="4" w:space="0" w:color="4D7861" w:themeColor="accent2"/>
              <w:bottom w:val="single" w:sz="4" w:space="0" w:color="4D7861" w:themeColor="accent2"/>
            </w:tcBorders>
            <w:shd w:val="clear" w:color="auto" w:fill="DBE4DF"/>
          </w:tcPr>
          <w:p w14:paraId="0023926C" w14:textId="77777777" w:rsidR="003869E6" w:rsidRPr="00BF4B8B"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DBE4DF"/>
          </w:tcPr>
          <w:p w14:paraId="6FB4E152" w14:textId="77777777" w:rsidR="003869E6" w:rsidRPr="00BF4B8B" w:rsidRDefault="003869E6" w:rsidP="00195B9B">
            <w:pPr>
              <w:pStyle w:val="TableTextLeft"/>
            </w:pPr>
            <w:r>
              <w:t>Release final standard and guidance^</w:t>
            </w:r>
          </w:p>
        </w:tc>
        <w:tc>
          <w:tcPr>
            <w:tcW w:w="1247" w:type="dxa"/>
            <w:tcBorders>
              <w:top w:val="single" w:sz="4" w:space="0" w:color="4D7861" w:themeColor="accent2"/>
              <w:bottom w:val="single" w:sz="4" w:space="0" w:color="4D7861" w:themeColor="accent2"/>
            </w:tcBorders>
            <w:shd w:val="clear" w:color="auto" w:fill="DBE4DF"/>
          </w:tcPr>
          <w:p w14:paraId="0934E774" w14:textId="77777777" w:rsidR="003869E6" w:rsidRPr="00BF4B8B"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DBE4DF"/>
          </w:tcPr>
          <w:p w14:paraId="4D9FF4C7" w14:textId="77777777" w:rsidR="003869E6" w:rsidRPr="00BF4B8B"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EDF2EF"/>
          </w:tcPr>
          <w:p w14:paraId="0C7E5382" w14:textId="77777777" w:rsidR="003869E6" w:rsidRPr="00BF4B8B"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EDF2EF"/>
          </w:tcPr>
          <w:p w14:paraId="65565434" w14:textId="77777777" w:rsidR="003869E6" w:rsidRPr="00BF4B8B" w:rsidRDefault="003869E6" w:rsidP="00195B9B">
            <w:pPr>
              <w:pStyle w:val="TableTextLeft"/>
            </w:pPr>
          </w:p>
        </w:tc>
      </w:tr>
      <w:tr w:rsidR="00E6324E" w:rsidRPr="00AF43B7" w14:paraId="02BA69E3" w14:textId="77777777" w:rsidTr="73625B8F">
        <w:trPr>
          <w:cantSplit/>
          <w:trHeight w:val="410"/>
        </w:trPr>
        <w:tc>
          <w:tcPr>
            <w:tcW w:w="794" w:type="dxa"/>
            <w:tcBorders>
              <w:top w:val="single" w:sz="4" w:space="0" w:color="4D7861" w:themeColor="accent2"/>
              <w:bottom w:val="single" w:sz="4" w:space="0" w:color="4D7861" w:themeColor="accent2"/>
            </w:tcBorders>
          </w:tcPr>
          <w:p w14:paraId="7BAF7563" w14:textId="77777777" w:rsidR="003869E6" w:rsidRPr="00E7433A" w:rsidRDefault="003869E6" w:rsidP="00195B9B">
            <w:pPr>
              <w:pStyle w:val="TableLeadAgency"/>
            </w:pPr>
            <w:r w:rsidRPr="00E7433A">
              <w:lastRenderedPageBreak/>
              <w:t>APRA</w:t>
            </w:r>
          </w:p>
        </w:tc>
        <w:tc>
          <w:tcPr>
            <w:tcW w:w="1304" w:type="dxa"/>
            <w:tcBorders>
              <w:top w:val="single" w:sz="4" w:space="0" w:color="4D7861" w:themeColor="accent2"/>
              <w:bottom w:val="single" w:sz="4" w:space="0" w:color="4D7861" w:themeColor="accent2"/>
            </w:tcBorders>
          </w:tcPr>
          <w:p w14:paraId="15374410" w14:textId="77777777" w:rsidR="003869E6" w:rsidRPr="00301F93" w:rsidRDefault="003869E6" w:rsidP="00195B9B">
            <w:pPr>
              <w:pStyle w:val="TableTextLeft"/>
            </w:pPr>
            <w:r w:rsidRPr="00301F93">
              <w:t>Banking, credit and lending</w:t>
            </w:r>
          </w:p>
          <w:p w14:paraId="043ADF46" w14:textId="77777777" w:rsidR="003869E6" w:rsidRPr="00301F93" w:rsidRDefault="003869E6" w:rsidP="00195B9B">
            <w:pPr>
              <w:pStyle w:val="TableTextLeft"/>
            </w:pPr>
            <w:r w:rsidRPr="00301F93">
              <w:t>Insurance and reinsurance</w:t>
            </w:r>
          </w:p>
          <w:p w14:paraId="61944284" w14:textId="77777777" w:rsidR="003869E6" w:rsidRPr="00F83E7F" w:rsidRDefault="003869E6" w:rsidP="00195B9B">
            <w:pPr>
              <w:pStyle w:val="TableTextLeft"/>
            </w:pPr>
            <w:r w:rsidRPr="00301F93">
              <w:t>Superannuation and retirement income</w:t>
            </w:r>
          </w:p>
        </w:tc>
        <w:tc>
          <w:tcPr>
            <w:tcW w:w="3175" w:type="dxa"/>
            <w:tcBorders>
              <w:top w:val="single" w:sz="4" w:space="0" w:color="4D7861" w:themeColor="accent2"/>
              <w:bottom w:val="single" w:sz="4" w:space="0" w:color="4D7861" w:themeColor="accent2"/>
            </w:tcBorders>
          </w:tcPr>
          <w:p w14:paraId="0FC8A3BD" w14:textId="77777777" w:rsidR="003869E6" w:rsidRPr="005F6606" w:rsidRDefault="003869E6" w:rsidP="00195B9B">
            <w:pPr>
              <w:pStyle w:val="TableTextLeft"/>
              <w:rPr>
                <w:b/>
                <w:bCs/>
              </w:rPr>
            </w:pPr>
            <w:r w:rsidRPr="005F6606">
              <w:rPr>
                <w:b/>
                <w:bCs/>
              </w:rPr>
              <w:t>Governance</w:t>
            </w:r>
          </w:p>
          <w:p w14:paraId="1F3E3EB6" w14:textId="68B7ED35" w:rsidR="003869E6" w:rsidRDefault="003869E6" w:rsidP="00195B9B">
            <w:pPr>
              <w:pStyle w:val="TableTextLeft"/>
            </w:pPr>
            <w:r w:rsidRPr="009A3724">
              <w:t>APRA will conduct a broad review of governance requirements</w:t>
            </w:r>
            <w:r>
              <w:t xml:space="preserve"> </w:t>
            </w:r>
            <w:r w:rsidRPr="009A3724">
              <w:t xml:space="preserve">to ensure that the prudential framework remains fit </w:t>
            </w:r>
            <w:r w:rsidR="003D486F">
              <w:noBreakHyphen/>
            </w:r>
            <w:r w:rsidRPr="009A3724">
              <w:t xml:space="preserve">for </w:t>
            </w:r>
            <w:r w:rsidR="003D486F">
              <w:noBreakHyphen/>
            </w:r>
            <w:r w:rsidRPr="009A3724">
              <w:t>purpose</w:t>
            </w:r>
            <w:r>
              <w:t>. The review will include</w:t>
            </w:r>
            <w:r w:rsidRPr="009A3724">
              <w:t xml:space="preserve"> those </w:t>
            </w:r>
            <w:r>
              <w:t xml:space="preserve">requirements </w:t>
            </w:r>
            <w:r w:rsidRPr="009A3724">
              <w:t>set out in</w:t>
            </w:r>
            <w:r>
              <w:t>:</w:t>
            </w:r>
            <w:r w:rsidRPr="009A3724">
              <w:t xml:space="preserve"> </w:t>
            </w:r>
          </w:p>
          <w:p w14:paraId="31F896AC" w14:textId="77777777" w:rsidR="003869E6" w:rsidRDefault="003869E6" w:rsidP="00195B9B">
            <w:pPr>
              <w:pStyle w:val="TableTextBullet"/>
              <w:ind w:left="182" w:hanging="182"/>
            </w:pPr>
            <w:r w:rsidRPr="009A3724">
              <w:t>Prudential Standard CPS 510 Governance (CPS 510)</w:t>
            </w:r>
          </w:p>
          <w:p w14:paraId="28B9140F" w14:textId="77777777" w:rsidR="003869E6" w:rsidRDefault="003869E6" w:rsidP="00195B9B">
            <w:pPr>
              <w:pStyle w:val="TableTextBullet"/>
              <w:ind w:left="182" w:hanging="182"/>
            </w:pPr>
            <w:r w:rsidRPr="009A3724">
              <w:t xml:space="preserve">Prudential Standard SPS 510 Governance (SPS 510) </w:t>
            </w:r>
          </w:p>
          <w:p w14:paraId="5F43598A" w14:textId="77777777" w:rsidR="003869E6" w:rsidRDefault="003869E6" w:rsidP="00195B9B">
            <w:pPr>
              <w:pStyle w:val="TableTextBullet"/>
              <w:ind w:left="182" w:hanging="182"/>
            </w:pPr>
            <w:r w:rsidRPr="009A3724">
              <w:t>Prudential Standard CPS 520 Fit and Proper (CPS 520)</w:t>
            </w:r>
          </w:p>
          <w:p w14:paraId="35CEF806" w14:textId="77777777" w:rsidR="003869E6" w:rsidRDefault="003869E6" w:rsidP="00195B9B">
            <w:pPr>
              <w:pStyle w:val="TableTextBullet"/>
              <w:ind w:left="182" w:hanging="182"/>
            </w:pPr>
            <w:r w:rsidRPr="009A3724">
              <w:t>Prudential Standard SPS 520 Fit and Proper (SPS 520)</w:t>
            </w:r>
          </w:p>
          <w:p w14:paraId="600DBF71" w14:textId="77777777" w:rsidR="003869E6" w:rsidRPr="00AB3549" w:rsidRDefault="003869E6" w:rsidP="00996F86">
            <w:pPr>
              <w:pStyle w:val="TableTextBullet"/>
              <w:ind w:left="182" w:hanging="182"/>
            </w:pPr>
            <w:r>
              <w:t>Prudential Standard SPS 521 Conflicts of Interest (SPS 521</w:t>
            </w:r>
            <w:r w:rsidRPr="009A3724">
              <w:t>)</w:t>
            </w:r>
            <w:r>
              <w:t>.</w:t>
            </w:r>
            <w:r w:rsidRPr="008D4FA4">
              <w:t xml:space="preserve"> </w:t>
            </w:r>
          </w:p>
        </w:tc>
        <w:tc>
          <w:tcPr>
            <w:tcW w:w="1247" w:type="dxa"/>
            <w:tcBorders>
              <w:top w:val="single" w:sz="4" w:space="0" w:color="4D7861" w:themeColor="accent2"/>
              <w:bottom w:val="single" w:sz="4" w:space="0" w:color="4D7861" w:themeColor="accent2"/>
            </w:tcBorders>
            <w:shd w:val="clear" w:color="auto" w:fill="DBE4DF"/>
          </w:tcPr>
          <w:p w14:paraId="0A7633E9" w14:textId="77777777" w:rsidR="003869E6" w:rsidRPr="00F91AB2"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DBE4DF"/>
          </w:tcPr>
          <w:p w14:paraId="73B22DA9" w14:textId="77777777" w:rsidR="003869E6" w:rsidRPr="00F91AB2"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DBE4DF"/>
          </w:tcPr>
          <w:p w14:paraId="158E9931" w14:textId="77777777" w:rsidR="003869E6" w:rsidRPr="00F91AB2" w:rsidRDefault="003869E6" w:rsidP="00195B9B">
            <w:pPr>
              <w:pStyle w:val="TableTextLeft"/>
            </w:pPr>
            <w:r w:rsidRPr="00301F93">
              <w:t xml:space="preserve">Consultation </w:t>
            </w:r>
            <w:r>
              <w:t xml:space="preserve">– draft standards and guidance^ </w:t>
            </w:r>
          </w:p>
        </w:tc>
        <w:tc>
          <w:tcPr>
            <w:tcW w:w="1247" w:type="dxa"/>
            <w:tcBorders>
              <w:top w:val="single" w:sz="4" w:space="0" w:color="4D7861" w:themeColor="accent2"/>
              <w:bottom w:val="single" w:sz="4" w:space="0" w:color="4D7861" w:themeColor="accent2"/>
            </w:tcBorders>
            <w:shd w:val="clear" w:color="auto" w:fill="DBE4DF"/>
          </w:tcPr>
          <w:p w14:paraId="1A97BCC0" w14:textId="77777777" w:rsidR="003869E6" w:rsidRPr="00F91AB2"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DBE4DF"/>
          </w:tcPr>
          <w:p w14:paraId="4A30E452" w14:textId="77777777" w:rsidR="003869E6" w:rsidRPr="00F91AB2"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EDF2EF"/>
          </w:tcPr>
          <w:p w14:paraId="50B3FE12" w14:textId="77777777" w:rsidR="003869E6" w:rsidRPr="00F91AB2" w:rsidRDefault="003869E6" w:rsidP="00195B9B">
            <w:pPr>
              <w:pStyle w:val="TableTextLeft"/>
            </w:pPr>
            <w:r>
              <w:t>Release final requirements*</w:t>
            </w:r>
          </w:p>
        </w:tc>
        <w:tc>
          <w:tcPr>
            <w:tcW w:w="1247" w:type="dxa"/>
            <w:tcBorders>
              <w:top w:val="single" w:sz="4" w:space="0" w:color="4D7861" w:themeColor="accent2"/>
              <w:bottom w:val="single" w:sz="4" w:space="0" w:color="4D7861" w:themeColor="accent2"/>
            </w:tcBorders>
            <w:shd w:val="clear" w:color="auto" w:fill="EDF2EF"/>
          </w:tcPr>
          <w:p w14:paraId="2426E20A" w14:textId="77777777" w:rsidR="003869E6" w:rsidRPr="00F91AB2" w:rsidRDefault="003869E6" w:rsidP="00195B9B">
            <w:pPr>
              <w:pStyle w:val="TableTextLeft"/>
            </w:pPr>
          </w:p>
        </w:tc>
      </w:tr>
      <w:tr w:rsidR="00E6324E" w:rsidRPr="00AF43B7" w14:paraId="534A828D" w14:textId="77777777" w:rsidTr="73625B8F">
        <w:trPr>
          <w:cantSplit/>
          <w:trHeight w:val="410"/>
        </w:trPr>
        <w:tc>
          <w:tcPr>
            <w:tcW w:w="794" w:type="dxa"/>
            <w:tcBorders>
              <w:top w:val="single" w:sz="4" w:space="0" w:color="4D7861" w:themeColor="accent2"/>
              <w:bottom w:val="single" w:sz="4" w:space="0" w:color="4D7861" w:themeColor="accent2"/>
            </w:tcBorders>
          </w:tcPr>
          <w:p w14:paraId="447CCB2F" w14:textId="77777777" w:rsidR="003869E6" w:rsidRPr="00E7433A" w:rsidRDefault="003869E6" w:rsidP="00195B9B">
            <w:pPr>
              <w:pStyle w:val="TableLeadAgency"/>
            </w:pPr>
            <w:r w:rsidRPr="00E7433A">
              <w:t>ACCC</w:t>
            </w:r>
          </w:p>
        </w:tc>
        <w:tc>
          <w:tcPr>
            <w:tcW w:w="1304" w:type="dxa"/>
            <w:tcBorders>
              <w:top w:val="single" w:sz="4" w:space="0" w:color="4D7861" w:themeColor="accent2"/>
              <w:bottom w:val="single" w:sz="4" w:space="0" w:color="4D7861" w:themeColor="accent2"/>
            </w:tcBorders>
          </w:tcPr>
          <w:p w14:paraId="028B99E1" w14:textId="77777777" w:rsidR="003869E6" w:rsidRPr="00F83E7F" w:rsidRDefault="003869E6" w:rsidP="00195B9B">
            <w:pPr>
              <w:pStyle w:val="TableTextLeft"/>
            </w:pPr>
            <w:r w:rsidRPr="000C4FD5">
              <w:t>Insurance and reinsurance</w:t>
            </w:r>
          </w:p>
        </w:tc>
        <w:tc>
          <w:tcPr>
            <w:tcW w:w="3175" w:type="dxa"/>
            <w:tcBorders>
              <w:top w:val="single" w:sz="4" w:space="0" w:color="4D7861" w:themeColor="accent2"/>
              <w:bottom w:val="single" w:sz="4" w:space="0" w:color="4D7861" w:themeColor="accent2"/>
            </w:tcBorders>
          </w:tcPr>
          <w:p w14:paraId="409B0203" w14:textId="77777777" w:rsidR="003869E6" w:rsidRPr="001B1F27" w:rsidRDefault="003869E6" w:rsidP="001B1F27">
            <w:pPr>
              <w:pStyle w:val="TableLink"/>
            </w:pPr>
            <w:hyperlink r:id="rId105" w:history="1">
              <w:r w:rsidRPr="001B1F27">
                <w:rPr>
                  <w:rStyle w:val="Hyperlink"/>
                  <w:color w:val="5D779D" w:themeColor="accent3"/>
                  <w:u w:val="single"/>
                </w:rPr>
                <w:t>Insurance monitoring</w:t>
              </w:r>
            </w:hyperlink>
          </w:p>
          <w:p w14:paraId="15A90C8E" w14:textId="77777777" w:rsidR="003869E6" w:rsidRPr="000C4FD5" w:rsidRDefault="003869E6" w:rsidP="00195B9B">
            <w:pPr>
              <w:pStyle w:val="TableTextLeft"/>
            </w:pPr>
            <w:r w:rsidRPr="000C4FD5">
              <w:t>The ACCC is monitoring the prices, costs and profits of home, contents, strata, and certain commercial insurance policies, before and after the introduction of the cyclone reinsurance pool.</w:t>
            </w:r>
          </w:p>
          <w:p w14:paraId="11535771" w14:textId="77777777" w:rsidR="003869E6" w:rsidRPr="00983D4A" w:rsidRDefault="003869E6" w:rsidP="00195B9B">
            <w:pPr>
              <w:pStyle w:val="TableTextLeft"/>
            </w:pPr>
            <w:r w:rsidRPr="000C4FD5">
              <w:t>The</w:t>
            </w:r>
            <w:r w:rsidRPr="009A3724">
              <w:t xml:space="preserve"> ACCC is required to report at least once each calendar year until 30</w:t>
            </w:r>
            <w:r>
              <w:t> </w:t>
            </w:r>
            <w:r w:rsidRPr="009A3724">
              <w:t>June</w:t>
            </w:r>
            <w:r>
              <w:t> </w:t>
            </w:r>
            <w:r w:rsidRPr="009A3724">
              <w:t>2026.</w:t>
            </w:r>
            <w:r>
              <w:rPr>
                <w:rFonts w:cs="Calibri Light"/>
                <w:color w:val="00B050"/>
                <w:szCs w:val="16"/>
              </w:rPr>
              <w:t xml:space="preserve"> </w:t>
            </w:r>
          </w:p>
        </w:tc>
        <w:tc>
          <w:tcPr>
            <w:tcW w:w="1247" w:type="dxa"/>
            <w:tcBorders>
              <w:top w:val="single" w:sz="4" w:space="0" w:color="4D7861" w:themeColor="accent2"/>
              <w:bottom w:val="single" w:sz="4" w:space="0" w:color="4D7861" w:themeColor="accent2"/>
            </w:tcBorders>
            <w:shd w:val="clear" w:color="auto" w:fill="DBE4DF"/>
          </w:tcPr>
          <w:p w14:paraId="454E31D6" w14:textId="77777777" w:rsidR="003869E6" w:rsidRPr="00BF4B8B"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DBE4DF"/>
          </w:tcPr>
          <w:p w14:paraId="63DAC9E3" w14:textId="77777777" w:rsidR="003869E6" w:rsidRPr="00BF4B8B"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DBE4DF"/>
          </w:tcPr>
          <w:p w14:paraId="5B7FFFED" w14:textId="77777777" w:rsidR="003869E6" w:rsidRPr="00BF4B8B" w:rsidRDefault="003869E6" w:rsidP="00195B9B">
            <w:pPr>
              <w:pStyle w:val="TableTextLeft"/>
            </w:pPr>
            <w:r w:rsidRPr="00301F93">
              <w:t>Final report due by 30 June 2026</w:t>
            </w:r>
          </w:p>
        </w:tc>
        <w:tc>
          <w:tcPr>
            <w:tcW w:w="1247" w:type="dxa"/>
            <w:tcBorders>
              <w:top w:val="single" w:sz="4" w:space="0" w:color="4D7861" w:themeColor="accent2"/>
              <w:bottom w:val="single" w:sz="4" w:space="0" w:color="4D7861" w:themeColor="accent2"/>
            </w:tcBorders>
            <w:shd w:val="clear" w:color="auto" w:fill="DBE4DF"/>
          </w:tcPr>
          <w:p w14:paraId="588A079B" w14:textId="77777777" w:rsidR="003869E6" w:rsidRPr="00BF4B8B"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DBE4DF"/>
          </w:tcPr>
          <w:p w14:paraId="42529D59" w14:textId="77777777" w:rsidR="003869E6" w:rsidRPr="00BF4B8B"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EDF2EF"/>
          </w:tcPr>
          <w:p w14:paraId="766B4994" w14:textId="77777777" w:rsidR="003869E6" w:rsidRPr="00BF4B8B"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EDF2EF"/>
          </w:tcPr>
          <w:p w14:paraId="0CF2A256" w14:textId="77777777" w:rsidR="003869E6" w:rsidRPr="00BF4B8B" w:rsidRDefault="003869E6" w:rsidP="00195B9B">
            <w:pPr>
              <w:pStyle w:val="TableTextLeft"/>
            </w:pPr>
          </w:p>
        </w:tc>
      </w:tr>
      <w:tr w:rsidR="00E6324E" w:rsidRPr="00AF43B7" w14:paraId="2FE42AEE" w14:textId="77777777" w:rsidTr="73625B8F">
        <w:trPr>
          <w:cantSplit/>
          <w:trHeight w:val="410"/>
        </w:trPr>
        <w:tc>
          <w:tcPr>
            <w:tcW w:w="794" w:type="dxa"/>
            <w:tcBorders>
              <w:top w:val="single" w:sz="4" w:space="0" w:color="4D7861" w:themeColor="accent2"/>
              <w:bottom w:val="single" w:sz="4" w:space="0" w:color="4D7861" w:themeColor="accent2"/>
            </w:tcBorders>
          </w:tcPr>
          <w:p w14:paraId="6C7F35BC" w14:textId="77777777" w:rsidR="003869E6" w:rsidRPr="00E7433A" w:rsidRDefault="003869E6" w:rsidP="00195B9B">
            <w:pPr>
              <w:pStyle w:val="TableLeadAgency"/>
            </w:pPr>
            <w:r>
              <w:t>APRA</w:t>
            </w:r>
          </w:p>
        </w:tc>
        <w:tc>
          <w:tcPr>
            <w:tcW w:w="1304" w:type="dxa"/>
            <w:tcBorders>
              <w:top w:val="single" w:sz="4" w:space="0" w:color="4D7861" w:themeColor="accent2"/>
              <w:bottom w:val="single" w:sz="4" w:space="0" w:color="4D7861" w:themeColor="accent2"/>
            </w:tcBorders>
          </w:tcPr>
          <w:p w14:paraId="673D5751" w14:textId="77777777" w:rsidR="003869E6" w:rsidRPr="00301F93" w:rsidRDefault="003869E6" w:rsidP="00195B9B">
            <w:pPr>
              <w:pStyle w:val="TableTextLeft"/>
            </w:pPr>
            <w:r w:rsidRPr="00757235">
              <w:t>Banking, credit and lending</w:t>
            </w:r>
          </w:p>
        </w:tc>
        <w:tc>
          <w:tcPr>
            <w:tcW w:w="3175" w:type="dxa"/>
            <w:tcBorders>
              <w:top w:val="single" w:sz="4" w:space="0" w:color="4D7861" w:themeColor="accent2"/>
              <w:bottom w:val="single" w:sz="4" w:space="0" w:color="4D7861" w:themeColor="accent2"/>
            </w:tcBorders>
          </w:tcPr>
          <w:p w14:paraId="374BBF87" w14:textId="1C9BBD8E" w:rsidR="003869E6" w:rsidRPr="00E614F9" w:rsidRDefault="003869E6" w:rsidP="00E614F9">
            <w:pPr>
              <w:pStyle w:val="TableTextLeft"/>
              <w:rPr>
                <w:b/>
                <w:bCs/>
              </w:rPr>
            </w:pPr>
            <w:r w:rsidRPr="00E614F9">
              <w:rPr>
                <w:b/>
                <w:bCs/>
              </w:rPr>
              <w:t>Internal ratings</w:t>
            </w:r>
            <w:r w:rsidR="003D486F">
              <w:rPr>
                <w:b/>
                <w:bCs/>
              </w:rPr>
              <w:noBreakHyphen/>
            </w:r>
            <w:r w:rsidRPr="00E614F9">
              <w:rPr>
                <w:b/>
                <w:bCs/>
              </w:rPr>
              <w:t>based (IRB) approach accreditation process</w:t>
            </w:r>
            <w:r w:rsidR="001B1F27" w:rsidRPr="00283753">
              <w:rPr>
                <w:szCs w:val="16"/>
              </w:rPr>
              <w:t xml:space="preserve"> </w:t>
            </w:r>
            <w:r w:rsidR="001B1F27" w:rsidRPr="001B1F27">
              <w:rPr>
                <w:rStyle w:val="NewInitiativeChar"/>
                <w:sz w:val="16"/>
                <w:szCs w:val="16"/>
              </w:rPr>
              <w:t>(new)</w:t>
            </w:r>
          </w:p>
          <w:p w14:paraId="6FFF769B" w14:textId="4CAF96A6" w:rsidR="003869E6" w:rsidRPr="004124AB" w:rsidRDefault="003869E6" w:rsidP="00E614F9">
            <w:pPr>
              <w:pStyle w:val="TableTextLeft"/>
            </w:pPr>
            <w:r w:rsidRPr="00D91382">
              <w:t>APRA will consult on changes that aim to simplify and clarify APRA</w:t>
            </w:r>
            <w:r w:rsidR="003D486F">
              <w:t>’</w:t>
            </w:r>
            <w:r w:rsidRPr="00D91382">
              <w:t>s accreditation process that allows banks to use internal modelling for regulatory capital purposes.</w:t>
            </w:r>
          </w:p>
        </w:tc>
        <w:tc>
          <w:tcPr>
            <w:tcW w:w="1247" w:type="dxa"/>
            <w:tcBorders>
              <w:top w:val="single" w:sz="4" w:space="0" w:color="4D7861" w:themeColor="accent2"/>
              <w:bottom w:val="single" w:sz="4" w:space="0" w:color="4D7861" w:themeColor="accent2"/>
            </w:tcBorders>
            <w:shd w:val="clear" w:color="auto" w:fill="DBE4DF"/>
          </w:tcPr>
          <w:p w14:paraId="36760CF9" w14:textId="77777777" w:rsidR="003869E6" w:rsidRPr="00301F93" w:rsidDel="00D95C49" w:rsidRDefault="003869E6" w:rsidP="00195B9B">
            <w:pPr>
              <w:pStyle w:val="TableTextLeft"/>
            </w:pPr>
            <w:r w:rsidRPr="00293560">
              <w:t>Consultation – draft standard and guidance</w:t>
            </w:r>
          </w:p>
        </w:tc>
        <w:tc>
          <w:tcPr>
            <w:tcW w:w="1247" w:type="dxa"/>
            <w:tcBorders>
              <w:top w:val="single" w:sz="4" w:space="0" w:color="4D7861" w:themeColor="accent2"/>
              <w:bottom w:val="single" w:sz="4" w:space="0" w:color="4D7861" w:themeColor="accent2"/>
            </w:tcBorders>
            <w:shd w:val="clear" w:color="auto" w:fill="DBE4DF"/>
          </w:tcPr>
          <w:p w14:paraId="69DC7F40" w14:textId="77777777" w:rsidR="003869E6" w:rsidRPr="00D95C49"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DBE4DF"/>
          </w:tcPr>
          <w:p w14:paraId="4B0AAF70" w14:textId="77777777" w:rsidR="003869E6" w:rsidRPr="00F91AB2" w:rsidRDefault="003869E6" w:rsidP="00195B9B">
            <w:pPr>
              <w:pStyle w:val="TableTextLeft"/>
            </w:pPr>
            <w:r w:rsidRPr="002F52BD">
              <w:t>Release final standard and guidance</w:t>
            </w:r>
          </w:p>
        </w:tc>
        <w:tc>
          <w:tcPr>
            <w:tcW w:w="1247" w:type="dxa"/>
            <w:tcBorders>
              <w:top w:val="single" w:sz="4" w:space="0" w:color="4D7861" w:themeColor="accent2"/>
              <w:bottom w:val="single" w:sz="4" w:space="0" w:color="4D7861" w:themeColor="accent2"/>
            </w:tcBorders>
            <w:shd w:val="clear" w:color="auto" w:fill="DBE4DF"/>
          </w:tcPr>
          <w:p w14:paraId="73F938D2" w14:textId="77777777" w:rsidR="003869E6" w:rsidRPr="00301F93" w:rsidDel="00D95C49"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DBE4DF"/>
          </w:tcPr>
          <w:p w14:paraId="3B05C806" w14:textId="77777777" w:rsidR="003869E6" w:rsidDel="00E15876"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EDF2EF"/>
          </w:tcPr>
          <w:p w14:paraId="67D77235" w14:textId="77777777" w:rsidR="003869E6" w:rsidRPr="00F91AB2"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EDF2EF"/>
          </w:tcPr>
          <w:p w14:paraId="4F4547E6" w14:textId="77777777" w:rsidR="003869E6" w:rsidRPr="00F91AB2" w:rsidRDefault="003869E6" w:rsidP="00195B9B">
            <w:pPr>
              <w:pStyle w:val="TableTextLeft"/>
            </w:pPr>
          </w:p>
        </w:tc>
      </w:tr>
      <w:tr w:rsidR="00E6324E" w:rsidRPr="00AF43B7" w14:paraId="7EE32ED1" w14:textId="77777777" w:rsidTr="73625B8F">
        <w:trPr>
          <w:cantSplit/>
          <w:trHeight w:val="410"/>
        </w:trPr>
        <w:tc>
          <w:tcPr>
            <w:tcW w:w="794" w:type="dxa"/>
            <w:tcBorders>
              <w:top w:val="single" w:sz="4" w:space="0" w:color="4D7861" w:themeColor="accent2"/>
              <w:bottom w:val="single" w:sz="4" w:space="0" w:color="4D7861" w:themeColor="accent2"/>
            </w:tcBorders>
          </w:tcPr>
          <w:p w14:paraId="5F4FC746" w14:textId="77777777" w:rsidR="003869E6" w:rsidRPr="00E7433A" w:rsidRDefault="003869E6" w:rsidP="00195B9B">
            <w:pPr>
              <w:pStyle w:val="TableLeadAgency"/>
            </w:pPr>
            <w:r w:rsidRPr="00E7433A">
              <w:t>APRA</w:t>
            </w:r>
          </w:p>
        </w:tc>
        <w:tc>
          <w:tcPr>
            <w:tcW w:w="1304" w:type="dxa"/>
            <w:tcBorders>
              <w:top w:val="single" w:sz="4" w:space="0" w:color="4D7861" w:themeColor="accent2"/>
              <w:bottom w:val="single" w:sz="4" w:space="0" w:color="4D7861" w:themeColor="accent2"/>
            </w:tcBorders>
          </w:tcPr>
          <w:p w14:paraId="129CA7F7" w14:textId="77777777" w:rsidR="003869E6" w:rsidRPr="00F83E7F" w:rsidRDefault="003869E6" w:rsidP="00195B9B">
            <w:pPr>
              <w:pStyle w:val="TableTextLeft"/>
            </w:pPr>
            <w:r w:rsidRPr="00301F93">
              <w:t>Banking, credit and lending</w:t>
            </w:r>
          </w:p>
        </w:tc>
        <w:tc>
          <w:tcPr>
            <w:tcW w:w="3175" w:type="dxa"/>
            <w:tcBorders>
              <w:top w:val="single" w:sz="4" w:space="0" w:color="4D7861" w:themeColor="accent2"/>
              <w:bottom w:val="single" w:sz="4" w:space="0" w:color="4D7861" w:themeColor="accent2"/>
            </w:tcBorders>
          </w:tcPr>
          <w:p w14:paraId="1EE478E9" w14:textId="77777777" w:rsidR="003869E6" w:rsidRPr="00926FD7" w:rsidRDefault="003869E6" w:rsidP="00195B9B">
            <w:pPr>
              <w:pStyle w:val="TableTextLeft"/>
              <w:rPr>
                <w:b/>
                <w:bCs/>
              </w:rPr>
            </w:pPr>
            <w:r w:rsidRPr="00926FD7">
              <w:rPr>
                <w:b/>
                <w:bCs/>
              </w:rPr>
              <w:t>Liquidity</w:t>
            </w:r>
            <w:r w:rsidRPr="665C9A36">
              <w:rPr>
                <w:b/>
                <w:bCs/>
              </w:rPr>
              <w:t xml:space="preserve"> review</w:t>
            </w:r>
          </w:p>
          <w:p w14:paraId="3DFF55BE" w14:textId="03511EE9" w:rsidR="003869E6" w:rsidRPr="00F91AB2" w:rsidRDefault="003869E6" w:rsidP="00195B9B">
            <w:pPr>
              <w:pStyle w:val="TableTextLeft"/>
              <w:rPr>
                <w:rFonts w:ascii="Aptos" w:eastAsia="Aptos" w:hAnsi="Aptos" w:cs="Aptos"/>
                <w:sz w:val="24"/>
                <w:szCs w:val="24"/>
                <w:lang w:val="en-US"/>
              </w:rPr>
            </w:pPr>
            <w:r w:rsidRPr="007903D1">
              <w:rPr>
                <w:rFonts w:eastAsia="Aptos"/>
              </w:rPr>
              <w:t xml:space="preserve">APRA will continue its review of the bank liquidity framework. including prudential standard APS 210 Liquidity (APS 210). </w:t>
            </w:r>
            <w:r>
              <w:rPr>
                <w:rFonts w:eastAsia="Aptos"/>
              </w:rPr>
              <w:t>It aims</w:t>
            </w:r>
            <w:r w:rsidRPr="007903D1">
              <w:rPr>
                <w:rFonts w:eastAsia="Aptos"/>
              </w:rPr>
              <w:t xml:space="preserve"> to modernise the framework, reflect market changes and ensure it remains fit</w:t>
            </w:r>
            <w:r w:rsidR="003D486F">
              <w:rPr>
                <w:rFonts w:eastAsia="Aptos"/>
              </w:rPr>
              <w:noBreakHyphen/>
            </w:r>
            <w:r w:rsidRPr="007903D1">
              <w:rPr>
                <w:rFonts w:eastAsia="Aptos"/>
              </w:rPr>
              <w:t>for</w:t>
            </w:r>
            <w:r w:rsidR="003D486F">
              <w:rPr>
                <w:rFonts w:eastAsia="Aptos"/>
              </w:rPr>
              <w:noBreakHyphen/>
            </w:r>
            <w:r w:rsidRPr="007903D1">
              <w:rPr>
                <w:rFonts w:eastAsia="Aptos"/>
              </w:rPr>
              <w:t>purpose.</w:t>
            </w:r>
          </w:p>
        </w:tc>
        <w:tc>
          <w:tcPr>
            <w:tcW w:w="1247" w:type="dxa"/>
            <w:tcBorders>
              <w:top w:val="single" w:sz="4" w:space="0" w:color="4D7861" w:themeColor="accent2"/>
              <w:bottom w:val="single" w:sz="4" w:space="0" w:color="4D7861" w:themeColor="accent2"/>
            </w:tcBorders>
            <w:shd w:val="clear" w:color="auto" w:fill="DBE4DF"/>
          </w:tcPr>
          <w:p w14:paraId="07891E5D" w14:textId="77777777" w:rsidR="003869E6" w:rsidRPr="00F91AB2"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DBE4DF"/>
          </w:tcPr>
          <w:p w14:paraId="325E7C13" w14:textId="77777777" w:rsidR="003869E6" w:rsidRPr="00F91AB2" w:rsidRDefault="003869E6" w:rsidP="00195B9B">
            <w:pPr>
              <w:pStyle w:val="TableTextLeft"/>
            </w:pPr>
            <w:r w:rsidRPr="00D95C49">
              <w:t xml:space="preserve">Consultation (early </w:t>
            </w:r>
            <w:proofErr w:type="gramStart"/>
            <w:r w:rsidRPr="00D95C49">
              <w:t>stage)</w:t>
            </w:r>
            <w:r>
              <w:t>^</w:t>
            </w:r>
            <w:proofErr w:type="gramEnd"/>
          </w:p>
        </w:tc>
        <w:tc>
          <w:tcPr>
            <w:tcW w:w="1247" w:type="dxa"/>
            <w:tcBorders>
              <w:top w:val="single" w:sz="4" w:space="0" w:color="4D7861" w:themeColor="accent2"/>
              <w:bottom w:val="single" w:sz="4" w:space="0" w:color="4D7861" w:themeColor="accent2"/>
            </w:tcBorders>
            <w:shd w:val="clear" w:color="auto" w:fill="DBE4DF"/>
          </w:tcPr>
          <w:p w14:paraId="6DCAB7C5" w14:textId="77777777" w:rsidR="003869E6" w:rsidRPr="00F91AB2"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DBE4DF"/>
          </w:tcPr>
          <w:p w14:paraId="4C0B2253" w14:textId="77777777" w:rsidR="003869E6" w:rsidRDefault="003869E6" w:rsidP="00E15876">
            <w:pPr>
              <w:pStyle w:val="TableTextLeft"/>
              <w:rPr>
                <w:lang w:val="en-US" w:eastAsia="ja-JP"/>
              </w:rPr>
            </w:pPr>
            <w:r>
              <w:rPr>
                <w:lang w:val="en-US" w:eastAsia="ja-JP"/>
              </w:rPr>
              <w:t xml:space="preserve">Further consultation* </w:t>
            </w:r>
          </w:p>
          <w:p w14:paraId="6230A663" w14:textId="77777777" w:rsidR="003869E6" w:rsidRPr="00F91AB2"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DBE4DF"/>
          </w:tcPr>
          <w:p w14:paraId="7F6C14CE" w14:textId="77777777" w:rsidR="003869E6" w:rsidRPr="00F91AB2"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EDF2EF"/>
          </w:tcPr>
          <w:p w14:paraId="706711CD" w14:textId="77777777" w:rsidR="003869E6" w:rsidRPr="00F91AB2"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EDF2EF"/>
          </w:tcPr>
          <w:p w14:paraId="3D22E620" w14:textId="77777777" w:rsidR="003869E6" w:rsidRPr="00F91AB2" w:rsidRDefault="003869E6" w:rsidP="00195B9B">
            <w:pPr>
              <w:pStyle w:val="TableTextLeft"/>
            </w:pPr>
          </w:p>
        </w:tc>
      </w:tr>
      <w:tr w:rsidR="00E6324E" w:rsidRPr="00AF43B7" w14:paraId="56CB1360" w14:textId="77777777" w:rsidTr="73625B8F">
        <w:trPr>
          <w:cantSplit/>
          <w:trHeight w:val="410"/>
        </w:trPr>
        <w:tc>
          <w:tcPr>
            <w:tcW w:w="794" w:type="dxa"/>
            <w:tcBorders>
              <w:top w:val="single" w:sz="4" w:space="0" w:color="4D7861" w:themeColor="accent2"/>
              <w:bottom w:val="single" w:sz="4" w:space="0" w:color="4D7861" w:themeColor="accent2"/>
            </w:tcBorders>
          </w:tcPr>
          <w:p w14:paraId="6C87F5EB" w14:textId="77777777" w:rsidR="003869E6" w:rsidRPr="00E7433A" w:rsidRDefault="003869E6" w:rsidP="00195B9B">
            <w:pPr>
              <w:pStyle w:val="TableLeadAgency"/>
            </w:pPr>
            <w:r w:rsidRPr="009C4097">
              <w:lastRenderedPageBreak/>
              <w:t>APRA</w:t>
            </w:r>
          </w:p>
        </w:tc>
        <w:tc>
          <w:tcPr>
            <w:tcW w:w="1304" w:type="dxa"/>
            <w:tcBorders>
              <w:top w:val="single" w:sz="4" w:space="0" w:color="4D7861" w:themeColor="accent2"/>
              <w:bottom w:val="single" w:sz="4" w:space="0" w:color="4D7861" w:themeColor="accent2"/>
            </w:tcBorders>
          </w:tcPr>
          <w:p w14:paraId="36F22B16" w14:textId="77777777" w:rsidR="003869E6" w:rsidRPr="00F91AB2" w:rsidRDefault="003869E6" w:rsidP="00195B9B">
            <w:pPr>
              <w:pStyle w:val="TableTextLeft"/>
            </w:pPr>
            <w:r w:rsidRPr="00301F93">
              <w:t>Banking, credit and lending</w:t>
            </w:r>
          </w:p>
        </w:tc>
        <w:tc>
          <w:tcPr>
            <w:tcW w:w="3175" w:type="dxa"/>
            <w:tcBorders>
              <w:top w:val="single" w:sz="4" w:space="0" w:color="4D7861" w:themeColor="accent2"/>
              <w:bottom w:val="single" w:sz="4" w:space="0" w:color="4D7861" w:themeColor="accent2"/>
            </w:tcBorders>
          </w:tcPr>
          <w:p w14:paraId="036BC86F" w14:textId="77777777" w:rsidR="003869E6" w:rsidRPr="009A5125" w:rsidRDefault="003869E6" w:rsidP="00195B9B">
            <w:pPr>
              <w:pStyle w:val="TableTextLeft"/>
              <w:rPr>
                <w:b/>
                <w:bCs/>
              </w:rPr>
            </w:pPr>
            <w:r>
              <w:rPr>
                <w:b/>
                <w:bCs/>
              </w:rPr>
              <w:t>Modernise licensing framework</w:t>
            </w:r>
          </w:p>
          <w:p w14:paraId="58F4EAD8" w14:textId="77777777" w:rsidR="003869E6" w:rsidRPr="00F91AB2" w:rsidRDefault="003869E6" w:rsidP="00195B9B">
            <w:pPr>
              <w:pStyle w:val="TableTextLeft"/>
            </w:pPr>
            <w:r w:rsidRPr="007E1AA3">
              <w:t>APRA will review its licensing framework for banks, to support greater clarity and efficiency in licensing processes.</w:t>
            </w:r>
          </w:p>
        </w:tc>
        <w:tc>
          <w:tcPr>
            <w:tcW w:w="1247" w:type="dxa"/>
            <w:tcBorders>
              <w:top w:val="single" w:sz="4" w:space="0" w:color="4D7861" w:themeColor="accent2"/>
              <w:bottom w:val="single" w:sz="4" w:space="0" w:color="4D7861" w:themeColor="accent2"/>
            </w:tcBorders>
            <w:shd w:val="clear" w:color="auto" w:fill="DBE4DF"/>
          </w:tcPr>
          <w:p w14:paraId="46E233DD" w14:textId="77777777" w:rsidR="003869E6" w:rsidRPr="00F91AB2"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DBE4DF"/>
          </w:tcPr>
          <w:p w14:paraId="6EEC857E" w14:textId="77777777" w:rsidR="003869E6" w:rsidRPr="00F91AB2"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DBE4DF"/>
          </w:tcPr>
          <w:p w14:paraId="02CA154F" w14:textId="77777777" w:rsidR="003869E6" w:rsidRPr="00F91AB2" w:rsidRDefault="003869E6" w:rsidP="00195B9B">
            <w:pPr>
              <w:pStyle w:val="TableTextLeft"/>
            </w:pPr>
            <w:r>
              <w:t>Consultation – licensing criteria and supporting guidance*</w:t>
            </w:r>
          </w:p>
        </w:tc>
        <w:tc>
          <w:tcPr>
            <w:tcW w:w="1247" w:type="dxa"/>
            <w:tcBorders>
              <w:top w:val="single" w:sz="4" w:space="0" w:color="4D7861" w:themeColor="accent2"/>
              <w:bottom w:val="single" w:sz="4" w:space="0" w:color="4D7861" w:themeColor="accent2"/>
            </w:tcBorders>
            <w:shd w:val="clear" w:color="auto" w:fill="DBE4DF"/>
          </w:tcPr>
          <w:p w14:paraId="1DA025C8" w14:textId="77777777" w:rsidR="003869E6" w:rsidRPr="00F91AB2"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DBE4DF"/>
          </w:tcPr>
          <w:p w14:paraId="23D63856" w14:textId="77777777" w:rsidR="003869E6" w:rsidRPr="00F91AB2" w:rsidRDefault="003869E6" w:rsidP="00195B9B">
            <w:pPr>
              <w:pStyle w:val="TableTextLeft"/>
            </w:pPr>
            <w:r>
              <w:t>Release final criteria and guidance*</w:t>
            </w:r>
          </w:p>
        </w:tc>
        <w:tc>
          <w:tcPr>
            <w:tcW w:w="1247" w:type="dxa"/>
            <w:tcBorders>
              <w:top w:val="single" w:sz="4" w:space="0" w:color="4D7861" w:themeColor="accent2"/>
              <w:bottom w:val="single" w:sz="4" w:space="0" w:color="4D7861" w:themeColor="accent2"/>
            </w:tcBorders>
            <w:shd w:val="clear" w:color="auto" w:fill="EDF2EF"/>
          </w:tcPr>
          <w:p w14:paraId="6C3BFB14" w14:textId="77777777" w:rsidR="003869E6" w:rsidRPr="00F91AB2"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EDF2EF"/>
          </w:tcPr>
          <w:p w14:paraId="541C252D" w14:textId="77777777" w:rsidR="003869E6" w:rsidRPr="00F91AB2" w:rsidRDefault="003869E6" w:rsidP="00195B9B">
            <w:pPr>
              <w:pStyle w:val="TableTextLeft"/>
            </w:pPr>
          </w:p>
        </w:tc>
      </w:tr>
      <w:tr w:rsidR="00E6324E" w:rsidRPr="00AF43B7" w14:paraId="57B88546" w14:textId="77777777" w:rsidTr="73625B8F">
        <w:trPr>
          <w:cantSplit/>
          <w:trHeight w:val="410"/>
        </w:trPr>
        <w:tc>
          <w:tcPr>
            <w:tcW w:w="794" w:type="dxa"/>
            <w:tcBorders>
              <w:top w:val="single" w:sz="4" w:space="0" w:color="4D7861" w:themeColor="accent2"/>
              <w:bottom w:val="single" w:sz="4" w:space="0" w:color="4D7861" w:themeColor="accent2"/>
            </w:tcBorders>
          </w:tcPr>
          <w:p w14:paraId="47B33685" w14:textId="77777777" w:rsidR="003869E6" w:rsidRPr="00E7433A" w:rsidRDefault="003869E6" w:rsidP="00195B9B">
            <w:pPr>
              <w:pStyle w:val="TableLeadAgency"/>
            </w:pPr>
            <w:r w:rsidRPr="00E7433A">
              <w:t>APRA</w:t>
            </w:r>
          </w:p>
        </w:tc>
        <w:tc>
          <w:tcPr>
            <w:tcW w:w="1304" w:type="dxa"/>
            <w:tcBorders>
              <w:top w:val="single" w:sz="4" w:space="0" w:color="4D7861" w:themeColor="accent2"/>
              <w:bottom w:val="single" w:sz="4" w:space="0" w:color="4D7861" w:themeColor="accent2"/>
            </w:tcBorders>
          </w:tcPr>
          <w:p w14:paraId="413F74B1" w14:textId="77777777" w:rsidR="003869E6" w:rsidRPr="000C4FD5" w:rsidRDefault="003869E6" w:rsidP="00195B9B">
            <w:pPr>
              <w:pStyle w:val="TableTextLeft"/>
            </w:pPr>
            <w:r w:rsidRPr="000C4FD5">
              <w:t>Banking, credit and lending</w:t>
            </w:r>
          </w:p>
          <w:p w14:paraId="3A6C851D" w14:textId="77777777" w:rsidR="003869E6" w:rsidRPr="00F83E7F" w:rsidRDefault="003869E6" w:rsidP="00195B9B">
            <w:pPr>
              <w:pStyle w:val="TableTextLeft"/>
            </w:pPr>
          </w:p>
        </w:tc>
        <w:tc>
          <w:tcPr>
            <w:tcW w:w="3175" w:type="dxa"/>
            <w:tcBorders>
              <w:top w:val="single" w:sz="4" w:space="0" w:color="4D7861" w:themeColor="accent2"/>
              <w:bottom w:val="single" w:sz="4" w:space="0" w:color="4D7861" w:themeColor="accent2"/>
            </w:tcBorders>
          </w:tcPr>
          <w:p w14:paraId="703B8911" w14:textId="77777777" w:rsidR="003869E6" w:rsidRPr="007E1AA3" w:rsidRDefault="003869E6" w:rsidP="00195B9B">
            <w:pPr>
              <w:pStyle w:val="TableTextLeft"/>
              <w:rPr>
                <w:b/>
              </w:rPr>
            </w:pPr>
            <w:r>
              <w:rPr>
                <w:b/>
              </w:rPr>
              <w:t>Proportionate regulation</w:t>
            </w:r>
          </w:p>
          <w:p w14:paraId="370641B8" w14:textId="6AE7FF1C" w:rsidR="003869E6" w:rsidRPr="0027790C" w:rsidRDefault="003869E6" w:rsidP="004124AB">
            <w:pPr>
              <w:pStyle w:val="TableTextBullet"/>
              <w:numPr>
                <w:ilvl w:val="0"/>
                <w:numId w:val="0"/>
              </w:numPr>
            </w:pPr>
            <w:r w:rsidRPr="0027790C">
              <w:t>As a priority</w:t>
            </w:r>
            <w:r w:rsidR="000B44C7">
              <w:t>,</w:t>
            </w:r>
            <w:r w:rsidRPr="0027790C">
              <w:t xml:space="preserve"> APRA will consult on formalising a </w:t>
            </w:r>
            <w:r>
              <w:t>3</w:t>
            </w:r>
            <w:r w:rsidR="003D486F">
              <w:noBreakHyphen/>
            </w:r>
            <w:r w:rsidRPr="0027790C">
              <w:t xml:space="preserve">tier approach in the banking prudential framework, in response to the CFR review into small and medium sized banks. </w:t>
            </w:r>
          </w:p>
          <w:p w14:paraId="06140318" w14:textId="3503A16A" w:rsidR="003869E6" w:rsidRPr="00983D4A" w:rsidRDefault="003869E6" w:rsidP="0027790C">
            <w:pPr>
              <w:pStyle w:val="TableTextBullet"/>
              <w:numPr>
                <w:ilvl w:val="0"/>
                <w:numId w:val="0"/>
              </w:numPr>
            </w:pPr>
            <w:r w:rsidRPr="0027790C">
              <w:rPr>
                <w:lang w:val="en-US"/>
              </w:rPr>
              <w:t>This project replaces the S</w:t>
            </w:r>
            <w:r w:rsidR="00526538">
              <w:rPr>
                <w:lang w:val="en-US"/>
              </w:rPr>
              <w:t xml:space="preserve">ignificant </w:t>
            </w:r>
            <w:r w:rsidRPr="0027790C">
              <w:rPr>
                <w:lang w:val="en-US"/>
              </w:rPr>
              <w:t>F</w:t>
            </w:r>
            <w:r w:rsidR="00526538">
              <w:rPr>
                <w:lang w:val="en-US"/>
              </w:rPr>
              <w:t xml:space="preserve">inancial </w:t>
            </w:r>
            <w:r w:rsidRPr="0027790C">
              <w:rPr>
                <w:lang w:val="en-US"/>
              </w:rPr>
              <w:t>I</w:t>
            </w:r>
            <w:r w:rsidR="00526538">
              <w:rPr>
                <w:lang w:val="en-US"/>
              </w:rPr>
              <w:t>nstitution (</w:t>
            </w:r>
            <w:r w:rsidRPr="0027790C">
              <w:rPr>
                <w:lang w:val="en-US"/>
              </w:rPr>
              <w:t>SFI</w:t>
            </w:r>
            <w:r w:rsidR="00526538">
              <w:rPr>
                <w:lang w:val="en-US"/>
              </w:rPr>
              <w:t>)</w:t>
            </w:r>
            <w:r w:rsidRPr="0027790C">
              <w:rPr>
                <w:lang w:val="en-US"/>
              </w:rPr>
              <w:t xml:space="preserve"> asset threshold review, which was originally scheduled to be complete this year.</w:t>
            </w:r>
          </w:p>
        </w:tc>
        <w:tc>
          <w:tcPr>
            <w:tcW w:w="1247" w:type="dxa"/>
            <w:tcBorders>
              <w:top w:val="single" w:sz="4" w:space="0" w:color="4D7861" w:themeColor="accent2"/>
              <w:bottom w:val="single" w:sz="4" w:space="0" w:color="4D7861" w:themeColor="accent2"/>
            </w:tcBorders>
            <w:shd w:val="clear" w:color="auto" w:fill="DBE4DF"/>
          </w:tcPr>
          <w:p w14:paraId="48C75BA0" w14:textId="77777777" w:rsidR="003869E6" w:rsidRPr="00BF4B8B" w:rsidRDefault="003869E6" w:rsidP="00195B9B">
            <w:pPr>
              <w:pStyle w:val="TableTextLeft"/>
            </w:pPr>
            <w:r w:rsidRPr="00301F93">
              <w:t>Consultation</w:t>
            </w:r>
            <w:r>
              <w:t>^</w:t>
            </w:r>
          </w:p>
        </w:tc>
        <w:tc>
          <w:tcPr>
            <w:tcW w:w="1247" w:type="dxa"/>
            <w:tcBorders>
              <w:top w:val="single" w:sz="4" w:space="0" w:color="4D7861" w:themeColor="accent2"/>
              <w:bottom w:val="single" w:sz="4" w:space="0" w:color="4D7861" w:themeColor="accent2"/>
            </w:tcBorders>
            <w:shd w:val="clear" w:color="auto" w:fill="DBE4DF"/>
          </w:tcPr>
          <w:p w14:paraId="2312F3E6" w14:textId="77777777" w:rsidR="003869E6" w:rsidRPr="00BF4B8B"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DBE4DF"/>
          </w:tcPr>
          <w:p w14:paraId="2923922D" w14:textId="77777777" w:rsidR="003869E6" w:rsidRPr="00BF4B8B"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DBE4DF"/>
          </w:tcPr>
          <w:p w14:paraId="54AB9719" w14:textId="77777777" w:rsidR="003869E6" w:rsidRPr="00BF4B8B"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DBE4DF"/>
          </w:tcPr>
          <w:p w14:paraId="55D07040" w14:textId="77777777" w:rsidR="003869E6" w:rsidRPr="00BF4B8B"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EDF2EF"/>
          </w:tcPr>
          <w:p w14:paraId="386F1CBE" w14:textId="77777777" w:rsidR="003869E6" w:rsidRPr="00BF4B8B"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EDF2EF"/>
          </w:tcPr>
          <w:p w14:paraId="19AE8888" w14:textId="77777777" w:rsidR="003869E6" w:rsidRPr="00BF4B8B" w:rsidRDefault="003869E6" w:rsidP="00195B9B">
            <w:pPr>
              <w:pStyle w:val="TableTextLeft"/>
            </w:pPr>
          </w:p>
        </w:tc>
      </w:tr>
      <w:tr w:rsidR="00E6324E" w:rsidRPr="00AF43B7" w14:paraId="172DEA12" w14:textId="77777777" w:rsidTr="003C67D9">
        <w:trPr>
          <w:cantSplit/>
          <w:trHeight w:val="410"/>
        </w:trPr>
        <w:tc>
          <w:tcPr>
            <w:tcW w:w="794" w:type="dxa"/>
            <w:tcBorders>
              <w:top w:val="single" w:sz="4" w:space="0" w:color="4D7861" w:themeColor="accent2"/>
              <w:bottom w:val="single" w:sz="4" w:space="0" w:color="4D7861" w:themeColor="accent2"/>
            </w:tcBorders>
          </w:tcPr>
          <w:p w14:paraId="5CDDAD4A" w14:textId="77777777" w:rsidR="003869E6" w:rsidRPr="00E7433A" w:rsidRDefault="003869E6" w:rsidP="00195B9B">
            <w:pPr>
              <w:pStyle w:val="TableLeadAgency"/>
            </w:pPr>
            <w:r w:rsidRPr="00E7433A">
              <w:t xml:space="preserve">RBA </w:t>
            </w:r>
          </w:p>
        </w:tc>
        <w:tc>
          <w:tcPr>
            <w:tcW w:w="1304" w:type="dxa"/>
            <w:tcBorders>
              <w:top w:val="single" w:sz="4" w:space="0" w:color="4D7861" w:themeColor="accent2"/>
              <w:bottom w:val="single" w:sz="4" w:space="0" w:color="4D7861" w:themeColor="accent2"/>
            </w:tcBorders>
          </w:tcPr>
          <w:p w14:paraId="3F4DC813" w14:textId="77777777" w:rsidR="003869E6" w:rsidRPr="000C4FD5" w:rsidRDefault="003869E6" w:rsidP="00195B9B">
            <w:pPr>
              <w:pStyle w:val="TableTextLeft"/>
            </w:pPr>
            <w:r w:rsidRPr="00CB303C">
              <w:t xml:space="preserve">Payment services and digital </w:t>
            </w:r>
            <w:r w:rsidRPr="000C4FD5">
              <w:t>assets</w:t>
            </w:r>
          </w:p>
          <w:p w14:paraId="260152BA" w14:textId="77777777" w:rsidR="003869E6" w:rsidRPr="00ED10E0" w:rsidRDefault="003869E6" w:rsidP="00195B9B">
            <w:pPr>
              <w:pStyle w:val="TableTextLeft"/>
            </w:pPr>
            <w:r w:rsidRPr="000C4FD5">
              <w:t>Banking, credit and lend</w:t>
            </w:r>
            <w:r w:rsidRPr="00BB7DF7">
              <w:t>ing</w:t>
            </w:r>
          </w:p>
        </w:tc>
        <w:tc>
          <w:tcPr>
            <w:tcW w:w="3175" w:type="dxa"/>
            <w:tcBorders>
              <w:top w:val="single" w:sz="4" w:space="0" w:color="4D7861" w:themeColor="accent2"/>
              <w:bottom w:val="single" w:sz="4" w:space="0" w:color="4D7861" w:themeColor="accent2"/>
            </w:tcBorders>
          </w:tcPr>
          <w:p w14:paraId="1BCF6A89" w14:textId="77777777" w:rsidR="003869E6" w:rsidRPr="001B1F27" w:rsidRDefault="003869E6" w:rsidP="001B1F27">
            <w:pPr>
              <w:pStyle w:val="TableLink"/>
            </w:pPr>
            <w:hyperlink r:id="rId106" w:history="1">
              <w:r w:rsidRPr="001B1F27">
                <w:rPr>
                  <w:rStyle w:val="Hyperlink"/>
                  <w:color w:val="5D779D" w:themeColor="accent3"/>
                  <w:u w:val="single"/>
                </w:rPr>
                <w:t>Review of retail payments regulation – merchant card payment costs and surcharging</w:t>
              </w:r>
            </w:hyperlink>
          </w:p>
          <w:p w14:paraId="7F36CFC0" w14:textId="77777777" w:rsidR="003869E6" w:rsidRPr="00CB303C" w:rsidRDefault="003869E6" w:rsidP="00195B9B">
            <w:pPr>
              <w:pStyle w:val="TableTextLeft"/>
            </w:pPr>
            <w:r w:rsidRPr="009A3724">
              <w:t xml:space="preserve">The RBA </w:t>
            </w:r>
            <w:r>
              <w:t>is reviewing</w:t>
            </w:r>
            <w:r w:rsidRPr="009A3724">
              <w:t xml:space="preserve"> merchant card payment costs and </w:t>
            </w:r>
            <w:r w:rsidRPr="000C4FD5">
              <w:t>surcharging, to see whether new regulations or amendments to existing regulations are warranted to promote competition, efficiency and safety in the payments system.</w:t>
            </w:r>
            <w:r>
              <w:t xml:space="preserve"> </w:t>
            </w:r>
          </w:p>
          <w:p w14:paraId="74CCEB9D" w14:textId="11781D4F" w:rsidR="003869E6" w:rsidRDefault="003869E6" w:rsidP="00195B9B">
            <w:pPr>
              <w:pStyle w:val="TableTextLeft"/>
            </w:pPr>
            <w:r>
              <w:t xml:space="preserve">The </w:t>
            </w:r>
            <w:r w:rsidRPr="000C4FD5">
              <w:t>First</w:t>
            </w:r>
            <w:r>
              <w:t xml:space="preserve"> phase</w:t>
            </w:r>
            <w:r w:rsidRPr="009A3724">
              <w:t xml:space="preserve"> </w:t>
            </w:r>
            <w:r>
              <w:t xml:space="preserve">of the review is in progress, with the RBA releasing its proposals for consultation in July 2025 for final conclusions </w:t>
            </w:r>
            <w:r w:rsidR="000266DB">
              <w:t xml:space="preserve">anticipated </w:t>
            </w:r>
            <w:r>
              <w:t>in December 2025.</w:t>
            </w:r>
          </w:p>
          <w:p w14:paraId="7477D168" w14:textId="37BFDF5A" w:rsidR="003869E6" w:rsidRPr="00CB303C" w:rsidRDefault="00CA245C" w:rsidP="00195B9B">
            <w:pPr>
              <w:pStyle w:val="TableTextLeft"/>
            </w:pPr>
            <w:r>
              <w:t xml:space="preserve">The </w:t>
            </w:r>
            <w:r w:rsidR="001E258A">
              <w:t>S</w:t>
            </w:r>
            <w:r>
              <w:t xml:space="preserve">econd phase </w:t>
            </w:r>
            <w:r w:rsidR="00404FC4">
              <w:t xml:space="preserve">review </w:t>
            </w:r>
            <w:r>
              <w:t xml:space="preserve">activities will </w:t>
            </w:r>
            <w:proofErr w:type="gramStart"/>
            <w:r>
              <w:t>take into account</w:t>
            </w:r>
            <w:proofErr w:type="gramEnd"/>
            <w:r>
              <w:t xml:space="preserve"> RBA</w:t>
            </w:r>
            <w:r w:rsidR="003D486F">
              <w:t>’</w:t>
            </w:r>
            <w:r>
              <w:t xml:space="preserve">s </w:t>
            </w:r>
            <w:r w:rsidR="00DB6213">
              <w:t xml:space="preserve">expanded remit following the passage of reforms to the </w:t>
            </w:r>
            <w:r w:rsidR="00DB6213" w:rsidRPr="004D2E24">
              <w:rPr>
                <w:i/>
              </w:rPr>
              <w:t>Payments Systems (Regulation) Act.</w:t>
            </w:r>
          </w:p>
        </w:tc>
        <w:tc>
          <w:tcPr>
            <w:tcW w:w="1247" w:type="dxa"/>
            <w:tcBorders>
              <w:top w:val="single" w:sz="4" w:space="0" w:color="4D7861" w:themeColor="accent2"/>
              <w:bottom w:val="single" w:sz="4" w:space="0" w:color="4D7861" w:themeColor="accent2"/>
            </w:tcBorders>
            <w:shd w:val="clear" w:color="auto" w:fill="DBE4DF"/>
          </w:tcPr>
          <w:p w14:paraId="33A967DC" w14:textId="77777777" w:rsidR="003869E6" w:rsidRPr="00BF4B8B" w:rsidRDefault="003869E6" w:rsidP="00195B9B">
            <w:pPr>
              <w:pStyle w:val="TableTextLeft"/>
            </w:pPr>
            <w:r w:rsidRPr="00301F93">
              <w:t>Conclusions paper published (first phase</w:t>
            </w:r>
            <w:r>
              <w:t xml:space="preserve">). </w:t>
            </w:r>
          </w:p>
        </w:tc>
        <w:tc>
          <w:tcPr>
            <w:tcW w:w="1247" w:type="dxa"/>
            <w:tcBorders>
              <w:top w:val="single" w:sz="4" w:space="0" w:color="4D7861" w:themeColor="accent2"/>
              <w:bottom w:val="single" w:sz="4" w:space="0" w:color="4D7861" w:themeColor="accent2"/>
            </w:tcBorders>
            <w:shd w:val="clear" w:color="auto" w:fill="DBE4DF"/>
          </w:tcPr>
          <w:p w14:paraId="05023E1D" w14:textId="77777777" w:rsidR="003869E6" w:rsidRPr="00BF4B8B"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DBE4DF"/>
          </w:tcPr>
          <w:p w14:paraId="4215942F" w14:textId="77777777" w:rsidR="003869E6" w:rsidRPr="00BF4B8B"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DBE4DF"/>
          </w:tcPr>
          <w:p w14:paraId="50E2AB03" w14:textId="77777777" w:rsidR="003869E6" w:rsidRPr="00BF4B8B"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DBE4DF"/>
          </w:tcPr>
          <w:p w14:paraId="22C76710" w14:textId="77777777" w:rsidR="003869E6" w:rsidRPr="00BF4B8B"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EDF2EF"/>
          </w:tcPr>
          <w:p w14:paraId="56C9838A" w14:textId="77777777" w:rsidR="003869E6" w:rsidRPr="00BF4B8B"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EDF2EF"/>
          </w:tcPr>
          <w:p w14:paraId="0BC81DDA" w14:textId="77777777" w:rsidR="003869E6" w:rsidRPr="00BF4B8B" w:rsidRDefault="003869E6" w:rsidP="00195B9B">
            <w:pPr>
              <w:pStyle w:val="TableTextLeft"/>
            </w:pPr>
          </w:p>
        </w:tc>
      </w:tr>
      <w:tr w:rsidR="00E6324E" w:rsidRPr="00AF43B7" w14:paraId="58BC2C54" w14:textId="77777777" w:rsidTr="003C67D9">
        <w:trPr>
          <w:cantSplit/>
          <w:trHeight w:val="410"/>
        </w:trPr>
        <w:tc>
          <w:tcPr>
            <w:tcW w:w="794" w:type="dxa"/>
            <w:tcBorders>
              <w:top w:val="single" w:sz="4" w:space="0" w:color="4D7861" w:themeColor="accent2"/>
              <w:bottom w:val="single" w:sz="4" w:space="0" w:color="4D7861" w:themeColor="accent2"/>
            </w:tcBorders>
          </w:tcPr>
          <w:p w14:paraId="57797F04" w14:textId="77777777" w:rsidR="003869E6" w:rsidRPr="00E7433A" w:rsidRDefault="003869E6" w:rsidP="00195B9B">
            <w:pPr>
              <w:pStyle w:val="TableLeadAgency"/>
            </w:pPr>
            <w:r>
              <w:t>TSY</w:t>
            </w:r>
          </w:p>
        </w:tc>
        <w:tc>
          <w:tcPr>
            <w:tcW w:w="1304" w:type="dxa"/>
            <w:tcBorders>
              <w:top w:val="single" w:sz="4" w:space="0" w:color="4D7861" w:themeColor="accent2"/>
              <w:bottom w:val="single" w:sz="4" w:space="0" w:color="4D7861" w:themeColor="accent2"/>
            </w:tcBorders>
          </w:tcPr>
          <w:p w14:paraId="6B0AAB6B" w14:textId="77777777" w:rsidR="003869E6" w:rsidRPr="00F91AB2" w:rsidRDefault="003869E6" w:rsidP="00195B9B">
            <w:pPr>
              <w:pStyle w:val="TableTextLeft"/>
            </w:pPr>
            <w:r w:rsidRPr="00301F93">
              <w:t>All</w:t>
            </w:r>
          </w:p>
        </w:tc>
        <w:tc>
          <w:tcPr>
            <w:tcW w:w="3175" w:type="dxa"/>
            <w:tcBorders>
              <w:top w:val="single" w:sz="4" w:space="0" w:color="4D7861" w:themeColor="accent2"/>
              <w:bottom w:val="single" w:sz="4" w:space="0" w:color="4D7861" w:themeColor="accent2"/>
            </w:tcBorders>
          </w:tcPr>
          <w:p w14:paraId="135F2873" w14:textId="77777777" w:rsidR="003869E6" w:rsidRPr="006031D2" w:rsidRDefault="003869E6" w:rsidP="00195B9B">
            <w:pPr>
              <w:pStyle w:val="TableTextLeft"/>
              <w:rPr>
                <w:b/>
                <w:bCs/>
              </w:rPr>
            </w:pPr>
            <w:r w:rsidRPr="006031D2">
              <w:rPr>
                <w:b/>
                <w:bCs/>
              </w:rPr>
              <w:t>Review of the 2020 Foreign Investment reforms</w:t>
            </w:r>
          </w:p>
          <w:p w14:paraId="449F91ED" w14:textId="726DA0DE" w:rsidR="003869E6" w:rsidRPr="004971E4" w:rsidRDefault="003869E6" w:rsidP="00195B9B">
            <w:pPr>
              <w:pStyle w:val="TableTextLeft"/>
              <w:rPr>
                <w:b/>
              </w:rPr>
            </w:pPr>
            <w:r w:rsidRPr="00EA4063">
              <w:t xml:space="preserve">Treasury will undertake a post </w:t>
            </w:r>
            <w:r w:rsidR="003D486F">
              <w:rPr>
                <w:b/>
              </w:rPr>
              <w:noBreakHyphen/>
            </w:r>
            <w:r w:rsidRPr="00EA4063">
              <w:t>implementation review</w:t>
            </w:r>
            <w:r>
              <w:t xml:space="preserve"> </w:t>
            </w:r>
            <w:r w:rsidRPr="00EA4063">
              <w:t xml:space="preserve">to evaluate the effectiveness of the 2020 Foreign Investment reforms. </w:t>
            </w:r>
          </w:p>
        </w:tc>
        <w:tc>
          <w:tcPr>
            <w:tcW w:w="1247" w:type="dxa"/>
            <w:tcBorders>
              <w:top w:val="single" w:sz="4" w:space="0" w:color="4D7861" w:themeColor="accent2"/>
              <w:bottom w:val="single" w:sz="4" w:space="0" w:color="4D7861" w:themeColor="accent2"/>
            </w:tcBorders>
            <w:shd w:val="clear" w:color="auto" w:fill="DBE4DF"/>
          </w:tcPr>
          <w:p w14:paraId="38AE1C3F" w14:textId="002172B4" w:rsidR="003869E6" w:rsidRPr="00F91AB2" w:rsidRDefault="003869E6" w:rsidP="00195B9B">
            <w:pPr>
              <w:pStyle w:val="TableTextLeft"/>
            </w:pPr>
            <w:r w:rsidRPr="00301F93">
              <w:t>Post</w:t>
            </w:r>
            <w:r w:rsidR="003D486F">
              <w:noBreakHyphen/>
            </w:r>
            <w:r>
              <w:br/>
            </w:r>
            <w:r w:rsidRPr="00301F93">
              <w:t xml:space="preserve">implementation </w:t>
            </w:r>
            <w:proofErr w:type="gramStart"/>
            <w:r w:rsidRPr="00301F93">
              <w:t>review</w:t>
            </w:r>
            <w:proofErr w:type="gramEnd"/>
            <w:r w:rsidRPr="00301F93">
              <w:t xml:space="preserve"> complete</w:t>
            </w:r>
          </w:p>
        </w:tc>
        <w:tc>
          <w:tcPr>
            <w:tcW w:w="1247" w:type="dxa"/>
            <w:tcBorders>
              <w:top w:val="single" w:sz="4" w:space="0" w:color="4D7861" w:themeColor="accent2"/>
              <w:bottom w:val="single" w:sz="4" w:space="0" w:color="4D7861" w:themeColor="accent2"/>
            </w:tcBorders>
            <w:shd w:val="clear" w:color="auto" w:fill="DBE4DF"/>
          </w:tcPr>
          <w:p w14:paraId="0A7E6CFD" w14:textId="77777777" w:rsidR="003869E6" w:rsidRPr="00F91AB2"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DBE4DF"/>
          </w:tcPr>
          <w:p w14:paraId="2F27E00E" w14:textId="77777777" w:rsidR="003869E6" w:rsidRPr="00F91AB2"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DBE4DF"/>
          </w:tcPr>
          <w:p w14:paraId="27CB5121" w14:textId="77777777" w:rsidR="003869E6" w:rsidRPr="00F91AB2" w:rsidDel="006213DB"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DBE4DF"/>
          </w:tcPr>
          <w:p w14:paraId="3DF422E0" w14:textId="77777777" w:rsidR="003869E6" w:rsidRPr="00F91AB2"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EDF2EF"/>
          </w:tcPr>
          <w:p w14:paraId="59EAB494" w14:textId="77777777" w:rsidR="003869E6" w:rsidRPr="00F91AB2"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EDF2EF"/>
          </w:tcPr>
          <w:p w14:paraId="1C1E7D5D" w14:textId="77777777" w:rsidR="003869E6" w:rsidRPr="00F91AB2" w:rsidRDefault="003869E6" w:rsidP="00195B9B">
            <w:pPr>
              <w:pStyle w:val="TableTextLeft"/>
            </w:pPr>
          </w:p>
        </w:tc>
      </w:tr>
      <w:tr w:rsidR="00E6324E" w:rsidRPr="00AF43B7" w14:paraId="490C1DB0" w14:textId="77777777" w:rsidTr="003C67D9">
        <w:trPr>
          <w:cantSplit/>
          <w:trHeight w:val="410"/>
        </w:trPr>
        <w:tc>
          <w:tcPr>
            <w:tcW w:w="794" w:type="dxa"/>
            <w:tcBorders>
              <w:top w:val="single" w:sz="4" w:space="0" w:color="4D7861" w:themeColor="accent2"/>
              <w:bottom w:val="single" w:sz="4" w:space="0" w:color="4D7861" w:themeColor="accent2"/>
            </w:tcBorders>
          </w:tcPr>
          <w:p w14:paraId="45FD80A9" w14:textId="77777777" w:rsidR="003869E6" w:rsidRPr="00E7433A" w:rsidRDefault="003869E6" w:rsidP="00195B9B">
            <w:pPr>
              <w:pStyle w:val="TableLeadAgency"/>
            </w:pPr>
            <w:r>
              <w:lastRenderedPageBreak/>
              <w:t>TSY</w:t>
            </w:r>
          </w:p>
        </w:tc>
        <w:tc>
          <w:tcPr>
            <w:tcW w:w="1304" w:type="dxa"/>
            <w:tcBorders>
              <w:top w:val="single" w:sz="4" w:space="0" w:color="4D7861" w:themeColor="accent2"/>
              <w:bottom w:val="single" w:sz="4" w:space="0" w:color="4D7861" w:themeColor="accent2"/>
            </w:tcBorders>
          </w:tcPr>
          <w:p w14:paraId="293DADAF" w14:textId="77777777" w:rsidR="003869E6" w:rsidRPr="00BF4B8B" w:rsidRDefault="003869E6" w:rsidP="00195B9B">
            <w:pPr>
              <w:pStyle w:val="TableTextLeft"/>
            </w:pPr>
            <w:r>
              <w:t>All</w:t>
            </w:r>
          </w:p>
        </w:tc>
        <w:tc>
          <w:tcPr>
            <w:tcW w:w="3175" w:type="dxa"/>
            <w:tcBorders>
              <w:top w:val="single" w:sz="4" w:space="0" w:color="4D7861" w:themeColor="accent2"/>
              <w:bottom w:val="single" w:sz="4" w:space="0" w:color="4D7861" w:themeColor="accent2"/>
            </w:tcBorders>
          </w:tcPr>
          <w:p w14:paraId="3E3CE7B1" w14:textId="78E5C0B0" w:rsidR="003869E6" w:rsidRPr="00622125" w:rsidRDefault="003869E6" w:rsidP="00622125">
            <w:pPr>
              <w:pStyle w:val="TableLink"/>
            </w:pPr>
            <w:r w:rsidRPr="00622125">
              <w:t>Statutory review of enhanced regulatory sandbox (ERS)</w:t>
            </w:r>
            <w:r w:rsidRPr="00622125">
              <w:rPr>
                <w:u w:val="none"/>
              </w:rPr>
              <w:t xml:space="preserve"> </w:t>
            </w:r>
            <w:r w:rsidR="00622125" w:rsidRPr="00283753">
              <w:rPr>
                <w:rStyle w:val="NewInitiativeChar"/>
                <w:b/>
                <w:bCs/>
                <w:sz w:val="16"/>
                <w:szCs w:val="16"/>
                <w:u w:val="none"/>
              </w:rPr>
              <w:t>(new)</w:t>
            </w:r>
          </w:p>
          <w:p w14:paraId="41915854" w14:textId="199A2483" w:rsidR="003869E6" w:rsidRPr="009831FF" w:rsidRDefault="003869E6" w:rsidP="00195B9B">
            <w:pPr>
              <w:pStyle w:val="TableTextLeft"/>
            </w:pPr>
            <w:r w:rsidRPr="004E7617">
              <w:rPr>
                <w:color w:val="auto"/>
              </w:rPr>
              <w:t xml:space="preserve">The </w:t>
            </w:r>
            <w:r w:rsidRPr="004E7617">
              <w:rPr>
                <w:i/>
                <w:iCs/>
                <w:color w:val="auto"/>
              </w:rPr>
              <w:t xml:space="preserve">Treasury Laws Amendment (2018 Measures No. 2) Act 2020 </w:t>
            </w:r>
            <w:r w:rsidRPr="004E7617">
              <w:rPr>
                <w:color w:val="auto"/>
              </w:rPr>
              <w:t>(</w:t>
            </w:r>
            <w:proofErr w:type="spellStart"/>
            <w:r w:rsidRPr="004E7617">
              <w:rPr>
                <w:color w:val="auto"/>
              </w:rPr>
              <w:t>Cth</w:t>
            </w:r>
            <w:proofErr w:type="spellEnd"/>
            <w:r w:rsidRPr="004E7617">
              <w:rPr>
                <w:color w:val="auto"/>
              </w:rPr>
              <w:t>) requires an independent review of the enhanced regulatory sandbox as soon as practicable after September 2021. The review will provide an opportunity to evaluate the effectiveness of the ERS to ensure it is achieving the objective of promoting innovation within the Australian financial technology sector while balancing associated consumer harm and other risks</w:t>
            </w:r>
            <w:r w:rsidR="003D486F">
              <w:rPr>
                <w:color w:val="auto"/>
              </w:rPr>
              <w:t xml:space="preserve">. </w:t>
            </w:r>
            <w:r w:rsidRPr="004E7617">
              <w:rPr>
                <w:color w:val="auto"/>
              </w:rPr>
              <w:t xml:space="preserve"> </w:t>
            </w:r>
          </w:p>
        </w:tc>
        <w:tc>
          <w:tcPr>
            <w:tcW w:w="1247" w:type="dxa"/>
            <w:tcBorders>
              <w:top w:val="single" w:sz="4" w:space="0" w:color="4D7861" w:themeColor="accent2"/>
              <w:bottom w:val="single" w:sz="4" w:space="0" w:color="4D7861" w:themeColor="accent2"/>
            </w:tcBorders>
            <w:shd w:val="clear" w:color="auto" w:fill="DBE4DF"/>
          </w:tcPr>
          <w:p w14:paraId="7FF65EFC" w14:textId="77777777" w:rsidR="003869E6" w:rsidRPr="00546B01" w:rsidRDefault="003869E6" w:rsidP="00195B9B">
            <w:pPr>
              <w:pStyle w:val="TableTextLeft"/>
            </w:pPr>
            <w:r>
              <w:t xml:space="preserve">Review commences </w:t>
            </w:r>
          </w:p>
        </w:tc>
        <w:tc>
          <w:tcPr>
            <w:tcW w:w="1247" w:type="dxa"/>
            <w:tcBorders>
              <w:top w:val="single" w:sz="4" w:space="0" w:color="4D7861" w:themeColor="accent2"/>
              <w:bottom w:val="single" w:sz="4" w:space="0" w:color="4D7861" w:themeColor="accent2"/>
            </w:tcBorders>
            <w:shd w:val="clear" w:color="auto" w:fill="DBE4DF"/>
          </w:tcPr>
          <w:p w14:paraId="29A6ECE6" w14:textId="77777777" w:rsidR="003869E6" w:rsidRPr="00546B01" w:rsidDel="00F2023F"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DBE4DF"/>
          </w:tcPr>
          <w:p w14:paraId="03DAF712" w14:textId="09F72D55" w:rsidR="003869E6" w:rsidRPr="00546B01" w:rsidRDefault="009C585A" w:rsidP="00195B9B">
            <w:pPr>
              <w:pStyle w:val="TableTextLeft"/>
            </w:pPr>
            <w:r>
              <w:t>Review provided to Minister</w:t>
            </w:r>
          </w:p>
        </w:tc>
        <w:tc>
          <w:tcPr>
            <w:tcW w:w="1247" w:type="dxa"/>
            <w:tcBorders>
              <w:top w:val="single" w:sz="4" w:space="0" w:color="4D7861" w:themeColor="accent2"/>
              <w:bottom w:val="single" w:sz="4" w:space="0" w:color="4D7861" w:themeColor="accent2"/>
            </w:tcBorders>
            <w:shd w:val="clear" w:color="auto" w:fill="DBE4DF"/>
          </w:tcPr>
          <w:p w14:paraId="024513E8" w14:textId="77777777" w:rsidR="003869E6" w:rsidRPr="00546B01"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DBE4DF"/>
          </w:tcPr>
          <w:p w14:paraId="2F195EC2" w14:textId="77777777" w:rsidR="003869E6" w:rsidRPr="00546B01" w:rsidDel="00F2023F"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EDF2EF"/>
          </w:tcPr>
          <w:p w14:paraId="7B550A26" w14:textId="77777777" w:rsidR="003869E6" w:rsidRPr="00546B01" w:rsidRDefault="003869E6" w:rsidP="00195B9B">
            <w:pPr>
              <w:pStyle w:val="TableTextLeft"/>
            </w:pPr>
          </w:p>
        </w:tc>
        <w:tc>
          <w:tcPr>
            <w:tcW w:w="1247" w:type="dxa"/>
            <w:tcBorders>
              <w:top w:val="single" w:sz="4" w:space="0" w:color="4D7861" w:themeColor="accent2"/>
              <w:bottom w:val="single" w:sz="4" w:space="0" w:color="4D7861" w:themeColor="accent2"/>
            </w:tcBorders>
            <w:shd w:val="clear" w:color="auto" w:fill="EDF2EF"/>
          </w:tcPr>
          <w:p w14:paraId="08734433" w14:textId="77777777" w:rsidR="003869E6" w:rsidRPr="00546B01" w:rsidRDefault="003869E6" w:rsidP="00195B9B">
            <w:pPr>
              <w:pStyle w:val="TableTextLeft"/>
            </w:pPr>
          </w:p>
        </w:tc>
      </w:tr>
      <w:tr w:rsidR="00E6324E" w:rsidRPr="00F91AB2" w14:paraId="20F3C8A7" w14:textId="77777777" w:rsidTr="73625B8F">
        <w:trPr>
          <w:cantSplit/>
          <w:trHeight w:val="410"/>
        </w:trPr>
        <w:tc>
          <w:tcPr>
            <w:tcW w:w="794" w:type="dxa"/>
            <w:tcBorders>
              <w:top w:val="single" w:sz="4" w:space="0" w:color="4D7861" w:themeColor="accent2"/>
              <w:bottom w:val="single" w:sz="4" w:space="0" w:color="4D7861" w:themeColor="accent2"/>
            </w:tcBorders>
          </w:tcPr>
          <w:p w14:paraId="70DBB583" w14:textId="77777777" w:rsidR="003869E6" w:rsidRPr="00F91AB2" w:rsidRDefault="003869E6" w:rsidP="00195B9B">
            <w:pPr>
              <w:pStyle w:val="TableLeadAgency"/>
              <w:rPr>
                <w:rStyle w:val="Hyperlink"/>
              </w:rPr>
            </w:pPr>
            <w:r>
              <w:t>TSY</w:t>
            </w:r>
          </w:p>
        </w:tc>
        <w:tc>
          <w:tcPr>
            <w:tcW w:w="1304" w:type="dxa"/>
            <w:tcBorders>
              <w:top w:val="single" w:sz="4" w:space="0" w:color="4D7861" w:themeColor="accent2"/>
              <w:bottom w:val="single" w:sz="4" w:space="0" w:color="4D7861" w:themeColor="accent2"/>
            </w:tcBorders>
          </w:tcPr>
          <w:p w14:paraId="37CF54DB" w14:textId="77777777" w:rsidR="003869E6" w:rsidRPr="00BF4B8B" w:rsidRDefault="003869E6" w:rsidP="00195B9B">
            <w:pPr>
              <w:pStyle w:val="TableTextLeft"/>
              <w:rPr>
                <w:rStyle w:val="Hyperlink"/>
                <w:color w:val="000000"/>
              </w:rPr>
            </w:pPr>
            <w:r>
              <w:t>Insurance and reinsurance</w:t>
            </w:r>
          </w:p>
        </w:tc>
        <w:tc>
          <w:tcPr>
            <w:tcW w:w="3175" w:type="dxa"/>
            <w:tcBorders>
              <w:top w:val="single" w:sz="4" w:space="0" w:color="4D7861" w:themeColor="accent2"/>
              <w:bottom w:val="single" w:sz="4" w:space="0" w:color="4D7861" w:themeColor="accent2"/>
            </w:tcBorders>
          </w:tcPr>
          <w:p w14:paraId="27F72F8D" w14:textId="1AB296DF" w:rsidR="003869E6" w:rsidRPr="00622125" w:rsidRDefault="003869E6" w:rsidP="00622125">
            <w:pPr>
              <w:pStyle w:val="TableLink"/>
            </w:pPr>
            <w:r w:rsidRPr="00622125">
              <w:t>Statutory review of the Act enabling the terrorism and cyclone reinsurance pools</w:t>
            </w:r>
            <w:r w:rsidRPr="00622125">
              <w:rPr>
                <w:u w:val="none"/>
              </w:rPr>
              <w:t xml:space="preserve"> </w:t>
            </w:r>
            <w:r w:rsidR="00622125" w:rsidRPr="00283753">
              <w:rPr>
                <w:rStyle w:val="NewInitiativeChar"/>
                <w:b/>
                <w:bCs/>
                <w:sz w:val="16"/>
                <w:szCs w:val="16"/>
                <w:u w:val="none"/>
              </w:rPr>
              <w:t>(new)</w:t>
            </w:r>
          </w:p>
          <w:p w14:paraId="50E7ED78" w14:textId="570C1251" w:rsidR="003869E6" w:rsidRPr="00195B9B" w:rsidRDefault="003869E6" w:rsidP="00195B9B">
            <w:pPr>
              <w:pStyle w:val="TableLink"/>
              <w:rPr>
                <w:rStyle w:val="Hyperlink"/>
                <w:b w:val="0"/>
                <w:bCs/>
              </w:rPr>
            </w:pPr>
            <w:r w:rsidRPr="00195B9B">
              <w:rPr>
                <w:b w:val="0"/>
                <w:bCs/>
                <w:color w:val="auto"/>
                <w:u w:val="none"/>
              </w:rPr>
              <w:t xml:space="preserve">The </w:t>
            </w:r>
            <w:r w:rsidRPr="00195B9B">
              <w:rPr>
                <w:b w:val="0"/>
                <w:bCs/>
                <w:i/>
                <w:iCs/>
                <w:color w:val="auto"/>
                <w:u w:val="none"/>
              </w:rPr>
              <w:t>Terrorism and Cyclone Insurance Act 2003</w:t>
            </w:r>
            <w:r w:rsidRPr="00195B9B">
              <w:rPr>
                <w:b w:val="0"/>
                <w:bCs/>
                <w:color w:val="auto"/>
                <w:u w:val="none"/>
              </w:rPr>
              <w:t xml:space="preserve"> requires that a report that reviews the need for the Act to continue be prepared as soon as practicable after 1 July 2025. This will be the first time the Act is reviewed following implementation of the cyclone reinsurance pool.</w:t>
            </w:r>
            <w:r>
              <w:rPr>
                <w:b w:val="0"/>
                <w:bCs/>
                <w:color w:val="auto"/>
                <w:u w:val="none"/>
              </w:rPr>
              <w:t xml:space="preserve"> Further steps to be announced in due course.</w:t>
            </w:r>
          </w:p>
        </w:tc>
        <w:tc>
          <w:tcPr>
            <w:tcW w:w="1247" w:type="dxa"/>
            <w:tcBorders>
              <w:top w:val="single" w:sz="4" w:space="0" w:color="4D7861" w:themeColor="accent2"/>
              <w:bottom w:val="single" w:sz="4" w:space="0" w:color="4D7861" w:themeColor="accent2"/>
            </w:tcBorders>
            <w:shd w:val="clear" w:color="auto" w:fill="DBE4DF"/>
          </w:tcPr>
          <w:p w14:paraId="6C8DE5BD" w14:textId="4443C676" w:rsidR="003869E6" w:rsidRPr="00BF4B8B" w:rsidRDefault="00373DFE" w:rsidP="00195B9B">
            <w:pPr>
              <w:pStyle w:val="TableTextLeft"/>
              <w:rPr>
                <w:rStyle w:val="Hyperlink"/>
                <w:color w:val="000000"/>
              </w:rPr>
            </w:pPr>
            <w:r>
              <w:rPr>
                <w:rStyle w:val="Hyperlink"/>
                <w:color w:val="000000"/>
              </w:rPr>
              <w:t>Public consultation</w:t>
            </w:r>
          </w:p>
        </w:tc>
        <w:tc>
          <w:tcPr>
            <w:tcW w:w="1247" w:type="dxa"/>
            <w:tcBorders>
              <w:top w:val="single" w:sz="4" w:space="0" w:color="4D7861" w:themeColor="accent2"/>
              <w:bottom w:val="single" w:sz="4" w:space="0" w:color="4D7861" w:themeColor="accent2"/>
            </w:tcBorders>
            <w:shd w:val="clear" w:color="auto" w:fill="DBE4DF"/>
          </w:tcPr>
          <w:p w14:paraId="1AB37900" w14:textId="77777777" w:rsidR="003869E6" w:rsidRPr="00BF4B8B" w:rsidDel="00F2023F" w:rsidRDefault="003869E6" w:rsidP="00195B9B">
            <w:pPr>
              <w:pStyle w:val="TableTextLeft"/>
              <w:rPr>
                <w:rStyle w:val="Hyperlink"/>
                <w:color w:val="000000"/>
              </w:rPr>
            </w:pPr>
          </w:p>
        </w:tc>
        <w:tc>
          <w:tcPr>
            <w:tcW w:w="1247" w:type="dxa"/>
            <w:tcBorders>
              <w:top w:val="single" w:sz="4" w:space="0" w:color="4D7861" w:themeColor="accent2"/>
              <w:bottom w:val="single" w:sz="4" w:space="0" w:color="4D7861" w:themeColor="accent2"/>
            </w:tcBorders>
            <w:shd w:val="clear" w:color="auto" w:fill="DBE4DF"/>
          </w:tcPr>
          <w:p w14:paraId="7235B9DB" w14:textId="77777777" w:rsidR="003869E6" w:rsidRPr="00BF4B8B" w:rsidRDefault="003869E6" w:rsidP="00195B9B">
            <w:pPr>
              <w:pStyle w:val="TableTextLeft"/>
              <w:rPr>
                <w:rStyle w:val="Hyperlink"/>
                <w:color w:val="000000"/>
              </w:rPr>
            </w:pPr>
          </w:p>
        </w:tc>
        <w:tc>
          <w:tcPr>
            <w:tcW w:w="1247" w:type="dxa"/>
            <w:tcBorders>
              <w:top w:val="single" w:sz="4" w:space="0" w:color="4D7861" w:themeColor="accent2"/>
              <w:bottom w:val="single" w:sz="4" w:space="0" w:color="4D7861" w:themeColor="accent2"/>
            </w:tcBorders>
            <w:shd w:val="clear" w:color="auto" w:fill="DBE4DF"/>
          </w:tcPr>
          <w:p w14:paraId="122803FE" w14:textId="77777777" w:rsidR="003869E6" w:rsidRPr="00BF4B8B" w:rsidRDefault="003869E6" w:rsidP="00195B9B">
            <w:pPr>
              <w:pStyle w:val="TableTextLeft"/>
              <w:rPr>
                <w:rStyle w:val="Hyperlink"/>
                <w:color w:val="000000"/>
              </w:rPr>
            </w:pPr>
          </w:p>
        </w:tc>
        <w:tc>
          <w:tcPr>
            <w:tcW w:w="1247" w:type="dxa"/>
            <w:tcBorders>
              <w:top w:val="single" w:sz="4" w:space="0" w:color="4D7861" w:themeColor="accent2"/>
              <w:bottom w:val="single" w:sz="4" w:space="0" w:color="4D7861" w:themeColor="accent2"/>
            </w:tcBorders>
            <w:shd w:val="clear" w:color="auto" w:fill="DBE4DF"/>
          </w:tcPr>
          <w:p w14:paraId="242DDD73" w14:textId="77777777" w:rsidR="003869E6" w:rsidRPr="00BF4B8B" w:rsidDel="00F2023F" w:rsidRDefault="003869E6" w:rsidP="00195B9B">
            <w:pPr>
              <w:pStyle w:val="TableTextLeft"/>
              <w:rPr>
                <w:rStyle w:val="Hyperlink"/>
                <w:color w:val="000000"/>
              </w:rPr>
            </w:pPr>
          </w:p>
        </w:tc>
        <w:tc>
          <w:tcPr>
            <w:tcW w:w="1247" w:type="dxa"/>
            <w:tcBorders>
              <w:top w:val="single" w:sz="4" w:space="0" w:color="4D7861" w:themeColor="accent2"/>
              <w:bottom w:val="single" w:sz="4" w:space="0" w:color="4D7861" w:themeColor="accent2"/>
            </w:tcBorders>
            <w:shd w:val="clear" w:color="auto" w:fill="EDF2EF"/>
          </w:tcPr>
          <w:p w14:paraId="0E9544C5" w14:textId="77777777" w:rsidR="003869E6" w:rsidRPr="00BF4B8B" w:rsidRDefault="003869E6" w:rsidP="00195B9B">
            <w:pPr>
              <w:pStyle w:val="TableTextLeft"/>
              <w:rPr>
                <w:rStyle w:val="Hyperlink"/>
                <w:color w:val="000000"/>
              </w:rPr>
            </w:pPr>
          </w:p>
        </w:tc>
        <w:tc>
          <w:tcPr>
            <w:tcW w:w="1247" w:type="dxa"/>
            <w:tcBorders>
              <w:top w:val="single" w:sz="4" w:space="0" w:color="4D7861" w:themeColor="accent2"/>
              <w:bottom w:val="single" w:sz="4" w:space="0" w:color="4D7861" w:themeColor="accent2"/>
            </w:tcBorders>
            <w:shd w:val="clear" w:color="auto" w:fill="EDF2EF"/>
          </w:tcPr>
          <w:p w14:paraId="0F7BF1B1" w14:textId="77777777" w:rsidR="003869E6" w:rsidRPr="00BF4B8B" w:rsidRDefault="003869E6" w:rsidP="00195B9B">
            <w:pPr>
              <w:pStyle w:val="TableTextLeft"/>
              <w:rPr>
                <w:rStyle w:val="Hyperlink"/>
                <w:color w:val="000000"/>
              </w:rPr>
            </w:pPr>
          </w:p>
        </w:tc>
      </w:tr>
    </w:tbl>
    <w:p w14:paraId="054EBB3B" w14:textId="77777777" w:rsidR="009831FF" w:rsidRDefault="009831FF" w:rsidP="0069353D">
      <w:pPr>
        <w:spacing w:before="0" w:after="160" w:line="259" w:lineRule="auto"/>
        <w:rPr>
          <w:rFonts w:cstheme="minorBidi"/>
        </w:rPr>
        <w:sectPr w:rsidR="009831FF" w:rsidSect="00106330">
          <w:pgSz w:w="16838" w:h="11906" w:orient="landscape" w:code="9"/>
          <w:pgMar w:top="1843" w:right="1418" w:bottom="1021" w:left="1418" w:header="709" w:footer="397" w:gutter="0"/>
          <w:cols w:space="708"/>
          <w:docGrid w:linePitch="360"/>
        </w:sectPr>
      </w:pPr>
    </w:p>
    <w:p w14:paraId="784FAF6B" w14:textId="7E5691D4" w:rsidR="00EA546D" w:rsidRPr="009831FF" w:rsidRDefault="0019155C" w:rsidP="009831FF">
      <w:pPr>
        <w:pStyle w:val="Heading1"/>
        <w:spacing w:before="0"/>
      </w:pPr>
      <w:bookmarkStart w:id="49" w:name="_Toc210050737"/>
      <w:r w:rsidRPr="009831FF">
        <w:lastRenderedPageBreak/>
        <w:t xml:space="preserve">Changes to </w:t>
      </w:r>
      <w:r w:rsidR="003941BB" w:rsidRPr="009831FF">
        <w:t xml:space="preserve">initiatives included in </w:t>
      </w:r>
      <w:r w:rsidR="006F6B34" w:rsidRPr="009831FF">
        <w:t>Edition 1</w:t>
      </w:r>
      <w:bookmarkEnd w:id="49"/>
      <w:r w:rsidR="00CF69B4" w:rsidRPr="009831FF">
        <w:t xml:space="preserve"> </w:t>
      </w:r>
    </w:p>
    <w:p w14:paraId="6361AFDF" w14:textId="103B5CC5" w:rsidR="13F0EF37" w:rsidRDefault="13F0EF37" w:rsidP="1D6F8193">
      <w:r>
        <w:t>Th</w:t>
      </w:r>
      <w:r w:rsidR="00431447">
        <w:t>is</w:t>
      </w:r>
      <w:r>
        <w:t xml:space="preserve"> table outlines changes to the initiative </w:t>
      </w:r>
      <w:r w:rsidR="00210752">
        <w:t>name</w:t>
      </w:r>
      <w:r>
        <w:t xml:space="preserve"> or to milestones between edition 1 and this edition of the RIG. </w:t>
      </w:r>
      <w:r w:rsidR="00FE60FF">
        <w:t>In addition, s</w:t>
      </w:r>
      <w:r w:rsidR="003F528B">
        <w:t>everal</w:t>
      </w:r>
      <w:r w:rsidR="004B17F4">
        <w:t xml:space="preserve"> initiatives had the lead agency changes from Attorney General</w:t>
      </w:r>
      <w:r w:rsidR="003D486F">
        <w:t>’</w:t>
      </w:r>
      <w:r w:rsidR="004B17F4">
        <w:t xml:space="preserve">s Department to Treasury or to Home Affairs due to the machinery of government changes. </w:t>
      </w:r>
    </w:p>
    <w:tbl>
      <w:tblPr>
        <w:tblStyle w:val="PlainTable4"/>
        <w:tblW w:w="5000" w:type="pct"/>
        <w:tblLayout w:type="fixed"/>
        <w:tblLook w:val="06A0" w:firstRow="1" w:lastRow="0" w:firstColumn="1" w:lastColumn="0" w:noHBand="1" w:noVBand="1"/>
      </w:tblPr>
      <w:tblGrid>
        <w:gridCol w:w="4496"/>
        <w:gridCol w:w="4496"/>
        <w:gridCol w:w="5010"/>
      </w:tblGrid>
      <w:tr w:rsidR="003869E6" w:rsidRPr="00AF43B7" w14:paraId="11CC1644" w14:textId="77777777" w:rsidTr="00916BC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96" w:type="dxa"/>
            <w:shd w:val="clear" w:color="auto" w:fill="474747" w:themeFill="text2" w:themeFillShade="BF"/>
            <w:vAlign w:val="center"/>
          </w:tcPr>
          <w:p w14:paraId="485A9CEA" w14:textId="77777777" w:rsidR="003869E6" w:rsidRPr="00D50A40" w:rsidRDefault="003869E6" w:rsidP="00D50A40">
            <w:pPr>
              <w:pStyle w:val="TableColumnHeadingLeft"/>
              <w:rPr>
                <w:b/>
                <w:bCs w:val="0"/>
                <w:color w:val="FFFFFF" w:themeColor="background1"/>
              </w:rPr>
            </w:pPr>
            <w:r w:rsidRPr="00D50A40">
              <w:rPr>
                <w:b/>
                <w:bCs w:val="0"/>
                <w:color w:val="FFFFFF" w:themeColor="background1"/>
              </w:rPr>
              <w:t>Initiative</w:t>
            </w:r>
          </w:p>
        </w:tc>
        <w:tc>
          <w:tcPr>
            <w:tcW w:w="4496" w:type="dxa"/>
            <w:shd w:val="clear" w:color="auto" w:fill="474747" w:themeFill="text2" w:themeFillShade="BF"/>
            <w:vAlign w:val="center"/>
            <w:hideMark/>
          </w:tcPr>
          <w:p w14:paraId="5742AA07" w14:textId="77777777" w:rsidR="003869E6" w:rsidRPr="00D50A40" w:rsidRDefault="003869E6" w:rsidP="00D50A40">
            <w:pPr>
              <w:pStyle w:val="TableColumnHeadingLeft"/>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D50A40">
              <w:rPr>
                <w:b/>
                <w:bCs w:val="0"/>
                <w:color w:val="FFFFFF" w:themeColor="background1"/>
              </w:rPr>
              <w:t>Changes</w:t>
            </w:r>
          </w:p>
        </w:tc>
        <w:tc>
          <w:tcPr>
            <w:tcW w:w="5010" w:type="dxa"/>
            <w:shd w:val="clear" w:color="auto" w:fill="474747" w:themeFill="text2" w:themeFillShade="BF"/>
            <w:vAlign w:val="center"/>
          </w:tcPr>
          <w:p w14:paraId="3381B366" w14:textId="77777777" w:rsidR="003869E6" w:rsidRPr="00D50A40" w:rsidRDefault="003869E6" w:rsidP="00D50A40">
            <w:pPr>
              <w:pStyle w:val="TableColumnHeadingLeft"/>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D50A40">
              <w:rPr>
                <w:b/>
                <w:bCs w:val="0"/>
                <w:color w:val="FFFFFF" w:themeColor="background1"/>
              </w:rPr>
              <w:t>Reason for the change</w:t>
            </w:r>
          </w:p>
        </w:tc>
      </w:tr>
      <w:tr w:rsidR="003869E6" w14:paraId="2B613AFB" w14:textId="77777777" w:rsidTr="00916BCA">
        <w:trPr>
          <w:trHeight w:val="410"/>
        </w:trPr>
        <w:tc>
          <w:tcPr>
            <w:cnfStyle w:val="001000000000" w:firstRow="0" w:lastRow="0" w:firstColumn="1" w:lastColumn="0" w:oddVBand="0" w:evenVBand="0" w:oddHBand="0" w:evenHBand="0" w:firstRowFirstColumn="0" w:firstRowLastColumn="0" w:lastRowFirstColumn="0" w:lastRowLastColumn="0"/>
            <w:tcW w:w="4496" w:type="dxa"/>
            <w:tcBorders>
              <w:bottom w:val="single" w:sz="4" w:space="0" w:color="5F5F5F" w:themeColor="text2"/>
            </w:tcBorders>
            <w:shd w:val="clear" w:color="auto" w:fill="FFFFFF" w:themeFill="background1"/>
            <w:vAlign w:val="center"/>
          </w:tcPr>
          <w:p w14:paraId="5D7EE9BF" w14:textId="77777777" w:rsidR="003869E6" w:rsidRPr="00D50A40" w:rsidRDefault="003869E6" w:rsidP="003C67D9">
            <w:pPr>
              <w:pStyle w:val="TableLink"/>
              <w:rPr>
                <w:b/>
                <w:bCs w:val="0"/>
              </w:rPr>
            </w:pPr>
            <w:r w:rsidRPr="00D50A40">
              <w:rPr>
                <w:b/>
                <w:bCs w:val="0"/>
              </w:rPr>
              <w:t>Digital Asset Platform reforms</w:t>
            </w:r>
          </w:p>
        </w:tc>
        <w:tc>
          <w:tcPr>
            <w:tcW w:w="4496" w:type="dxa"/>
            <w:tcBorders>
              <w:bottom w:val="single" w:sz="4" w:space="0" w:color="5F5F5F" w:themeColor="text2"/>
            </w:tcBorders>
            <w:shd w:val="clear" w:color="auto" w:fill="FFFFFF" w:themeFill="background1"/>
            <w:vAlign w:val="center"/>
          </w:tcPr>
          <w:p w14:paraId="68DA2352" w14:textId="77777777" w:rsidR="003869E6" w:rsidRDefault="003869E6" w:rsidP="003C67D9">
            <w:pPr>
              <w:pStyle w:val="TableTextLeft"/>
              <w:cnfStyle w:val="000000000000" w:firstRow="0" w:lastRow="0" w:firstColumn="0" w:lastColumn="0" w:oddVBand="0" w:evenVBand="0" w:oddHBand="0" w:evenHBand="0" w:firstRowFirstColumn="0" w:firstRowLastColumn="0" w:lastRowFirstColumn="0" w:lastRowLastColumn="0"/>
            </w:pPr>
            <w:r>
              <w:t>Q2 2025 milestone moved to Q4 2025</w:t>
            </w:r>
          </w:p>
        </w:tc>
        <w:tc>
          <w:tcPr>
            <w:tcW w:w="5010" w:type="dxa"/>
            <w:tcBorders>
              <w:bottom w:val="single" w:sz="4" w:space="0" w:color="5F5F5F" w:themeColor="text2"/>
            </w:tcBorders>
            <w:shd w:val="clear" w:color="auto" w:fill="FFFFFF" w:themeFill="background1"/>
            <w:vAlign w:val="center"/>
          </w:tcPr>
          <w:p w14:paraId="1389DFF3" w14:textId="77777777" w:rsidR="003869E6" w:rsidRDefault="003869E6" w:rsidP="003C67D9">
            <w:pPr>
              <w:pStyle w:val="TableTextLeft"/>
              <w:cnfStyle w:val="000000000000" w:firstRow="0" w:lastRow="0" w:firstColumn="0" w:lastColumn="0" w:oddVBand="0" w:evenVBand="0" w:oddHBand="0" w:evenHBand="0" w:firstRowFirstColumn="0" w:firstRowLastColumn="0" w:lastRowFirstColumn="0" w:lastRowLastColumn="0"/>
            </w:pPr>
            <w:r>
              <w:t>The public commitment was consultation by the end of 2025</w:t>
            </w:r>
          </w:p>
        </w:tc>
      </w:tr>
      <w:tr w:rsidR="003869E6" w:rsidRPr="000A6BD2" w14:paraId="1A527CF0" w14:textId="77777777" w:rsidTr="00916BCA">
        <w:trPr>
          <w:trHeight w:val="410"/>
        </w:trPr>
        <w:tc>
          <w:tcPr>
            <w:cnfStyle w:val="001000000000" w:firstRow="0" w:lastRow="0" w:firstColumn="1" w:lastColumn="0" w:oddVBand="0" w:evenVBand="0" w:oddHBand="0" w:evenHBand="0" w:firstRowFirstColumn="0" w:firstRowLastColumn="0" w:lastRowFirstColumn="0" w:lastRowLastColumn="0"/>
            <w:tcW w:w="4496" w:type="dxa"/>
            <w:tcBorders>
              <w:top w:val="single" w:sz="4" w:space="0" w:color="5F5F5F" w:themeColor="text2"/>
              <w:bottom w:val="single" w:sz="4" w:space="0" w:color="5F5F5F" w:themeColor="text2"/>
            </w:tcBorders>
            <w:shd w:val="clear" w:color="auto" w:fill="FFFFFF" w:themeFill="background1"/>
            <w:vAlign w:val="center"/>
          </w:tcPr>
          <w:p w14:paraId="13898725" w14:textId="4F29FB02" w:rsidR="003869E6" w:rsidRPr="003C67D9" w:rsidRDefault="003869E6" w:rsidP="003C67D9">
            <w:pPr>
              <w:pStyle w:val="TableTextLeft"/>
            </w:pPr>
            <w:r w:rsidRPr="003C67D9">
              <w:rPr>
                <w:rStyle w:val="Hyperlink"/>
                <w:color w:val="000000"/>
              </w:rPr>
              <w:t>Foreign investment portal for investors and agents</w:t>
            </w:r>
          </w:p>
        </w:tc>
        <w:tc>
          <w:tcPr>
            <w:tcW w:w="4496" w:type="dxa"/>
            <w:tcBorders>
              <w:top w:val="single" w:sz="4" w:space="0" w:color="5F5F5F" w:themeColor="text2"/>
              <w:bottom w:val="single" w:sz="4" w:space="0" w:color="5F5F5F" w:themeColor="text2"/>
            </w:tcBorders>
            <w:shd w:val="clear" w:color="auto" w:fill="FFFFFF" w:themeFill="background1"/>
            <w:vAlign w:val="center"/>
          </w:tcPr>
          <w:p w14:paraId="1E124E57" w14:textId="77777777" w:rsidR="003869E6" w:rsidRPr="00A25AFC" w:rsidRDefault="003869E6" w:rsidP="003C67D9">
            <w:pPr>
              <w:pStyle w:val="TableColumnHeadingLeft"/>
              <w:cnfStyle w:val="000000000000" w:firstRow="0" w:lastRow="0" w:firstColumn="0" w:lastColumn="0" w:oddVBand="0" w:evenVBand="0" w:oddHBand="0" w:evenHBand="0" w:firstRowFirstColumn="0" w:firstRowLastColumn="0" w:lastRowFirstColumn="0" w:lastRowLastColumn="0"/>
              <w:rPr>
                <w:b w:val="0"/>
                <w:bCs/>
                <w:sz w:val="16"/>
                <w:szCs w:val="16"/>
              </w:rPr>
            </w:pPr>
            <w:r>
              <w:rPr>
                <w:b w:val="0"/>
                <w:bCs/>
                <w:sz w:val="16"/>
                <w:szCs w:val="16"/>
              </w:rPr>
              <w:t>Initiative removed from table (ongoing program implementation)</w:t>
            </w:r>
          </w:p>
        </w:tc>
        <w:tc>
          <w:tcPr>
            <w:tcW w:w="5010" w:type="dxa"/>
            <w:tcBorders>
              <w:top w:val="single" w:sz="4" w:space="0" w:color="5F5F5F" w:themeColor="text2"/>
              <w:bottom w:val="single" w:sz="4" w:space="0" w:color="5F5F5F" w:themeColor="text2"/>
            </w:tcBorders>
            <w:shd w:val="clear" w:color="auto" w:fill="FFFFFF" w:themeFill="background1"/>
            <w:vAlign w:val="center"/>
          </w:tcPr>
          <w:p w14:paraId="3F54266A" w14:textId="77777777" w:rsidR="003869E6" w:rsidRPr="00A25AFC" w:rsidRDefault="003869E6" w:rsidP="003C67D9">
            <w:pPr>
              <w:pStyle w:val="TableColumnHeadingLeft"/>
              <w:cnfStyle w:val="000000000000" w:firstRow="0" w:lastRow="0" w:firstColumn="0" w:lastColumn="0" w:oddVBand="0" w:evenVBand="0" w:oddHBand="0" w:evenHBand="0" w:firstRowFirstColumn="0" w:firstRowLastColumn="0" w:lastRowFirstColumn="0" w:lastRowLastColumn="0"/>
              <w:rPr>
                <w:b w:val="0"/>
                <w:bCs/>
                <w:sz w:val="16"/>
                <w:szCs w:val="16"/>
              </w:rPr>
            </w:pPr>
            <w:r>
              <w:rPr>
                <w:b w:val="0"/>
                <w:bCs/>
                <w:sz w:val="16"/>
                <w:szCs w:val="16"/>
              </w:rPr>
              <w:t xml:space="preserve">The portal has been implemented </w:t>
            </w:r>
          </w:p>
        </w:tc>
      </w:tr>
      <w:tr w:rsidR="003869E6" w:rsidRPr="000A6BD2" w14:paraId="5B5C9D25" w14:textId="77777777" w:rsidTr="00916BCA">
        <w:trPr>
          <w:trHeight w:val="410"/>
        </w:trPr>
        <w:tc>
          <w:tcPr>
            <w:cnfStyle w:val="001000000000" w:firstRow="0" w:lastRow="0" w:firstColumn="1" w:lastColumn="0" w:oddVBand="0" w:evenVBand="0" w:oddHBand="0" w:evenHBand="0" w:firstRowFirstColumn="0" w:firstRowLastColumn="0" w:lastRowFirstColumn="0" w:lastRowLastColumn="0"/>
            <w:tcW w:w="4496" w:type="dxa"/>
            <w:tcBorders>
              <w:top w:val="single" w:sz="4" w:space="0" w:color="5F5F5F" w:themeColor="text2"/>
              <w:bottom w:val="single" w:sz="4" w:space="0" w:color="5F5F5F" w:themeColor="text2"/>
            </w:tcBorders>
            <w:shd w:val="clear" w:color="auto" w:fill="FFFFFF" w:themeFill="background1"/>
            <w:vAlign w:val="center"/>
          </w:tcPr>
          <w:p w14:paraId="698FC127" w14:textId="77777777" w:rsidR="003869E6" w:rsidRPr="003C67D9" w:rsidRDefault="003869E6" w:rsidP="003C67D9">
            <w:pPr>
              <w:pStyle w:val="TableTextLeft"/>
              <w:rPr>
                <w:rStyle w:val="Hyperlink"/>
                <w:color w:val="000000"/>
              </w:rPr>
            </w:pPr>
            <w:r w:rsidRPr="003C67D9">
              <w:t>General insurance reinsurance: Review reinsurance prudential requirements</w:t>
            </w:r>
          </w:p>
        </w:tc>
        <w:tc>
          <w:tcPr>
            <w:tcW w:w="4496" w:type="dxa"/>
            <w:tcBorders>
              <w:top w:val="single" w:sz="4" w:space="0" w:color="5F5F5F" w:themeColor="text2"/>
              <w:bottom w:val="single" w:sz="4" w:space="0" w:color="5F5F5F" w:themeColor="text2"/>
            </w:tcBorders>
            <w:shd w:val="clear" w:color="auto" w:fill="FFFFFF" w:themeFill="background1"/>
            <w:vAlign w:val="center"/>
          </w:tcPr>
          <w:p w14:paraId="4AF1D753" w14:textId="2A9BF8CC" w:rsidR="003869E6" w:rsidRPr="00A25AFC" w:rsidRDefault="003869E6" w:rsidP="003C67D9">
            <w:pPr>
              <w:pStyle w:val="TableColumnHeadingLeft"/>
              <w:cnfStyle w:val="000000000000" w:firstRow="0" w:lastRow="0" w:firstColumn="0" w:lastColumn="0" w:oddVBand="0" w:evenVBand="0" w:oddHBand="0" w:evenHBand="0" w:firstRowFirstColumn="0" w:firstRowLastColumn="0" w:lastRowFirstColumn="0" w:lastRowLastColumn="0"/>
              <w:rPr>
                <w:rStyle w:val="Hyperlink"/>
                <w:b w:val="0"/>
                <w:color w:val="000000"/>
              </w:rPr>
            </w:pPr>
            <w:r w:rsidRPr="00A25AFC">
              <w:rPr>
                <w:b w:val="0"/>
                <w:bCs/>
                <w:sz w:val="16"/>
                <w:szCs w:val="16"/>
              </w:rPr>
              <w:t xml:space="preserve">Consultation </w:t>
            </w:r>
            <w:r>
              <w:rPr>
                <w:b w:val="0"/>
                <w:bCs/>
                <w:sz w:val="16"/>
                <w:szCs w:val="16"/>
              </w:rPr>
              <w:t>moved from Q2 2025</w:t>
            </w:r>
            <w:r w:rsidRPr="00A25AFC">
              <w:rPr>
                <w:b w:val="0"/>
                <w:bCs/>
                <w:sz w:val="16"/>
                <w:szCs w:val="16"/>
              </w:rPr>
              <w:t xml:space="preserve"> to Q4 </w:t>
            </w:r>
            <w:proofErr w:type="gramStart"/>
            <w:r w:rsidRPr="00A25AFC">
              <w:rPr>
                <w:b w:val="0"/>
                <w:bCs/>
                <w:sz w:val="16"/>
                <w:szCs w:val="16"/>
              </w:rPr>
              <w:t>2025</w:t>
            </w:r>
            <w:proofErr w:type="gramEnd"/>
            <w:r w:rsidRPr="00A25AFC">
              <w:rPr>
                <w:b w:val="0"/>
                <w:bCs/>
                <w:sz w:val="16"/>
                <w:szCs w:val="16"/>
              </w:rPr>
              <w:t xml:space="preserve"> and commencement of the framework </w:t>
            </w:r>
            <w:r>
              <w:rPr>
                <w:b w:val="0"/>
                <w:bCs/>
                <w:sz w:val="16"/>
                <w:szCs w:val="16"/>
              </w:rPr>
              <w:t xml:space="preserve">moved from Q1 </w:t>
            </w:r>
            <w:r w:rsidRPr="38071DB1">
              <w:rPr>
                <w:b w:val="0"/>
                <w:sz w:val="16"/>
                <w:szCs w:val="16"/>
              </w:rPr>
              <w:t>2026</w:t>
            </w:r>
            <w:r w:rsidRPr="00A25AFC">
              <w:rPr>
                <w:b w:val="0"/>
                <w:bCs/>
                <w:sz w:val="16"/>
                <w:szCs w:val="16"/>
              </w:rPr>
              <w:t xml:space="preserve"> to </w:t>
            </w:r>
            <w:r w:rsidRPr="38071DB1">
              <w:rPr>
                <w:b w:val="0"/>
                <w:sz w:val="16"/>
                <w:szCs w:val="16"/>
              </w:rPr>
              <w:t>Q2</w:t>
            </w:r>
            <w:r w:rsidR="00A956DD">
              <w:rPr>
                <w:b w:val="0"/>
                <w:bCs/>
                <w:sz w:val="16"/>
                <w:szCs w:val="16"/>
              </w:rPr>
              <w:t> </w:t>
            </w:r>
            <w:r w:rsidRPr="00A25AFC">
              <w:rPr>
                <w:b w:val="0"/>
                <w:bCs/>
                <w:sz w:val="16"/>
                <w:szCs w:val="16"/>
              </w:rPr>
              <w:t>2026.</w:t>
            </w:r>
          </w:p>
        </w:tc>
        <w:tc>
          <w:tcPr>
            <w:tcW w:w="5010" w:type="dxa"/>
            <w:tcBorders>
              <w:top w:val="single" w:sz="4" w:space="0" w:color="5F5F5F" w:themeColor="text2"/>
              <w:bottom w:val="single" w:sz="4" w:space="0" w:color="5F5F5F" w:themeColor="text2"/>
            </w:tcBorders>
            <w:shd w:val="clear" w:color="auto" w:fill="FFFFFF" w:themeFill="background1"/>
            <w:vAlign w:val="center"/>
          </w:tcPr>
          <w:p w14:paraId="008A7950" w14:textId="1C93BEED" w:rsidR="003869E6" w:rsidRPr="00D50A40" w:rsidRDefault="003869E6" w:rsidP="003C67D9">
            <w:pPr>
              <w:pStyle w:val="TableColumnHeadingLeft"/>
              <w:cnfStyle w:val="000000000000" w:firstRow="0" w:lastRow="0" w:firstColumn="0" w:lastColumn="0" w:oddVBand="0" w:evenVBand="0" w:oddHBand="0" w:evenHBand="0" w:firstRowFirstColumn="0" w:firstRowLastColumn="0" w:lastRowFirstColumn="0" w:lastRowLastColumn="0"/>
              <w:rPr>
                <w:rStyle w:val="Hyperlink"/>
                <w:b w:val="0"/>
                <w:color w:val="auto"/>
              </w:rPr>
            </w:pPr>
            <w:r w:rsidRPr="3ACB101B">
              <w:rPr>
                <w:b w:val="0"/>
                <w:color w:val="auto"/>
                <w:sz w:val="16"/>
                <w:szCs w:val="16"/>
              </w:rPr>
              <w:t>Additional time is required to allow for a more comprehensive and considered approach</w:t>
            </w:r>
            <w:r w:rsidR="003D486F">
              <w:rPr>
                <w:b w:val="0"/>
                <w:color w:val="auto"/>
                <w:sz w:val="16"/>
                <w:szCs w:val="16"/>
              </w:rPr>
              <w:t xml:space="preserve">. </w:t>
            </w:r>
          </w:p>
        </w:tc>
      </w:tr>
      <w:tr w:rsidR="003869E6" w:rsidRPr="000A6BD2" w14:paraId="65890A61" w14:textId="77777777" w:rsidTr="00916BCA">
        <w:trPr>
          <w:trHeight w:val="410"/>
        </w:trPr>
        <w:tc>
          <w:tcPr>
            <w:cnfStyle w:val="001000000000" w:firstRow="0" w:lastRow="0" w:firstColumn="1" w:lastColumn="0" w:oddVBand="0" w:evenVBand="0" w:oddHBand="0" w:evenHBand="0" w:firstRowFirstColumn="0" w:firstRowLastColumn="0" w:lastRowFirstColumn="0" w:lastRowLastColumn="0"/>
            <w:tcW w:w="4496" w:type="dxa"/>
            <w:tcBorders>
              <w:top w:val="single" w:sz="4" w:space="0" w:color="5F5F5F" w:themeColor="text2"/>
              <w:bottom w:val="single" w:sz="4" w:space="0" w:color="5F5F5F" w:themeColor="text2"/>
            </w:tcBorders>
            <w:shd w:val="clear" w:color="auto" w:fill="FFFFFF" w:themeFill="background1"/>
            <w:vAlign w:val="center"/>
          </w:tcPr>
          <w:p w14:paraId="0B057F4B" w14:textId="77777777" w:rsidR="003869E6" w:rsidRPr="003C67D9" w:rsidRDefault="003869E6" w:rsidP="003C67D9">
            <w:pPr>
              <w:pStyle w:val="TableTextLeft"/>
              <w:rPr>
                <w:rStyle w:val="Hyperlink"/>
                <w:color w:val="000000"/>
              </w:rPr>
            </w:pPr>
            <w:r w:rsidRPr="003C67D9">
              <w:t xml:space="preserve">Governance </w:t>
            </w:r>
          </w:p>
        </w:tc>
        <w:tc>
          <w:tcPr>
            <w:tcW w:w="4496" w:type="dxa"/>
            <w:tcBorders>
              <w:top w:val="single" w:sz="4" w:space="0" w:color="5F5F5F" w:themeColor="text2"/>
              <w:bottom w:val="single" w:sz="4" w:space="0" w:color="5F5F5F" w:themeColor="text2"/>
            </w:tcBorders>
            <w:shd w:val="clear" w:color="auto" w:fill="FFFFFF" w:themeFill="background1"/>
            <w:vAlign w:val="center"/>
          </w:tcPr>
          <w:p w14:paraId="6CF11FEF" w14:textId="77777777" w:rsidR="003869E6" w:rsidRPr="00650B9B" w:rsidRDefault="003869E6" w:rsidP="003C67D9">
            <w:pPr>
              <w:pStyle w:val="TableColumnHeadingLeft"/>
              <w:cnfStyle w:val="000000000000" w:firstRow="0" w:lastRow="0" w:firstColumn="0" w:lastColumn="0" w:oddVBand="0" w:evenVBand="0" w:oddHBand="0" w:evenHBand="0" w:firstRowFirstColumn="0" w:firstRowLastColumn="0" w:lastRowFirstColumn="0" w:lastRowLastColumn="0"/>
              <w:rPr>
                <w:rStyle w:val="Hyperlink"/>
                <w:b w:val="0"/>
                <w:bCs/>
                <w:color w:val="auto"/>
                <w:szCs w:val="16"/>
              </w:rPr>
            </w:pPr>
            <w:r w:rsidRPr="00650B9B">
              <w:rPr>
                <w:b w:val="0"/>
                <w:bCs/>
                <w:color w:val="auto"/>
                <w:sz w:val="16"/>
                <w:szCs w:val="16"/>
              </w:rPr>
              <w:t xml:space="preserve">Consultation </w:t>
            </w:r>
            <w:r>
              <w:rPr>
                <w:b w:val="0"/>
                <w:bCs/>
                <w:color w:val="auto"/>
                <w:sz w:val="16"/>
                <w:szCs w:val="16"/>
              </w:rPr>
              <w:t>moved from Q4 2025 to</w:t>
            </w:r>
            <w:r w:rsidRPr="00650B9B">
              <w:rPr>
                <w:b w:val="0"/>
                <w:bCs/>
                <w:color w:val="auto"/>
                <w:sz w:val="16"/>
                <w:szCs w:val="16"/>
              </w:rPr>
              <w:t xml:space="preserve"> Q2 2026 </w:t>
            </w:r>
          </w:p>
        </w:tc>
        <w:tc>
          <w:tcPr>
            <w:tcW w:w="5010" w:type="dxa"/>
            <w:tcBorders>
              <w:top w:val="single" w:sz="4" w:space="0" w:color="5F5F5F" w:themeColor="text2"/>
              <w:bottom w:val="single" w:sz="4" w:space="0" w:color="5F5F5F" w:themeColor="text2"/>
            </w:tcBorders>
            <w:shd w:val="clear" w:color="auto" w:fill="FFFFFF" w:themeFill="background1"/>
            <w:vAlign w:val="center"/>
          </w:tcPr>
          <w:p w14:paraId="7962FCCC" w14:textId="062D591A" w:rsidR="003869E6" w:rsidRPr="00650B9B" w:rsidRDefault="003869E6" w:rsidP="003C67D9">
            <w:pPr>
              <w:pStyle w:val="TableColumnHeadingLeft"/>
              <w:cnfStyle w:val="000000000000" w:firstRow="0" w:lastRow="0" w:firstColumn="0" w:lastColumn="0" w:oddVBand="0" w:evenVBand="0" w:oddHBand="0" w:evenHBand="0" w:firstRowFirstColumn="0" w:firstRowLastColumn="0" w:lastRowFirstColumn="0" w:lastRowLastColumn="0"/>
              <w:rPr>
                <w:rStyle w:val="Hyperlink"/>
                <w:b w:val="0"/>
                <w:bCs/>
                <w:color w:val="auto"/>
                <w:szCs w:val="16"/>
              </w:rPr>
            </w:pPr>
            <w:r>
              <w:rPr>
                <w:b w:val="0"/>
                <w:bCs/>
                <w:color w:val="auto"/>
                <w:sz w:val="16"/>
                <w:szCs w:val="16"/>
              </w:rPr>
              <w:t>Additional time is required to allow for a more comprehensive and considered approach</w:t>
            </w:r>
            <w:r w:rsidR="003D486F">
              <w:rPr>
                <w:b w:val="0"/>
                <w:bCs/>
                <w:color w:val="auto"/>
                <w:sz w:val="16"/>
                <w:szCs w:val="16"/>
              </w:rPr>
              <w:t xml:space="preserve">. </w:t>
            </w:r>
          </w:p>
        </w:tc>
      </w:tr>
      <w:tr w:rsidR="003869E6" w:rsidRPr="00AF43B7" w14:paraId="42A4C60F" w14:textId="77777777" w:rsidTr="00916BCA">
        <w:trPr>
          <w:trHeight w:val="410"/>
        </w:trPr>
        <w:tc>
          <w:tcPr>
            <w:cnfStyle w:val="001000000000" w:firstRow="0" w:lastRow="0" w:firstColumn="1" w:lastColumn="0" w:oddVBand="0" w:evenVBand="0" w:oddHBand="0" w:evenHBand="0" w:firstRowFirstColumn="0" w:firstRowLastColumn="0" w:lastRowFirstColumn="0" w:lastRowLastColumn="0"/>
            <w:tcW w:w="4496" w:type="dxa"/>
            <w:tcBorders>
              <w:top w:val="single" w:sz="4" w:space="0" w:color="5F5F5F" w:themeColor="text2"/>
              <w:bottom w:val="single" w:sz="4" w:space="0" w:color="5F5F5F" w:themeColor="text2"/>
            </w:tcBorders>
            <w:shd w:val="clear" w:color="auto" w:fill="FFFFFF" w:themeFill="background1"/>
            <w:vAlign w:val="center"/>
          </w:tcPr>
          <w:p w14:paraId="55601735" w14:textId="77777777" w:rsidR="003869E6" w:rsidRPr="003C67D9" w:rsidRDefault="003869E6" w:rsidP="003C67D9">
            <w:pPr>
              <w:pStyle w:val="TableTextLeft"/>
              <w:rPr>
                <w:rStyle w:val="Hyperlink"/>
                <w:color w:val="000000"/>
              </w:rPr>
            </w:pPr>
            <w:r w:rsidRPr="003C67D9">
              <w:rPr>
                <w:rStyle w:val="Hyperlink"/>
                <w:color w:val="000000"/>
              </w:rPr>
              <w:t>Licensing exemptions for Foreign Financial Service Providers (FFSPs)</w:t>
            </w:r>
          </w:p>
        </w:tc>
        <w:tc>
          <w:tcPr>
            <w:tcW w:w="4496" w:type="dxa"/>
            <w:tcBorders>
              <w:top w:val="single" w:sz="4" w:space="0" w:color="5F5F5F" w:themeColor="text2"/>
              <w:bottom w:val="single" w:sz="4" w:space="0" w:color="5F5F5F" w:themeColor="text2"/>
            </w:tcBorders>
            <w:shd w:val="clear" w:color="auto" w:fill="FFFFFF" w:themeFill="background1"/>
            <w:vAlign w:val="center"/>
          </w:tcPr>
          <w:p w14:paraId="626742A4" w14:textId="4CF5981B" w:rsidR="003869E6" w:rsidRPr="000A6BD2" w:rsidRDefault="003869E6" w:rsidP="003C67D9">
            <w:pPr>
              <w:pStyle w:val="TableTextLeft"/>
              <w:cnfStyle w:val="000000000000" w:firstRow="0" w:lastRow="0" w:firstColumn="0" w:lastColumn="0" w:oddVBand="0" w:evenVBand="0" w:oddHBand="0" w:evenHBand="0" w:firstRowFirstColumn="0" w:firstRowLastColumn="0" w:lastRowFirstColumn="0" w:lastRowLastColumn="0"/>
            </w:pPr>
            <w:r>
              <w:t>Milestones removed</w:t>
            </w:r>
          </w:p>
        </w:tc>
        <w:tc>
          <w:tcPr>
            <w:tcW w:w="5010" w:type="dxa"/>
            <w:tcBorders>
              <w:top w:val="single" w:sz="4" w:space="0" w:color="5F5F5F" w:themeColor="text2"/>
              <w:bottom w:val="single" w:sz="4" w:space="0" w:color="5F5F5F" w:themeColor="text2"/>
            </w:tcBorders>
            <w:shd w:val="clear" w:color="auto" w:fill="FFFFFF" w:themeFill="background1"/>
            <w:vAlign w:val="center"/>
          </w:tcPr>
          <w:p w14:paraId="2E74671E" w14:textId="1E146BA7" w:rsidR="003869E6" w:rsidRPr="000A6BD2" w:rsidRDefault="00166DC1" w:rsidP="003C67D9">
            <w:pPr>
              <w:pStyle w:val="TableTextLeft"/>
              <w:cnfStyle w:val="000000000000" w:firstRow="0" w:lastRow="0" w:firstColumn="0" w:lastColumn="0" w:oddVBand="0" w:evenVBand="0" w:oddHBand="0" w:evenHBand="0" w:firstRowFirstColumn="0" w:firstRowLastColumn="0" w:lastRowFirstColumn="0" w:lastRowLastColumn="0"/>
            </w:pPr>
            <w:r>
              <w:t>Timing to be updated</w:t>
            </w:r>
            <w:r w:rsidR="003869E6" w:rsidRPr="000A6BD2">
              <w:t xml:space="preserve"> </w:t>
            </w:r>
            <w:r w:rsidR="003869E6">
              <w:t xml:space="preserve">due to the </w:t>
            </w:r>
            <w:r w:rsidR="003869E6" w:rsidRPr="000A6BD2">
              <w:t xml:space="preserve">prorogation of </w:t>
            </w:r>
            <w:r w:rsidR="003869E6">
              <w:t>P</w:t>
            </w:r>
            <w:r w:rsidR="003869E6" w:rsidRPr="000A6BD2">
              <w:t>arliament</w:t>
            </w:r>
            <w:r w:rsidR="003869E6">
              <w:t xml:space="preserve"> in 2025</w:t>
            </w:r>
          </w:p>
        </w:tc>
      </w:tr>
      <w:tr w:rsidR="003869E6" w:rsidRPr="000A6BD2" w14:paraId="2F333B70" w14:textId="77777777" w:rsidTr="00916BCA">
        <w:trPr>
          <w:trHeight w:val="410"/>
        </w:trPr>
        <w:tc>
          <w:tcPr>
            <w:cnfStyle w:val="001000000000" w:firstRow="0" w:lastRow="0" w:firstColumn="1" w:lastColumn="0" w:oddVBand="0" w:evenVBand="0" w:oddHBand="0" w:evenHBand="0" w:firstRowFirstColumn="0" w:firstRowLastColumn="0" w:lastRowFirstColumn="0" w:lastRowLastColumn="0"/>
            <w:tcW w:w="4496" w:type="dxa"/>
            <w:tcBorders>
              <w:top w:val="single" w:sz="4" w:space="0" w:color="5F5F5F" w:themeColor="text2"/>
              <w:bottom w:val="single" w:sz="4" w:space="0" w:color="5F5F5F" w:themeColor="text2"/>
            </w:tcBorders>
            <w:shd w:val="clear" w:color="auto" w:fill="FFFFFF" w:themeFill="background1"/>
            <w:vAlign w:val="center"/>
          </w:tcPr>
          <w:p w14:paraId="464F1753" w14:textId="77777777" w:rsidR="003869E6" w:rsidRPr="003C67D9" w:rsidRDefault="003869E6" w:rsidP="003C67D9">
            <w:pPr>
              <w:pStyle w:val="TableTextLeft"/>
              <w:rPr>
                <w:rStyle w:val="Hyperlink"/>
                <w:color w:val="000000"/>
              </w:rPr>
            </w:pPr>
            <w:r w:rsidRPr="003C67D9">
              <w:t>Liquidity Review</w:t>
            </w:r>
          </w:p>
        </w:tc>
        <w:tc>
          <w:tcPr>
            <w:tcW w:w="4496" w:type="dxa"/>
            <w:tcBorders>
              <w:top w:val="single" w:sz="4" w:space="0" w:color="5F5F5F" w:themeColor="text2"/>
              <w:bottom w:val="single" w:sz="4" w:space="0" w:color="5F5F5F" w:themeColor="text2"/>
            </w:tcBorders>
            <w:shd w:val="clear" w:color="auto" w:fill="FFFFFF" w:themeFill="background1"/>
            <w:vAlign w:val="center"/>
          </w:tcPr>
          <w:p w14:paraId="633E97E1" w14:textId="5DB41DE0" w:rsidR="003869E6" w:rsidRPr="00650B9B" w:rsidRDefault="003869E6" w:rsidP="003C67D9">
            <w:pPr>
              <w:pStyle w:val="TableColumnHeadingLeft"/>
              <w:cnfStyle w:val="000000000000" w:firstRow="0" w:lastRow="0" w:firstColumn="0" w:lastColumn="0" w:oddVBand="0" w:evenVBand="0" w:oddHBand="0" w:evenHBand="0" w:firstRowFirstColumn="0" w:firstRowLastColumn="0" w:lastRowFirstColumn="0" w:lastRowLastColumn="0"/>
              <w:rPr>
                <w:rStyle w:val="Hyperlink"/>
                <w:b w:val="0"/>
                <w:color w:val="auto"/>
              </w:rPr>
            </w:pPr>
            <w:r w:rsidRPr="00650B9B">
              <w:rPr>
                <w:b w:val="0"/>
                <w:bCs/>
                <w:color w:val="auto"/>
                <w:sz w:val="16"/>
                <w:szCs w:val="16"/>
              </w:rPr>
              <w:t xml:space="preserve">Consultation </w:t>
            </w:r>
            <w:r>
              <w:rPr>
                <w:b w:val="0"/>
                <w:bCs/>
                <w:color w:val="auto"/>
                <w:sz w:val="16"/>
                <w:szCs w:val="16"/>
              </w:rPr>
              <w:t>moved from</w:t>
            </w:r>
            <w:r w:rsidRPr="00650B9B" w:rsidDel="00AD4E54">
              <w:rPr>
                <w:b w:val="0"/>
                <w:bCs/>
                <w:color w:val="auto"/>
                <w:sz w:val="16"/>
                <w:szCs w:val="16"/>
              </w:rPr>
              <w:t xml:space="preserve"> </w:t>
            </w:r>
            <w:r w:rsidR="43C8B0E1" w:rsidRPr="453E63C4">
              <w:rPr>
                <w:b w:val="0"/>
                <w:color w:val="auto"/>
                <w:sz w:val="16"/>
                <w:szCs w:val="16"/>
              </w:rPr>
              <w:t>Q3</w:t>
            </w:r>
            <w:r w:rsidRPr="00650B9B">
              <w:rPr>
                <w:b w:val="0"/>
                <w:bCs/>
                <w:color w:val="auto"/>
                <w:sz w:val="16"/>
                <w:szCs w:val="16"/>
              </w:rPr>
              <w:t xml:space="preserve"> 2025 </w:t>
            </w:r>
            <w:r>
              <w:rPr>
                <w:b w:val="0"/>
                <w:bCs/>
                <w:color w:val="auto"/>
                <w:sz w:val="16"/>
                <w:szCs w:val="16"/>
              </w:rPr>
              <w:t>to Q1 2026</w:t>
            </w:r>
          </w:p>
        </w:tc>
        <w:tc>
          <w:tcPr>
            <w:tcW w:w="5010" w:type="dxa"/>
            <w:tcBorders>
              <w:top w:val="single" w:sz="4" w:space="0" w:color="5F5F5F" w:themeColor="text2"/>
              <w:bottom w:val="single" w:sz="4" w:space="0" w:color="5F5F5F" w:themeColor="text2"/>
            </w:tcBorders>
            <w:shd w:val="clear" w:color="auto" w:fill="FFFFFF" w:themeFill="background1"/>
            <w:vAlign w:val="center"/>
          </w:tcPr>
          <w:p w14:paraId="73556C93" w14:textId="77777777" w:rsidR="003869E6" w:rsidRPr="00650B9B" w:rsidRDefault="003869E6" w:rsidP="003C67D9">
            <w:pPr>
              <w:pStyle w:val="TableColumnHeadingLeft"/>
              <w:cnfStyle w:val="000000000000" w:firstRow="0" w:lastRow="0" w:firstColumn="0" w:lastColumn="0" w:oddVBand="0" w:evenVBand="0" w:oddHBand="0" w:evenHBand="0" w:firstRowFirstColumn="0" w:firstRowLastColumn="0" w:lastRowFirstColumn="0" w:lastRowLastColumn="0"/>
              <w:rPr>
                <w:rStyle w:val="Hyperlink"/>
                <w:b w:val="0"/>
                <w:bCs/>
                <w:color w:val="auto"/>
                <w:szCs w:val="16"/>
              </w:rPr>
            </w:pPr>
            <w:r>
              <w:rPr>
                <w:b w:val="0"/>
                <w:bCs/>
                <w:color w:val="auto"/>
                <w:sz w:val="16"/>
                <w:szCs w:val="16"/>
              </w:rPr>
              <w:t>Interdependencies with other work require alignment</w:t>
            </w:r>
          </w:p>
        </w:tc>
      </w:tr>
      <w:tr w:rsidR="003869E6" w:rsidRPr="00AF43B7" w14:paraId="465ECA6D" w14:textId="77777777" w:rsidTr="00916BCA">
        <w:trPr>
          <w:trHeight w:val="410"/>
        </w:trPr>
        <w:tc>
          <w:tcPr>
            <w:cnfStyle w:val="001000000000" w:firstRow="0" w:lastRow="0" w:firstColumn="1" w:lastColumn="0" w:oddVBand="0" w:evenVBand="0" w:oddHBand="0" w:evenHBand="0" w:firstRowFirstColumn="0" w:firstRowLastColumn="0" w:lastRowFirstColumn="0" w:lastRowLastColumn="0"/>
            <w:tcW w:w="4496" w:type="dxa"/>
            <w:tcBorders>
              <w:top w:val="single" w:sz="4" w:space="0" w:color="5F5F5F" w:themeColor="text2"/>
              <w:bottom w:val="single" w:sz="4" w:space="0" w:color="5F5F5F" w:themeColor="text2"/>
            </w:tcBorders>
            <w:shd w:val="clear" w:color="auto" w:fill="FFFFFF" w:themeFill="background1"/>
            <w:vAlign w:val="center"/>
          </w:tcPr>
          <w:p w14:paraId="5B7C113A" w14:textId="77777777" w:rsidR="003869E6" w:rsidRPr="003C67D9" w:rsidRDefault="003869E6" w:rsidP="003C67D9">
            <w:pPr>
              <w:pStyle w:val="TableTextLeft"/>
            </w:pPr>
            <w:r w:rsidRPr="003C67D9">
              <w:rPr>
                <w:rStyle w:val="Hyperlink"/>
                <w:color w:val="000000"/>
              </w:rPr>
              <w:t>Market integrity rules – consultation and amendment</w:t>
            </w:r>
          </w:p>
        </w:tc>
        <w:tc>
          <w:tcPr>
            <w:tcW w:w="4496" w:type="dxa"/>
            <w:tcBorders>
              <w:top w:val="single" w:sz="4" w:space="0" w:color="5F5F5F" w:themeColor="text2"/>
              <w:bottom w:val="single" w:sz="4" w:space="0" w:color="5F5F5F" w:themeColor="text2"/>
            </w:tcBorders>
            <w:shd w:val="clear" w:color="auto" w:fill="FFFFFF" w:themeFill="background1"/>
            <w:vAlign w:val="center"/>
          </w:tcPr>
          <w:p w14:paraId="41ADBA3B" w14:textId="2F023160" w:rsidR="003869E6" w:rsidRPr="000A6BD2" w:rsidRDefault="003869E6" w:rsidP="003C67D9">
            <w:pPr>
              <w:pStyle w:val="TableTextLeft"/>
              <w:cnfStyle w:val="000000000000" w:firstRow="0" w:lastRow="0" w:firstColumn="0" w:lastColumn="0" w:oddVBand="0" w:evenVBand="0" w:oddHBand="0" w:evenHBand="0" w:firstRowFirstColumn="0" w:firstRowLastColumn="0" w:lastRowFirstColumn="0" w:lastRowLastColumn="0"/>
            </w:pPr>
            <w:r w:rsidRPr="000A6BD2">
              <w:t xml:space="preserve">Timing of the rules made delayed from Q2 </w:t>
            </w:r>
            <w:r w:rsidR="4C78528D">
              <w:t>2025</w:t>
            </w:r>
            <w:r w:rsidRPr="000A6BD2">
              <w:t xml:space="preserve"> to Q4</w:t>
            </w:r>
            <w:r>
              <w:t xml:space="preserve"> </w:t>
            </w:r>
            <w:r w:rsidRPr="000A6BD2">
              <w:t>2025</w:t>
            </w:r>
          </w:p>
        </w:tc>
        <w:tc>
          <w:tcPr>
            <w:tcW w:w="5010" w:type="dxa"/>
            <w:tcBorders>
              <w:top w:val="single" w:sz="4" w:space="0" w:color="5F5F5F" w:themeColor="text2"/>
              <w:bottom w:val="single" w:sz="4" w:space="0" w:color="5F5F5F" w:themeColor="text2"/>
            </w:tcBorders>
            <w:shd w:val="clear" w:color="auto" w:fill="FFFFFF" w:themeFill="background1"/>
            <w:vAlign w:val="center"/>
          </w:tcPr>
          <w:p w14:paraId="40CE534F" w14:textId="77777777" w:rsidR="003869E6" w:rsidRPr="000A6BD2" w:rsidRDefault="003869E6" w:rsidP="003C67D9">
            <w:pPr>
              <w:pStyle w:val="TableTextLeft"/>
              <w:cnfStyle w:val="000000000000" w:firstRow="0" w:lastRow="0" w:firstColumn="0" w:lastColumn="0" w:oddVBand="0" w:evenVBand="0" w:oddHBand="0" w:evenHBand="0" w:firstRowFirstColumn="0" w:firstRowLastColumn="0" w:lastRowFirstColumn="0" w:lastRowLastColumn="0"/>
            </w:pPr>
            <w:r>
              <w:t>Delay due to</w:t>
            </w:r>
            <w:r w:rsidRPr="000A6BD2">
              <w:t xml:space="preserve"> operational reasons</w:t>
            </w:r>
          </w:p>
        </w:tc>
      </w:tr>
      <w:tr w:rsidR="003869E6" w:rsidRPr="000A6BD2" w14:paraId="5AC792C9" w14:textId="77777777" w:rsidTr="00916BCA">
        <w:trPr>
          <w:trHeight w:val="410"/>
        </w:trPr>
        <w:tc>
          <w:tcPr>
            <w:cnfStyle w:val="001000000000" w:firstRow="0" w:lastRow="0" w:firstColumn="1" w:lastColumn="0" w:oddVBand="0" w:evenVBand="0" w:oddHBand="0" w:evenHBand="0" w:firstRowFirstColumn="0" w:firstRowLastColumn="0" w:lastRowFirstColumn="0" w:lastRowLastColumn="0"/>
            <w:tcW w:w="4496" w:type="dxa"/>
            <w:tcBorders>
              <w:top w:val="single" w:sz="4" w:space="0" w:color="5F5F5F" w:themeColor="text2"/>
              <w:bottom w:val="single" w:sz="4" w:space="0" w:color="5F5F5F" w:themeColor="text2"/>
            </w:tcBorders>
            <w:shd w:val="clear" w:color="auto" w:fill="FFFFFF" w:themeFill="background1"/>
            <w:vAlign w:val="center"/>
          </w:tcPr>
          <w:p w14:paraId="3D889170" w14:textId="77777777" w:rsidR="003869E6" w:rsidRPr="003C67D9" w:rsidRDefault="003869E6" w:rsidP="003C67D9">
            <w:pPr>
              <w:pStyle w:val="TableTextLeft"/>
              <w:rPr>
                <w:rStyle w:val="Hyperlink"/>
                <w:color w:val="000000"/>
              </w:rPr>
            </w:pPr>
            <w:r w:rsidRPr="003C67D9">
              <w:t>Market integrity rules – regulatory guidance</w:t>
            </w:r>
          </w:p>
        </w:tc>
        <w:tc>
          <w:tcPr>
            <w:tcW w:w="4496" w:type="dxa"/>
            <w:tcBorders>
              <w:top w:val="single" w:sz="4" w:space="0" w:color="5F5F5F" w:themeColor="text2"/>
              <w:bottom w:val="single" w:sz="4" w:space="0" w:color="5F5F5F" w:themeColor="text2"/>
            </w:tcBorders>
            <w:shd w:val="clear" w:color="auto" w:fill="FFFFFF" w:themeFill="background1"/>
            <w:vAlign w:val="center"/>
          </w:tcPr>
          <w:p w14:paraId="3B40475C" w14:textId="1514308F" w:rsidR="003869E6" w:rsidRPr="009639C2" w:rsidRDefault="003869E6" w:rsidP="003C67D9">
            <w:pPr>
              <w:pStyle w:val="TableColumnHeadingLeft"/>
              <w:cnfStyle w:val="000000000000" w:firstRow="0" w:lastRow="0" w:firstColumn="0" w:lastColumn="0" w:oddVBand="0" w:evenVBand="0" w:oddHBand="0" w:evenHBand="0" w:firstRowFirstColumn="0" w:firstRowLastColumn="0" w:lastRowFirstColumn="0" w:lastRowLastColumn="0"/>
              <w:rPr>
                <w:rStyle w:val="Hyperlink"/>
                <w:b w:val="0"/>
                <w:bCs/>
                <w:color w:val="auto"/>
                <w:szCs w:val="16"/>
              </w:rPr>
            </w:pPr>
            <w:r w:rsidRPr="009639C2">
              <w:rPr>
                <w:b w:val="0"/>
                <w:bCs/>
                <w:color w:val="auto"/>
                <w:sz w:val="16"/>
                <w:szCs w:val="16"/>
              </w:rPr>
              <w:t>Updated guidance moved from Q3 2025 to Q1 2026</w:t>
            </w:r>
          </w:p>
        </w:tc>
        <w:tc>
          <w:tcPr>
            <w:tcW w:w="5010" w:type="dxa"/>
            <w:tcBorders>
              <w:top w:val="single" w:sz="4" w:space="0" w:color="5F5F5F" w:themeColor="text2"/>
              <w:bottom w:val="single" w:sz="4" w:space="0" w:color="5F5F5F" w:themeColor="text2"/>
            </w:tcBorders>
            <w:shd w:val="clear" w:color="auto" w:fill="FFFFFF" w:themeFill="background1"/>
            <w:vAlign w:val="center"/>
          </w:tcPr>
          <w:p w14:paraId="2BFE6DD0" w14:textId="77777777" w:rsidR="003869E6" w:rsidRPr="009639C2" w:rsidRDefault="003869E6" w:rsidP="003C67D9">
            <w:pPr>
              <w:pStyle w:val="TableColumnHeadingLeft"/>
              <w:cnfStyle w:val="000000000000" w:firstRow="0" w:lastRow="0" w:firstColumn="0" w:lastColumn="0" w:oddVBand="0" w:evenVBand="0" w:oddHBand="0" w:evenHBand="0" w:firstRowFirstColumn="0" w:firstRowLastColumn="0" w:lastRowFirstColumn="0" w:lastRowLastColumn="0"/>
              <w:rPr>
                <w:rStyle w:val="Hyperlink"/>
                <w:b w:val="0"/>
                <w:bCs/>
                <w:color w:val="auto"/>
                <w:szCs w:val="16"/>
              </w:rPr>
            </w:pPr>
            <w:r w:rsidRPr="009639C2">
              <w:rPr>
                <w:b w:val="0"/>
                <w:bCs/>
                <w:color w:val="auto"/>
                <w:sz w:val="16"/>
                <w:szCs w:val="16"/>
              </w:rPr>
              <w:t xml:space="preserve">Delay </w:t>
            </w:r>
            <w:r>
              <w:rPr>
                <w:b w:val="0"/>
                <w:bCs/>
                <w:color w:val="auto"/>
                <w:sz w:val="16"/>
                <w:szCs w:val="16"/>
              </w:rPr>
              <w:t>due to</w:t>
            </w:r>
            <w:r w:rsidRPr="009639C2">
              <w:rPr>
                <w:b w:val="0"/>
                <w:bCs/>
                <w:color w:val="auto"/>
                <w:sz w:val="16"/>
                <w:szCs w:val="16"/>
              </w:rPr>
              <w:t xml:space="preserve"> operational reasons</w:t>
            </w:r>
          </w:p>
        </w:tc>
      </w:tr>
      <w:tr w:rsidR="003869E6" w:rsidRPr="000A6BD2" w14:paraId="7B94BBDC" w14:textId="77777777" w:rsidTr="00916BCA">
        <w:trPr>
          <w:trHeight w:val="410"/>
        </w:trPr>
        <w:tc>
          <w:tcPr>
            <w:cnfStyle w:val="001000000000" w:firstRow="0" w:lastRow="0" w:firstColumn="1" w:lastColumn="0" w:oddVBand="0" w:evenVBand="0" w:oddHBand="0" w:evenHBand="0" w:firstRowFirstColumn="0" w:firstRowLastColumn="0" w:lastRowFirstColumn="0" w:lastRowLastColumn="0"/>
            <w:tcW w:w="4496" w:type="dxa"/>
            <w:tcBorders>
              <w:top w:val="single" w:sz="4" w:space="0" w:color="5F5F5F" w:themeColor="text2"/>
              <w:bottom w:val="single" w:sz="4" w:space="0" w:color="5F5F5F" w:themeColor="text2"/>
            </w:tcBorders>
            <w:shd w:val="clear" w:color="auto" w:fill="FFFFFF" w:themeFill="background1"/>
            <w:vAlign w:val="center"/>
          </w:tcPr>
          <w:p w14:paraId="69B8D9B1" w14:textId="0BD4D2E5" w:rsidR="003869E6" w:rsidRPr="003C67D9" w:rsidRDefault="003869E6" w:rsidP="003C67D9">
            <w:pPr>
              <w:pStyle w:val="TableTextLeft"/>
              <w:rPr>
                <w:rStyle w:val="Hyperlink"/>
                <w:color w:val="000000"/>
              </w:rPr>
            </w:pPr>
            <w:r w:rsidRPr="003C67D9">
              <w:t>Modernise licensing framework</w:t>
            </w:r>
          </w:p>
        </w:tc>
        <w:tc>
          <w:tcPr>
            <w:tcW w:w="4496" w:type="dxa"/>
            <w:tcBorders>
              <w:top w:val="single" w:sz="4" w:space="0" w:color="5F5F5F" w:themeColor="text2"/>
              <w:bottom w:val="single" w:sz="4" w:space="0" w:color="5F5F5F" w:themeColor="text2"/>
            </w:tcBorders>
            <w:shd w:val="clear" w:color="auto" w:fill="FFFFFF" w:themeFill="background1"/>
            <w:vAlign w:val="center"/>
          </w:tcPr>
          <w:p w14:paraId="73843C2E" w14:textId="7C6009D4" w:rsidR="003869E6" w:rsidRPr="00650B9B" w:rsidRDefault="003869E6" w:rsidP="003C67D9">
            <w:pPr>
              <w:pStyle w:val="TableColumnHeadingLeft"/>
              <w:cnfStyle w:val="000000000000" w:firstRow="0" w:lastRow="0" w:firstColumn="0" w:lastColumn="0" w:oddVBand="0" w:evenVBand="0" w:oddHBand="0" w:evenHBand="0" w:firstRowFirstColumn="0" w:firstRowLastColumn="0" w:lastRowFirstColumn="0" w:lastRowLastColumn="0"/>
              <w:rPr>
                <w:rStyle w:val="Hyperlink"/>
                <w:b w:val="0"/>
                <w:bCs/>
                <w:color w:val="auto"/>
                <w:szCs w:val="16"/>
              </w:rPr>
            </w:pPr>
            <w:r w:rsidRPr="00650B9B">
              <w:rPr>
                <w:b w:val="0"/>
                <w:bCs/>
                <w:color w:val="auto"/>
                <w:sz w:val="16"/>
                <w:szCs w:val="16"/>
              </w:rPr>
              <w:t xml:space="preserve">Title changed from </w:t>
            </w:r>
            <w:r w:rsidR="003D486F">
              <w:rPr>
                <w:b w:val="0"/>
                <w:bCs/>
                <w:color w:val="auto"/>
                <w:sz w:val="16"/>
                <w:szCs w:val="16"/>
              </w:rPr>
              <w:t>‘</w:t>
            </w:r>
            <w:r w:rsidRPr="00650B9B">
              <w:rPr>
                <w:b w:val="0"/>
                <w:bCs/>
                <w:color w:val="auto"/>
                <w:sz w:val="16"/>
                <w:szCs w:val="16"/>
              </w:rPr>
              <w:t>develop formal licensing criteria</w:t>
            </w:r>
            <w:r w:rsidR="003D486F">
              <w:rPr>
                <w:b w:val="0"/>
                <w:bCs/>
                <w:color w:val="auto"/>
                <w:sz w:val="16"/>
                <w:szCs w:val="16"/>
              </w:rPr>
              <w:t>’</w:t>
            </w:r>
            <w:r w:rsidRPr="00650B9B">
              <w:rPr>
                <w:b w:val="0"/>
                <w:bCs/>
                <w:color w:val="auto"/>
                <w:sz w:val="16"/>
                <w:szCs w:val="16"/>
              </w:rPr>
              <w:t xml:space="preserve"> to </w:t>
            </w:r>
            <w:r w:rsidR="003D486F">
              <w:rPr>
                <w:b w:val="0"/>
                <w:bCs/>
                <w:color w:val="auto"/>
                <w:sz w:val="16"/>
                <w:szCs w:val="16"/>
              </w:rPr>
              <w:t>‘</w:t>
            </w:r>
            <w:r w:rsidRPr="00650B9B">
              <w:rPr>
                <w:b w:val="0"/>
                <w:bCs/>
                <w:color w:val="auto"/>
                <w:sz w:val="16"/>
                <w:szCs w:val="16"/>
              </w:rPr>
              <w:t>modernise licensing framework</w:t>
            </w:r>
            <w:r w:rsidR="003D486F">
              <w:rPr>
                <w:b w:val="0"/>
                <w:bCs/>
                <w:color w:val="auto"/>
                <w:sz w:val="16"/>
                <w:szCs w:val="16"/>
              </w:rPr>
              <w:t>’</w:t>
            </w:r>
            <w:r w:rsidRPr="00650B9B">
              <w:rPr>
                <w:b w:val="0"/>
                <w:bCs/>
                <w:color w:val="auto"/>
                <w:sz w:val="16"/>
                <w:szCs w:val="16"/>
              </w:rPr>
              <w:t xml:space="preserve"> and description updated. Consultation added to Q2 2026 and release of final criteria guidance in Q4 2026</w:t>
            </w:r>
          </w:p>
        </w:tc>
        <w:tc>
          <w:tcPr>
            <w:tcW w:w="5010" w:type="dxa"/>
            <w:tcBorders>
              <w:top w:val="single" w:sz="4" w:space="0" w:color="5F5F5F" w:themeColor="text2"/>
              <w:bottom w:val="single" w:sz="4" w:space="0" w:color="5F5F5F" w:themeColor="text2"/>
            </w:tcBorders>
            <w:shd w:val="clear" w:color="auto" w:fill="FFFFFF" w:themeFill="background1"/>
            <w:vAlign w:val="center"/>
          </w:tcPr>
          <w:p w14:paraId="3305AB98" w14:textId="77777777" w:rsidR="003869E6" w:rsidRPr="00650B9B" w:rsidRDefault="003869E6" w:rsidP="003C67D9">
            <w:pPr>
              <w:pStyle w:val="TableColumnHeadingLeft"/>
              <w:cnfStyle w:val="000000000000" w:firstRow="0" w:lastRow="0" w:firstColumn="0" w:lastColumn="0" w:oddVBand="0" w:evenVBand="0" w:oddHBand="0" w:evenHBand="0" w:firstRowFirstColumn="0" w:firstRowLastColumn="0" w:lastRowFirstColumn="0" w:lastRowLastColumn="0"/>
              <w:rPr>
                <w:rStyle w:val="Hyperlink"/>
                <w:b w:val="0"/>
                <w:bCs/>
                <w:color w:val="auto"/>
                <w:szCs w:val="16"/>
              </w:rPr>
            </w:pPr>
            <w:r w:rsidRPr="00650B9B">
              <w:rPr>
                <w:b w:val="0"/>
                <w:bCs/>
                <w:color w:val="auto"/>
                <w:sz w:val="16"/>
                <w:szCs w:val="16"/>
              </w:rPr>
              <w:t xml:space="preserve">Describes and titles the initiative more accurately </w:t>
            </w:r>
          </w:p>
        </w:tc>
      </w:tr>
      <w:tr w:rsidR="003869E6" w:rsidRPr="000A6BD2" w14:paraId="38C8DB10" w14:textId="77777777" w:rsidTr="00916BCA">
        <w:trPr>
          <w:trHeight w:val="410"/>
        </w:trPr>
        <w:tc>
          <w:tcPr>
            <w:cnfStyle w:val="001000000000" w:firstRow="0" w:lastRow="0" w:firstColumn="1" w:lastColumn="0" w:oddVBand="0" w:evenVBand="0" w:oddHBand="0" w:evenHBand="0" w:firstRowFirstColumn="0" w:firstRowLastColumn="0" w:lastRowFirstColumn="0" w:lastRowLastColumn="0"/>
            <w:tcW w:w="4496" w:type="dxa"/>
            <w:tcBorders>
              <w:top w:val="single" w:sz="4" w:space="0" w:color="5F5F5F" w:themeColor="text2"/>
              <w:bottom w:val="single" w:sz="4" w:space="0" w:color="5F5F5F" w:themeColor="text2"/>
            </w:tcBorders>
            <w:shd w:val="clear" w:color="auto" w:fill="FFFFFF" w:themeFill="background1"/>
            <w:vAlign w:val="center"/>
          </w:tcPr>
          <w:p w14:paraId="13F7D85E" w14:textId="77777777" w:rsidR="003869E6" w:rsidRPr="003C67D9" w:rsidRDefault="003869E6" w:rsidP="003C67D9">
            <w:pPr>
              <w:pStyle w:val="TableTextLeft"/>
              <w:rPr>
                <w:rStyle w:val="Hyperlink"/>
                <w:color w:val="000000"/>
              </w:rPr>
            </w:pPr>
            <w:r w:rsidRPr="003C67D9">
              <w:t>Proportionate regulation</w:t>
            </w:r>
          </w:p>
        </w:tc>
        <w:tc>
          <w:tcPr>
            <w:tcW w:w="4496" w:type="dxa"/>
            <w:tcBorders>
              <w:top w:val="single" w:sz="4" w:space="0" w:color="5F5F5F" w:themeColor="text2"/>
              <w:bottom w:val="single" w:sz="4" w:space="0" w:color="5F5F5F" w:themeColor="text2"/>
            </w:tcBorders>
            <w:shd w:val="clear" w:color="auto" w:fill="FFFFFF" w:themeFill="background1"/>
            <w:vAlign w:val="center"/>
          </w:tcPr>
          <w:p w14:paraId="263441ED" w14:textId="77777777" w:rsidR="003869E6" w:rsidRPr="00A25AFC" w:rsidRDefault="003869E6" w:rsidP="003C67D9">
            <w:pPr>
              <w:pStyle w:val="TableColumnHeadingLeft"/>
              <w:cnfStyle w:val="000000000000" w:firstRow="0" w:lastRow="0" w:firstColumn="0" w:lastColumn="0" w:oddVBand="0" w:evenVBand="0" w:oddHBand="0" w:evenHBand="0" w:firstRowFirstColumn="0" w:firstRowLastColumn="0" w:lastRowFirstColumn="0" w:lastRowLastColumn="0"/>
              <w:rPr>
                <w:b w:val="0"/>
                <w:sz w:val="16"/>
                <w:szCs w:val="16"/>
              </w:rPr>
            </w:pPr>
            <w:r w:rsidRPr="00A25AFC">
              <w:rPr>
                <w:b w:val="0"/>
                <w:bCs/>
                <w:sz w:val="16"/>
                <w:szCs w:val="16"/>
              </w:rPr>
              <w:t>Title changed from Significant Financial Institution (SFI) thresholds to Proportionate regulation</w:t>
            </w:r>
            <w:r w:rsidRPr="38071DB1">
              <w:rPr>
                <w:b w:val="0"/>
                <w:sz w:val="16"/>
                <w:szCs w:val="16"/>
              </w:rPr>
              <w:t>. Consultation moved from Q1 2025 to Q4 2025</w:t>
            </w:r>
          </w:p>
        </w:tc>
        <w:tc>
          <w:tcPr>
            <w:tcW w:w="5010" w:type="dxa"/>
            <w:tcBorders>
              <w:top w:val="single" w:sz="4" w:space="0" w:color="5F5F5F" w:themeColor="text2"/>
              <w:bottom w:val="single" w:sz="4" w:space="0" w:color="5F5F5F" w:themeColor="text2"/>
            </w:tcBorders>
            <w:shd w:val="clear" w:color="auto" w:fill="FFFFFF" w:themeFill="background1"/>
            <w:vAlign w:val="center"/>
          </w:tcPr>
          <w:p w14:paraId="3DD1E848" w14:textId="77777777" w:rsidR="003869E6" w:rsidRPr="00A25AFC" w:rsidRDefault="003869E6" w:rsidP="003C67D9">
            <w:pPr>
              <w:pStyle w:val="TableColumnHeadingLeft"/>
              <w:cnfStyle w:val="000000000000" w:firstRow="0" w:lastRow="0" w:firstColumn="0" w:lastColumn="0" w:oddVBand="0" w:evenVBand="0" w:oddHBand="0" w:evenHBand="0" w:firstRowFirstColumn="0" w:firstRowLastColumn="0" w:lastRowFirstColumn="0" w:lastRowLastColumn="0"/>
              <w:rPr>
                <w:b w:val="0"/>
                <w:sz w:val="16"/>
                <w:szCs w:val="16"/>
              </w:rPr>
            </w:pPr>
            <w:r w:rsidRPr="00A25AFC">
              <w:rPr>
                <w:b w:val="0"/>
                <w:bCs/>
                <w:sz w:val="16"/>
                <w:szCs w:val="16"/>
              </w:rPr>
              <w:t xml:space="preserve">Updated title to </w:t>
            </w:r>
            <w:r>
              <w:rPr>
                <w:b w:val="0"/>
                <w:bCs/>
                <w:sz w:val="16"/>
                <w:szCs w:val="16"/>
              </w:rPr>
              <w:t>reflect the shift in focus</w:t>
            </w:r>
            <w:r w:rsidRPr="38071DB1">
              <w:rPr>
                <w:b w:val="0"/>
                <w:sz w:val="16"/>
                <w:szCs w:val="16"/>
              </w:rPr>
              <w:t xml:space="preserve"> and additional time to allow for a more considered approach</w:t>
            </w:r>
          </w:p>
        </w:tc>
      </w:tr>
      <w:tr w:rsidR="003869E6" w14:paraId="38BE630A" w14:textId="77777777" w:rsidTr="00916BCA">
        <w:trPr>
          <w:trHeight w:val="410"/>
        </w:trPr>
        <w:tc>
          <w:tcPr>
            <w:cnfStyle w:val="001000000000" w:firstRow="0" w:lastRow="0" w:firstColumn="1" w:lastColumn="0" w:oddVBand="0" w:evenVBand="0" w:oddHBand="0" w:evenHBand="0" w:firstRowFirstColumn="0" w:firstRowLastColumn="0" w:lastRowFirstColumn="0" w:lastRowLastColumn="0"/>
            <w:tcW w:w="4496" w:type="dxa"/>
            <w:tcBorders>
              <w:top w:val="single" w:sz="4" w:space="0" w:color="5F5F5F" w:themeColor="text2"/>
              <w:bottom w:val="single" w:sz="4" w:space="0" w:color="5F5F5F" w:themeColor="text2"/>
            </w:tcBorders>
            <w:shd w:val="clear" w:color="auto" w:fill="FFFFFF" w:themeFill="background1"/>
            <w:vAlign w:val="center"/>
          </w:tcPr>
          <w:p w14:paraId="75E89FCC" w14:textId="35C57F61" w:rsidR="003869E6" w:rsidRPr="003C67D9" w:rsidRDefault="003869E6" w:rsidP="003C67D9">
            <w:pPr>
              <w:pStyle w:val="TableTextLeft"/>
              <w:rPr>
                <w:rStyle w:val="Hyperlink"/>
                <w:color w:val="000000"/>
              </w:rPr>
            </w:pPr>
            <w:r w:rsidRPr="003C67D9">
              <w:rPr>
                <w:rStyle w:val="Hyperlink"/>
                <w:color w:val="000000"/>
              </w:rPr>
              <w:t>Reducing card surcharges for Australians and Small Businesses</w:t>
            </w:r>
          </w:p>
        </w:tc>
        <w:tc>
          <w:tcPr>
            <w:tcW w:w="4496" w:type="dxa"/>
            <w:tcBorders>
              <w:top w:val="single" w:sz="4" w:space="0" w:color="5F5F5F" w:themeColor="text2"/>
              <w:bottom w:val="single" w:sz="4" w:space="0" w:color="5F5F5F" w:themeColor="text2"/>
            </w:tcBorders>
            <w:shd w:val="clear" w:color="auto" w:fill="FFFFFF" w:themeFill="background1"/>
            <w:vAlign w:val="center"/>
          </w:tcPr>
          <w:p w14:paraId="784741C1" w14:textId="77777777" w:rsidR="003869E6" w:rsidRDefault="003869E6" w:rsidP="003C67D9">
            <w:pPr>
              <w:pStyle w:val="TableTextLeft"/>
              <w:cnfStyle w:val="000000000000" w:firstRow="0" w:lastRow="0" w:firstColumn="0" w:lastColumn="0" w:oddVBand="0" w:evenVBand="0" w:oddHBand="0" w:evenHBand="0" w:firstRowFirstColumn="0" w:firstRowLastColumn="0" w:lastRowFirstColumn="0" w:lastRowLastColumn="0"/>
            </w:pPr>
            <w:r>
              <w:t>Added as a new policy initiative and to reflect progress and updates made by the RBA</w:t>
            </w:r>
          </w:p>
        </w:tc>
        <w:tc>
          <w:tcPr>
            <w:tcW w:w="5010" w:type="dxa"/>
            <w:tcBorders>
              <w:top w:val="single" w:sz="4" w:space="0" w:color="5F5F5F" w:themeColor="text2"/>
              <w:bottom w:val="single" w:sz="4" w:space="0" w:color="5F5F5F" w:themeColor="text2"/>
            </w:tcBorders>
            <w:shd w:val="clear" w:color="auto" w:fill="FFFFFF" w:themeFill="background1"/>
            <w:vAlign w:val="center"/>
          </w:tcPr>
          <w:p w14:paraId="60B271A3" w14:textId="5972CFDB" w:rsidR="003869E6" w:rsidRDefault="003869E6" w:rsidP="003C67D9">
            <w:pPr>
              <w:pStyle w:val="TableTextLeft"/>
              <w:cnfStyle w:val="000000000000" w:firstRow="0" w:lastRow="0" w:firstColumn="0" w:lastColumn="0" w:oddVBand="0" w:evenVBand="0" w:oddHBand="0" w:evenHBand="0" w:firstRowFirstColumn="0" w:firstRowLastColumn="0" w:lastRowFirstColumn="0" w:lastRowLastColumn="0"/>
            </w:pPr>
            <w:r>
              <w:t>Added to reflect the RBA</w:t>
            </w:r>
            <w:r w:rsidR="003D486F">
              <w:t>’</w:t>
            </w:r>
            <w:r>
              <w:t>s progress in undertaking its surcharge review and to highlight the expected due date for the RBA</w:t>
            </w:r>
            <w:r w:rsidR="003D486F">
              <w:t>’</w:t>
            </w:r>
            <w:r>
              <w:t xml:space="preserve">s final conclusions paper and timeline for regulation. </w:t>
            </w:r>
          </w:p>
        </w:tc>
      </w:tr>
      <w:tr w:rsidR="003869E6" w14:paraId="58F8BD25" w14:textId="77777777" w:rsidTr="00916BCA">
        <w:trPr>
          <w:trHeight w:val="410"/>
        </w:trPr>
        <w:tc>
          <w:tcPr>
            <w:cnfStyle w:val="001000000000" w:firstRow="0" w:lastRow="0" w:firstColumn="1" w:lastColumn="0" w:oddVBand="0" w:evenVBand="0" w:oddHBand="0" w:evenHBand="0" w:firstRowFirstColumn="0" w:firstRowLastColumn="0" w:lastRowFirstColumn="0" w:lastRowLastColumn="0"/>
            <w:tcW w:w="4496" w:type="dxa"/>
            <w:tcBorders>
              <w:top w:val="single" w:sz="4" w:space="0" w:color="5F5F5F" w:themeColor="text2"/>
              <w:bottom w:val="single" w:sz="4" w:space="0" w:color="5F5F5F" w:themeColor="text2"/>
            </w:tcBorders>
            <w:shd w:val="clear" w:color="auto" w:fill="FFFFFF" w:themeFill="background1"/>
            <w:vAlign w:val="center"/>
          </w:tcPr>
          <w:p w14:paraId="0AC79C01" w14:textId="2ADDF4A5" w:rsidR="003869E6" w:rsidRPr="003C67D9" w:rsidRDefault="003869E6" w:rsidP="003C67D9">
            <w:pPr>
              <w:pStyle w:val="TableLink"/>
              <w:rPr>
                <w:rFonts w:eastAsiaTheme="minorEastAsia"/>
                <w:b/>
                <w:bCs w:val="0"/>
              </w:rPr>
            </w:pPr>
            <w:hyperlink r:id="rId107" w:history="1">
              <w:r w:rsidRPr="003C67D9">
                <w:rPr>
                  <w:rStyle w:val="Hyperlink"/>
                  <w:rFonts w:eastAsia="Calibri Light"/>
                  <w:b/>
                  <w:bCs w:val="0"/>
                  <w:color w:val="5D779D" w:themeColor="accent3"/>
                  <w:u w:val="single"/>
                </w:rPr>
                <w:t xml:space="preserve">Reforms to the </w:t>
              </w:r>
              <w:r w:rsidRPr="003C67D9">
                <w:rPr>
                  <w:rStyle w:val="Hyperlink"/>
                  <w:rFonts w:eastAsia="Calibri Light"/>
                  <w:b/>
                  <w:bCs w:val="0"/>
                  <w:i/>
                  <w:iCs/>
                  <w:color w:val="5D779D" w:themeColor="accent3"/>
                  <w:u w:val="single"/>
                </w:rPr>
                <w:t>Anti</w:t>
              </w:r>
              <w:r w:rsidRPr="003C67D9">
                <w:rPr>
                  <w:rStyle w:val="Hyperlink"/>
                  <w:rFonts w:ascii="Cambria Math" w:eastAsia="Calibri Light" w:hAnsi="Cambria Math" w:cs="Cambria Math"/>
                  <w:b/>
                  <w:bCs w:val="0"/>
                  <w:i/>
                  <w:iCs/>
                  <w:color w:val="5D779D" w:themeColor="accent3"/>
                  <w:u w:val="single"/>
                </w:rPr>
                <w:t>‑</w:t>
              </w:r>
              <w:r w:rsidRPr="003C67D9">
                <w:rPr>
                  <w:rStyle w:val="Hyperlink"/>
                  <w:rFonts w:eastAsia="Calibri Light"/>
                  <w:b/>
                  <w:bCs w:val="0"/>
                  <w:i/>
                  <w:iCs/>
                  <w:color w:val="5D779D" w:themeColor="accent3"/>
                  <w:u w:val="single"/>
                </w:rPr>
                <w:t>Money Laundering and Counter</w:t>
              </w:r>
              <w:r w:rsidRPr="003C67D9">
                <w:rPr>
                  <w:rStyle w:val="Hyperlink"/>
                  <w:rFonts w:ascii="Cambria Math" w:eastAsia="Calibri Light" w:hAnsi="Cambria Math" w:cs="Cambria Math"/>
                  <w:b/>
                  <w:bCs w:val="0"/>
                  <w:i/>
                  <w:iCs/>
                  <w:color w:val="5D779D" w:themeColor="accent3"/>
                  <w:u w:val="single"/>
                </w:rPr>
                <w:t>‑</w:t>
              </w:r>
              <w:r w:rsidRPr="003C67D9">
                <w:rPr>
                  <w:rStyle w:val="Hyperlink"/>
                  <w:rFonts w:eastAsia="Calibri Light"/>
                  <w:b/>
                  <w:bCs w:val="0"/>
                  <w:i/>
                  <w:iCs/>
                  <w:color w:val="5D779D" w:themeColor="accent3"/>
                  <w:u w:val="single"/>
                </w:rPr>
                <w:t>Terrorism Financing Act 2006</w:t>
              </w:r>
            </w:hyperlink>
          </w:p>
        </w:tc>
        <w:tc>
          <w:tcPr>
            <w:tcW w:w="4496" w:type="dxa"/>
            <w:tcBorders>
              <w:top w:val="single" w:sz="4" w:space="0" w:color="5F5F5F" w:themeColor="text2"/>
              <w:bottom w:val="single" w:sz="4" w:space="0" w:color="5F5F5F" w:themeColor="text2"/>
            </w:tcBorders>
            <w:shd w:val="clear" w:color="auto" w:fill="FFFFFF" w:themeFill="background1"/>
            <w:vAlign w:val="center"/>
          </w:tcPr>
          <w:p w14:paraId="26B87881" w14:textId="77777777" w:rsidR="003869E6" w:rsidRDefault="003869E6" w:rsidP="003C67D9">
            <w:pPr>
              <w:pStyle w:val="TableTextLeft"/>
              <w:cnfStyle w:val="000000000000" w:firstRow="0" w:lastRow="0" w:firstColumn="0" w:lastColumn="0" w:oddVBand="0" w:evenVBand="0" w:oddHBand="0" w:evenHBand="0" w:firstRowFirstColumn="0" w:firstRowLastColumn="0" w:lastRowFirstColumn="0" w:lastRowLastColumn="0"/>
            </w:pPr>
            <w:r>
              <w:t>Q2 2026 milestone moved to Q3 2026</w:t>
            </w:r>
          </w:p>
        </w:tc>
        <w:tc>
          <w:tcPr>
            <w:tcW w:w="5010" w:type="dxa"/>
            <w:tcBorders>
              <w:top w:val="single" w:sz="4" w:space="0" w:color="5F5F5F" w:themeColor="text2"/>
              <w:bottom w:val="single" w:sz="4" w:space="0" w:color="5F5F5F" w:themeColor="text2"/>
            </w:tcBorders>
            <w:shd w:val="clear" w:color="auto" w:fill="FFFFFF" w:themeFill="background1"/>
            <w:vAlign w:val="center"/>
          </w:tcPr>
          <w:p w14:paraId="0DF3B1CD" w14:textId="77777777" w:rsidR="003869E6" w:rsidRDefault="003869E6" w:rsidP="003C67D9">
            <w:pPr>
              <w:pStyle w:val="TableTextLeft"/>
              <w:cnfStyle w:val="000000000000" w:firstRow="0" w:lastRow="0" w:firstColumn="0" w:lastColumn="0" w:oddVBand="0" w:evenVBand="0" w:oddHBand="0" w:evenHBand="0" w:firstRowFirstColumn="0" w:firstRowLastColumn="0" w:lastRowFirstColumn="0" w:lastRowLastColumn="0"/>
            </w:pPr>
            <w:r>
              <w:t>Commencement of 1 July 2026 is Q3 2026</w:t>
            </w:r>
          </w:p>
        </w:tc>
      </w:tr>
      <w:tr w:rsidR="003869E6" w:rsidRPr="00AF43B7" w14:paraId="21FA44CF" w14:textId="77777777" w:rsidTr="00916BCA">
        <w:trPr>
          <w:trHeight w:val="410"/>
        </w:trPr>
        <w:tc>
          <w:tcPr>
            <w:cnfStyle w:val="001000000000" w:firstRow="0" w:lastRow="0" w:firstColumn="1" w:lastColumn="0" w:oddVBand="0" w:evenVBand="0" w:oddHBand="0" w:evenHBand="0" w:firstRowFirstColumn="0" w:firstRowLastColumn="0" w:lastRowFirstColumn="0" w:lastRowLastColumn="0"/>
            <w:tcW w:w="4496" w:type="dxa"/>
            <w:tcBorders>
              <w:top w:val="single" w:sz="4" w:space="0" w:color="5F5F5F" w:themeColor="text2"/>
              <w:bottom w:val="single" w:sz="4" w:space="0" w:color="5F5F5F" w:themeColor="text2"/>
            </w:tcBorders>
            <w:shd w:val="clear" w:color="auto" w:fill="FFFFFF" w:themeFill="background1"/>
            <w:vAlign w:val="center"/>
          </w:tcPr>
          <w:p w14:paraId="2D5D548C" w14:textId="02E6F847" w:rsidR="003869E6" w:rsidRPr="003C67D9" w:rsidRDefault="003869E6" w:rsidP="003C67D9">
            <w:pPr>
              <w:pStyle w:val="TableLink"/>
              <w:rPr>
                <w:rStyle w:val="Hyperlink"/>
                <w:b/>
                <w:bCs w:val="0"/>
                <w:color w:val="5D779D" w:themeColor="accent3"/>
                <w:u w:val="single"/>
              </w:rPr>
            </w:pPr>
            <w:hyperlink r:id="rId108">
              <w:r w:rsidRPr="003C67D9">
                <w:rPr>
                  <w:rStyle w:val="Hyperlink"/>
                  <w:b/>
                  <w:bCs w:val="0"/>
                  <w:color w:val="5D779D" w:themeColor="accent3"/>
                  <w:u w:val="single"/>
                </w:rPr>
                <w:t>Reforms to the Payment Systems (Regulation) Act 1998</w:t>
              </w:r>
            </w:hyperlink>
          </w:p>
        </w:tc>
        <w:tc>
          <w:tcPr>
            <w:tcW w:w="4496" w:type="dxa"/>
            <w:tcBorders>
              <w:top w:val="single" w:sz="4" w:space="0" w:color="5F5F5F" w:themeColor="text2"/>
              <w:bottom w:val="single" w:sz="4" w:space="0" w:color="5F5F5F" w:themeColor="text2"/>
            </w:tcBorders>
            <w:shd w:val="clear" w:color="auto" w:fill="FFFFFF" w:themeFill="background1"/>
            <w:vAlign w:val="center"/>
          </w:tcPr>
          <w:p w14:paraId="70813BB3" w14:textId="0FF1C253" w:rsidR="003869E6" w:rsidRPr="0098040B" w:rsidRDefault="007B4E14" w:rsidP="003C67D9">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16"/>
                <w:szCs w:val="16"/>
              </w:rPr>
            </w:pPr>
            <w:r>
              <w:rPr>
                <w:rFonts w:asciiTheme="minorHAnsi" w:eastAsiaTheme="minorEastAsia" w:hAnsiTheme="minorHAnsi" w:cstheme="minorBidi"/>
                <w:color w:val="000000" w:themeColor="text1"/>
                <w:sz w:val="16"/>
                <w:szCs w:val="16"/>
              </w:rPr>
              <w:t>Milestones removed</w:t>
            </w:r>
            <w:r w:rsidR="3DCB8F49" w:rsidRPr="4CE0BC5C">
              <w:rPr>
                <w:rFonts w:asciiTheme="minorHAnsi" w:eastAsiaTheme="minorEastAsia" w:hAnsiTheme="minorHAnsi" w:cstheme="minorBidi"/>
                <w:color w:val="000000" w:themeColor="text1"/>
                <w:sz w:val="16"/>
                <w:szCs w:val="16"/>
              </w:rPr>
              <w:t xml:space="preserve"> </w:t>
            </w:r>
          </w:p>
        </w:tc>
        <w:tc>
          <w:tcPr>
            <w:tcW w:w="5010" w:type="dxa"/>
            <w:tcBorders>
              <w:top w:val="single" w:sz="4" w:space="0" w:color="5F5F5F" w:themeColor="text2"/>
              <w:bottom w:val="single" w:sz="4" w:space="0" w:color="5F5F5F" w:themeColor="text2"/>
            </w:tcBorders>
            <w:shd w:val="clear" w:color="auto" w:fill="FFFFFF" w:themeFill="background1"/>
            <w:vAlign w:val="center"/>
          </w:tcPr>
          <w:p w14:paraId="28DC2EC0" w14:textId="3DE0C1D3" w:rsidR="003869E6" w:rsidRPr="0098040B" w:rsidRDefault="007B4E14" w:rsidP="003C67D9">
            <w:pPr>
              <w:pStyle w:val="TableTextLeft"/>
              <w:cnfStyle w:val="000000000000" w:firstRow="0" w:lastRow="0" w:firstColumn="0" w:lastColumn="0" w:oddVBand="0" w:evenVBand="0" w:oddHBand="0" w:evenHBand="0" w:firstRowFirstColumn="0" w:firstRowLastColumn="0" w:lastRowFirstColumn="0" w:lastRowLastColumn="0"/>
              <w:rPr>
                <w:szCs w:val="18"/>
              </w:rPr>
            </w:pPr>
            <w:r>
              <w:t>Timing to be updated</w:t>
            </w:r>
            <w:r w:rsidR="003869E6">
              <w:t xml:space="preserve"> due to the prorogation of Parliament and reintroduction of reforms into Parliament</w:t>
            </w:r>
          </w:p>
        </w:tc>
      </w:tr>
    </w:tbl>
    <w:p w14:paraId="6EC60D30" w14:textId="77777777" w:rsidR="00152331" w:rsidRDefault="00152331">
      <w:pPr>
        <w:spacing w:before="0" w:after="160" w:line="259" w:lineRule="auto"/>
      </w:pPr>
      <w:r>
        <w:br w:type="page"/>
      </w:r>
    </w:p>
    <w:tbl>
      <w:tblPr>
        <w:tblStyle w:val="PlainTable4"/>
        <w:tblW w:w="5000" w:type="pct"/>
        <w:tblLayout w:type="fixed"/>
        <w:tblLook w:val="06A0" w:firstRow="1" w:lastRow="0" w:firstColumn="1" w:lastColumn="0" w:noHBand="1" w:noVBand="1"/>
      </w:tblPr>
      <w:tblGrid>
        <w:gridCol w:w="4496"/>
        <w:gridCol w:w="4496"/>
        <w:gridCol w:w="5010"/>
      </w:tblGrid>
      <w:tr w:rsidR="00152331" w:rsidRPr="00AF43B7" w14:paraId="49C5EBD0" w14:textId="77777777" w:rsidTr="00916BC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96" w:type="dxa"/>
            <w:shd w:val="clear" w:color="auto" w:fill="474747" w:themeFill="text2" w:themeFillShade="BF"/>
            <w:vAlign w:val="center"/>
          </w:tcPr>
          <w:p w14:paraId="48F16BD9" w14:textId="77777777" w:rsidR="00152331" w:rsidRPr="00D50A40" w:rsidRDefault="00152331" w:rsidP="0026763D">
            <w:pPr>
              <w:pStyle w:val="TableColumnHeadingLeft"/>
              <w:rPr>
                <w:b/>
                <w:bCs w:val="0"/>
                <w:color w:val="FFFFFF" w:themeColor="background1"/>
              </w:rPr>
            </w:pPr>
            <w:r w:rsidRPr="00D50A40">
              <w:rPr>
                <w:b/>
                <w:bCs w:val="0"/>
                <w:color w:val="FFFFFF" w:themeColor="background1"/>
              </w:rPr>
              <w:lastRenderedPageBreak/>
              <w:t>Initiative</w:t>
            </w:r>
          </w:p>
        </w:tc>
        <w:tc>
          <w:tcPr>
            <w:tcW w:w="4496" w:type="dxa"/>
            <w:shd w:val="clear" w:color="auto" w:fill="474747" w:themeFill="text2" w:themeFillShade="BF"/>
            <w:vAlign w:val="center"/>
            <w:hideMark/>
          </w:tcPr>
          <w:p w14:paraId="70C32E15" w14:textId="77777777" w:rsidR="00152331" w:rsidRPr="00D50A40" w:rsidRDefault="00152331" w:rsidP="0026763D">
            <w:pPr>
              <w:pStyle w:val="TableColumnHeadingLeft"/>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D50A40">
              <w:rPr>
                <w:b/>
                <w:bCs w:val="0"/>
                <w:color w:val="FFFFFF" w:themeColor="background1"/>
              </w:rPr>
              <w:t>Changes</w:t>
            </w:r>
          </w:p>
        </w:tc>
        <w:tc>
          <w:tcPr>
            <w:tcW w:w="5010" w:type="dxa"/>
            <w:shd w:val="clear" w:color="auto" w:fill="474747" w:themeFill="text2" w:themeFillShade="BF"/>
            <w:vAlign w:val="center"/>
          </w:tcPr>
          <w:p w14:paraId="0ACBDC0F" w14:textId="77777777" w:rsidR="00152331" w:rsidRPr="00D50A40" w:rsidRDefault="00152331" w:rsidP="0026763D">
            <w:pPr>
              <w:pStyle w:val="TableColumnHeadingLeft"/>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D50A40">
              <w:rPr>
                <w:b/>
                <w:bCs w:val="0"/>
                <w:color w:val="FFFFFF" w:themeColor="background1"/>
              </w:rPr>
              <w:t>Reason for the change</w:t>
            </w:r>
          </w:p>
        </w:tc>
      </w:tr>
      <w:tr w:rsidR="00152331" w:rsidRPr="00AF43B7" w14:paraId="5E79C492" w14:textId="77777777" w:rsidTr="00916BCA">
        <w:trPr>
          <w:trHeight w:val="410"/>
        </w:trPr>
        <w:tc>
          <w:tcPr>
            <w:cnfStyle w:val="001000000000" w:firstRow="0" w:lastRow="0" w:firstColumn="1" w:lastColumn="0" w:oddVBand="0" w:evenVBand="0" w:oddHBand="0" w:evenHBand="0" w:firstRowFirstColumn="0" w:firstRowLastColumn="0" w:lastRowFirstColumn="0" w:lastRowLastColumn="0"/>
            <w:tcW w:w="4496" w:type="dxa"/>
            <w:tcBorders>
              <w:bottom w:val="single" w:sz="4" w:space="0" w:color="5F5F5F" w:themeColor="text2"/>
            </w:tcBorders>
            <w:shd w:val="clear" w:color="auto" w:fill="FFFFFF" w:themeFill="background1"/>
            <w:vAlign w:val="center"/>
          </w:tcPr>
          <w:p w14:paraId="1E077DD9" w14:textId="77777777" w:rsidR="00152331" w:rsidRPr="00916BCA" w:rsidRDefault="00152331" w:rsidP="00916BCA">
            <w:pPr>
              <w:pStyle w:val="TableLink"/>
              <w:rPr>
                <w:rStyle w:val="Hyperlink"/>
                <w:b/>
                <w:bCs w:val="0"/>
                <w:color w:val="5D779D" w:themeColor="accent3"/>
                <w:u w:val="single"/>
              </w:rPr>
            </w:pPr>
            <w:hyperlink r:id="rId109" w:history="1">
              <w:r w:rsidRPr="00916BCA">
                <w:rPr>
                  <w:rStyle w:val="Hyperlink"/>
                  <w:b/>
                  <w:bCs w:val="0"/>
                  <w:color w:val="5D779D" w:themeColor="accent3"/>
                  <w:u w:val="single"/>
                </w:rPr>
                <w:t>Scams Prevention Framework – SPF rules, and sector</w:t>
              </w:r>
              <w:r w:rsidRPr="00916BCA">
                <w:rPr>
                  <w:rStyle w:val="Hyperlink"/>
                  <w:b/>
                  <w:bCs w:val="0"/>
                  <w:color w:val="5D779D" w:themeColor="accent3"/>
                  <w:u w:val="single"/>
                </w:rPr>
                <w:noBreakHyphen/>
                <w:t>specific designation and sector code for bank</w:t>
              </w:r>
            </w:hyperlink>
            <w:r w:rsidRPr="00916BCA">
              <w:rPr>
                <w:rStyle w:val="Hyperlink"/>
                <w:b/>
                <w:bCs w:val="0"/>
                <w:color w:val="5D779D" w:themeColor="accent3"/>
                <w:u w:val="single"/>
              </w:rPr>
              <w:t>ing</w:t>
            </w:r>
          </w:p>
        </w:tc>
        <w:tc>
          <w:tcPr>
            <w:tcW w:w="4496" w:type="dxa"/>
            <w:tcBorders>
              <w:bottom w:val="single" w:sz="4" w:space="0" w:color="5F5F5F" w:themeColor="text2"/>
            </w:tcBorders>
            <w:shd w:val="clear" w:color="auto" w:fill="FFFFFF" w:themeFill="background1"/>
            <w:vAlign w:val="center"/>
          </w:tcPr>
          <w:p w14:paraId="2073A189" w14:textId="77777777" w:rsidR="00152331" w:rsidRPr="000A6BD2" w:rsidRDefault="00152331" w:rsidP="0026763D">
            <w:pPr>
              <w:pStyle w:val="TableTextLeft"/>
              <w:cnfStyle w:val="000000000000" w:firstRow="0" w:lastRow="0" w:firstColumn="0" w:lastColumn="0" w:oddVBand="0" w:evenVBand="0" w:oddHBand="0" w:evenHBand="0" w:firstRowFirstColumn="0" w:firstRowLastColumn="0" w:lastRowFirstColumn="0" w:lastRowLastColumn="0"/>
            </w:pPr>
            <w:r>
              <w:t>Activities removed.</w:t>
            </w:r>
          </w:p>
        </w:tc>
        <w:tc>
          <w:tcPr>
            <w:tcW w:w="5010" w:type="dxa"/>
            <w:tcBorders>
              <w:bottom w:val="single" w:sz="4" w:space="0" w:color="5F5F5F" w:themeColor="text2"/>
            </w:tcBorders>
            <w:shd w:val="clear" w:color="auto" w:fill="FFFFFF" w:themeFill="background1"/>
            <w:vAlign w:val="center"/>
          </w:tcPr>
          <w:p w14:paraId="0F08C4FD" w14:textId="77777777" w:rsidR="00152331" w:rsidRDefault="00152331" w:rsidP="0026763D">
            <w:pPr>
              <w:pStyle w:val="TableTextLeft"/>
              <w:cnfStyle w:val="000000000000" w:firstRow="0" w:lastRow="0" w:firstColumn="0" w:lastColumn="0" w:oddVBand="0" w:evenVBand="0" w:oddHBand="0" w:evenHBand="0" w:firstRowFirstColumn="0" w:firstRowLastColumn="0" w:lastRowFirstColumn="0" w:lastRowLastColumn="0"/>
            </w:pPr>
            <w:r>
              <w:t>Activities removed due to their being no public announcements.</w:t>
            </w:r>
          </w:p>
        </w:tc>
      </w:tr>
      <w:tr w:rsidR="00152331" w14:paraId="7D774509" w14:textId="77777777" w:rsidTr="00916BCA">
        <w:trPr>
          <w:trHeight w:val="410"/>
        </w:trPr>
        <w:tc>
          <w:tcPr>
            <w:cnfStyle w:val="001000000000" w:firstRow="0" w:lastRow="0" w:firstColumn="1" w:lastColumn="0" w:oddVBand="0" w:evenVBand="0" w:oddHBand="0" w:evenHBand="0" w:firstRowFirstColumn="0" w:firstRowLastColumn="0" w:lastRowFirstColumn="0" w:lastRowLastColumn="0"/>
            <w:tcW w:w="4496" w:type="dxa"/>
            <w:tcBorders>
              <w:top w:val="single" w:sz="4" w:space="0" w:color="5F5F5F" w:themeColor="text2"/>
              <w:bottom w:val="single" w:sz="4" w:space="0" w:color="5F5F5F" w:themeColor="text2"/>
            </w:tcBorders>
            <w:shd w:val="clear" w:color="auto" w:fill="FFFFFF" w:themeFill="background1"/>
            <w:vAlign w:val="center"/>
          </w:tcPr>
          <w:p w14:paraId="00770AC1" w14:textId="77777777" w:rsidR="00152331" w:rsidRDefault="00152331" w:rsidP="0026763D">
            <w:pPr>
              <w:pStyle w:val="TableTextLeft"/>
            </w:pPr>
            <w:r>
              <w:t>Update crypto assets guidance</w:t>
            </w:r>
          </w:p>
        </w:tc>
        <w:tc>
          <w:tcPr>
            <w:tcW w:w="4496" w:type="dxa"/>
            <w:tcBorders>
              <w:top w:val="single" w:sz="4" w:space="0" w:color="5F5F5F" w:themeColor="text2"/>
              <w:bottom w:val="single" w:sz="4" w:space="0" w:color="5F5F5F" w:themeColor="text2"/>
            </w:tcBorders>
            <w:shd w:val="clear" w:color="auto" w:fill="FFFFFF" w:themeFill="background1"/>
            <w:vAlign w:val="center"/>
          </w:tcPr>
          <w:p w14:paraId="71E44F4C" w14:textId="77777777" w:rsidR="00152331" w:rsidRDefault="00152331" w:rsidP="0026763D">
            <w:pPr>
              <w:pStyle w:val="TableColumnHeadingLeft"/>
              <w:cnfStyle w:val="000000000000" w:firstRow="0" w:lastRow="0" w:firstColumn="0" w:lastColumn="0" w:oddVBand="0" w:evenVBand="0" w:oddHBand="0" w:evenHBand="0" w:firstRowFirstColumn="0" w:firstRowLastColumn="0" w:lastRowFirstColumn="0" w:lastRowLastColumn="0"/>
              <w:rPr>
                <w:sz w:val="16"/>
                <w:szCs w:val="16"/>
              </w:rPr>
            </w:pPr>
            <w:r w:rsidRPr="259778F7">
              <w:rPr>
                <w:b w:val="0"/>
                <w:color w:val="auto"/>
                <w:sz w:val="16"/>
                <w:szCs w:val="16"/>
              </w:rPr>
              <w:t xml:space="preserve">Q2 2025 milestone moved to </w:t>
            </w:r>
            <w:r w:rsidRPr="2214241E">
              <w:rPr>
                <w:b w:val="0"/>
                <w:color w:val="auto"/>
                <w:sz w:val="16"/>
                <w:szCs w:val="16"/>
              </w:rPr>
              <w:t xml:space="preserve">Q4 </w:t>
            </w:r>
            <w:r w:rsidRPr="51951704">
              <w:rPr>
                <w:b w:val="0"/>
                <w:color w:val="auto"/>
                <w:sz w:val="16"/>
                <w:szCs w:val="16"/>
              </w:rPr>
              <w:t>2025</w:t>
            </w:r>
          </w:p>
        </w:tc>
        <w:tc>
          <w:tcPr>
            <w:tcW w:w="5010" w:type="dxa"/>
            <w:tcBorders>
              <w:top w:val="single" w:sz="4" w:space="0" w:color="5F5F5F" w:themeColor="text2"/>
              <w:bottom w:val="single" w:sz="4" w:space="0" w:color="5F5F5F" w:themeColor="text2"/>
            </w:tcBorders>
            <w:shd w:val="clear" w:color="auto" w:fill="FFFFFF" w:themeFill="background1"/>
            <w:vAlign w:val="center"/>
          </w:tcPr>
          <w:p w14:paraId="5EC317DC" w14:textId="77777777" w:rsidR="00152331" w:rsidRPr="003C67D9" w:rsidRDefault="00152331" w:rsidP="0026763D">
            <w:pPr>
              <w:pStyle w:val="TableColumnHeadingLeft"/>
              <w:cnfStyle w:val="000000000000" w:firstRow="0" w:lastRow="0" w:firstColumn="0" w:lastColumn="0" w:oddVBand="0" w:evenVBand="0" w:oddHBand="0" w:evenHBand="0" w:firstRowFirstColumn="0" w:firstRowLastColumn="0" w:lastRowFirstColumn="0" w:lastRowLastColumn="0"/>
              <w:rPr>
                <w:b w:val="0"/>
                <w:color w:val="auto"/>
              </w:rPr>
            </w:pPr>
            <w:r w:rsidRPr="51951704">
              <w:rPr>
                <w:b w:val="0"/>
                <w:color w:val="auto"/>
                <w:sz w:val="16"/>
                <w:szCs w:val="16"/>
              </w:rPr>
              <w:t>Delay due to operational reasons</w:t>
            </w:r>
          </w:p>
        </w:tc>
      </w:tr>
      <w:tr w:rsidR="00152331" w:rsidRPr="000A6BD2" w14:paraId="039FB63D" w14:textId="77777777" w:rsidTr="00916BCA">
        <w:trPr>
          <w:trHeight w:val="410"/>
        </w:trPr>
        <w:tc>
          <w:tcPr>
            <w:cnfStyle w:val="001000000000" w:firstRow="0" w:lastRow="0" w:firstColumn="1" w:lastColumn="0" w:oddVBand="0" w:evenVBand="0" w:oddHBand="0" w:evenHBand="0" w:firstRowFirstColumn="0" w:firstRowLastColumn="0" w:lastRowFirstColumn="0" w:lastRowLastColumn="0"/>
            <w:tcW w:w="4496" w:type="dxa"/>
            <w:tcBorders>
              <w:top w:val="single" w:sz="4" w:space="0" w:color="5F5F5F" w:themeColor="text2"/>
              <w:bottom w:val="single" w:sz="4" w:space="0" w:color="5F5F5F" w:themeColor="text2"/>
            </w:tcBorders>
            <w:shd w:val="clear" w:color="auto" w:fill="FFFFFF" w:themeFill="background1"/>
            <w:vAlign w:val="center"/>
          </w:tcPr>
          <w:p w14:paraId="63A05C9C" w14:textId="77777777" w:rsidR="00152331" w:rsidRPr="003C67D9" w:rsidRDefault="00152331" w:rsidP="0026763D">
            <w:pPr>
              <w:pStyle w:val="TableTextLeft"/>
              <w:rPr>
                <w:rStyle w:val="Hyperlink"/>
                <w:color w:val="000000"/>
              </w:rPr>
            </w:pPr>
            <w:r w:rsidRPr="003C67D9">
              <w:t>Update of Regulatory Guide 181 Licensing: Managing conflicts of interest</w:t>
            </w:r>
          </w:p>
        </w:tc>
        <w:tc>
          <w:tcPr>
            <w:tcW w:w="4496" w:type="dxa"/>
            <w:tcBorders>
              <w:top w:val="single" w:sz="4" w:space="0" w:color="5F5F5F" w:themeColor="text2"/>
              <w:bottom w:val="single" w:sz="4" w:space="0" w:color="5F5F5F" w:themeColor="text2"/>
            </w:tcBorders>
            <w:shd w:val="clear" w:color="auto" w:fill="FFFFFF" w:themeFill="background1"/>
            <w:vAlign w:val="center"/>
          </w:tcPr>
          <w:p w14:paraId="1A0DADB5" w14:textId="77777777" w:rsidR="00152331" w:rsidRPr="009639C2" w:rsidRDefault="00152331" w:rsidP="0026763D">
            <w:pPr>
              <w:pStyle w:val="TableColumnHeadingLeft"/>
              <w:cnfStyle w:val="000000000000" w:firstRow="0" w:lastRow="0" w:firstColumn="0" w:lastColumn="0" w:oddVBand="0" w:evenVBand="0" w:oddHBand="0" w:evenHBand="0" w:firstRowFirstColumn="0" w:firstRowLastColumn="0" w:lastRowFirstColumn="0" w:lastRowLastColumn="0"/>
              <w:rPr>
                <w:rStyle w:val="Hyperlink"/>
                <w:b w:val="0"/>
                <w:bCs/>
                <w:color w:val="auto"/>
                <w:szCs w:val="16"/>
              </w:rPr>
            </w:pPr>
            <w:r w:rsidRPr="57D8110C">
              <w:rPr>
                <w:b w:val="0"/>
                <w:color w:val="auto"/>
                <w:sz w:val="16"/>
                <w:szCs w:val="16"/>
              </w:rPr>
              <w:t xml:space="preserve">Guidance will be published </w:t>
            </w:r>
            <w:r w:rsidRPr="313BFC57">
              <w:rPr>
                <w:b w:val="0"/>
                <w:color w:val="auto"/>
                <w:sz w:val="16"/>
                <w:szCs w:val="16"/>
              </w:rPr>
              <w:t>early in</w:t>
            </w:r>
            <w:r w:rsidRPr="009639C2">
              <w:rPr>
                <w:b w:val="0"/>
                <w:bCs/>
                <w:color w:val="auto"/>
                <w:sz w:val="16"/>
                <w:szCs w:val="16"/>
              </w:rPr>
              <w:t xml:space="preserve"> Q4 2025 instead of Q1 2026.</w:t>
            </w:r>
          </w:p>
        </w:tc>
        <w:tc>
          <w:tcPr>
            <w:tcW w:w="5010" w:type="dxa"/>
            <w:tcBorders>
              <w:top w:val="single" w:sz="4" w:space="0" w:color="5F5F5F" w:themeColor="text2"/>
              <w:bottom w:val="single" w:sz="4" w:space="0" w:color="5F5F5F" w:themeColor="text2"/>
            </w:tcBorders>
            <w:shd w:val="clear" w:color="auto" w:fill="FFFFFF" w:themeFill="background1"/>
            <w:vAlign w:val="center"/>
          </w:tcPr>
          <w:p w14:paraId="19CDB4D9" w14:textId="77777777" w:rsidR="00152331" w:rsidRPr="009639C2" w:rsidRDefault="00152331" w:rsidP="0026763D">
            <w:pPr>
              <w:pStyle w:val="TableColumnHeadingLeft"/>
              <w:cnfStyle w:val="000000000000" w:firstRow="0" w:lastRow="0" w:firstColumn="0" w:lastColumn="0" w:oddVBand="0" w:evenVBand="0" w:oddHBand="0" w:evenHBand="0" w:firstRowFirstColumn="0" w:firstRowLastColumn="0" w:lastRowFirstColumn="0" w:lastRowLastColumn="0"/>
              <w:rPr>
                <w:rStyle w:val="Hyperlink"/>
                <w:b w:val="0"/>
                <w:bCs/>
                <w:color w:val="auto"/>
                <w:szCs w:val="16"/>
              </w:rPr>
            </w:pPr>
            <w:r>
              <w:rPr>
                <w:b w:val="0"/>
                <w:color w:val="auto"/>
                <w:sz w:val="16"/>
                <w:szCs w:val="16"/>
              </w:rPr>
              <w:t>This</w:t>
            </w:r>
            <w:r w:rsidRPr="23ACE1A7">
              <w:rPr>
                <w:b w:val="0"/>
                <w:color w:val="auto"/>
                <w:sz w:val="16"/>
                <w:szCs w:val="16"/>
              </w:rPr>
              <w:t xml:space="preserve"> is</w:t>
            </w:r>
            <w:r w:rsidRPr="009639C2">
              <w:rPr>
                <w:b w:val="0"/>
                <w:bCs/>
                <w:color w:val="auto"/>
                <w:sz w:val="16"/>
                <w:szCs w:val="16"/>
              </w:rPr>
              <w:t xml:space="preserve"> to better align with other priorities</w:t>
            </w:r>
          </w:p>
        </w:tc>
      </w:tr>
      <w:tr w:rsidR="00152331" w14:paraId="5C49C9DD" w14:textId="77777777" w:rsidTr="00916BCA">
        <w:trPr>
          <w:trHeight w:val="410"/>
        </w:trPr>
        <w:tc>
          <w:tcPr>
            <w:cnfStyle w:val="001000000000" w:firstRow="0" w:lastRow="0" w:firstColumn="1" w:lastColumn="0" w:oddVBand="0" w:evenVBand="0" w:oddHBand="0" w:evenHBand="0" w:firstRowFirstColumn="0" w:firstRowLastColumn="0" w:lastRowFirstColumn="0" w:lastRowLastColumn="0"/>
            <w:tcW w:w="4496" w:type="dxa"/>
            <w:tcBorders>
              <w:top w:val="single" w:sz="4" w:space="0" w:color="5F5F5F" w:themeColor="text2"/>
              <w:bottom w:val="single" w:sz="4" w:space="0" w:color="5F5F5F" w:themeColor="text2"/>
            </w:tcBorders>
            <w:shd w:val="clear" w:color="auto" w:fill="FFFFFF" w:themeFill="background1"/>
            <w:vAlign w:val="center"/>
          </w:tcPr>
          <w:p w14:paraId="211EE7A0" w14:textId="77777777" w:rsidR="00152331" w:rsidRDefault="00152331" w:rsidP="0026763D">
            <w:pPr>
              <w:pStyle w:val="TableTextLeft"/>
            </w:pPr>
            <w:r>
              <w:t xml:space="preserve">Update of Regulatory Guide 53 </w:t>
            </w:r>
          </w:p>
        </w:tc>
        <w:tc>
          <w:tcPr>
            <w:tcW w:w="4496" w:type="dxa"/>
            <w:tcBorders>
              <w:top w:val="single" w:sz="4" w:space="0" w:color="5F5F5F" w:themeColor="text2"/>
              <w:bottom w:val="single" w:sz="4" w:space="0" w:color="5F5F5F" w:themeColor="text2"/>
            </w:tcBorders>
            <w:shd w:val="clear" w:color="auto" w:fill="FFFFFF" w:themeFill="background1"/>
            <w:vAlign w:val="center"/>
          </w:tcPr>
          <w:p w14:paraId="39A8B812" w14:textId="77777777" w:rsidR="00152331" w:rsidRDefault="00152331" w:rsidP="0026763D">
            <w:pPr>
              <w:pStyle w:val="TableColumnHeadingLeft"/>
              <w:cnfStyle w:val="000000000000" w:firstRow="0" w:lastRow="0" w:firstColumn="0" w:lastColumn="0" w:oddVBand="0" w:evenVBand="0" w:oddHBand="0" w:evenHBand="0" w:firstRowFirstColumn="0" w:firstRowLastColumn="0" w:lastRowFirstColumn="0" w:lastRowLastColumn="0"/>
              <w:rPr>
                <w:sz w:val="16"/>
                <w:szCs w:val="16"/>
              </w:rPr>
            </w:pPr>
            <w:r w:rsidRPr="003F528B">
              <w:rPr>
                <w:b w:val="0"/>
                <w:color w:val="auto"/>
                <w:sz w:val="16"/>
                <w:szCs w:val="16"/>
              </w:rPr>
              <w:t>Q1 2026 milestone moved to Q2 2026</w:t>
            </w:r>
          </w:p>
        </w:tc>
        <w:tc>
          <w:tcPr>
            <w:tcW w:w="5010" w:type="dxa"/>
            <w:tcBorders>
              <w:top w:val="single" w:sz="4" w:space="0" w:color="5F5F5F" w:themeColor="text2"/>
              <w:bottom w:val="single" w:sz="4" w:space="0" w:color="5F5F5F" w:themeColor="text2"/>
            </w:tcBorders>
            <w:shd w:val="clear" w:color="auto" w:fill="FFFFFF" w:themeFill="background1"/>
            <w:vAlign w:val="center"/>
          </w:tcPr>
          <w:p w14:paraId="18AA674E" w14:textId="77777777" w:rsidR="00152331" w:rsidRDefault="00152331" w:rsidP="0026763D">
            <w:pPr>
              <w:pStyle w:val="TableColumnHeadingLeft"/>
              <w:cnfStyle w:val="000000000000" w:firstRow="0" w:lastRow="0" w:firstColumn="0" w:lastColumn="0" w:oddVBand="0" w:evenVBand="0" w:oddHBand="0" w:evenHBand="0" w:firstRowFirstColumn="0" w:firstRowLastColumn="0" w:lastRowFirstColumn="0" w:lastRowLastColumn="0"/>
              <w:rPr>
                <w:sz w:val="16"/>
                <w:szCs w:val="16"/>
              </w:rPr>
            </w:pPr>
            <w:r w:rsidRPr="003F528B">
              <w:rPr>
                <w:b w:val="0"/>
                <w:color w:val="auto"/>
                <w:sz w:val="16"/>
                <w:szCs w:val="16"/>
              </w:rPr>
              <w:t>Delay to facilitate further engagement with industry</w:t>
            </w:r>
          </w:p>
        </w:tc>
      </w:tr>
    </w:tbl>
    <w:p w14:paraId="12E1B5D8" w14:textId="51FEDB1C" w:rsidR="00152331" w:rsidRPr="00152331" w:rsidRDefault="00152331" w:rsidP="00152331"/>
    <w:sectPr w:rsidR="00152331" w:rsidRPr="00152331" w:rsidSect="007E0632">
      <w:footerReference w:type="default" r:id="rId110"/>
      <w:pgSz w:w="16838" w:h="11906" w:orient="landscape" w:code="9"/>
      <w:pgMar w:top="1843" w:right="1418" w:bottom="1021" w:left="1418"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5E102F" w14:textId="77777777" w:rsidR="00CD34C1" w:rsidRDefault="00CD34C1">
      <w:pPr>
        <w:spacing w:before="0" w:after="0"/>
      </w:pPr>
      <w:r>
        <w:separator/>
      </w:r>
    </w:p>
  </w:endnote>
  <w:endnote w:type="continuationSeparator" w:id="0">
    <w:p w14:paraId="2CA6703C" w14:textId="77777777" w:rsidR="00CD34C1" w:rsidRDefault="00CD34C1">
      <w:pPr>
        <w:spacing w:before="0" w:after="0"/>
      </w:pPr>
      <w:r>
        <w:continuationSeparator/>
      </w:r>
    </w:p>
  </w:endnote>
  <w:endnote w:type="continuationNotice" w:id="1">
    <w:p w14:paraId="2E007989" w14:textId="77777777" w:rsidR="00CD34C1" w:rsidRDefault="00CD34C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65"/>
      <w:gridCol w:w="4665"/>
      <w:gridCol w:w="4665"/>
    </w:tblGrid>
    <w:tr w:rsidR="5190A120" w14:paraId="281C33E2" w14:textId="77777777" w:rsidTr="5190A120">
      <w:trPr>
        <w:trHeight w:val="300"/>
      </w:trPr>
      <w:tc>
        <w:tcPr>
          <w:tcW w:w="4665" w:type="dxa"/>
        </w:tcPr>
        <w:p w14:paraId="4E83F0E4" w14:textId="2D4EF798" w:rsidR="5190A120" w:rsidRDefault="5190A120" w:rsidP="5190A120">
          <w:pPr>
            <w:pStyle w:val="Header"/>
            <w:ind w:left="-115"/>
          </w:pPr>
        </w:p>
      </w:tc>
      <w:tc>
        <w:tcPr>
          <w:tcW w:w="4665" w:type="dxa"/>
        </w:tcPr>
        <w:p w14:paraId="4CFCCF1F" w14:textId="6B079592" w:rsidR="5190A120" w:rsidRDefault="5190A120" w:rsidP="5190A120">
          <w:pPr>
            <w:pStyle w:val="Header"/>
            <w:jc w:val="center"/>
          </w:pPr>
        </w:p>
      </w:tc>
      <w:tc>
        <w:tcPr>
          <w:tcW w:w="4665" w:type="dxa"/>
        </w:tcPr>
        <w:p w14:paraId="425D9BED" w14:textId="14483D14" w:rsidR="5190A120" w:rsidRDefault="5190A120" w:rsidP="5190A120">
          <w:pPr>
            <w:pStyle w:val="Header"/>
            <w:ind w:right="-115"/>
          </w:pPr>
        </w:p>
      </w:tc>
    </w:tr>
  </w:tbl>
  <w:p w14:paraId="7BC06859" w14:textId="668381BC" w:rsidR="0053272D" w:rsidRDefault="0053272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17581" w14:textId="4BF50B76" w:rsidR="00822849" w:rsidRDefault="0082284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5D0F7" w14:textId="5D75A269" w:rsidR="00822849" w:rsidRDefault="0082284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60C7B" w14:textId="0D0B9709" w:rsidR="00672B5D" w:rsidRPr="00434E3C" w:rsidRDefault="00434E3C" w:rsidP="00434E3C">
    <w:pPr>
      <w:pStyle w:val="FooterOdd"/>
      <w:tabs>
        <w:tab w:val="right" w:pos="14002"/>
      </w:tabs>
      <w:jc w:val="left"/>
    </w:pPr>
    <w:r>
      <w:rPr>
        <w:spacing w:val="-2"/>
      </w:rPr>
      <w:t>R</w:t>
    </w:r>
    <w:r w:rsidRPr="00434E3C">
      <w:rPr>
        <w:spacing w:val="-2"/>
      </w:rPr>
      <w:t xml:space="preserve">egulatory </w:t>
    </w:r>
    <w:r>
      <w:rPr>
        <w:spacing w:val="-2"/>
      </w:rPr>
      <w:t>I</w:t>
    </w:r>
    <w:r w:rsidRPr="00434E3C">
      <w:rPr>
        <w:spacing w:val="-2"/>
      </w:rPr>
      <w:t xml:space="preserve">nitiatives </w:t>
    </w:r>
    <w:r>
      <w:rPr>
        <w:spacing w:val="-2"/>
      </w:rPr>
      <w:t>G</w:t>
    </w:r>
    <w:r w:rsidRPr="00434E3C">
      <w:rPr>
        <w:spacing w:val="-2"/>
      </w:rPr>
      <w:t>rid | December 2024</w:t>
    </w:r>
    <w:r>
      <w:tab/>
    </w:r>
    <w:fldSimple w:instr="STYLEREF  &quot;Heading 1&quot;  \* MERGEFORMAT">
      <w:r w:rsidR="009E4589">
        <w:rPr>
          <w:noProof/>
        </w:rPr>
        <w:t>Foreword</w:t>
      </w:r>
    </w:fldSimple>
    <w:r>
      <w:rPr>
        <w:noProof/>
      </w:rPr>
      <w:t xml:space="preserve"> </w:t>
    </w:r>
    <w:r>
      <w:t xml:space="preserve">| </w:t>
    </w:r>
    <w:r>
      <w:fldChar w:fldCharType="begin"/>
    </w:r>
    <w:r>
      <w:instrText xml:space="preserve"> PAGE   \* MERGEFORMAT </w:instrText>
    </w:r>
    <w:r>
      <w:fldChar w:fldCharType="separate"/>
    </w:r>
    <w:r>
      <w:t>1</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CDC87" w14:textId="07490600" w:rsidR="00822849" w:rsidRDefault="009E4589" w:rsidP="00DC3FC0">
    <w:pPr>
      <w:pStyle w:val="Footer"/>
      <w:tabs>
        <w:tab w:val="right" w:pos="13999"/>
      </w:tabs>
      <w:jc w:val="left"/>
    </w:pPr>
    <w:fldSimple w:instr="SUBJECT  \* Caps  \* MERGEFORMAT">
      <w:r>
        <w:t>Regulatory Initiatives Grid | September 2025</w:t>
      </w:r>
    </w:fldSimple>
    <w:r w:rsidR="00005520">
      <w:ptab w:relativeTo="margin" w:alignment="right" w:leader="none"/>
    </w:r>
    <w:fldSimple w:instr="STYLEREF  &quot;Heading 1&quot;  \* MERGEFORMAT">
      <w:r w:rsidR="000F1955">
        <w:rPr>
          <w:noProof/>
        </w:rPr>
        <w:t>Snapshot of regulatory initiatives</w:t>
      </w:r>
    </w:fldSimple>
    <w:r w:rsidR="00DC3FC0">
      <w:t xml:space="preserve"> | </w:t>
    </w:r>
    <w:r w:rsidR="00DC3FC0">
      <w:fldChar w:fldCharType="begin"/>
    </w:r>
    <w:r w:rsidR="00DC3FC0">
      <w:instrText xml:space="preserve"> PAGE   \* MERGEFORMAT </w:instrText>
    </w:r>
    <w:r w:rsidR="00DC3FC0">
      <w:fldChar w:fldCharType="separate"/>
    </w:r>
    <w:r w:rsidR="00DC3FC0">
      <w:rPr>
        <w:noProof/>
      </w:rPr>
      <w:t>i</w:t>
    </w:r>
    <w:r w:rsidR="00DC3FC0">
      <w:fldChar w:fldCharType="end"/>
    </w:r>
    <w:r w:rsidR="00053534">
      <w:rPr>
        <w:noProof/>
      </w:rPr>
      <mc:AlternateContent>
        <mc:Choice Requires="wps">
          <w:drawing>
            <wp:anchor distT="0" distB="0" distL="114300" distR="114300" simplePos="0" relativeHeight="251658240" behindDoc="1" locked="0" layoutInCell="1" allowOverlap="1" wp14:anchorId="207FD8D4" wp14:editId="0AE0A0B8">
              <wp:simplePos x="0" y="0"/>
              <wp:positionH relativeFrom="page">
                <wp:align>center</wp:align>
              </wp:positionH>
              <wp:positionV relativeFrom="page">
                <wp:align>center</wp:align>
              </wp:positionV>
              <wp:extent cx="10724400" cy="7570800"/>
              <wp:effectExtent l="0" t="0" r="1270" b="0"/>
              <wp:wrapNone/>
              <wp:docPr id="1421049705" name="Rectangle 14210497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24400" cy="7570800"/>
                      </a:xfrm>
                      <a:prstGeom prst="rect">
                        <a:avLst/>
                      </a:prstGeom>
                      <a:solidFill>
                        <a:schemeClr val="accent5">
                          <a:lumMod val="20000"/>
                          <a:lumOff val="80000"/>
                          <a:alpha val="3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2C618D69">
            <v:rect id="Rectangle 1421049705" style="position:absolute;margin-left:0;margin-top:0;width:844.45pt;height:596.15pt;z-index:-25165926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alt="&quot;&quot;" o:spid="_x0000_s1026" fillcolor="#e8f0fc [664]" stroked="f" strokeweight="2pt" w14:anchorId="395E74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">
              <v:fill opacity="19789f"/>
              <w10:wrap anchorx="page" anchory="page"/>
            </v:rect>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93DD4" w14:textId="41EE66B2" w:rsidR="00095D88" w:rsidRPr="00095D88" w:rsidRDefault="00095D88" w:rsidP="00095D8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789C9" w14:textId="6F85E4C1" w:rsidR="00DD58E6" w:rsidRPr="00E34DAB" w:rsidRDefault="00DD58E6" w:rsidP="00FB3A7B">
    <w:pPr>
      <w:pStyle w:val="FooterEven"/>
    </w:pPr>
    <w:r>
      <w:rPr>
        <w:spacing w:val="-2"/>
      </w:rPr>
      <w:t>R</w:t>
    </w:r>
    <w:r w:rsidRPr="00434E3C">
      <w:rPr>
        <w:spacing w:val="-2"/>
      </w:rPr>
      <w:t xml:space="preserve">egulatory </w:t>
    </w:r>
    <w:r>
      <w:rPr>
        <w:spacing w:val="-2"/>
      </w:rPr>
      <w:t>I</w:t>
    </w:r>
    <w:r w:rsidRPr="00434E3C">
      <w:rPr>
        <w:spacing w:val="-2"/>
      </w:rPr>
      <w:t xml:space="preserve">nitiatives </w:t>
    </w:r>
    <w:r>
      <w:rPr>
        <w:spacing w:val="-2"/>
      </w:rPr>
      <w:t>G</w:t>
    </w:r>
    <w:r w:rsidRPr="00434E3C">
      <w:rPr>
        <w:spacing w:val="-2"/>
      </w:rPr>
      <w:t>rid</w:t>
    </w:r>
    <w:r>
      <w:tab/>
    </w:r>
    <w:fldSimple w:instr="STYLEREF  &quot;Heading 1&quot;  \* MERGEFORMAT">
      <w:r w:rsidR="009E4589" w:rsidRPr="009E4589">
        <w:rPr>
          <w:lang w:val="en-US"/>
        </w:rPr>
        <w:t>Snapshot of regulatory initiatives</w:t>
      </w:r>
    </w:fldSimple>
    <w:r>
      <w:t xml:space="preserve"> | </w:t>
    </w:r>
    <w:r>
      <w:fldChar w:fldCharType="begin"/>
    </w:r>
    <w:r>
      <w:instrText xml:space="preserve"> PAGE   \* MERGEFORMAT </w:instrText>
    </w:r>
    <w:r>
      <w:fldChar w:fldCharType="separate"/>
    </w:r>
    <w:r>
      <w:t>7</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9B4DB" w14:textId="2F1244E3" w:rsidR="00DF73F9" w:rsidRDefault="009E4589" w:rsidP="00DF73F9">
    <w:pPr>
      <w:pStyle w:val="Footer"/>
      <w:tabs>
        <w:tab w:val="right" w:pos="13999"/>
      </w:tabs>
      <w:jc w:val="left"/>
    </w:pPr>
    <w:fldSimple w:instr=" SUBJECT  \* Caps  \* MERGEFORMAT ">
      <w:r>
        <w:t>Regulatory Initiatives Grid | September 2025</w:t>
      </w:r>
    </w:fldSimple>
    <w:r w:rsidR="00DF73F9">
      <w:ptab w:relativeTo="margin" w:alignment="right" w:leader="none"/>
    </w:r>
    <w:r w:rsidR="00DF73F9">
      <w:t xml:space="preserve"> </w:t>
    </w:r>
    <w:fldSimple w:instr=" STYLEREF  &quot;Heading 1&quot;  \* MERGEFORMAT ">
      <w:r w:rsidR="000F1955">
        <w:rPr>
          <w:noProof/>
        </w:rPr>
        <w:t>Supporting improved regulatory coordination</w:t>
      </w:r>
    </w:fldSimple>
    <w:r w:rsidR="00DF73F9">
      <w:t xml:space="preserve"> | </w:t>
    </w:r>
    <w:r w:rsidR="00DF73F9">
      <w:fldChar w:fldCharType="begin"/>
    </w:r>
    <w:r w:rsidR="00DF73F9">
      <w:instrText xml:space="preserve"> PAGE   \* MERGEFORMAT </w:instrText>
    </w:r>
    <w:r w:rsidR="00DF73F9">
      <w:fldChar w:fldCharType="separate"/>
    </w:r>
    <w:r w:rsidR="00DF73F9">
      <w:t>6</w:t>
    </w:r>
    <w:r w:rsidR="00DF73F9">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253EF" w14:textId="77777777" w:rsidR="00DD58E6" w:rsidRDefault="00DD58E6">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2A4B7" w14:textId="50308CCC" w:rsidR="00565631" w:rsidRPr="00E34DAB" w:rsidRDefault="00547963" w:rsidP="00E34DAB">
    <w:pPr>
      <w:pStyle w:val="FooterOdd"/>
      <w:tabs>
        <w:tab w:val="right" w:pos="14002"/>
      </w:tabs>
      <w:jc w:val="left"/>
    </w:pPr>
    <w:r>
      <w:rPr>
        <w:spacing w:val="-2"/>
      </w:rPr>
      <w:t>R</w:t>
    </w:r>
    <w:r w:rsidRPr="00434E3C">
      <w:rPr>
        <w:spacing w:val="-2"/>
      </w:rPr>
      <w:t xml:space="preserve">egulatory </w:t>
    </w:r>
    <w:r>
      <w:rPr>
        <w:spacing w:val="-2"/>
      </w:rPr>
      <w:t>I</w:t>
    </w:r>
    <w:r w:rsidRPr="00434E3C">
      <w:rPr>
        <w:spacing w:val="-2"/>
      </w:rPr>
      <w:t xml:space="preserve">nitiatives </w:t>
    </w:r>
    <w:r>
      <w:rPr>
        <w:spacing w:val="-2"/>
      </w:rPr>
      <w:t>G</w:t>
    </w:r>
    <w:r w:rsidRPr="00434E3C">
      <w:rPr>
        <w:spacing w:val="-2"/>
      </w:rPr>
      <w:t>rid |</w:t>
    </w:r>
    <w:r>
      <w:rPr>
        <w:spacing w:val="-2"/>
      </w:rPr>
      <w:t xml:space="preserve"> </w:t>
    </w:r>
    <w:r w:rsidRPr="00434E3C">
      <w:rPr>
        <w:spacing w:val="-2"/>
      </w:rPr>
      <w:t>December 2024</w:t>
    </w:r>
    <w:r w:rsidR="00565631">
      <w:tab/>
    </w:r>
    <w:fldSimple w:instr="STYLEREF  &quot;Heading 1&quot;  \* MERGEFORMAT">
      <w:r w:rsidR="009E4589">
        <w:rPr>
          <w:noProof/>
        </w:rPr>
        <w:t>Supporting improved regulatory coordination</w:t>
      </w:r>
    </w:fldSimple>
    <w:r w:rsidR="00565631">
      <w:rPr>
        <w:noProof/>
      </w:rPr>
      <w:t xml:space="preserve"> </w:t>
    </w:r>
    <w:r w:rsidR="00565631">
      <w:t xml:space="preserve">| </w:t>
    </w:r>
    <w:r w:rsidR="00565631">
      <w:fldChar w:fldCharType="begin"/>
    </w:r>
    <w:r w:rsidR="00565631">
      <w:instrText xml:space="preserve"> PAGE   \* MERGEFORMAT </w:instrText>
    </w:r>
    <w:r w:rsidR="00565631">
      <w:fldChar w:fldCharType="separate"/>
    </w:r>
    <w:r w:rsidR="00565631">
      <w:t>7</w:t>
    </w:r>
    <w:r w:rsidR="00565631">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C84B9" w14:textId="0F64BEF0" w:rsidR="004125A1" w:rsidRDefault="009E4589" w:rsidP="000505D0">
    <w:pPr>
      <w:pStyle w:val="Footer"/>
      <w:tabs>
        <w:tab w:val="right" w:pos="13999"/>
      </w:tabs>
      <w:jc w:val="left"/>
    </w:pPr>
    <w:fldSimple w:instr="SUBJECT  \* Caps  \* MERGEFORMAT">
      <w:r>
        <w:t>Regulatory Initiatives Grid | September 2025</w:t>
      </w:r>
    </w:fldSimple>
    <w:r w:rsidR="004125A1">
      <w:ptab w:relativeTo="margin" w:alignment="right" w:leader="none"/>
    </w:r>
    <w:r w:rsidR="004125A1">
      <w:t xml:space="preserve"> </w:t>
    </w:r>
    <w:fldSimple w:instr="STYLEREF  &quot;Heading 1 Numbered&quot;  \* MERGEFORMAT">
      <w:r w:rsidR="000F1955">
        <w:rPr>
          <w:noProof/>
        </w:rPr>
        <w:t>Development of legislation, regulations and instruments</w:t>
      </w:r>
    </w:fldSimple>
    <w:r w:rsidR="004125A1">
      <w:t xml:space="preserve"> | </w:t>
    </w:r>
    <w:r w:rsidR="004125A1">
      <w:fldChar w:fldCharType="begin"/>
    </w:r>
    <w:r w:rsidR="004125A1">
      <w:instrText xml:space="preserve"> PAGE   \* MERGEFORMAT </w:instrText>
    </w:r>
    <w:r w:rsidR="004125A1">
      <w:fldChar w:fldCharType="separate"/>
    </w:r>
    <w:r w:rsidR="004125A1">
      <w:rPr>
        <w:noProof/>
      </w:rPr>
      <w:t>i</w:t>
    </w:r>
    <w:r w:rsidR="004125A1">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65"/>
      <w:gridCol w:w="4665"/>
      <w:gridCol w:w="4665"/>
    </w:tblGrid>
    <w:tr w:rsidR="5190A120" w14:paraId="1956032D" w14:textId="77777777" w:rsidTr="5190A120">
      <w:trPr>
        <w:trHeight w:val="300"/>
      </w:trPr>
      <w:tc>
        <w:tcPr>
          <w:tcW w:w="4665" w:type="dxa"/>
        </w:tcPr>
        <w:p w14:paraId="7B71D4DA" w14:textId="15D691F0" w:rsidR="5190A120" w:rsidRDefault="5190A120" w:rsidP="5190A120">
          <w:pPr>
            <w:pStyle w:val="Header"/>
            <w:ind w:left="-115"/>
          </w:pPr>
        </w:p>
      </w:tc>
      <w:tc>
        <w:tcPr>
          <w:tcW w:w="4665" w:type="dxa"/>
        </w:tcPr>
        <w:p w14:paraId="63021465" w14:textId="13926F6A" w:rsidR="5190A120" w:rsidRDefault="5190A120" w:rsidP="5190A120">
          <w:pPr>
            <w:pStyle w:val="Header"/>
            <w:jc w:val="center"/>
          </w:pPr>
        </w:p>
      </w:tc>
      <w:tc>
        <w:tcPr>
          <w:tcW w:w="4665" w:type="dxa"/>
        </w:tcPr>
        <w:p w14:paraId="6A97AF48" w14:textId="32E7230A" w:rsidR="5190A120" w:rsidRDefault="5190A120" w:rsidP="5190A120">
          <w:pPr>
            <w:pStyle w:val="Header"/>
            <w:ind w:right="-115"/>
          </w:pPr>
        </w:p>
      </w:tc>
    </w:tr>
  </w:tbl>
  <w:p w14:paraId="7BBB0E59" w14:textId="40F9CEBD" w:rsidR="0053272D" w:rsidRDefault="0053272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6A785" w14:textId="6C4F3C3A" w:rsidR="00822849" w:rsidRDefault="00822849">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F988B" w14:textId="0897DABA" w:rsidR="009831FF" w:rsidRDefault="009E4589" w:rsidP="000505D0">
    <w:pPr>
      <w:pStyle w:val="Footer"/>
      <w:tabs>
        <w:tab w:val="right" w:pos="13999"/>
      </w:tabs>
      <w:jc w:val="left"/>
    </w:pPr>
    <w:fldSimple w:instr="SUBJECT  \* Caps  \* MERGEFORMAT">
      <w:r>
        <w:t>Regulatory Initiatives Grid | September 2025</w:t>
      </w:r>
    </w:fldSimple>
    <w:r w:rsidR="009831FF">
      <w:ptab w:relativeTo="margin" w:alignment="right" w:leader="none"/>
    </w:r>
    <w:r w:rsidR="009831FF">
      <w:t xml:space="preserve"> </w:t>
    </w:r>
    <w:fldSimple w:instr="STYLEREF  &quot;Heading 1&quot;  \* MERGEFORMAT">
      <w:r w:rsidR="000F1955">
        <w:rPr>
          <w:noProof/>
        </w:rPr>
        <w:t>Changes to initiatives included in Edition 1</w:t>
      </w:r>
    </w:fldSimple>
    <w:r w:rsidR="009831FF">
      <w:t xml:space="preserve"> | </w:t>
    </w:r>
    <w:r w:rsidR="009831FF">
      <w:fldChar w:fldCharType="begin"/>
    </w:r>
    <w:r w:rsidR="009831FF">
      <w:instrText xml:space="preserve"> PAGE   \* MERGEFORMAT </w:instrText>
    </w:r>
    <w:r w:rsidR="009831FF">
      <w:fldChar w:fldCharType="separate"/>
    </w:r>
    <w:r w:rsidR="009831FF">
      <w:rPr>
        <w:noProof/>
      </w:rPr>
      <w:t>i</w:t>
    </w:r>
    <w:r w:rsidR="009831F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65"/>
      <w:gridCol w:w="4665"/>
      <w:gridCol w:w="4665"/>
    </w:tblGrid>
    <w:tr w:rsidR="5190A120" w14:paraId="0026719D" w14:textId="77777777" w:rsidTr="5190A120">
      <w:trPr>
        <w:trHeight w:val="300"/>
      </w:trPr>
      <w:tc>
        <w:tcPr>
          <w:tcW w:w="4665" w:type="dxa"/>
        </w:tcPr>
        <w:p w14:paraId="4399B915" w14:textId="24B17ACE" w:rsidR="5190A120" w:rsidRDefault="5190A120" w:rsidP="5190A120">
          <w:pPr>
            <w:pStyle w:val="Header"/>
            <w:ind w:left="-115"/>
          </w:pPr>
        </w:p>
      </w:tc>
      <w:tc>
        <w:tcPr>
          <w:tcW w:w="4665" w:type="dxa"/>
        </w:tcPr>
        <w:p w14:paraId="588E3F6A" w14:textId="1D34E11B" w:rsidR="5190A120" w:rsidRDefault="5190A120" w:rsidP="5190A120">
          <w:pPr>
            <w:pStyle w:val="Header"/>
            <w:jc w:val="center"/>
          </w:pPr>
        </w:p>
      </w:tc>
      <w:tc>
        <w:tcPr>
          <w:tcW w:w="4665" w:type="dxa"/>
        </w:tcPr>
        <w:p w14:paraId="5EC20C08" w14:textId="25552978" w:rsidR="5190A120" w:rsidRDefault="5190A120" w:rsidP="5190A120">
          <w:pPr>
            <w:pStyle w:val="Header"/>
            <w:ind w:right="-115"/>
          </w:pPr>
        </w:p>
      </w:tc>
    </w:tr>
  </w:tbl>
  <w:p w14:paraId="04672B3F" w14:textId="1FF99E4B" w:rsidR="0053272D" w:rsidRDefault="005327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040"/>
      <w:gridCol w:w="2040"/>
      <w:gridCol w:w="2040"/>
    </w:tblGrid>
    <w:tr w:rsidR="5190A120" w14:paraId="6D5F797B" w14:textId="77777777" w:rsidTr="5190A120">
      <w:trPr>
        <w:trHeight w:val="300"/>
      </w:trPr>
      <w:tc>
        <w:tcPr>
          <w:tcW w:w="2040" w:type="dxa"/>
        </w:tcPr>
        <w:p w14:paraId="37A28EDC" w14:textId="07CB31BB" w:rsidR="5190A120" w:rsidRDefault="5190A120" w:rsidP="5190A120">
          <w:pPr>
            <w:pStyle w:val="Header"/>
            <w:ind w:left="-115"/>
          </w:pPr>
        </w:p>
      </w:tc>
      <w:tc>
        <w:tcPr>
          <w:tcW w:w="2040" w:type="dxa"/>
        </w:tcPr>
        <w:p w14:paraId="4C3BCF1C" w14:textId="3D917B69" w:rsidR="5190A120" w:rsidRDefault="5190A120" w:rsidP="5190A120">
          <w:pPr>
            <w:pStyle w:val="Header"/>
            <w:jc w:val="center"/>
          </w:pPr>
        </w:p>
      </w:tc>
      <w:tc>
        <w:tcPr>
          <w:tcW w:w="2040" w:type="dxa"/>
        </w:tcPr>
        <w:p w14:paraId="43391351" w14:textId="3E875557" w:rsidR="5190A120" w:rsidRDefault="5190A120" w:rsidP="5190A120">
          <w:pPr>
            <w:pStyle w:val="Header"/>
            <w:ind w:right="-115"/>
          </w:pPr>
        </w:p>
      </w:tc>
    </w:tr>
  </w:tbl>
  <w:p w14:paraId="6156EEFC" w14:textId="4782100A" w:rsidR="0053272D" w:rsidRDefault="0053272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040"/>
      <w:gridCol w:w="2040"/>
      <w:gridCol w:w="2040"/>
    </w:tblGrid>
    <w:tr w:rsidR="5190A120" w14:paraId="7190F172" w14:textId="77777777" w:rsidTr="5190A120">
      <w:trPr>
        <w:trHeight w:val="300"/>
      </w:trPr>
      <w:tc>
        <w:tcPr>
          <w:tcW w:w="2040" w:type="dxa"/>
        </w:tcPr>
        <w:p w14:paraId="54FFC592" w14:textId="4A1C7DDF" w:rsidR="5190A120" w:rsidRDefault="5190A120" w:rsidP="5190A120">
          <w:pPr>
            <w:pStyle w:val="Header"/>
            <w:ind w:left="-115"/>
          </w:pPr>
        </w:p>
      </w:tc>
      <w:tc>
        <w:tcPr>
          <w:tcW w:w="2040" w:type="dxa"/>
        </w:tcPr>
        <w:p w14:paraId="22E05F61" w14:textId="7386F213" w:rsidR="5190A120" w:rsidRDefault="5190A120" w:rsidP="5190A120">
          <w:pPr>
            <w:pStyle w:val="Header"/>
            <w:jc w:val="center"/>
          </w:pPr>
        </w:p>
      </w:tc>
      <w:tc>
        <w:tcPr>
          <w:tcW w:w="2040" w:type="dxa"/>
        </w:tcPr>
        <w:p w14:paraId="55B94AF9" w14:textId="529EB8BB" w:rsidR="5190A120" w:rsidRDefault="5190A120" w:rsidP="5190A120">
          <w:pPr>
            <w:pStyle w:val="Header"/>
            <w:ind w:right="-115"/>
          </w:pPr>
        </w:p>
      </w:tc>
    </w:tr>
  </w:tbl>
  <w:p w14:paraId="3E0DDBEB" w14:textId="3B455E39" w:rsidR="0053272D" w:rsidRDefault="0053272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C8EA8" w14:textId="688B8B66" w:rsidR="0053272D" w:rsidRDefault="0053272D" w:rsidP="00D5567B">
    <w:pPr>
      <w:pStyle w:val="FooterEven"/>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44133" w14:textId="617D0959" w:rsidR="00B55B04" w:rsidRDefault="00B55B04" w:rsidP="00D5567B">
    <w:pPr>
      <w:pStyle w:val="FooterEven"/>
    </w:pPr>
    <w:r>
      <w:drawing>
        <wp:anchor distT="0" distB="0" distL="114300" distR="114300" simplePos="0" relativeHeight="251658244" behindDoc="1" locked="0" layoutInCell="1" allowOverlap="0" wp14:anchorId="104885E1" wp14:editId="5568990E">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2103841781" name="Picture 21038417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fldSimple w:instr="STYLEREF  &quot;Heading 1&quot;  \* MERGEFORMAT">
      <w:r w:rsidR="009E4589">
        <w:t>Contents</w:t>
      </w:r>
    </w:fldSimple>
    <w:r>
      <w:t xml:space="preserve"> | </w:t>
    </w:r>
    <w:r>
      <w:rPr>
        <w:noProof w:val="0"/>
      </w:rPr>
      <w:fldChar w:fldCharType="begin"/>
    </w:r>
    <w:r>
      <w:instrText xml:space="preserve"> PAGE   \* MERGEFORMAT </w:instrText>
    </w:r>
    <w:r>
      <w:rPr>
        <w:noProof w:val="0"/>
      </w:rPr>
      <w:fldChar w:fldCharType="separate"/>
    </w:r>
    <w:r>
      <w:t>3</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4663A" w14:textId="0EA5E23D" w:rsidR="00822849" w:rsidRDefault="009E4589" w:rsidP="00DC3FC0">
    <w:pPr>
      <w:pStyle w:val="Footer"/>
      <w:tabs>
        <w:tab w:val="right" w:pos="13999"/>
      </w:tabs>
      <w:jc w:val="left"/>
    </w:pPr>
    <w:fldSimple w:instr="SUBJECT  \* Caps  \* MERGEFORMAT">
      <w:r>
        <w:t>Regulatory Initiatives Grid | September 2025</w:t>
      </w:r>
    </w:fldSimple>
    <w:r w:rsidR="00005520">
      <w:ptab w:relativeTo="margin" w:alignment="right" w:leader="none"/>
    </w:r>
    <w:fldSimple w:instr="STYLEREF  &quot;Heading 1&quot;  \* MERGEFORMAT">
      <w:r w:rsidR="000F1955">
        <w:rPr>
          <w:noProof/>
        </w:rPr>
        <w:t>Foreword</w:t>
      </w:r>
    </w:fldSimple>
    <w:r w:rsidR="00DC3FC0">
      <w:t xml:space="preserve"> | </w:t>
    </w:r>
    <w:r w:rsidR="00DC3FC0">
      <w:fldChar w:fldCharType="begin"/>
    </w:r>
    <w:r w:rsidR="00DC3FC0">
      <w:instrText xml:space="preserve"> PAGE   \* MERGEFORMAT </w:instrText>
    </w:r>
    <w:r w:rsidR="00DC3FC0">
      <w:fldChar w:fldCharType="separate"/>
    </w:r>
    <w:r w:rsidR="00DC3FC0">
      <w:rPr>
        <w:noProof/>
      </w:rPr>
      <w:t>i</w:t>
    </w:r>
    <w:r w:rsidR="00DC3FC0">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0A1FD" w14:textId="016AFC48" w:rsidR="00B55B04" w:rsidRPr="00152534" w:rsidRDefault="009E4589" w:rsidP="00DC3FC0">
    <w:pPr>
      <w:pStyle w:val="Footer"/>
      <w:tabs>
        <w:tab w:val="right" w:pos="13999"/>
        <w:tab w:val="right" w:pos="15876"/>
      </w:tabs>
      <w:jc w:val="left"/>
    </w:pPr>
    <w:fldSimple w:instr="SUBJECT  \* Caps  \* MERGEFORMAT">
      <w:r>
        <w:t>Regulatory Initiatives Grid | September 2025</w:t>
      </w:r>
    </w:fldSimple>
    <w:r w:rsidR="00005520">
      <w:ptab w:relativeTo="margin" w:alignment="right" w:leader="none"/>
    </w:r>
    <w:fldSimple w:instr="STYLEREF  &quot;Heading 1&quot;  \* MERGEFORMAT">
      <w:r w:rsidR="000F1955">
        <w:rPr>
          <w:noProof/>
        </w:rPr>
        <w:t>Contents</w:t>
      </w:r>
    </w:fldSimple>
    <w:r w:rsidR="00DC3FC0">
      <w:t xml:space="preserve"> | </w:t>
    </w:r>
    <w:r w:rsidR="00047F04">
      <w:fldChar w:fldCharType="begin"/>
    </w:r>
    <w:r w:rsidR="00047F04">
      <w:instrText xml:space="preserve"> PAGE   \* MERGEFORMAT </w:instrText>
    </w:r>
    <w:r w:rsidR="00047F04">
      <w:fldChar w:fldCharType="separate"/>
    </w:r>
    <w:r w:rsidR="00047F04">
      <w:rPr>
        <w:noProof/>
      </w:rPr>
      <w:t>i</w:t>
    </w:r>
    <w:r w:rsidR="00047F0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74B49E" w14:textId="77777777" w:rsidR="00CD34C1" w:rsidRPr="00ED5A20" w:rsidRDefault="00CD34C1" w:rsidP="000F6233">
      <w:pPr>
        <w:rPr>
          <w:color w:val="4D7861" w:themeColor="accent2"/>
        </w:rPr>
      </w:pPr>
      <w:r w:rsidRPr="00ED5A20">
        <w:rPr>
          <w:color w:val="4D7861" w:themeColor="accent2"/>
        </w:rPr>
        <w:separator/>
      </w:r>
    </w:p>
  </w:footnote>
  <w:footnote w:type="continuationSeparator" w:id="0">
    <w:p w14:paraId="1471433F" w14:textId="77777777" w:rsidR="00CD34C1" w:rsidRPr="00B737EB" w:rsidRDefault="00CD34C1">
      <w:pPr>
        <w:spacing w:before="0" w:after="0"/>
        <w:rPr>
          <w:color w:val="2C384A" w:themeColor="accent1"/>
        </w:rPr>
      </w:pPr>
      <w:r w:rsidRPr="00B737EB">
        <w:rPr>
          <w:color w:val="2C384A" w:themeColor="accent1"/>
        </w:rPr>
        <w:continuationSeparator/>
      </w:r>
    </w:p>
  </w:footnote>
  <w:footnote w:type="continuationNotice" w:id="1">
    <w:p w14:paraId="66102E5E" w14:textId="77777777" w:rsidR="00CD34C1" w:rsidRDefault="00CD34C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65"/>
      <w:gridCol w:w="4665"/>
      <w:gridCol w:w="4665"/>
    </w:tblGrid>
    <w:tr w:rsidR="5190A120" w14:paraId="27BF90E6" w14:textId="77777777" w:rsidTr="5190A120">
      <w:trPr>
        <w:trHeight w:val="300"/>
      </w:trPr>
      <w:tc>
        <w:tcPr>
          <w:tcW w:w="4665" w:type="dxa"/>
        </w:tcPr>
        <w:p w14:paraId="06A946D5" w14:textId="4EBDC4DF" w:rsidR="5190A120" w:rsidRDefault="5190A120" w:rsidP="5190A120">
          <w:pPr>
            <w:pStyle w:val="Header"/>
            <w:ind w:left="-115"/>
          </w:pPr>
        </w:p>
      </w:tc>
      <w:tc>
        <w:tcPr>
          <w:tcW w:w="4665" w:type="dxa"/>
        </w:tcPr>
        <w:p w14:paraId="56741ED8" w14:textId="3E6D89FA" w:rsidR="5190A120" w:rsidRDefault="5190A120" w:rsidP="5190A120">
          <w:pPr>
            <w:pStyle w:val="Header"/>
            <w:jc w:val="center"/>
          </w:pPr>
        </w:p>
      </w:tc>
      <w:tc>
        <w:tcPr>
          <w:tcW w:w="4665" w:type="dxa"/>
        </w:tcPr>
        <w:p w14:paraId="74AE8678" w14:textId="3704206B" w:rsidR="5190A120" w:rsidRDefault="5190A120" w:rsidP="5190A120">
          <w:pPr>
            <w:pStyle w:val="Header"/>
            <w:ind w:right="-115"/>
          </w:pPr>
        </w:p>
      </w:tc>
    </w:tr>
  </w:tbl>
  <w:p w14:paraId="6D0E3391" w14:textId="4F906D60" w:rsidR="0053272D" w:rsidRDefault="0053272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ABC9F" w14:textId="1EFB0AB4" w:rsidR="00822849" w:rsidRDefault="00E46B8C">
    <w:pPr>
      <w:pStyle w:val="Header"/>
    </w:pPr>
    <w:r>
      <w:rPr>
        <w:noProof/>
      </w:rPr>
      <w:drawing>
        <wp:anchor distT="0" distB="0" distL="114300" distR="114300" simplePos="0" relativeHeight="251658251" behindDoc="1" locked="1" layoutInCell="1" allowOverlap="1" wp14:anchorId="1FD65D7B" wp14:editId="5D7BE750">
          <wp:simplePos x="0" y="0"/>
          <wp:positionH relativeFrom="page">
            <wp:align>center</wp:align>
          </wp:positionH>
          <wp:positionV relativeFrom="page">
            <wp:align>top</wp:align>
          </wp:positionV>
          <wp:extent cx="10677525" cy="721995"/>
          <wp:effectExtent l="0" t="0" r="0" b="1905"/>
          <wp:wrapNone/>
          <wp:docPr id="3679151" name="Picture 3679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86985" name="Picture 41168698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77600" cy="722401"/>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90C3E" w14:textId="30781E6C" w:rsidR="00B55B04" w:rsidRPr="00F60198" w:rsidRDefault="004472C0" w:rsidP="00A12F62">
    <w:pPr>
      <w:pStyle w:val="HeaderOdd"/>
    </w:pPr>
    <w:r>
      <w:rPr>
        <w:noProof/>
      </w:rPr>
      <mc:AlternateContent>
        <mc:Choice Requires="wps">
          <w:drawing>
            <wp:anchor distT="0" distB="0" distL="114300" distR="114300" simplePos="0" relativeHeight="251658241" behindDoc="1" locked="0" layoutInCell="1" allowOverlap="1" wp14:anchorId="05E46926" wp14:editId="6F86C362">
              <wp:simplePos x="0" y="0"/>
              <wp:positionH relativeFrom="page">
                <wp:posOffset>-41275</wp:posOffset>
              </wp:positionH>
              <wp:positionV relativeFrom="page">
                <wp:posOffset>-36195</wp:posOffset>
              </wp:positionV>
              <wp:extent cx="10724400" cy="7570800"/>
              <wp:effectExtent l="0" t="0" r="1270" b="0"/>
              <wp:wrapNone/>
              <wp:docPr id="1031860308" name="Rectangle 10318603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24400" cy="7570800"/>
                      </a:xfrm>
                      <a:prstGeom prst="rect">
                        <a:avLst/>
                      </a:prstGeom>
                      <a:solidFill>
                        <a:schemeClr val="accent5">
                          <a:lumMod val="20000"/>
                          <a:lumOff val="80000"/>
                          <a:alpha val="3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4B437C72">
            <v:rect id="Rectangle 1031860308" style="position:absolute;margin-left:-3.25pt;margin-top:-2.85pt;width:844.45pt;height:596.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6" fillcolor="#e8f0fc [664]" stroked="f" strokeweight="2pt" w14:anchorId="07D7A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">
              <v:fill opacity="19789f"/>
              <w10:wrap anchorx="page" anchory="page"/>
            </v:rect>
          </w:pict>
        </mc:Fallback>
      </mc:AlternateContent>
    </w:r>
    <w:r w:rsidR="00B55B04">
      <w:rPr>
        <w:noProof/>
      </w:rPr>
      <w:drawing>
        <wp:anchor distT="0" distB="0" distL="114300" distR="114300" simplePos="0" relativeHeight="251658243" behindDoc="1" locked="1" layoutInCell="1" allowOverlap="1" wp14:anchorId="7A758478" wp14:editId="75C61D93">
          <wp:simplePos x="0" y="0"/>
          <wp:positionH relativeFrom="page">
            <wp:align>center</wp:align>
          </wp:positionH>
          <wp:positionV relativeFrom="page">
            <wp:align>top</wp:align>
          </wp:positionV>
          <wp:extent cx="10674350" cy="721995"/>
          <wp:effectExtent l="0" t="0" r="0" b="1905"/>
          <wp:wrapNone/>
          <wp:docPr id="1873060664" name="Picture 1873060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461743" name="Picture 156446174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74428" cy="722401"/>
                  </a:xfrm>
                  <a:prstGeom prst="rect">
                    <a:avLst/>
                  </a:prstGeom>
                </pic:spPr>
              </pic:pic>
            </a:graphicData>
          </a:graphic>
          <wp14:sizeRelH relativeFrom="margin">
            <wp14:pctWidth>0</wp14:pctWidth>
          </wp14:sizeRelH>
          <wp14:sizeRelV relativeFrom="margin">
            <wp14:pctHeight>0</wp14:pctHeight>
          </wp14:sizeRelV>
        </wp:anchor>
      </w:drawing>
    </w:r>
    <w:r w:rsidR="00B55B04" w:rsidRPr="00F60198">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239FF" w14:textId="1D97A0AC" w:rsidR="00822849" w:rsidRDefault="0082284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EB2B1" w14:textId="140FFFDD" w:rsidR="00672B5D" w:rsidRPr="00AC75E2" w:rsidRDefault="004472C0" w:rsidP="00AC75E2">
    <w:pPr>
      <w:pStyle w:val="HeaderEven"/>
    </w:pPr>
    <w:r>
      <w:rPr>
        <w:noProof/>
      </w:rPr>
      <mc:AlternateContent>
        <mc:Choice Requires="wps">
          <w:drawing>
            <wp:anchor distT="0" distB="0" distL="114300" distR="114300" simplePos="0" relativeHeight="251658242" behindDoc="1" locked="0" layoutInCell="1" allowOverlap="1" wp14:anchorId="39FB62F4" wp14:editId="60DFF2A7">
              <wp:simplePos x="0" y="0"/>
              <wp:positionH relativeFrom="page">
                <wp:posOffset>5080</wp:posOffset>
              </wp:positionH>
              <wp:positionV relativeFrom="page">
                <wp:posOffset>1905</wp:posOffset>
              </wp:positionV>
              <wp:extent cx="10724400" cy="7570800"/>
              <wp:effectExtent l="0" t="0" r="1270" b="0"/>
              <wp:wrapNone/>
              <wp:docPr id="1690949819" name="Rectangle 16909498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24400" cy="7570800"/>
                      </a:xfrm>
                      <a:prstGeom prst="rect">
                        <a:avLst/>
                      </a:prstGeom>
                      <a:solidFill>
                        <a:schemeClr val="accent5">
                          <a:lumMod val="20000"/>
                          <a:lumOff val="80000"/>
                          <a:alpha val="3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7F493CA3">
            <v:rect id="Rectangle 1690949819" style="position:absolute;margin-left:.4pt;margin-top:.15pt;width:844.45pt;height:596.1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6" fillcolor="#e8f0fc [664]" stroked="f" strokeweight="2pt" w14:anchorId="27F3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">
              <v:fill opacity="19789f"/>
              <w10:wrap anchorx="page" anchory="page"/>
            </v:rect>
          </w:pict>
        </mc:Fallback>
      </mc:AlternateContent>
    </w:r>
    <w:r w:rsidR="008E24D2">
      <w:t xml:space="preserve"> </w:t>
    </w:r>
    <w:r w:rsidR="00CC3AF8">
      <w:rPr>
        <w:noProof/>
      </w:rPr>
      <w:drawing>
        <wp:anchor distT="0" distB="0" distL="114300" distR="114300" simplePos="0" relativeHeight="251658245" behindDoc="1" locked="1" layoutInCell="1" allowOverlap="1" wp14:anchorId="3F6137CA" wp14:editId="08320703">
          <wp:simplePos x="0" y="0"/>
          <wp:positionH relativeFrom="page">
            <wp:align>center</wp:align>
          </wp:positionH>
          <wp:positionV relativeFrom="page">
            <wp:align>top</wp:align>
          </wp:positionV>
          <wp:extent cx="10677525" cy="721995"/>
          <wp:effectExtent l="0" t="0" r="0" b="1905"/>
          <wp:wrapNone/>
          <wp:docPr id="119065619" name="Picture 1190656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77596" cy="722401"/>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BBC68" w14:textId="49E76F9F" w:rsidR="00822849" w:rsidRDefault="00E46B8C">
    <w:pPr>
      <w:pStyle w:val="Header"/>
    </w:pPr>
    <w:r>
      <w:rPr>
        <w:noProof/>
      </w:rPr>
      <w:drawing>
        <wp:anchor distT="0" distB="0" distL="114300" distR="114300" simplePos="0" relativeHeight="251658250" behindDoc="1" locked="1" layoutInCell="1" allowOverlap="1" wp14:anchorId="4EB1FD74" wp14:editId="20688F42">
          <wp:simplePos x="0" y="0"/>
          <wp:positionH relativeFrom="page">
            <wp:posOffset>9525</wp:posOffset>
          </wp:positionH>
          <wp:positionV relativeFrom="page">
            <wp:posOffset>0</wp:posOffset>
          </wp:positionV>
          <wp:extent cx="10668000" cy="721995"/>
          <wp:effectExtent l="0" t="0" r="0" b="1905"/>
          <wp:wrapNone/>
          <wp:docPr id="965171943" name="Picture 9651719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65756" name="Picture 80226575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68000" cy="721995"/>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A3D32" w14:textId="5224E262" w:rsidR="00095D88" w:rsidRPr="00095D88" w:rsidRDefault="00095D88" w:rsidP="00095D8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15070" w14:textId="77777777" w:rsidR="00DD58E6" w:rsidRPr="00AC75E2" w:rsidRDefault="00DD58E6" w:rsidP="00AC75E2">
    <w:pPr>
      <w:pStyle w:val="HeaderEven"/>
    </w:pPr>
    <w:r>
      <w:t xml:space="preserve"> </w:t>
    </w:r>
    <w:r>
      <w:rPr>
        <w:noProof/>
      </w:rPr>
      <w:drawing>
        <wp:anchor distT="0" distB="0" distL="114300" distR="114300" simplePos="0" relativeHeight="251658252" behindDoc="1" locked="1" layoutInCell="1" allowOverlap="1" wp14:anchorId="4E07527B" wp14:editId="09F42914">
          <wp:simplePos x="0" y="0"/>
          <wp:positionH relativeFrom="page">
            <wp:align>center</wp:align>
          </wp:positionH>
          <wp:positionV relativeFrom="page">
            <wp:align>top</wp:align>
          </wp:positionV>
          <wp:extent cx="10674350" cy="721995"/>
          <wp:effectExtent l="0" t="0" r="0" b="1905"/>
          <wp:wrapNone/>
          <wp:docPr id="696920642" name="Picture 696920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22560" name="Picture 31282256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74428" cy="722401"/>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8A029" w14:textId="77777777" w:rsidR="00DD58E6" w:rsidRPr="00F60198" w:rsidRDefault="00DD58E6" w:rsidP="00FB3A7B">
    <w:pPr>
      <w:pStyle w:val="HeaderEven"/>
    </w:pPr>
    <w:r>
      <w:rPr>
        <w:noProof/>
      </w:rPr>
      <w:drawing>
        <wp:anchor distT="0" distB="0" distL="114300" distR="114300" simplePos="0" relativeHeight="251658253" behindDoc="1" locked="1" layoutInCell="1" allowOverlap="1" wp14:anchorId="76D8A96C" wp14:editId="70E8872C">
          <wp:simplePos x="0" y="0"/>
          <wp:positionH relativeFrom="page">
            <wp:align>center</wp:align>
          </wp:positionH>
          <wp:positionV relativeFrom="page">
            <wp:align>top</wp:align>
          </wp:positionV>
          <wp:extent cx="10674350" cy="721995"/>
          <wp:effectExtent l="0" t="0" r="0" b="1905"/>
          <wp:wrapNone/>
          <wp:docPr id="257325873" name="Picture 2573258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09478" name="Picture 195010947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74428" cy="722401"/>
                  </a:xfrm>
                  <a:prstGeom prst="rect">
                    <a:avLst/>
                  </a:prstGeom>
                </pic:spPr>
              </pic:pic>
            </a:graphicData>
          </a:graphic>
          <wp14:sizeRelH relativeFrom="margin">
            <wp14:pctWidth>0</wp14:pctWidth>
          </wp14:sizeRelH>
          <wp14:sizeRelV relativeFrom="margin">
            <wp14:pctHeight>0</wp14:pctHeight>
          </wp14:sizeRelV>
        </wp:anchor>
      </w:drawing>
    </w:r>
    <w:r w:rsidRPr="00F60198">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60677" w14:textId="77777777" w:rsidR="00DD58E6" w:rsidRDefault="00DD58E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FE8E8" w14:textId="7E5EAF7B" w:rsidR="00E10AB3" w:rsidRPr="00AC75E2" w:rsidRDefault="00E10AB3" w:rsidP="00AC75E2">
    <w:pPr>
      <w:pStyle w:val="HeaderEven"/>
    </w:pPr>
    <w:r>
      <w:t xml:space="preserve"> </w:t>
    </w:r>
    <w:r>
      <w:rPr>
        <w:noProof/>
      </w:rPr>
      <w:drawing>
        <wp:anchor distT="0" distB="0" distL="114300" distR="114300" simplePos="0" relativeHeight="251658249" behindDoc="1" locked="1" layoutInCell="1" allowOverlap="1" wp14:anchorId="0342DE42" wp14:editId="2C3576B6">
          <wp:simplePos x="0" y="0"/>
          <wp:positionH relativeFrom="page">
            <wp:align>center</wp:align>
          </wp:positionH>
          <wp:positionV relativeFrom="page">
            <wp:align>top</wp:align>
          </wp:positionV>
          <wp:extent cx="10677525" cy="721995"/>
          <wp:effectExtent l="0" t="0" r="0" b="1905"/>
          <wp:wrapNone/>
          <wp:docPr id="1542528787" name="Picture 15425287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7409" name="Picture 3875740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77596" cy="72240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65"/>
      <w:gridCol w:w="4665"/>
      <w:gridCol w:w="4665"/>
    </w:tblGrid>
    <w:tr w:rsidR="5190A120" w14:paraId="334FB9EF" w14:textId="77777777" w:rsidTr="5190A120">
      <w:trPr>
        <w:trHeight w:val="300"/>
      </w:trPr>
      <w:tc>
        <w:tcPr>
          <w:tcW w:w="4665" w:type="dxa"/>
        </w:tcPr>
        <w:p w14:paraId="574C778C" w14:textId="387853B9" w:rsidR="5190A120" w:rsidRDefault="5190A120" w:rsidP="5190A120">
          <w:pPr>
            <w:pStyle w:val="Header"/>
            <w:ind w:left="-115"/>
          </w:pPr>
        </w:p>
      </w:tc>
      <w:tc>
        <w:tcPr>
          <w:tcW w:w="4665" w:type="dxa"/>
        </w:tcPr>
        <w:p w14:paraId="33E85D5E" w14:textId="4582C1A6" w:rsidR="5190A120" w:rsidRDefault="5190A120" w:rsidP="5190A120">
          <w:pPr>
            <w:pStyle w:val="Header"/>
            <w:jc w:val="center"/>
          </w:pPr>
        </w:p>
      </w:tc>
      <w:tc>
        <w:tcPr>
          <w:tcW w:w="4665" w:type="dxa"/>
        </w:tcPr>
        <w:p w14:paraId="5DC9A016" w14:textId="257F66D8" w:rsidR="5190A120" w:rsidRDefault="5190A120" w:rsidP="5190A120">
          <w:pPr>
            <w:pStyle w:val="Header"/>
            <w:ind w:right="-115"/>
          </w:pPr>
        </w:p>
      </w:tc>
    </w:tr>
  </w:tbl>
  <w:p w14:paraId="0109B043" w14:textId="0066CB09" w:rsidR="0053272D" w:rsidRDefault="0053272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0E1E0" w14:textId="4355AC04" w:rsidR="00E10AB3" w:rsidRPr="00F60198" w:rsidRDefault="00E10AB3" w:rsidP="00A12F62">
    <w:pPr>
      <w:pStyle w:val="HeaderOdd"/>
    </w:pPr>
    <w:r>
      <w:rPr>
        <w:noProof/>
      </w:rPr>
      <w:drawing>
        <wp:anchor distT="0" distB="0" distL="114300" distR="114300" simplePos="0" relativeHeight="251658248" behindDoc="1" locked="1" layoutInCell="1" allowOverlap="1" wp14:anchorId="715DD36D" wp14:editId="6B355B57">
          <wp:simplePos x="0" y="0"/>
          <wp:positionH relativeFrom="page">
            <wp:align>center</wp:align>
          </wp:positionH>
          <wp:positionV relativeFrom="page">
            <wp:align>top</wp:align>
          </wp:positionV>
          <wp:extent cx="10674350" cy="721995"/>
          <wp:effectExtent l="0" t="0" r="0" b="1905"/>
          <wp:wrapNone/>
          <wp:docPr id="1184111306" name="Picture 1184111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09478" name="Picture 195010947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74428" cy="722401"/>
                  </a:xfrm>
                  <a:prstGeom prst="rect">
                    <a:avLst/>
                  </a:prstGeom>
                </pic:spPr>
              </pic:pic>
            </a:graphicData>
          </a:graphic>
          <wp14:sizeRelH relativeFrom="margin">
            <wp14:pctWidth>0</wp14:pctWidth>
          </wp14:sizeRelH>
          <wp14:sizeRelV relativeFrom="margin">
            <wp14:pctHeight>0</wp14:pctHeight>
          </wp14:sizeRelV>
        </wp:anchor>
      </w:drawing>
    </w:r>
    <w:r w:rsidRPr="00F60198">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5D3B6" w14:textId="245BB7EF" w:rsidR="00822849" w:rsidRDefault="008228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65"/>
      <w:gridCol w:w="4665"/>
      <w:gridCol w:w="4665"/>
    </w:tblGrid>
    <w:tr w:rsidR="5190A120" w14:paraId="79232EF2" w14:textId="77777777" w:rsidTr="5190A120">
      <w:trPr>
        <w:trHeight w:val="300"/>
      </w:trPr>
      <w:tc>
        <w:tcPr>
          <w:tcW w:w="4665" w:type="dxa"/>
        </w:tcPr>
        <w:p w14:paraId="39402AB9" w14:textId="67F84A4F" w:rsidR="5190A120" w:rsidRDefault="5190A120" w:rsidP="5190A120">
          <w:pPr>
            <w:pStyle w:val="Header"/>
            <w:ind w:left="-115"/>
          </w:pPr>
        </w:p>
      </w:tc>
      <w:tc>
        <w:tcPr>
          <w:tcW w:w="4665" w:type="dxa"/>
        </w:tcPr>
        <w:p w14:paraId="47359670" w14:textId="61283D62" w:rsidR="5190A120" w:rsidRDefault="5190A120" w:rsidP="5190A120">
          <w:pPr>
            <w:pStyle w:val="Header"/>
            <w:jc w:val="center"/>
          </w:pPr>
        </w:p>
      </w:tc>
      <w:tc>
        <w:tcPr>
          <w:tcW w:w="4665" w:type="dxa"/>
        </w:tcPr>
        <w:p w14:paraId="35FDD6C1" w14:textId="6B447FD4" w:rsidR="5190A120" w:rsidRDefault="5190A120" w:rsidP="5190A120">
          <w:pPr>
            <w:pStyle w:val="Header"/>
            <w:ind w:right="-115"/>
          </w:pPr>
        </w:p>
      </w:tc>
    </w:tr>
  </w:tbl>
  <w:p w14:paraId="61D4326E" w14:textId="0707AFB7" w:rsidR="0053272D" w:rsidRDefault="005327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040"/>
      <w:gridCol w:w="2040"/>
      <w:gridCol w:w="2040"/>
    </w:tblGrid>
    <w:tr w:rsidR="5190A120" w14:paraId="135EE329" w14:textId="77777777" w:rsidTr="5190A120">
      <w:trPr>
        <w:trHeight w:val="300"/>
      </w:trPr>
      <w:tc>
        <w:tcPr>
          <w:tcW w:w="2040" w:type="dxa"/>
        </w:tcPr>
        <w:p w14:paraId="517AB25C" w14:textId="081B1F95" w:rsidR="5190A120" w:rsidRDefault="5190A120" w:rsidP="5190A120">
          <w:pPr>
            <w:pStyle w:val="Header"/>
            <w:ind w:left="-115"/>
          </w:pPr>
        </w:p>
      </w:tc>
      <w:tc>
        <w:tcPr>
          <w:tcW w:w="2040" w:type="dxa"/>
        </w:tcPr>
        <w:p w14:paraId="46800401" w14:textId="2AF02F45" w:rsidR="5190A120" w:rsidRDefault="5190A120" w:rsidP="5190A120">
          <w:pPr>
            <w:pStyle w:val="Header"/>
            <w:jc w:val="center"/>
          </w:pPr>
        </w:p>
      </w:tc>
      <w:tc>
        <w:tcPr>
          <w:tcW w:w="2040" w:type="dxa"/>
        </w:tcPr>
        <w:p w14:paraId="281ECB05" w14:textId="48E839C1" w:rsidR="5190A120" w:rsidRDefault="5190A120" w:rsidP="5190A120">
          <w:pPr>
            <w:pStyle w:val="Header"/>
            <w:ind w:right="-115"/>
          </w:pPr>
        </w:p>
      </w:tc>
    </w:tr>
  </w:tbl>
  <w:p w14:paraId="7C7B7A9E" w14:textId="6705C5C2" w:rsidR="0053272D" w:rsidRDefault="0053272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040"/>
      <w:gridCol w:w="2040"/>
      <w:gridCol w:w="2040"/>
    </w:tblGrid>
    <w:tr w:rsidR="5190A120" w14:paraId="6A97A45F" w14:textId="77777777" w:rsidTr="5190A120">
      <w:trPr>
        <w:trHeight w:val="300"/>
      </w:trPr>
      <w:tc>
        <w:tcPr>
          <w:tcW w:w="2040" w:type="dxa"/>
        </w:tcPr>
        <w:p w14:paraId="6E745F0C" w14:textId="1387252F" w:rsidR="5190A120" w:rsidRDefault="5190A120" w:rsidP="5190A120">
          <w:pPr>
            <w:pStyle w:val="Header"/>
            <w:ind w:left="-115"/>
          </w:pPr>
        </w:p>
      </w:tc>
      <w:tc>
        <w:tcPr>
          <w:tcW w:w="2040" w:type="dxa"/>
        </w:tcPr>
        <w:p w14:paraId="02CC246E" w14:textId="1C5C1673" w:rsidR="5190A120" w:rsidRDefault="5190A120" w:rsidP="5190A120">
          <w:pPr>
            <w:pStyle w:val="Header"/>
            <w:jc w:val="center"/>
          </w:pPr>
        </w:p>
      </w:tc>
      <w:tc>
        <w:tcPr>
          <w:tcW w:w="2040" w:type="dxa"/>
        </w:tcPr>
        <w:p w14:paraId="19C9A978" w14:textId="1D48DF76" w:rsidR="5190A120" w:rsidRDefault="5190A120" w:rsidP="5190A120">
          <w:pPr>
            <w:pStyle w:val="Header"/>
            <w:ind w:right="-115"/>
          </w:pPr>
        </w:p>
      </w:tc>
    </w:tr>
  </w:tbl>
  <w:p w14:paraId="7C3A0DD5" w14:textId="24F21CA8" w:rsidR="0053272D" w:rsidRDefault="0053272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555AC" w14:textId="6B0BF131" w:rsidR="0053272D" w:rsidRDefault="0053272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F0DD5" w14:textId="1DD289DE" w:rsidR="00095D88" w:rsidRPr="00095D88" w:rsidRDefault="00E10AB3" w:rsidP="00095D88">
    <w:pPr>
      <w:pStyle w:val="Header"/>
    </w:pPr>
    <w:r>
      <w:rPr>
        <w:noProof/>
      </w:rPr>
      <mc:AlternateContent>
        <mc:Choice Requires="wps">
          <w:drawing>
            <wp:anchor distT="0" distB="0" distL="114300" distR="114300" simplePos="0" relativeHeight="251658246" behindDoc="1" locked="0" layoutInCell="1" allowOverlap="1" wp14:anchorId="575D6C41" wp14:editId="5E1549D2">
              <wp:simplePos x="0" y="0"/>
              <wp:positionH relativeFrom="page">
                <wp:posOffset>5080</wp:posOffset>
              </wp:positionH>
              <wp:positionV relativeFrom="page">
                <wp:posOffset>1905</wp:posOffset>
              </wp:positionV>
              <wp:extent cx="10724400" cy="7570800"/>
              <wp:effectExtent l="0" t="0" r="1270" b="0"/>
              <wp:wrapNone/>
              <wp:docPr id="2075033694" name="Rectangle 20750336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24400" cy="7570800"/>
                      </a:xfrm>
                      <a:prstGeom prst="rect">
                        <a:avLst/>
                      </a:prstGeom>
                      <a:solidFill>
                        <a:schemeClr val="accent5">
                          <a:lumMod val="20000"/>
                          <a:lumOff val="80000"/>
                          <a:alpha val="3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489F2196">
            <v:rect id="Rectangle 2075033694" style="position:absolute;margin-left:.4pt;margin-top:.15pt;width:844.45pt;height:596.1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6" fillcolor="#e8f0fc [664]" stroked="f" strokeweight="2pt" w14:anchorId="5A708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">
              <v:fill opacity="19789f"/>
              <w10:wrap anchorx="page" anchory="page"/>
            </v:rect>
          </w:pict>
        </mc:Fallback>
      </mc:AlternateContent>
    </w:r>
    <w:r>
      <w:rPr>
        <w:noProof/>
      </w:rPr>
      <w:drawing>
        <wp:anchor distT="0" distB="0" distL="114300" distR="114300" simplePos="0" relativeHeight="251658247" behindDoc="1" locked="1" layoutInCell="1" allowOverlap="1" wp14:anchorId="734E49BD" wp14:editId="0BAF96A9">
          <wp:simplePos x="0" y="0"/>
          <wp:positionH relativeFrom="page">
            <wp:align>center</wp:align>
          </wp:positionH>
          <wp:positionV relativeFrom="page">
            <wp:align>top</wp:align>
          </wp:positionV>
          <wp:extent cx="10677525" cy="721995"/>
          <wp:effectExtent l="0" t="0" r="0" b="1905"/>
          <wp:wrapNone/>
          <wp:docPr id="1189830113" name="Picture 1189830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3742" name="Picture 620374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77600" cy="722401"/>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085CA" w14:textId="7C4010AD" w:rsidR="00095D88" w:rsidRPr="00095D88" w:rsidRDefault="00095D88" w:rsidP="00095D8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58411" w14:textId="6C5FE063" w:rsidR="00095D88" w:rsidRPr="00095D88" w:rsidRDefault="00095D88" w:rsidP="00095D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ogo&#10;&#10;Description automatically generated with medium confidence" style="width:104.25pt;height:16.5pt;visibility:visible" o:bullet="t">
        <v:imagedata r:id="rId1" o:title="Logo&#10;&#10;Description automatically generated with medium confidence"/>
      </v:shape>
    </w:pict>
  </w:numPicBullet>
  <w:abstractNum w:abstractNumId="0" w15:restartNumberingAfterBreak="0">
    <w:nsid w:val="006C64A6"/>
    <w:multiLevelType w:val="hybridMultilevel"/>
    <w:tmpl w:val="0B10A8F4"/>
    <w:lvl w:ilvl="0" w:tplc="12D85F2E">
      <w:start w:val="1"/>
      <w:numFmt w:val="decimal"/>
      <w:lvlText w:val="%1."/>
      <w:lvlJc w:val="left"/>
      <w:pPr>
        <w:ind w:left="720" w:hanging="360"/>
      </w:pPr>
    </w:lvl>
    <w:lvl w:ilvl="1" w:tplc="F6A847FE">
      <w:start w:val="1"/>
      <w:numFmt w:val="decimal"/>
      <w:lvlText w:val="%2."/>
      <w:lvlJc w:val="left"/>
      <w:pPr>
        <w:ind w:left="720" w:hanging="360"/>
      </w:pPr>
    </w:lvl>
    <w:lvl w:ilvl="2" w:tplc="4F8AE0BE">
      <w:start w:val="1"/>
      <w:numFmt w:val="decimal"/>
      <w:lvlText w:val="%3."/>
      <w:lvlJc w:val="left"/>
      <w:pPr>
        <w:ind w:left="720" w:hanging="360"/>
      </w:pPr>
    </w:lvl>
    <w:lvl w:ilvl="3" w:tplc="6C4AE908">
      <w:start w:val="1"/>
      <w:numFmt w:val="decimal"/>
      <w:lvlText w:val="%4."/>
      <w:lvlJc w:val="left"/>
      <w:pPr>
        <w:ind w:left="720" w:hanging="360"/>
      </w:pPr>
    </w:lvl>
    <w:lvl w:ilvl="4" w:tplc="910E7170">
      <w:start w:val="1"/>
      <w:numFmt w:val="decimal"/>
      <w:lvlText w:val="%5."/>
      <w:lvlJc w:val="left"/>
      <w:pPr>
        <w:ind w:left="720" w:hanging="360"/>
      </w:pPr>
    </w:lvl>
    <w:lvl w:ilvl="5" w:tplc="58DECA4A">
      <w:start w:val="1"/>
      <w:numFmt w:val="decimal"/>
      <w:lvlText w:val="%6."/>
      <w:lvlJc w:val="left"/>
      <w:pPr>
        <w:ind w:left="720" w:hanging="360"/>
      </w:pPr>
    </w:lvl>
    <w:lvl w:ilvl="6" w:tplc="29A2A156">
      <w:start w:val="1"/>
      <w:numFmt w:val="decimal"/>
      <w:lvlText w:val="%7."/>
      <w:lvlJc w:val="left"/>
      <w:pPr>
        <w:ind w:left="720" w:hanging="360"/>
      </w:pPr>
    </w:lvl>
    <w:lvl w:ilvl="7" w:tplc="EF72738C">
      <w:start w:val="1"/>
      <w:numFmt w:val="decimal"/>
      <w:lvlText w:val="%8."/>
      <w:lvlJc w:val="left"/>
      <w:pPr>
        <w:ind w:left="720" w:hanging="360"/>
      </w:pPr>
    </w:lvl>
    <w:lvl w:ilvl="8" w:tplc="390CEA8C">
      <w:start w:val="1"/>
      <w:numFmt w:val="decimal"/>
      <w:lvlText w:val="%9."/>
      <w:lvlJc w:val="left"/>
      <w:pPr>
        <w:ind w:left="720" w:hanging="360"/>
      </w:pPr>
    </w:lvl>
  </w:abstractNum>
  <w:abstractNum w:abstractNumId="1" w15:restartNumberingAfterBreak="0">
    <w:nsid w:val="0172103C"/>
    <w:multiLevelType w:val="hybridMultilevel"/>
    <w:tmpl w:val="FA7C33DC"/>
    <w:lvl w:ilvl="0" w:tplc="D924F1A4">
      <w:start w:val="1"/>
      <w:numFmt w:val="decimal"/>
      <w:lvlText w:val="%1."/>
      <w:lvlJc w:val="left"/>
      <w:pPr>
        <w:ind w:left="1020" w:hanging="360"/>
      </w:pPr>
    </w:lvl>
    <w:lvl w:ilvl="1" w:tplc="B0C05E68">
      <w:start w:val="1"/>
      <w:numFmt w:val="decimal"/>
      <w:lvlText w:val="%2."/>
      <w:lvlJc w:val="left"/>
      <w:pPr>
        <w:ind w:left="1020" w:hanging="360"/>
      </w:pPr>
    </w:lvl>
    <w:lvl w:ilvl="2" w:tplc="1B04BEA2">
      <w:start w:val="1"/>
      <w:numFmt w:val="decimal"/>
      <w:lvlText w:val="%3."/>
      <w:lvlJc w:val="left"/>
      <w:pPr>
        <w:ind w:left="1020" w:hanging="360"/>
      </w:pPr>
    </w:lvl>
    <w:lvl w:ilvl="3" w:tplc="DB3C3160">
      <w:start w:val="1"/>
      <w:numFmt w:val="decimal"/>
      <w:lvlText w:val="%4."/>
      <w:lvlJc w:val="left"/>
      <w:pPr>
        <w:ind w:left="1020" w:hanging="360"/>
      </w:pPr>
    </w:lvl>
    <w:lvl w:ilvl="4" w:tplc="9FEE1760">
      <w:start w:val="1"/>
      <w:numFmt w:val="decimal"/>
      <w:lvlText w:val="%5."/>
      <w:lvlJc w:val="left"/>
      <w:pPr>
        <w:ind w:left="1020" w:hanging="360"/>
      </w:pPr>
    </w:lvl>
    <w:lvl w:ilvl="5" w:tplc="20085CCC">
      <w:start w:val="1"/>
      <w:numFmt w:val="decimal"/>
      <w:lvlText w:val="%6."/>
      <w:lvlJc w:val="left"/>
      <w:pPr>
        <w:ind w:left="1020" w:hanging="360"/>
      </w:pPr>
    </w:lvl>
    <w:lvl w:ilvl="6" w:tplc="6180D4F0">
      <w:start w:val="1"/>
      <w:numFmt w:val="decimal"/>
      <w:lvlText w:val="%7."/>
      <w:lvlJc w:val="left"/>
      <w:pPr>
        <w:ind w:left="1020" w:hanging="360"/>
      </w:pPr>
    </w:lvl>
    <w:lvl w:ilvl="7" w:tplc="99DC05C8">
      <w:start w:val="1"/>
      <w:numFmt w:val="decimal"/>
      <w:lvlText w:val="%8."/>
      <w:lvlJc w:val="left"/>
      <w:pPr>
        <w:ind w:left="1020" w:hanging="360"/>
      </w:pPr>
    </w:lvl>
    <w:lvl w:ilvl="8" w:tplc="45DC5492">
      <w:start w:val="1"/>
      <w:numFmt w:val="decimal"/>
      <w:lvlText w:val="%9."/>
      <w:lvlJc w:val="left"/>
      <w:pPr>
        <w:ind w:left="1020" w:hanging="360"/>
      </w:pPr>
    </w:lvl>
  </w:abstractNum>
  <w:abstractNum w:abstractNumId="2" w15:restartNumberingAfterBreak="0">
    <w:nsid w:val="06506053"/>
    <w:multiLevelType w:val="hybridMultilevel"/>
    <w:tmpl w:val="1E3AF8CA"/>
    <w:lvl w:ilvl="0" w:tplc="EE221836">
      <w:start w:val="1"/>
      <w:numFmt w:val="decimal"/>
      <w:lvlText w:val="%1."/>
      <w:lvlJc w:val="left"/>
      <w:pPr>
        <w:ind w:left="1020" w:hanging="360"/>
      </w:pPr>
    </w:lvl>
    <w:lvl w:ilvl="1" w:tplc="22DE2630">
      <w:start w:val="1"/>
      <w:numFmt w:val="decimal"/>
      <w:lvlText w:val="%2."/>
      <w:lvlJc w:val="left"/>
      <w:pPr>
        <w:ind w:left="1020" w:hanging="360"/>
      </w:pPr>
    </w:lvl>
    <w:lvl w:ilvl="2" w:tplc="89560AA8">
      <w:start w:val="1"/>
      <w:numFmt w:val="decimal"/>
      <w:lvlText w:val="%3."/>
      <w:lvlJc w:val="left"/>
      <w:pPr>
        <w:ind w:left="1020" w:hanging="360"/>
      </w:pPr>
    </w:lvl>
    <w:lvl w:ilvl="3" w:tplc="1F3CA17C">
      <w:start w:val="1"/>
      <w:numFmt w:val="decimal"/>
      <w:lvlText w:val="%4."/>
      <w:lvlJc w:val="left"/>
      <w:pPr>
        <w:ind w:left="1020" w:hanging="360"/>
      </w:pPr>
    </w:lvl>
    <w:lvl w:ilvl="4" w:tplc="C33A3682">
      <w:start w:val="1"/>
      <w:numFmt w:val="decimal"/>
      <w:lvlText w:val="%5."/>
      <w:lvlJc w:val="left"/>
      <w:pPr>
        <w:ind w:left="1020" w:hanging="360"/>
      </w:pPr>
    </w:lvl>
    <w:lvl w:ilvl="5" w:tplc="8EA8709A">
      <w:start w:val="1"/>
      <w:numFmt w:val="decimal"/>
      <w:lvlText w:val="%6."/>
      <w:lvlJc w:val="left"/>
      <w:pPr>
        <w:ind w:left="1020" w:hanging="360"/>
      </w:pPr>
    </w:lvl>
    <w:lvl w:ilvl="6" w:tplc="47527752">
      <w:start w:val="1"/>
      <w:numFmt w:val="decimal"/>
      <w:lvlText w:val="%7."/>
      <w:lvlJc w:val="left"/>
      <w:pPr>
        <w:ind w:left="1020" w:hanging="360"/>
      </w:pPr>
    </w:lvl>
    <w:lvl w:ilvl="7" w:tplc="E4983626">
      <w:start w:val="1"/>
      <w:numFmt w:val="decimal"/>
      <w:lvlText w:val="%8."/>
      <w:lvlJc w:val="left"/>
      <w:pPr>
        <w:ind w:left="1020" w:hanging="360"/>
      </w:pPr>
    </w:lvl>
    <w:lvl w:ilvl="8" w:tplc="AADA0042">
      <w:start w:val="1"/>
      <w:numFmt w:val="decimal"/>
      <w:lvlText w:val="%9."/>
      <w:lvlJc w:val="left"/>
      <w:pPr>
        <w:ind w:left="1020" w:hanging="360"/>
      </w:pPr>
    </w:lvl>
  </w:abstractNum>
  <w:abstractNum w:abstractNumId="3"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4"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4564F9D"/>
    <w:multiLevelType w:val="multilevel"/>
    <w:tmpl w:val="B0402706"/>
    <w:lvl w:ilvl="0">
      <w:start w:val="1"/>
      <w:numFmt w:val="bullet"/>
      <w:lvlRestart w:val="0"/>
      <w:pStyle w:val="Boxbullet"/>
      <w:lvlText w:val="•"/>
      <w:lvlJc w:val="left"/>
      <w:pPr>
        <w:tabs>
          <w:tab w:val="num" w:pos="283"/>
        </w:tabs>
        <w:ind w:left="284" w:hanging="284"/>
      </w:pPr>
      <w:rPr>
        <w:rFonts w:ascii="Times New Roman" w:hAnsi="Times New Roman" w:cs="Times New Roman" w:hint="default"/>
        <w:b w:val="0"/>
        <w:i w:val="0"/>
      </w:rPr>
    </w:lvl>
    <w:lvl w:ilvl="1">
      <w:start w:val="1"/>
      <w:numFmt w:val="bullet"/>
      <w:pStyle w:val="Boxdash"/>
      <w:lvlText w:val="–"/>
      <w:lvlJc w:val="left"/>
      <w:pPr>
        <w:tabs>
          <w:tab w:val="num" w:pos="567"/>
        </w:tabs>
        <w:ind w:left="568" w:hanging="284"/>
      </w:pPr>
      <w:rPr>
        <w:rFonts w:ascii="Times New Roman" w:hAnsi="Times New Roman" w:cs="Times New Roman" w:hint="default"/>
        <w:b w:val="0"/>
        <w:i w:val="0"/>
      </w:rPr>
    </w:lvl>
    <w:lvl w:ilvl="2">
      <w:start w:val="1"/>
      <w:numFmt w:val="bullet"/>
      <w:pStyle w:val="Boxdoubledo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7" w15:restartNumberingAfterBreak="0">
    <w:nsid w:val="16CC4E5D"/>
    <w:multiLevelType w:val="multilevel"/>
    <w:tmpl w:val="D10E9CF6"/>
    <w:numStyleLink w:val="OneLevelList"/>
  </w:abstractNum>
  <w:abstractNum w:abstractNumId="8"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1847491"/>
    <w:multiLevelType w:val="multilevel"/>
    <w:tmpl w:val="6F92BA82"/>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0" w15:restartNumberingAfterBreak="0">
    <w:nsid w:val="21ED3268"/>
    <w:multiLevelType w:val="hybridMultilevel"/>
    <w:tmpl w:val="F06614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D53381"/>
    <w:multiLevelType w:val="multilevel"/>
    <w:tmpl w:val="BFD614A4"/>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2"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3"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992051F"/>
    <w:multiLevelType w:val="hybridMultilevel"/>
    <w:tmpl w:val="746814B0"/>
    <w:lvl w:ilvl="0" w:tplc="B5B0A766">
      <w:start w:val="1"/>
      <w:numFmt w:val="decimal"/>
      <w:lvlText w:val="%1."/>
      <w:lvlJc w:val="left"/>
      <w:pPr>
        <w:ind w:left="720" w:hanging="360"/>
      </w:pPr>
      <w:rPr>
        <w:rFonts w:ascii="Calibri Light" w:eastAsia="Times New Roman" w:hAnsi="Calibri Light" w:cs="Times New Roman" w:hint="default"/>
        <w:b/>
        <w:color w:val="3A6FAF"/>
        <w:sz w:val="22"/>
        <w:u w:val="singl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AA90EFB"/>
    <w:multiLevelType w:val="hybridMultilevel"/>
    <w:tmpl w:val="FFFFFFFF"/>
    <w:lvl w:ilvl="0" w:tplc="E69225F4">
      <w:start w:val="4"/>
      <w:numFmt w:val="decimal"/>
      <w:lvlText w:val="%1."/>
      <w:lvlJc w:val="left"/>
      <w:pPr>
        <w:ind w:left="720" w:hanging="360"/>
      </w:pPr>
    </w:lvl>
    <w:lvl w:ilvl="1" w:tplc="4872C244">
      <w:start w:val="1"/>
      <w:numFmt w:val="lowerLetter"/>
      <w:lvlText w:val="%2."/>
      <w:lvlJc w:val="left"/>
      <w:pPr>
        <w:ind w:left="1440" w:hanging="360"/>
      </w:pPr>
    </w:lvl>
    <w:lvl w:ilvl="2" w:tplc="3A0C49F8">
      <w:start w:val="1"/>
      <w:numFmt w:val="lowerRoman"/>
      <w:lvlText w:val="%3."/>
      <w:lvlJc w:val="right"/>
      <w:pPr>
        <w:ind w:left="2160" w:hanging="180"/>
      </w:pPr>
    </w:lvl>
    <w:lvl w:ilvl="3" w:tplc="145AFD52">
      <w:start w:val="1"/>
      <w:numFmt w:val="decimal"/>
      <w:lvlText w:val="%4."/>
      <w:lvlJc w:val="left"/>
      <w:pPr>
        <w:ind w:left="2880" w:hanging="360"/>
      </w:pPr>
    </w:lvl>
    <w:lvl w:ilvl="4" w:tplc="D116F090">
      <w:start w:val="1"/>
      <w:numFmt w:val="lowerLetter"/>
      <w:lvlText w:val="%5."/>
      <w:lvlJc w:val="left"/>
      <w:pPr>
        <w:ind w:left="3600" w:hanging="360"/>
      </w:pPr>
    </w:lvl>
    <w:lvl w:ilvl="5" w:tplc="886AF1B0">
      <w:start w:val="1"/>
      <w:numFmt w:val="lowerRoman"/>
      <w:lvlText w:val="%6."/>
      <w:lvlJc w:val="right"/>
      <w:pPr>
        <w:ind w:left="4320" w:hanging="180"/>
      </w:pPr>
    </w:lvl>
    <w:lvl w:ilvl="6" w:tplc="832CD006">
      <w:start w:val="1"/>
      <w:numFmt w:val="decimal"/>
      <w:lvlText w:val="%7."/>
      <w:lvlJc w:val="left"/>
      <w:pPr>
        <w:ind w:left="5040" w:hanging="360"/>
      </w:pPr>
    </w:lvl>
    <w:lvl w:ilvl="7" w:tplc="1C52B8D2">
      <w:start w:val="1"/>
      <w:numFmt w:val="lowerLetter"/>
      <w:lvlText w:val="%8."/>
      <w:lvlJc w:val="left"/>
      <w:pPr>
        <w:ind w:left="5760" w:hanging="360"/>
      </w:pPr>
    </w:lvl>
    <w:lvl w:ilvl="8" w:tplc="CF1E6AC2">
      <w:start w:val="1"/>
      <w:numFmt w:val="lowerRoman"/>
      <w:lvlText w:val="%9."/>
      <w:lvlJc w:val="right"/>
      <w:pPr>
        <w:ind w:left="6480" w:hanging="180"/>
      </w:pPr>
    </w:lvl>
  </w:abstractNum>
  <w:abstractNum w:abstractNumId="16" w15:restartNumberingAfterBreak="0">
    <w:nsid w:val="2B3729BD"/>
    <w:multiLevelType w:val="hybridMultilevel"/>
    <w:tmpl w:val="792E53B4"/>
    <w:lvl w:ilvl="0" w:tplc="103AC192">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8" w15:restartNumberingAfterBreak="0">
    <w:nsid w:val="31EF577D"/>
    <w:multiLevelType w:val="hybridMultilevel"/>
    <w:tmpl w:val="49CA1762"/>
    <w:lvl w:ilvl="0" w:tplc="73E6BD10">
      <w:start w:val="1"/>
      <w:numFmt w:val="bullet"/>
      <w:lvlText w:val=""/>
      <w:lvlPicBulletId w:val="0"/>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208094D"/>
    <w:multiLevelType w:val="hybridMultilevel"/>
    <w:tmpl w:val="16F29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32512A9"/>
    <w:multiLevelType w:val="hybridMultilevel"/>
    <w:tmpl w:val="E7BC9CF2"/>
    <w:lvl w:ilvl="0" w:tplc="295275AC">
      <w:start w:val="1"/>
      <w:numFmt w:val="decimal"/>
      <w:lvlText w:val="%1."/>
      <w:lvlJc w:val="left"/>
      <w:pPr>
        <w:ind w:left="720" w:hanging="360"/>
      </w:pPr>
      <w:rPr>
        <w:rFonts w:ascii="Calibri Light" w:eastAsia="Times New Roman" w:hAnsi="Calibri Light" w:cs="Times New Roman" w:hint="default"/>
        <w:color w:val="3A6FAF"/>
        <w:sz w:val="16"/>
        <w:u w:val="singl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24" w15:restartNumberingAfterBreak="0">
    <w:nsid w:val="510D2021"/>
    <w:multiLevelType w:val="multilevel"/>
    <w:tmpl w:val="72F8140E"/>
    <w:numStyleLink w:val="OutlineList"/>
  </w:abstractNum>
  <w:abstractNum w:abstractNumId="25"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54A5742C"/>
    <w:multiLevelType w:val="hybridMultilevel"/>
    <w:tmpl w:val="F6907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BD7DFF"/>
    <w:multiLevelType w:val="multilevel"/>
    <w:tmpl w:val="55D42826"/>
    <w:name w:val="StandardBulletedList2"/>
    <w:lvl w:ilvl="0">
      <w:start w:val="1"/>
      <w:numFmt w:val="bullet"/>
      <w:lvlText w:val="•"/>
      <w:lvlJc w:val="left"/>
      <w:pPr>
        <w:ind w:left="284" w:hanging="284"/>
      </w:pPr>
      <w:rPr>
        <w:rFonts w:ascii="Times New Roman" w:hAnsi="Times New Roman" w:cs="Times New Roman" w:hint="default"/>
        <w:color w:val="auto"/>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28" w15:restartNumberingAfterBreak="0">
    <w:nsid w:val="5A77FFFD"/>
    <w:multiLevelType w:val="hybridMultilevel"/>
    <w:tmpl w:val="FFFFFFFF"/>
    <w:lvl w:ilvl="0" w:tplc="FDE01934">
      <w:start w:val="1"/>
      <w:numFmt w:val="decimal"/>
      <w:lvlText w:val="%1."/>
      <w:lvlJc w:val="left"/>
      <w:pPr>
        <w:ind w:left="720" w:hanging="360"/>
      </w:pPr>
    </w:lvl>
    <w:lvl w:ilvl="1" w:tplc="5442EA6C">
      <w:start w:val="1"/>
      <w:numFmt w:val="lowerLetter"/>
      <w:lvlText w:val="%2."/>
      <w:lvlJc w:val="left"/>
      <w:pPr>
        <w:ind w:left="1440" w:hanging="360"/>
      </w:pPr>
    </w:lvl>
    <w:lvl w:ilvl="2" w:tplc="B1301FF6">
      <w:start w:val="1"/>
      <w:numFmt w:val="lowerRoman"/>
      <w:lvlText w:val="%3."/>
      <w:lvlJc w:val="right"/>
      <w:pPr>
        <w:ind w:left="2160" w:hanging="180"/>
      </w:pPr>
    </w:lvl>
    <w:lvl w:ilvl="3" w:tplc="724EA110">
      <w:start w:val="1"/>
      <w:numFmt w:val="decimal"/>
      <w:lvlText w:val="%4."/>
      <w:lvlJc w:val="left"/>
      <w:pPr>
        <w:ind w:left="2880" w:hanging="360"/>
      </w:pPr>
    </w:lvl>
    <w:lvl w:ilvl="4" w:tplc="75301014">
      <w:start w:val="1"/>
      <w:numFmt w:val="lowerLetter"/>
      <w:lvlText w:val="%5."/>
      <w:lvlJc w:val="left"/>
      <w:pPr>
        <w:ind w:left="3600" w:hanging="360"/>
      </w:pPr>
    </w:lvl>
    <w:lvl w:ilvl="5" w:tplc="47EEED02">
      <w:start w:val="1"/>
      <w:numFmt w:val="lowerRoman"/>
      <w:lvlText w:val="%6."/>
      <w:lvlJc w:val="right"/>
      <w:pPr>
        <w:ind w:left="4320" w:hanging="180"/>
      </w:pPr>
    </w:lvl>
    <w:lvl w:ilvl="6" w:tplc="FE70B676">
      <w:start w:val="1"/>
      <w:numFmt w:val="decimal"/>
      <w:lvlText w:val="%7."/>
      <w:lvlJc w:val="left"/>
      <w:pPr>
        <w:ind w:left="5040" w:hanging="360"/>
      </w:pPr>
    </w:lvl>
    <w:lvl w:ilvl="7" w:tplc="49628182">
      <w:start w:val="1"/>
      <w:numFmt w:val="lowerLetter"/>
      <w:lvlText w:val="%8."/>
      <w:lvlJc w:val="left"/>
      <w:pPr>
        <w:ind w:left="5760" w:hanging="360"/>
      </w:pPr>
    </w:lvl>
    <w:lvl w:ilvl="8" w:tplc="C4568DFA">
      <w:start w:val="1"/>
      <w:numFmt w:val="lowerRoman"/>
      <w:lvlText w:val="%9."/>
      <w:lvlJc w:val="right"/>
      <w:pPr>
        <w:ind w:left="6480" w:hanging="180"/>
      </w:pPr>
    </w:lvl>
  </w:abstractNum>
  <w:abstractNum w:abstractNumId="29" w15:restartNumberingAfterBreak="0">
    <w:nsid w:val="5DBF32FF"/>
    <w:multiLevelType w:val="hybridMultilevel"/>
    <w:tmpl w:val="3E40AB9A"/>
    <w:lvl w:ilvl="0" w:tplc="E778A6D6">
      <w:start w:val="1"/>
      <w:numFmt w:val="decimal"/>
      <w:lvlText w:val="%1."/>
      <w:lvlJc w:val="left"/>
      <w:pPr>
        <w:ind w:left="1020" w:hanging="360"/>
      </w:pPr>
    </w:lvl>
    <w:lvl w:ilvl="1" w:tplc="050288A6">
      <w:start w:val="1"/>
      <w:numFmt w:val="decimal"/>
      <w:lvlText w:val="%2."/>
      <w:lvlJc w:val="left"/>
      <w:pPr>
        <w:ind w:left="1020" w:hanging="360"/>
      </w:pPr>
    </w:lvl>
    <w:lvl w:ilvl="2" w:tplc="B6F67F0C">
      <w:start w:val="1"/>
      <w:numFmt w:val="decimal"/>
      <w:lvlText w:val="%3."/>
      <w:lvlJc w:val="left"/>
      <w:pPr>
        <w:ind w:left="1020" w:hanging="360"/>
      </w:pPr>
    </w:lvl>
    <w:lvl w:ilvl="3" w:tplc="5D446758">
      <w:start w:val="1"/>
      <w:numFmt w:val="decimal"/>
      <w:lvlText w:val="%4."/>
      <w:lvlJc w:val="left"/>
      <w:pPr>
        <w:ind w:left="1020" w:hanging="360"/>
      </w:pPr>
    </w:lvl>
    <w:lvl w:ilvl="4" w:tplc="07129DA0">
      <w:start w:val="1"/>
      <w:numFmt w:val="decimal"/>
      <w:lvlText w:val="%5."/>
      <w:lvlJc w:val="left"/>
      <w:pPr>
        <w:ind w:left="1020" w:hanging="360"/>
      </w:pPr>
    </w:lvl>
    <w:lvl w:ilvl="5" w:tplc="A9829028">
      <w:start w:val="1"/>
      <w:numFmt w:val="decimal"/>
      <w:lvlText w:val="%6."/>
      <w:lvlJc w:val="left"/>
      <w:pPr>
        <w:ind w:left="1020" w:hanging="360"/>
      </w:pPr>
    </w:lvl>
    <w:lvl w:ilvl="6" w:tplc="F72038B8">
      <w:start w:val="1"/>
      <w:numFmt w:val="decimal"/>
      <w:lvlText w:val="%7."/>
      <w:lvlJc w:val="left"/>
      <w:pPr>
        <w:ind w:left="1020" w:hanging="360"/>
      </w:pPr>
    </w:lvl>
    <w:lvl w:ilvl="7" w:tplc="5980E544">
      <w:start w:val="1"/>
      <w:numFmt w:val="decimal"/>
      <w:lvlText w:val="%8."/>
      <w:lvlJc w:val="left"/>
      <w:pPr>
        <w:ind w:left="1020" w:hanging="360"/>
      </w:pPr>
    </w:lvl>
    <w:lvl w:ilvl="8" w:tplc="F00EFEE4">
      <w:start w:val="1"/>
      <w:numFmt w:val="decimal"/>
      <w:lvlText w:val="%9."/>
      <w:lvlJc w:val="left"/>
      <w:pPr>
        <w:ind w:left="1020" w:hanging="360"/>
      </w:pPr>
    </w:lvl>
  </w:abstractNum>
  <w:abstractNum w:abstractNumId="30" w15:restartNumberingAfterBreak="0">
    <w:nsid w:val="5E594AD4"/>
    <w:multiLevelType w:val="hybridMultilevel"/>
    <w:tmpl w:val="E58AA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14D13F2"/>
    <w:multiLevelType w:val="hybridMultilevel"/>
    <w:tmpl w:val="CEC27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2C29DE"/>
    <w:multiLevelType w:val="hybridMultilevel"/>
    <w:tmpl w:val="E2CC4DBA"/>
    <w:lvl w:ilvl="0" w:tplc="0C090005">
      <w:start w:val="1"/>
      <w:numFmt w:val="bullet"/>
      <w:lvlText w:val=""/>
      <w:lvlJc w:val="left"/>
      <w:pPr>
        <w:ind w:left="1610" w:hanging="360"/>
      </w:pPr>
      <w:rPr>
        <w:rFonts w:ascii="Wingdings" w:hAnsi="Wingdings" w:hint="default"/>
      </w:rPr>
    </w:lvl>
    <w:lvl w:ilvl="1" w:tplc="0C090003" w:tentative="1">
      <w:start w:val="1"/>
      <w:numFmt w:val="bullet"/>
      <w:lvlText w:val="o"/>
      <w:lvlJc w:val="left"/>
      <w:pPr>
        <w:ind w:left="2330" w:hanging="360"/>
      </w:pPr>
      <w:rPr>
        <w:rFonts w:ascii="Courier New" w:hAnsi="Courier New" w:cs="Courier New" w:hint="default"/>
      </w:rPr>
    </w:lvl>
    <w:lvl w:ilvl="2" w:tplc="0C090005" w:tentative="1">
      <w:start w:val="1"/>
      <w:numFmt w:val="bullet"/>
      <w:lvlText w:val=""/>
      <w:lvlJc w:val="left"/>
      <w:pPr>
        <w:ind w:left="3050" w:hanging="360"/>
      </w:pPr>
      <w:rPr>
        <w:rFonts w:ascii="Wingdings" w:hAnsi="Wingdings" w:hint="default"/>
      </w:rPr>
    </w:lvl>
    <w:lvl w:ilvl="3" w:tplc="0C090001" w:tentative="1">
      <w:start w:val="1"/>
      <w:numFmt w:val="bullet"/>
      <w:lvlText w:val=""/>
      <w:lvlJc w:val="left"/>
      <w:pPr>
        <w:ind w:left="3770" w:hanging="360"/>
      </w:pPr>
      <w:rPr>
        <w:rFonts w:ascii="Symbol" w:hAnsi="Symbol" w:hint="default"/>
      </w:rPr>
    </w:lvl>
    <w:lvl w:ilvl="4" w:tplc="0C090003" w:tentative="1">
      <w:start w:val="1"/>
      <w:numFmt w:val="bullet"/>
      <w:lvlText w:val="o"/>
      <w:lvlJc w:val="left"/>
      <w:pPr>
        <w:ind w:left="4490" w:hanging="360"/>
      </w:pPr>
      <w:rPr>
        <w:rFonts w:ascii="Courier New" w:hAnsi="Courier New" w:cs="Courier New" w:hint="default"/>
      </w:rPr>
    </w:lvl>
    <w:lvl w:ilvl="5" w:tplc="0C090005" w:tentative="1">
      <w:start w:val="1"/>
      <w:numFmt w:val="bullet"/>
      <w:lvlText w:val=""/>
      <w:lvlJc w:val="left"/>
      <w:pPr>
        <w:ind w:left="5210" w:hanging="360"/>
      </w:pPr>
      <w:rPr>
        <w:rFonts w:ascii="Wingdings" w:hAnsi="Wingdings" w:hint="default"/>
      </w:rPr>
    </w:lvl>
    <w:lvl w:ilvl="6" w:tplc="0C090001" w:tentative="1">
      <w:start w:val="1"/>
      <w:numFmt w:val="bullet"/>
      <w:lvlText w:val=""/>
      <w:lvlJc w:val="left"/>
      <w:pPr>
        <w:ind w:left="5930" w:hanging="360"/>
      </w:pPr>
      <w:rPr>
        <w:rFonts w:ascii="Symbol" w:hAnsi="Symbol" w:hint="default"/>
      </w:rPr>
    </w:lvl>
    <w:lvl w:ilvl="7" w:tplc="0C090003" w:tentative="1">
      <w:start w:val="1"/>
      <w:numFmt w:val="bullet"/>
      <w:lvlText w:val="o"/>
      <w:lvlJc w:val="left"/>
      <w:pPr>
        <w:ind w:left="6650" w:hanging="360"/>
      </w:pPr>
      <w:rPr>
        <w:rFonts w:ascii="Courier New" w:hAnsi="Courier New" w:cs="Courier New" w:hint="default"/>
      </w:rPr>
    </w:lvl>
    <w:lvl w:ilvl="8" w:tplc="0C090005" w:tentative="1">
      <w:start w:val="1"/>
      <w:numFmt w:val="bullet"/>
      <w:lvlText w:val=""/>
      <w:lvlJc w:val="left"/>
      <w:pPr>
        <w:ind w:left="7370" w:hanging="360"/>
      </w:pPr>
      <w:rPr>
        <w:rFonts w:ascii="Wingdings" w:hAnsi="Wingdings" w:hint="default"/>
      </w:rPr>
    </w:lvl>
  </w:abstractNum>
  <w:abstractNum w:abstractNumId="34" w15:restartNumberingAfterBreak="0">
    <w:nsid w:val="65135E8B"/>
    <w:multiLevelType w:val="hybridMultilevel"/>
    <w:tmpl w:val="7A103014"/>
    <w:lvl w:ilvl="0" w:tplc="B99ABE96">
      <w:start w:val="1"/>
      <w:numFmt w:val="decimal"/>
      <w:lvlText w:val="%1."/>
      <w:lvlJc w:val="left"/>
      <w:pPr>
        <w:ind w:left="720" w:hanging="360"/>
      </w:pPr>
    </w:lvl>
    <w:lvl w:ilvl="1" w:tplc="0B6A1C34">
      <w:start w:val="1"/>
      <w:numFmt w:val="decimal"/>
      <w:lvlText w:val="%2."/>
      <w:lvlJc w:val="left"/>
      <w:pPr>
        <w:ind w:left="720" w:hanging="360"/>
      </w:pPr>
    </w:lvl>
    <w:lvl w:ilvl="2" w:tplc="4A04E73A">
      <w:start w:val="1"/>
      <w:numFmt w:val="decimal"/>
      <w:lvlText w:val="%3."/>
      <w:lvlJc w:val="left"/>
      <w:pPr>
        <w:ind w:left="720" w:hanging="360"/>
      </w:pPr>
    </w:lvl>
    <w:lvl w:ilvl="3" w:tplc="253E1A62">
      <w:start w:val="1"/>
      <w:numFmt w:val="decimal"/>
      <w:lvlText w:val="%4."/>
      <w:lvlJc w:val="left"/>
      <w:pPr>
        <w:ind w:left="720" w:hanging="360"/>
      </w:pPr>
    </w:lvl>
    <w:lvl w:ilvl="4" w:tplc="8C7CECCA">
      <w:start w:val="1"/>
      <w:numFmt w:val="decimal"/>
      <w:lvlText w:val="%5."/>
      <w:lvlJc w:val="left"/>
      <w:pPr>
        <w:ind w:left="720" w:hanging="360"/>
      </w:pPr>
    </w:lvl>
    <w:lvl w:ilvl="5" w:tplc="C528447C">
      <w:start w:val="1"/>
      <w:numFmt w:val="decimal"/>
      <w:lvlText w:val="%6."/>
      <w:lvlJc w:val="left"/>
      <w:pPr>
        <w:ind w:left="720" w:hanging="360"/>
      </w:pPr>
    </w:lvl>
    <w:lvl w:ilvl="6" w:tplc="C6E27648">
      <w:start w:val="1"/>
      <w:numFmt w:val="decimal"/>
      <w:lvlText w:val="%7."/>
      <w:lvlJc w:val="left"/>
      <w:pPr>
        <w:ind w:left="720" w:hanging="360"/>
      </w:pPr>
    </w:lvl>
    <w:lvl w:ilvl="7" w:tplc="2DDC98F4">
      <w:start w:val="1"/>
      <w:numFmt w:val="decimal"/>
      <w:lvlText w:val="%8."/>
      <w:lvlJc w:val="left"/>
      <w:pPr>
        <w:ind w:left="720" w:hanging="360"/>
      </w:pPr>
    </w:lvl>
    <w:lvl w:ilvl="8" w:tplc="452E6E7A">
      <w:start w:val="1"/>
      <w:numFmt w:val="decimal"/>
      <w:lvlText w:val="%9."/>
      <w:lvlJc w:val="left"/>
      <w:pPr>
        <w:ind w:left="720" w:hanging="360"/>
      </w:pPr>
    </w:lvl>
  </w:abstractNum>
  <w:abstractNum w:abstractNumId="35" w15:restartNumberingAfterBreak="0">
    <w:nsid w:val="655B2509"/>
    <w:multiLevelType w:val="multilevel"/>
    <w:tmpl w:val="B4B0357A"/>
    <w:name w:val="StandardNumberedList"/>
    <w:lvl w:ilvl="0">
      <w:start w:val="1"/>
      <w:numFmt w:val="bullet"/>
      <w:lvlText w:val=""/>
      <w:lvlJc w:val="left"/>
      <w:pPr>
        <w:tabs>
          <w:tab w:val="num" w:pos="567"/>
        </w:tabs>
        <w:ind w:left="567" w:hanging="567"/>
      </w:pPr>
      <w:rPr>
        <w:rFonts w:ascii="Symbol" w:hAnsi="Symbol" w:hint="default"/>
      </w:rPr>
    </w:lvl>
    <w:lvl w:ilvl="1">
      <w:start w:val="1"/>
      <w:numFmt w:val="decimal"/>
      <w:lvlText w:val="%1.%2."/>
      <w:lvlJc w:val="left"/>
      <w:pPr>
        <w:tabs>
          <w:tab w:val="num" w:pos="1134"/>
        </w:tabs>
        <w:ind w:left="1134" w:hanging="567"/>
      </w:pPr>
    </w:lvl>
    <w:lvl w:ilvl="2">
      <w:start w:val="1"/>
      <w:numFmt w:val="decimal"/>
      <w:lvlText w:val="%1.%2.%3."/>
      <w:lvlJc w:val="left"/>
      <w:pPr>
        <w:tabs>
          <w:tab w:val="num" w:pos="1701"/>
        </w:tabs>
        <w:ind w:left="1701" w:hanging="567"/>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A89534C"/>
    <w:multiLevelType w:val="hybridMultilevel"/>
    <w:tmpl w:val="88D039D6"/>
    <w:lvl w:ilvl="0" w:tplc="4BE295DE">
      <w:start w:val="1"/>
      <w:numFmt w:val="decimal"/>
      <w:lvlText w:val="%1."/>
      <w:lvlJc w:val="left"/>
      <w:pPr>
        <w:ind w:left="720" w:hanging="360"/>
      </w:pPr>
    </w:lvl>
    <w:lvl w:ilvl="1" w:tplc="F93AB988">
      <w:start w:val="1"/>
      <w:numFmt w:val="decimal"/>
      <w:lvlText w:val="%2."/>
      <w:lvlJc w:val="left"/>
      <w:pPr>
        <w:ind w:left="720" w:hanging="360"/>
      </w:pPr>
    </w:lvl>
    <w:lvl w:ilvl="2" w:tplc="046A9338">
      <w:start w:val="1"/>
      <w:numFmt w:val="decimal"/>
      <w:lvlText w:val="%3."/>
      <w:lvlJc w:val="left"/>
      <w:pPr>
        <w:ind w:left="720" w:hanging="360"/>
      </w:pPr>
    </w:lvl>
    <w:lvl w:ilvl="3" w:tplc="3A588C76">
      <w:start w:val="1"/>
      <w:numFmt w:val="decimal"/>
      <w:lvlText w:val="%4."/>
      <w:lvlJc w:val="left"/>
      <w:pPr>
        <w:ind w:left="720" w:hanging="360"/>
      </w:pPr>
    </w:lvl>
    <w:lvl w:ilvl="4" w:tplc="1310A300">
      <w:start w:val="1"/>
      <w:numFmt w:val="decimal"/>
      <w:lvlText w:val="%5."/>
      <w:lvlJc w:val="left"/>
      <w:pPr>
        <w:ind w:left="720" w:hanging="360"/>
      </w:pPr>
    </w:lvl>
    <w:lvl w:ilvl="5" w:tplc="CD8CF902">
      <w:start w:val="1"/>
      <w:numFmt w:val="decimal"/>
      <w:lvlText w:val="%6."/>
      <w:lvlJc w:val="left"/>
      <w:pPr>
        <w:ind w:left="720" w:hanging="360"/>
      </w:pPr>
    </w:lvl>
    <w:lvl w:ilvl="6" w:tplc="5B5C484E">
      <w:start w:val="1"/>
      <w:numFmt w:val="decimal"/>
      <w:lvlText w:val="%7."/>
      <w:lvlJc w:val="left"/>
      <w:pPr>
        <w:ind w:left="720" w:hanging="360"/>
      </w:pPr>
    </w:lvl>
    <w:lvl w:ilvl="7" w:tplc="489CD912">
      <w:start w:val="1"/>
      <w:numFmt w:val="decimal"/>
      <w:lvlText w:val="%8."/>
      <w:lvlJc w:val="left"/>
      <w:pPr>
        <w:ind w:left="720" w:hanging="360"/>
      </w:pPr>
    </w:lvl>
    <w:lvl w:ilvl="8" w:tplc="27E613E6">
      <w:start w:val="1"/>
      <w:numFmt w:val="decimal"/>
      <w:lvlText w:val="%9."/>
      <w:lvlJc w:val="left"/>
      <w:pPr>
        <w:ind w:left="720" w:hanging="360"/>
      </w:pPr>
    </w:lvl>
  </w:abstractNum>
  <w:abstractNum w:abstractNumId="37" w15:restartNumberingAfterBreak="0">
    <w:nsid w:val="6BAA1564"/>
    <w:multiLevelType w:val="hybridMultilevel"/>
    <w:tmpl w:val="B9E65C5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8" w15:restartNumberingAfterBreak="0">
    <w:nsid w:val="6C042B02"/>
    <w:multiLevelType w:val="hybridMultilevel"/>
    <w:tmpl w:val="6C9E48C2"/>
    <w:lvl w:ilvl="0" w:tplc="D578DB1A">
      <w:start w:val="1"/>
      <w:numFmt w:val="bullet"/>
      <w:pStyle w:val="Table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C181079"/>
    <w:multiLevelType w:val="multilevel"/>
    <w:tmpl w:val="6F92BA82"/>
    <w:lvl w:ilvl="0">
      <w:start w:val="1"/>
      <w:numFmt w:val="bullet"/>
      <w:pStyle w:val="Bullet"/>
      <w:lvlText w:val="•"/>
      <w:lvlJc w:val="left"/>
      <w:pPr>
        <w:ind w:left="284" w:hanging="284"/>
      </w:pPr>
      <w:rPr>
        <w:rFonts w:ascii="Times New Roman" w:hAnsi="Times New Roman" w:cs="Times New Roman" w:hint="default"/>
      </w:rPr>
    </w:lvl>
    <w:lvl w:ilvl="1">
      <w:start w:val="1"/>
      <w:numFmt w:val="bullet"/>
      <w:pStyle w:val="Dash"/>
      <w:lvlText w:val="–"/>
      <w:lvlJc w:val="left"/>
      <w:pPr>
        <w:ind w:left="568" w:hanging="284"/>
      </w:pPr>
      <w:rPr>
        <w:rFonts w:ascii="Times New Roman" w:hAnsi="Times New Roman" w:cs="Times New Roman" w:hint="default"/>
      </w:rPr>
    </w:lvl>
    <w:lvl w:ilvl="2">
      <w:start w:val="1"/>
      <w:numFmt w:val="bullet"/>
      <w:pStyle w:val="DoubleDo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40" w15:restartNumberingAfterBreak="0">
    <w:nsid w:val="6D3F6224"/>
    <w:multiLevelType w:val="multilevel"/>
    <w:tmpl w:val="8F08A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FFA52C0"/>
    <w:multiLevelType w:val="hybridMultilevel"/>
    <w:tmpl w:val="FFFFFFFF"/>
    <w:lvl w:ilvl="0" w:tplc="1C543802">
      <w:start w:val="4"/>
      <w:numFmt w:val="decimal"/>
      <w:lvlText w:val="%1."/>
      <w:lvlJc w:val="left"/>
      <w:pPr>
        <w:ind w:left="720" w:hanging="360"/>
      </w:pPr>
    </w:lvl>
    <w:lvl w:ilvl="1" w:tplc="F7BA55E6">
      <w:start w:val="1"/>
      <w:numFmt w:val="lowerLetter"/>
      <w:lvlText w:val="%2."/>
      <w:lvlJc w:val="left"/>
      <w:pPr>
        <w:ind w:left="1440" w:hanging="360"/>
      </w:pPr>
    </w:lvl>
    <w:lvl w:ilvl="2" w:tplc="F12A6E2C">
      <w:start w:val="1"/>
      <w:numFmt w:val="lowerRoman"/>
      <w:lvlText w:val="%3."/>
      <w:lvlJc w:val="right"/>
      <w:pPr>
        <w:ind w:left="2160" w:hanging="180"/>
      </w:pPr>
    </w:lvl>
    <w:lvl w:ilvl="3" w:tplc="1AF8F2EE">
      <w:start w:val="1"/>
      <w:numFmt w:val="decimal"/>
      <w:lvlText w:val="%4."/>
      <w:lvlJc w:val="left"/>
      <w:pPr>
        <w:ind w:left="2880" w:hanging="360"/>
      </w:pPr>
    </w:lvl>
    <w:lvl w:ilvl="4" w:tplc="43F6BDD2">
      <w:start w:val="1"/>
      <w:numFmt w:val="lowerLetter"/>
      <w:lvlText w:val="%5."/>
      <w:lvlJc w:val="left"/>
      <w:pPr>
        <w:ind w:left="3600" w:hanging="360"/>
      </w:pPr>
    </w:lvl>
    <w:lvl w:ilvl="5" w:tplc="90AE0704">
      <w:start w:val="1"/>
      <w:numFmt w:val="lowerRoman"/>
      <w:lvlText w:val="%6."/>
      <w:lvlJc w:val="right"/>
      <w:pPr>
        <w:ind w:left="4320" w:hanging="180"/>
      </w:pPr>
    </w:lvl>
    <w:lvl w:ilvl="6" w:tplc="97A4095C">
      <w:start w:val="1"/>
      <w:numFmt w:val="decimal"/>
      <w:lvlText w:val="%7."/>
      <w:lvlJc w:val="left"/>
      <w:pPr>
        <w:ind w:left="5040" w:hanging="360"/>
      </w:pPr>
    </w:lvl>
    <w:lvl w:ilvl="7" w:tplc="8AC2D488">
      <w:start w:val="1"/>
      <w:numFmt w:val="lowerLetter"/>
      <w:lvlText w:val="%8."/>
      <w:lvlJc w:val="left"/>
      <w:pPr>
        <w:ind w:left="5760" w:hanging="360"/>
      </w:pPr>
    </w:lvl>
    <w:lvl w:ilvl="8" w:tplc="07686912">
      <w:start w:val="1"/>
      <w:numFmt w:val="lowerRoman"/>
      <w:lvlText w:val="%9."/>
      <w:lvlJc w:val="right"/>
      <w:pPr>
        <w:ind w:left="6480" w:hanging="180"/>
      </w:pPr>
    </w:lvl>
  </w:abstractNum>
  <w:abstractNum w:abstractNumId="42"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78203BDE"/>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7B6B0C9E"/>
    <w:multiLevelType w:val="multilevel"/>
    <w:tmpl w:val="59D6E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D6B5224"/>
    <w:multiLevelType w:val="multilevel"/>
    <w:tmpl w:val="91FE60A6"/>
    <w:name w:val="StandardBulletedList"/>
    <w:lvl w:ilvl="0">
      <w:start w:val="1"/>
      <w:numFmt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47"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1509446909">
    <w:abstractNumId w:val="17"/>
  </w:num>
  <w:num w:numId="2" w16cid:durableId="230386874">
    <w:abstractNumId w:val="3"/>
  </w:num>
  <w:num w:numId="3" w16cid:durableId="1716855291">
    <w:abstractNumId w:val="21"/>
  </w:num>
  <w:num w:numId="4" w16cid:durableId="797724066">
    <w:abstractNumId w:val="5"/>
  </w:num>
  <w:num w:numId="5" w16cid:durableId="306596971">
    <w:abstractNumId w:val="24"/>
  </w:num>
  <w:num w:numId="6" w16cid:durableId="1043020558">
    <w:abstractNumId w:val="8"/>
  </w:num>
  <w:num w:numId="7" w16cid:durableId="832991063">
    <w:abstractNumId w:val="13"/>
  </w:num>
  <w:num w:numId="8" w16cid:durableId="143200778">
    <w:abstractNumId w:val="20"/>
  </w:num>
  <w:num w:numId="9" w16cid:durableId="1534227257">
    <w:abstractNumId w:val="39"/>
  </w:num>
  <w:num w:numId="10" w16cid:durableId="466092301">
    <w:abstractNumId w:val="38"/>
  </w:num>
  <w:num w:numId="11" w16cid:durableId="17107575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71097169">
    <w:abstractNumId w:val="11"/>
  </w:num>
  <w:num w:numId="13" w16cid:durableId="1794014951">
    <w:abstractNumId w:val="19"/>
  </w:num>
  <w:num w:numId="14" w16cid:durableId="1596326761">
    <w:abstractNumId w:val="16"/>
  </w:num>
  <w:num w:numId="15" w16cid:durableId="1143624461">
    <w:abstractNumId w:val="32"/>
  </w:num>
  <w:num w:numId="16" w16cid:durableId="1533688803">
    <w:abstractNumId w:val="10"/>
  </w:num>
  <w:num w:numId="17" w16cid:durableId="1021126703">
    <w:abstractNumId w:val="44"/>
  </w:num>
  <w:num w:numId="18" w16cid:durableId="1825733493">
    <w:abstractNumId w:val="40"/>
  </w:num>
  <w:num w:numId="19" w16cid:durableId="1017973052">
    <w:abstractNumId w:val="6"/>
  </w:num>
  <w:num w:numId="20" w16cid:durableId="1739129519">
    <w:abstractNumId w:val="20"/>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1" w16cid:durableId="1798260311">
    <w:abstractNumId w:val="1"/>
  </w:num>
  <w:num w:numId="22" w16cid:durableId="1725909791">
    <w:abstractNumId w:val="34"/>
  </w:num>
  <w:num w:numId="23" w16cid:durableId="405231145">
    <w:abstractNumId w:val="2"/>
  </w:num>
  <w:num w:numId="24" w16cid:durableId="1036661378">
    <w:abstractNumId w:val="0"/>
  </w:num>
  <w:num w:numId="25" w16cid:durableId="312879082">
    <w:abstractNumId w:val="29"/>
  </w:num>
  <w:num w:numId="26" w16cid:durableId="1821605641">
    <w:abstractNumId w:val="36"/>
  </w:num>
  <w:num w:numId="27" w16cid:durableId="108206215">
    <w:abstractNumId w:val="43"/>
  </w:num>
  <w:num w:numId="28" w16cid:durableId="1489784792">
    <w:abstractNumId w:val="33"/>
  </w:num>
  <w:num w:numId="29" w16cid:durableId="517083906">
    <w:abstractNumId w:val="26"/>
  </w:num>
  <w:num w:numId="30" w16cid:durableId="402218185">
    <w:abstractNumId w:val="7"/>
  </w:num>
  <w:num w:numId="31" w16cid:durableId="1077706018">
    <w:abstractNumId w:val="20"/>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32" w16cid:durableId="571887099">
    <w:abstractNumId w:val="4"/>
  </w:num>
  <w:num w:numId="33" w16cid:durableId="981886855">
    <w:abstractNumId w:val="46"/>
  </w:num>
  <w:num w:numId="34" w16cid:durableId="920913257">
    <w:abstractNumId w:val="47"/>
  </w:num>
  <w:num w:numId="35" w16cid:durableId="1906601709">
    <w:abstractNumId w:val="23"/>
  </w:num>
  <w:num w:numId="36" w16cid:durableId="1810710942">
    <w:abstractNumId w:val="12"/>
  </w:num>
  <w:num w:numId="37" w16cid:durableId="289938751">
    <w:abstractNumId w:val="31"/>
  </w:num>
  <w:num w:numId="38" w16cid:durableId="4479367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55251550">
    <w:abstractNumId w:val="45"/>
  </w:num>
  <w:num w:numId="40" w16cid:durableId="1948073332">
    <w:abstractNumId w:val="18"/>
  </w:num>
  <w:num w:numId="41" w16cid:durableId="207180920">
    <w:abstractNumId w:val="25"/>
  </w:num>
  <w:num w:numId="42" w16cid:durableId="1065297974">
    <w:abstractNumId w:val="27"/>
  </w:num>
  <w:num w:numId="43" w16cid:durableId="2085910852">
    <w:abstractNumId w:val="4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98618205">
    <w:abstractNumId w:val="9"/>
  </w:num>
  <w:num w:numId="45" w16cid:durableId="962420060">
    <w:abstractNumId w:val="30"/>
  </w:num>
  <w:num w:numId="46" w16cid:durableId="2017995613">
    <w:abstractNumId w:val="14"/>
  </w:num>
  <w:num w:numId="47" w16cid:durableId="34090500">
    <w:abstractNumId w:val="22"/>
  </w:num>
  <w:num w:numId="48" w16cid:durableId="1167744682">
    <w:abstractNumId w:val="37"/>
  </w:num>
  <w:num w:numId="49" w16cid:durableId="2119715033">
    <w:abstractNumId w:val="15"/>
  </w:num>
  <w:num w:numId="50" w16cid:durableId="439375365">
    <w:abstractNumId w:val="41"/>
  </w:num>
  <w:num w:numId="51" w16cid:durableId="1535121973">
    <w:abstractNumId w:val="28"/>
  </w:num>
  <w:num w:numId="52" w16cid:durableId="52378435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53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False"/>
  </w:docVars>
  <w:rsids>
    <w:rsidRoot w:val="00586D9D"/>
    <w:rsid w:val="0000017B"/>
    <w:rsid w:val="00000266"/>
    <w:rsid w:val="0000027C"/>
    <w:rsid w:val="00000343"/>
    <w:rsid w:val="000003A2"/>
    <w:rsid w:val="00000589"/>
    <w:rsid w:val="00000650"/>
    <w:rsid w:val="000006A4"/>
    <w:rsid w:val="00000878"/>
    <w:rsid w:val="00000952"/>
    <w:rsid w:val="00000A46"/>
    <w:rsid w:val="00000B0C"/>
    <w:rsid w:val="00000C18"/>
    <w:rsid w:val="00000CFF"/>
    <w:rsid w:val="00000D0E"/>
    <w:rsid w:val="00000EC0"/>
    <w:rsid w:val="00000EE9"/>
    <w:rsid w:val="0000133B"/>
    <w:rsid w:val="000013A9"/>
    <w:rsid w:val="000013D2"/>
    <w:rsid w:val="000014D0"/>
    <w:rsid w:val="00001561"/>
    <w:rsid w:val="000016B4"/>
    <w:rsid w:val="00001743"/>
    <w:rsid w:val="00001829"/>
    <w:rsid w:val="0000185C"/>
    <w:rsid w:val="0000190A"/>
    <w:rsid w:val="000019CD"/>
    <w:rsid w:val="00001A3B"/>
    <w:rsid w:val="00001B33"/>
    <w:rsid w:val="00001B41"/>
    <w:rsid w:val="00001BBF"/>
    <w:rsid w:val="00001BE3"/>
    <w:rsid w:val="00001D11"/>
    <w:rsid w:val="00002062"/>
    <w:rsid w:val="0000207F"/>
    <w:rsid w:val="0000209F"/>
    <w:rsid w:val="000021CA"/>
    <w:rsid w:val="0000225C"/>
    <w:rsid w:val="00002551"/>
    <w:rsid w:val="0000258A"/>
    <w:rsid w:val="00002730"/>
    <w:rsid w:val="0000274B"/>
    <w:rsid w:val="000027E9"/>
    <w:rsid w:val="00002801"/>
    <w:rsid w:val="0000283C"/>
    <w:rsid w:val="00002938"/>
    <w:rsid w:val="000029A2"/>
    <w:rsid w:val="000029CA"/>
    <w:rsid w:val="00002C1D"/>
    <w:rsid w:val="00002CD2"/>
    <w:rsid w:val="00002D2A"/>
    <w:rsid w:val="00002D2C"/>
    <w:rsid w:val="00002DA2"/>
    <w:rsid w:val="00002DB8"/>
    <w:rsid w:val="00002F58"/>
    <w:rsid w:val="000030F7"/>
    <w:rsid w:val="00003194"/>
    <w:rsid w:val="0000320F"/>
    <w:rsid w:val="00003216"/>
    <w:rsid w:val="00003226"/>
    <w:rsid w:val="00003239"/>
    <w:rsid w:val="00003278"/>
    <w:rsid w:val="0000327E"/>
    <w:rsid w:val="00003307"/>
    <w:rsid w:val="000033C8"/>
    <w:rsid w:val="00003492"/>
    <w:rsid w:val="000034CD"/>
    <w:rsid w:val="0000353A"/>
    <w:rsid w:val="000035C0"/>
    <w:rsid w:val="00003754"/>
    <w:rsid w:val="000038DD"/>
    <w:rsid w:val="00003938"/>
    <w:rsid w:val="00003C59"/>
    <w:rsid w:val="00003C8C"/>
    <w:rsid w:val="00003D2B"/>
    <w:rsid w:val="00003E07"/>
    <w:rsid w:val="00003EA1"/>
    <w:rsid w:val="00003F0C"/>
    <w:rsid w:val="00003F0E"/>
    <w:rsid w:val="00003FCC"/>
    <w:rsid w:val="00004063"/>
    <w:rsid w:val="000041B6"/>
    <w:rsid w:val="000042CF"/>
    <w:rsid w:val="00004338"/>
    <w:rsid w:val="000043F7"/>
    <w:rsid w:val="00004423"/>
    <w:rsid w:val="0000443B"/>
    <w:rsid w:val="00004589"/>
    <w:rsid w:val="000045F3"/>
    <w:rsid w:val="0000476A"/>
    <w:rsid w:val="0000492F"/>
    <w:rsid w:val="0000498D"/>
    <w:rsid w:val="000049A9"/>
    <w:rsid w:val="000049E8"/>
    <w:rsid w:val="000049F4"/>
    <w:rsid w:val="00004ABF"/>
    <w:rsid w:val="00004B3D"/>
    <w:rsid w:val="00004BB7"/>
    <w:rsid w:val="00004CBD"/>
    <w:rsid w:val="00004D0C"/>
    <w:rsid w:val="00005179"/>
    <w:rsid w:val="000052CD"/>
    <w:rsid w:val="000052DB"/>
    <w:rsid w:val="0000533D"/>
    <w:rsid w:val="000053DC"/>
    <w:rsid w:val="000054DB"/>
    <w:rsid w:val="00005520"/>
    <w:rsid w:val="000057A1"/>
    <w:rsid w:val="00005834"/>
    <w:rsid w:val="00005902"/>
    <w:rsid w:val="00005A09"/>
    <w:rsid w:val="00005A21"/>
    <w:rsid w:val="00005AF3"/>
    <w:rsid w:val="00005B95"/>
    <w:rsid w:val="00005CD9"/>
    <w:rsid w:val="00005D02"/>
    <w:rsid w:val="00005D08"/>
    <w:rsid w:val="00005D5F"/>
    <w:rsid w:val="00005D7B"/>
    <w:rsid w:val="00005D86"/>
    <w:rsid w:val="00005E32"/>
    <w:rsid w:val="00005F2D"/>
    <w:rsid w:val="00005F4B"/>
    <w:rsid w:val="00006167"/>
    <w:rsid w:val="00006178"/>
    <w:rsid w:val="00006272"/>
    <w:rsid w:val="0000628B"/>
    <w:rsid w:val="00006525"/>
    <w:rsid w:val="0000652A"/>
    <w:rsid w:val="000065D7"/>
    <w:rsid w:val="000068D5"/>
    <w:rsid w:val="00006A47"/>
    <w:rsid w:val="00006A7F"/>
    <w:rsid w:val="00006AAF"/>
    <w:rsid w:val="00006C5A"/>
    <w:rsid w:val="00006C86"/>
    <w:rsid w:val="00006CA0"/>
    <w:rsid w:val="00006F26"/>
    <w:rsid w:val="000070CE"/>
    <w:rsid w:val="000070FD"/>
    <w:rsid w:val="0000728F"/>
    <w:rsid w:val="00007344"/>
    <w:rsid w:val="000073DB"/>
    <w:rsid w:val="0000754F"/>
    <w:rsid w:val="0000756D"/>
    <w:rsid w:val="000075BB"/>
    <w:rsid w:val="00007603"/>
    <w:rsid w:val="0000771F"/>
    <w:rsid w:val="000077C6"/>
    <w:rsid w:val="0000794B"/>
    <w:rsid w:val="00007962"/>
    <w:rsid w:val="00007A22"/>
    <w:rsid w:val="00007AD4"/>
    <w:rsid w:val="00007B51"/>
    <w:rsid w:val="00007BDC"/>
    <w:rsid w:val="00007BE4"/>
    <w:rsid w:val="00007C53"/>
    <w:rsid w:val="00007C8E"/>
    <w:rsid w:val="00007F94"/>
    <w:rsid w:val="00010026"/>
    <w:rsid w:val="000101CA"/>
    <w:rsid w:val="000101FF"/>
    <w:rsid w:val="0001029F"/>
    <w:rsid w:val="00010359"/>
    <w:rsid w:val="000103D5"/>
    <w:rsid w:val="0001045B"/>
    <w:rsid w:val="00010516"/>
    <w:rsid w:val="000106FB"/>
    <w:rsid w:val="000109BE"/>
    <w:rsid w:val="000109F3"/>
    <w:rsid w:val="00010AAE"/>
    <w:rsid w:val="00010CE2"/>
    <w:rsid w:val="00010D2A"/>
    <w:rsid w:val="00010D6D"/>
    <w:rsid w:val="00010F0E"/>
    <w:rsid w:val="00011060"/>
    <w:rsid w:val="00011070"/>
    <w:rsid w:val="00011321"/>
    <w:rsid w:val="00011338"/>
    <w:rsid w:val="00011399"/>
    <w:rsid w:val="00011414"/>
    <w:rsid w:val="0001151A"/>
    <w:rsid w:val="000115A9"/>
    <w:rsid w:val="00011725"/>
    <w:rsid w:val="00011770"/>
    <w:rsid w:val="000119C7"/>
    <w:rsid w:val="00011B9A"/>
    <w:rsid w:val="00011C46"/>
    <w:rsid w:val="00011D30"/>
    <w:rsid w:val="00011DA8"/>
    <w:rsid w:val="00011EDB"/>
    <w:rsid w:val="00011F75"/>
    <w:rsid w:val="00011FB5"/>
    <w:rsid w:val="000121AD"/>
    <w:rsid w:val="000122E7"/>
    <w:rsid w:val="0001230C"/>
    <w:rsid w:val="00012349"/>
    <w:rsid w:val="0001246C"/>
    <w:rsid w:val="000124A1"/>
    <w:rsid w:val="000124A6"/>
    <w:rsid w:val="0001258E"/>
    <w:rsid w:val="00012664"/>
    <w:rsid w:val="00012723"/>
    <w:rsid w:val="0001272C"/>
    <w:rsid w:val="000127A1"/>
    <w:rsid w:val="00012800"/>
    <w:rsid w:val="00012808"/>
    <w:rsid w:val="00012822"/>
    <w:rsid w:val="00012954"/>
    <w:rsid w:val="000129C5"/>
    <w:rsid w:val="000129DA"/>
    <w:rsid w:val="00012AD0"/>
    <w:rsid w:val="00012AE9"/>
    <w:rsid w:val="00012B27"/>
    <w:rsid w:val="00012BAD"/>
    <w:rsid w:val="00012C17"/>
    <w:rsid w:val="00012C62"/>
    <w:rsid w:val="00012D9E"/>
    <w:rsid w:val="00012E6C"/>
    <w:rsid w:val="00012F83"/>
    <w:rsid w:val="00012F8D"/>
    <w:rsid w:val="00012F96"/>
    <w:rsid w:val="00013135"/>
    <w:rsid w:val="0001318C"/>
    <w:rsid w:val="00013279"/>
    <w:rsid w:val="000132AC"/>
    <w:rsid w:val="000132BB"/>
    <w:rsid w:val="00013318"/>
    <w:rsid w:val="0001336F"/>
    <w:rsid w:val="0001338F"/>
    <w:rsid w:val="00013438"/>
    <w:rsid w:val="00013473"/>
    <w:rsid w:val="0001353B"/>
    <w:rsid w:val="00013571"/>
    <w:rsid w:val="000136CF"/>
    <w:rsid w:val="00013718"/>
    <w:rsid w:val="00013953"/>
    <w:rsid w:val="0001396A"/>
    <w:rsid w:val="00013981"/>
    <w:rsid w:val="00013A59"/>
    <w:rsid w:val="00013A72"/>
    <w:rsid w:val="00013B63"/>
    <w:rsid w:val="00013BE9"/>
    <w:rsid w:val="00013E04"/>
    <w:rsid w:val="00013F0A"/>
    <w:rsid w:val="00013F2C"/>
    <w:rsid w:val="00013F45"/>
    <w:rsid w:val="00013F78"/>
    <w:rsid w:val="00013F8F"/>
    <w:rsid w:val="00014025"/>
    <w:rsid w:val="0001409A"/>
    <w:rsid w:val="000140DE"/>
    <w:rsid w:val="00014264"/>
    <w:rsid w:val="00014356"/>
    <w:rsid w:val="00014574"/>
    <w:rsid w:val="000146AB"/>
    <w:rsid w:val="000148E8"/>
    <w:rsid w:val="00014A41"/>
    <w:rsid w:val="00014ABE"/>
    <w:rsid w:val="00014B27"/>
    <w:rsid w:val="00014BA3"/>
    <w:rsid w:val="00014C7C"/>
    <w:rsid w:val="00014DF3"/>
    <w:rsid w:val="00014E2F"/>
    <w:rsid w:val="00014E66"/>
    <w:rsid w:val="00014FFD"/>
    <w:rsid w:val="00015015"/>
    <w:rsid w:val="00015032"/>
    <w:rsid w:val="00015216"/>
    <w:rsid w:val="00015302"/>
    <w:rsid w:val="000153E1"/>
    <w:rsid w:val="0001556D"/>
    <w:rsid w:val="000155D3"/>
    <w:rsid w:val="00015742"/>
    <w:rsid w:val="0001574C"/>
    <w:rsid w:val="00015760"/>
    <w:rsid w:val="000157ED"/>
    <w:rsid w:val="00015908"/>
    <w:rsid w:val="00015939"/>
    <w:rsid w:val="0001598C"/>
    <w:rsid w:val="00015AC7"/>
    <w:rsid w:val="00015B4A"/>
    <w:rsid w:val="00015B65"/>
    <w:rsid w:val="00015B7F"/>
    <w:rsid w:val="00015C1E"/>
    <w:rsid w:val="00015C72"/>
    <w:rsid w:val="00015EA9"/>
    <w:rsid w:val="00015F9E"/>
    <w:rsid w:val="00015FD6"/>
    <w:rsid w:val="00015FE5"/>
    <w:rsid w:val="00015FEA"/>
    <w:rsid w:val="00016445"/>
    <w:rsid w:val="00016506"/>
    <w:rsid w:val="0001670C"/>
    <w:rsid w:val="0001671C"/>
    <w:rsid w:val="00016BDF"/>
    <w:rsid w:val="00016C46"/>
    <w:rsid w:val="00016CD2"/>
    <w:rsid w:val="00016F25"/>
    <w:rsid w:val="000170A3"/>
    <w:rsid w:val="000170AB"/>
    <w:rsid w:val="0001723C"/>
    <w:rsid w:val="000172D8"/>
    <w:rsid w:val="00017404"/>
    <w:rsid w:val="0001746F"/>
    <w:rsid w:val="0001748E"/>
    <w:rsid w:val="0001788B"/>
    <w:rsid w:val="000178A4"/>
    <w:rsid w:val="00017B73"/>
    <w:rsid w:val="00017C4C"/>
    <w:rsid w:val="00017DDD"/>
    <w:rsid w:val="00017E4A"/>
    <w:rsid w:val="00017F0C"/>
    <w:rsid w:val="00017F60"/>
    <w:rsid w:val="00020066"/>
    <w:rsid w:val="0002007E"/>
    <w:rsid w:val="000202AD"/>
    <w:rsid w:val="00020348"/>
    <w:rsid w:val="00020370"/>
    <w:rsid w:val="000204C0"/>
    <w:rsid w:val="000205B4"/>
    <w:rsid w:val="000206B4"/>
    <w:rsid w:val="000206E8"/>
    <w:rsid w:val="0002080E"/>
    <w:rsid w:val="00020935"/>
    <w:rsid w:val="00020BC4"/>
    <w:rsid w:val="00020C61"/>
    <w:rsid w:val="00020C68"/>
    <w:rsid w:val="00020CDF"/>
    <w:rsid w:val="00020F49"/>
    <w:rsid w:val="00020FF1"/>
    <w:rsid w:val="00021180"/>
    <w:rsid w:val="00021371"/>
    <w:rsid w:val="0002168B"/>
    <w:rsid w:val="00021727"/>
    <w:rsid w:val="000219A1"/>
    <w:rsid w:val="00021A43"/>
    <w:rsid w:val="00021AB1"/>
    <w:rsid w:val="00021B77"/>
    <w:rsid w:val="00021C95"/>
    <w:rsid w:val="00021D68"/>
    <w:rsid w:val="00021ECB"/>
    <w:rsid w:val="00021F81"/>
    <w:rsid w:val="00022395"/>
    <w:rsid w:val="000223CD"/>
    <w:rsid w:val="000224D8"/>
    <w:rsid w:val="000226DC"/>
    <w:rsid w:val="000227AC"/>
    <w:rsid w:val="000227E1"/>
    <w:rsid w:val="0002286F"/>
    <w:rsid w:val="00022926"/>
    <w:rsid w:val="00022936"/>
    <w:rsid w:val="00022A68"/>
    <w:rsid w:val="00022B96"/>
    <w:rsid w:val="00022E99"/>
    <w:rsid w:val="0002304A"/>
    <w:rsid w:val="00023140"/>
    <w:rsid w:val="00023193"/>
    <w:rsid w:val="000231D8"/>
    <w:rsid w:val="000231E0"/>
    <w:rsid w:val="00023375"/>
    <w:rsid w:val="00023381"/>
    <w:rsid w:val="00023489"/>
    <w:rsid w:val="00023608"/>
    <w:rsid w:val="00023631"/>
    <w:rsid w:val="0002372D"/>
    <w:rsid w:val="0002373A"/>
    <w:rsid w:val="00023746"/>
    <w:rsid w:val="0002389A"/>
    <w:rsid w:val="00023926"/>
    <w:rsid w:val="0002395F"/>
    <w:rsid w:val="0002397F"/>
    <w:rsid w:val="0002398F"/>
    <w:rsid w:val="00023AC5"/>
    <w:rsid w:val="00023B39"/>
    <w:rsid w:val="00023BE4"/>
    <w:rsid w:val="00023C2E"/>
    <w:rsid w:val="00023C46"/>
    <w:rsid w:val="00023CA7"/>
    <w:rsid w:val="00023CFC"/>
    <w:rsid w:val="00023D1E"/>
    <w:rsid w:val="00023D2E"/>
    <w:rsid w:val="00023F87"/>
    <w:rsid w:val="0002424C"/>
    <w:rsid w:val="000244BF"/>
    <w:rsid w:val="000244EF"/>
    <w:rsid w:val="00024546"/>
    <w:rsid w:val="00024569"/>
    <w:rsid w:val="0002473F"/>
    <w:rsid w:val="000247A0"/>
    <w:rsid w:val="00024865"/>
    <w:rsid w:val="00024ACA"/>
    <w:rsid w:val="00024C01"/>
    <w:rsid w:val="00024CC0"/>
    <w:rsid w:val="00024D00"/>
    <w:rsid w:val="000250B9"/>
    <w:rsid w:val="00025252"/>
    <w:rsid w:val="00025277"/>
    <w:rsid w:val="0002534D"/>
    <w:rsid w:val="0002538D"/>
    <w:rsid w:val="000253D9"/>
    <w:rsid w:val="0002544D"/>
    <w:rsid w:val="000254B7"/>
    <w:rsid w:val="00025547"/>
    <w:rsid w:val="000255E0"/>
    <w:rsid w:val="00025896"/>
    <w:rsid w:val="00025950"/>
    <w:rsid w:val="00025D27"/>
    <w:rsid w:val="00025F50"/>
    <w:rsid w:val="00025F7C"/>
    <w:rsid w:val="00025FAB"/>
    <w:rsid w:val="000260A1"/>
    <w:rsid w:val="0002621E"/>
    <w:rsid w:val="000262C7"/>
    <w:rsid w:val="0002632A"/>
    <w:rsid w:val="0002635F"/>
    <w:rsid w:val="0002645C"/>
    <w:rsid w:val="0002668D"/>
    <w:rsid w:val="000266A3"/>
    <w:rsid w:val="000266DB"/>
    <w:rsid w:val="0002675F"/>
    <w:rsid w:val="00026885"/>
    <w:rsid w:val="000268CF"/>
    <w:rsid w:val="000269DE"/>
    <w:rsid w:val="00026A1E"/>
    <w:rsid w:val="00026AB0"/>
    <w:rsid w:val="00026B55"/>
    <w:rsid w:val="00026B58"/>
    <w:rsid w:val="00026C8D"/>
    <w:rsid w:val="00026CF1"/>
    <w:rsid w:val="00026EA3"/>
    <w:rsid w:val="00026F32"/>
    <w:rsid w:val="00026F8E"/>
    <w:rsid w:val="00026FAB"/>
    <w:rsid w:val="00027117"/>
    <w:rsid w:val="000271B3"/>
    <w:rsid w:val="000271CE"/>
    <w:rsid w:val="00027494"/>
    <w:rsid w:val="000275AD"/>
    <w:rsid w:val="000275F2"/>
    <w:rsid w:val="00027664"/>
    <w:rsid w:val="0002784E"/>
    <w:rsid w:val="000278A5"/>
    <w:rsid w:val="000278CF"/>
    <w:rsid w:val="00027914"/>
    <w:rsid w:val="00027B81"/>
    <w:rsid w:val="00027BF1"/>
    <w:rsid w:val="00027DC4"/>
    <w:rsid w:val="00027DE1"/>
    <w:rsid w:val="00027E1C"/>
    <w:rsid w:val="00027ED4"/>
    <w:rsid w:val="00030034"/>
    <w:rsid w:val="00030040"/>
    <w:rsid w:val="00030080"/>
    <w:rsid w:val="00030153"/>
    <w:rsid w:val="0003018D"/>
    <w:rsid w:val="000301EB"/>
    <w:rsid w:val="000303A4"/>
    <w:rsid w:val="00030439"/>
    <w:rsid w:val="00030595"/>
    <w:rsid w:val="0003092B"/>
    <w:rsid w:val="00030984"/>
    <w:rsid w:val="000309D9"/>
    <w:rsid w:val="00030C47"/>
    <w:rsid w:val="00030C95"/>
    <w:rsid w:val="00030CAB"/>
    <w:rsid w:val="00030D05"/>
    <w:rsid w:val="00030D6F"/>
    <w:rsid w:val="00030E4C"/>
    <w:rsid w:val="00030EFF"/>
    <w:rsid w:val="00031164"/>
    <w:rsid w:val="000312ED"/>
    <w:rsid w:val="00031725"/>
    <w:rsid w:val="00031860"/>
    <w:rsid w:val="000318C2"/>
    <w:rsid w:val="0003194B"/>
    <w:rsid w:val="00031A89"/>
    <w:rsid w:val="00031BE5"/>
    <w:rsid w:val="00031C27"/>
    <w:rsid w:val="00031C85"/>
    <w:rsid w:val="00031D59"/>
    <w:rsid w:val="00031DBB"/>
    <w:rsid w:val="00031DF4"/>
    <w:rsid w:val="00031F26"/>
    <w:rsid w:val="00032042"/>
    <w:rsid w:val="0003209E"/>
    <w:rsid w:val="000320AC"/>
    <w:rsid w:val="00032112"/>
    <w:rsid w:val="00032132"/>
    <w:rsid w:val="000321E9"/>
    <w:rsid w:val="0003227E"/>
    <w:rsid w:val="00032334"/>
    <w:rsid w:val="00032372"/>
    <w:rsid w:val="00032398"/>
    <w:rsid w:val="00032456"/>
    <w:rsid w:val="00032556"/>
    <w:rsid w:val="00032706"/>
    <w:rsid w:val="00032782"/>
    <w:rsid w:val="000329A9"/>
    <w:rsid w:val="00032A21"/>
    <w:rsid w:val="00032ACA"/>
    <w:rsid w:val="00032AE8"/>
    <w:rsid w:val="00032C71"/>
    <w:rsid w:val="00032C75"/>
    <w:rsid w:val="00032CF4"/>
    <w:rsid w:val="00032F70"/>
    <w:rsid w:val="0003308E"/>
    <w:rsid w:val="0003310B"/>
    <w:rsid w:val="00033340"/>
    <w:rsid w:val="00033489"/>
    <w:rsid w:val="000334DD"/>
    <w:rsid w:val="000334ED"/>
    <w:rsid w:val="00033567"/>
    <w:rsid w:val="00033612"/>
    <w:rsid w:val="000336CB"/>
    <w:rsid w:val="000338D3"/>
    <w:rsid w:val="00033A79"/>
    <w:rsid w:val="00033BB0"/>
    <w:rsid w:val="00033E3F"/>
    <w:rsid w:val="00033EF5"/>
    <w:rsid w:val="00033F72"/>
    <w:rsid w:val="00033FB8"/>
    <w:rsid w:val="000340E4"/>
    <w:rsid w:val="000341C6"/>
    <w:rsid w:val="000342EA"/>
    <w:rsid w:val="0003435F"/>
    <w:rsid w:val="00034395"/>
    <w:rsid w:val="000345C8"/>
    <w:rsid w:val="00034608"/>
    <w:rsid w:val="0003467D"/>
    <w:rsid w:val="00034708"/>
    <w:rsid w:val="00034993"/>
    <w:rsid w:val="000349D4"/>
    <w:rsid w:val="000349F1"/>
    <w:rsid w:val="00034BC7"/>
    <w:rsid w:val="00034D22"/>
    <w:rsid w:val="00034D87"/>
    <w:rsid w:val="00034D9D"/>
    <w:rsid w:val="00034DA1"/>
    <w:rsid w:val="00034E96"/>
    <w:rsid w:val="00034F2E"/>
    <w:rsid w:val="0003502D"/>
    <w:rsid w:val="00035036"/>
    <w:rsid w:val="000350B2"/>
    <w:rsid w:val="000350D5"/>
    <w:rsid w:val="00035125"/>
    <w:rsid w:val="000351FD"/>
    <w:rsid w:val="000352F0"/>
    <w:rsid w:val="00035440"/>
    <w:rsid w:val="0003553D"/>
    <w:rsid w:val="00035585"/>
    <w:rsid w:val="00035870"/>
    <w:rsid w:val="000358EE"/>
    <w:rsid w:val="0003596B"/>
    <w:rsid w:val="00035BDE"/>
    <w:rsid w:val="00035BED"/>
    <w:rsid w:val="00035F1C"/>
    <w:rsid w:val="00035F53"/>
    <w:rsid w:val="00036023"/>
    <w:rsid w:val="000361AD"/>
    <w:rsid w:val="0003622C"/>
    <w:rsid w:val="00036308"/>
    <w:rsid w:val="000364AB"/>
    <w:rsid w:val="00036626"/>
    <w:rsid w:val="0003672B"/>
    <w:rsid w:val="00036768"/>
    <w:rsid w:val="000367CD"/>
    <w:rsid w:val="0003680D"/>
    <w:rsid w:val="00036879"/>
    <w:rsid w:val="000368AB"/>
    <w:rsid w:val="00036959"/>
    <w:rsid w:val="00036A89"/>
    <w:rsid w:val="00036C28"/>
    <w:rsid w:val="00036DC5"/>
    <w:rsid w:val="00036DFF"/>
    <w:rsid w:val="00036E5D"/>
    <w:rsid w:val="00036EFD"/>
    <w:rsid w:val="00037083"/>
    <w:rsid w:val="00037095"/>
    <w:rsid w:val="0003709C"/>
    <w:rsid w:val="0003742C"/>
    <w:rsid w:val="0003745D"/>
    <w:rsid w:val="0003747E"/>
    <w:rsid w:val="00037558"/>
    <w:rsid w:val="000375D8"/>
    <w:rsid w:val="00037673"/>
    <w:rsid w:val="000376E7"/>
    <w:rsid w:val="0003779F"/>
    <w:rsid w:val="000378F5"/>
    <w:rsid w:val="00037908"/>
    <w:rsid w:val="00037991"/>
    <w:rsid w:val="000379D2"/>
    <w:rsid w:val="000379D3"/>
    <w:rsid w:val="00037A38"/>
    <w:rsid w:val="00037A82"/>
    <w:rsid w:val="00037C0A"/>
    <w:rsid w:val="00037EEB"/>
    <w:rsid w:val="00040043"/>
    <w:rsid w:val="000400F1"/>
    <w:rsid w:val="00040134"/>
    <w:rsid w:val="0004035E"/>
    <w:rsid w:val="00040399"/>
    <w:rsid w:val="0004049C"/>
    <w:rsid w:val="00040680"/>
    <w:rsid w:val="000406A1"/>
    <w:rsid w:val="00040736"/>
    <w:rsid w:val="00040793"/>
    <w:rsid w:val="000408E2"/>
    <w:rsid w:val="000409BA"/>
    <w:rsid w:val="00040A0D"/>
    <w:rsid w:val="00040A43"/>
    <w:rsid w:val="00040A9D"/>
    <w:rsid w:val="00040B2A"/>
    <w:rsid w:val="00040B3A"/>
    <w:rsid w:val="00040C77"/>
    <w:rsid w:val="00040E4F"/>
    <w:rsid w:val="00040E78"/>
    <w:rsid w:val="00040E83"/>
    <w:rsid w:val="00041100"/>
    <w:rsid w:val="00041132"/>
    <w:rsid w:val="00041528"/>
    <w:rsid w:val="0004162A"/>
    <w:rsid w:val="0004162D"/>
    <w:rsid w:val="0004190B"/>
    <w:rsid w:val="000419EE"/>
    <w:rsid w:val="00041A57"/>
    <w:rsid w:val="00041AFB"/>
    <w:rsid w:val="00041B3E"/>
    <w:rsid w:val="00041C00"/>
    <w:rsid w:val="00041E06"/>
    <w:rsid w:val="00041F3A"/>
    <w:rsid w:val="00041FC8"/>
    <w:rsid w:val="00042017"/>
    <w:rsid w:val="000421F6"/>
    <w:rsid w:val="000423BF"/>
    <w:rsid w:val="0004274D"/>
    <w:rsid w:val="00042A14"/>
    <w:rsid w:val="00042A62"/>
    <w:rsid w:val="00042B4C"/>
    <w:rsid w:val="00042B7D"/>
    <w:rsid w:val="00042B7E"/>
    <w:rsid w:val="00042D24"/>
    <w:rsid w:val="00042EC7"/>
    <w:rsid w:val="00042F59"/>
    <w:rsid w:val="00042F61"/>
    <w:rsid w:val="00043131"/>
    <w:rsid w:val="00043190"/>
    <w:rsid w:val="00043262"/>
    <w:rsid w:val="00043348"/>
    <w:rsid w:val="00043662"/>
    <w:rsid w:val="000436A6"/>
    <w:rsid w:val="000438D0"/>
    <w:rsid w:val="000438D5"/>
    <w:rsid w:val="00043BA4"/>
    <w:rsid w:val="00043C13"/>
    <w:rsid w:val="00043C84"/>
    <w:rsid w:val="00043CC2"/>
    <w:rsid w:val="00043CCA"/>
    <w:rsid w:val="00043D93"/>
    <w:rsid w:val="00043DC1"/>
    <w:rsid w:val="00043E26"/>
    <w:rsid w:val="00043F7B"/>
    <w:rsid w:val="00044015"/>
    <w:rsid w:val="0004401F"/>
    <w:rsid w:val="00044036"/>
    <w:rsid w:val="000441F7"/>
    <w:rsid w:val="000441F9"/>
    <w:rsid w:val="00044297"/>
    <w:rsid w:val="000444F0"/>
    <w:rsid w:val="0004464B"/>
    <w:rsid w:val="0004465A"/>
    <w:rsid w:val="0004475D"/>
    <w:rsid w:val="0004483F"/>
    <w:rsid w:val="000448C4"/>
    <w:rsid w:val="000448D4"/>
    <w:rsid w:val="000449DC"/>
    <w:rsid w:val="00044A2F"/>
    <w:rsid w:val="00044AB8"/>
    <w:rsid w:val="00044D10"/>
    <w:rsid w:val="00044DAC"/>
    <w:rsid w:val="00044DBE"/>
    <w:rsid w:val="00044E1A"/>
    <w:rsid w:val="00044E4D"/>
    <w:rsid w:val="000452C7"/>
    <w:rsid w:val="0004537C"/>
    <w:rsid w:val="0004549D"/>
    <w:rsid w:val="0004550C"/>
    <w:rsid w:val="0004559D"/>
    <w:rsid w:val="00045672"/>
    <w:rsid w:val="00045709"/>
    <w:rsid w:val="00045745"/>
    <w:rsid w:val="00045852"/>
    <w:rsid w:val="0004595B"/>
    <w:rsid w:val="00045AB8"/>
    <w:rsid w:val="00045B7B"/>
    <w:rsid w:val="00045C3F"/>
    <w:rsid w:val="00045D91"/>
    <w:rsid w:val="00045E1C"/>
    <w:rsid w:val="00045EE6"/>
    <w:rsid w:val="00046042"/>
    <w:rsid w:val="0004618B"/>
    <w:rsid w:val="0004632C"/>
    <w:rsid w:val="000463B6"/>
    <w:rsid w:val="0004641D"/>
    <w:rsid w:val="0004647C"/>
    <w:rsid w:val="00046497"/>
    <w:rsid w:val="0004657A"/>
    <w:rsid w:val="00046619"/>
    <w:rsid w:val="00046710"/>
    <w:rsid w:val="00046A31"/>
    <w:rsid w:val="00046A52"/>
    <w:rsid w:val="00046B61"/>
    <w:rsid w:val="00046C9E"/>
    <w:rsid w:val="00046CB4"/>
    <w:rsid w:val="00046D4A"/>
    <w:rsid w:val="00046DDF"/>
    <w:rsid w:val="00046E31"/>
    <w:rsid w:val="00046EBC"/>
    <w:rsid w:val="00046EF9"/>
    <w:rsid w:val="00047060"/>
    <w:rsid w:val="00047100"/>
    <w:rsid w:val="0004722D"/>
    <w:rsid w:val="0004724F"/>
    <w:rsid w:val="00047301"/>
    <w:rsid w:val="00047563"/>
    <w:rsid w:val="0004757A"/>
    <w:rsid w:val="000475DE"/>
    <w:rsid w:val="000475F3"/>
    <w:rsid w:val="000475F7"/>
    <w:rsid w:val="000475FE"/>
    <w:rsid w:val="0004760E"/>
    <w:rsid w:val="00047657"/>
    <w:rsid w:val="000476FC"/>
    <w:rsid w:val="0004777C"/>
    <w:rsid w:val="000478D0"/>
    <w:rsid w:val="000479AA"/>
    <w:rsid w:val="00047A61"/>
    <w:rsid w:val="00047E3E"/>
    <w:rsid w:val="00047F04"/>
    <w:rsid w:val="00047FC6"/>
    <w:rsid w:val="00047FDF"/>
    <w:rsid w:val="00050003"/>
    <w:rsid w:val="0005005A"/>
    <w:rsid w:val="0005006A"/>
    <w:rsid w:val="00050340"/>
    <w:rsid w:val="0005034D"/>
    <w:rsid w:val="0005044D"/>
    <w:rsid w:val="0005054F"/>
    <w:rsid w:val="00050564"/>
    <w:rsid w:val="000505D0"/>
    <w:rsid w:val="00050690"/>
    <w:rsid w:val="000508F9"/>
    <w:rsid w:val="00050A54"/>
    <w:rsid w:val="00050C02"/>
    <w:rsid w:val="00050C17"/>
    <w:rsid w:val="00050D53"/>
    <w:rsid w:val="00050DB0"/>
    <w:rsid w:val="00050E38"/>
    <w:rsid w:val="00050E72"/>
    <w:rsid w:val="00050FB3"/>
    <w:rsid w:val="000510A4"/>
    <w:rsid w:val="000510D8"/>
    <w:rsid w:val="000511AB"/>
    <w:rsid w:val="000511FB"/>
    <w:rsid w:val="00051238"/>
    <w:rsid w:val="0005123F"/>
    <w:rsid w:val="0005136F"/>
    <w:rsid w:val="0005138B"/>
    <w:rsid w:val="000513F9"/>
    <w:rsid w:val="00051476"/>
    <w:rsid w:val="00051618"/>
    <w:rsid w:val="000516EB"/>
    <w:rsid w:val="00051726"/>
    <w:rsid w:val="00051776"/>
    <w:rsid w:val="0005179C"/>
    <w:rsid w:val="00051838"/>
    <w:rsid w:val="000518F3"/>
    <w:rsid w:val="0005198B"/>
    <w:rsid w:val="00051B14"/>
    <w:rsid w:val="00051B9C"/>
    <w:rsid w:val="00051B9F"/>
    <w:rsid w:val="00051D23"/>
    <w:rsid w:val="00051DD7"/>
    <w:rsid w:val="00051EAE"/>
    <w:rsid w:val="00051F5E"/>
    <w:rsid w:val="00051FEC"/>
    <w:rsid w:val="000522B7"/>
    <w:rsid w:val="000522C0"/>
    <w:rsid w:val="000522C6"/>
    <w:rsid w:val="000523DA"/>
    <w:rsid w:val="00052558"/>
    <w:rsid w:val="0005279B"/>
    <w:rsid w:val="00052C2A"/>
    <w:rsid w:val="00052C3B"/>
    <w:rsid w:val="00052E52"/>
    <w:rsid w:val="00052F0B"/>
    <w:rsid w:val="00052FB9"/>
    <w:rsid w:val="0005309B"/>
    <w:rsid w:val="00053148"/>
    <w:rsid w:val="0005321D"/>
    <w:rsid w:val="0005334D"/>
    <w:rsid w:val="000533D7"/>
    <w:rsid w:val="000534A4"/>
    <w:rsid w:val="000534C5"/>
    <w:rsid w:val="000534C6"/>
    <w:rsid w:val="00053508"/>
    <w:rsid w:val="00053534"/>
    <w:rsid w:val="000536BE"/>
    <w:rsid w:val="000536DB"/>
    <w:rsid w:val="00053717"/>
    <w:rsid w:val="000538ED"/>
    <w:rsid w:val="00053926"/>
    <w:rsid w:val="00053BE5"/>
    <w:rsid w:val="00053ECC"/>
    <w:rsid w:val="00053FD8"/>
    <w:rsid w:val="00054284"/>
    <w:rsid w:val="000542D3"/>
    <w:rsid w:val="00054457"/>
    <w:rsid w:val="000544A5"/>
    <w:rsid w:val="00054527"/>
    <w:rsid w:val="0005457D"/>
    <w:rsid w:val="000545C1"/>
    <w:rsid w:val="000546EF"/>
    <w:rsid w:val="00054721"/>
    <w:rsid w:val="00054A76"/>
    <w:rsid w:val="00054BAE"/>
    <w:rsid w:val="00054E31"/>
    <w:rsid w:val="00054ECB"/>
    <w:rsid w:val="000550DB"/>
    <w:rsid w:val="000550EA"/>
    <w:rsid w:val="000551ED"/>
    <w:rsid w:val="00055284"/>
    <w:rsid w:val="00055288"/>
    <w:rsid w:val="0005533C"/>
    <w:rsid w:val="000553C3"/>
    <w:rsid w:val="0005571E"/>
    <w:rsid w:val="00055809"/>
    <w:rsid w:val="00055907"/>
    <w:rsid w:val="00055996"/>
    <w:rsid w:val="00055A1A"/>
    <w:rsid w:val="00055B87"/>
    <w:rsid w:val="00055E37"/>
    <w:rsid w:val="00055E54"/>
    <w:rsid w:val="00055E96"/>
    <w:rsid w:val="00055FE3"/>
    <w:rsid w:val="0005603F"/>
    <w:rsid w:val="000560FB"/>
    <w:rsid w:val="00056154"/>
    <w:rsid w:val="000562DC"/>
    <w:rsid w:val="00056351"/>
    <w:rsid w:val="00056422"/>
    <w:rsid w:val="00056631"/>
    <w:rsid w:val="00056706"/>
    <w:rsid w:val="0005676F"/>
    <w:rsid w:val="00056779"/>
    <w:rsid w:val="000567C9"/>
    <w:rsid w:val="00056880"/>
    <w:rsid w:val="0005692D"/>
    <w:rsid w:val="00056C02"/>
    <w:rsid w:val="00056C41"/>
    <w:rsid w:val="00056D40"/>
    <w:rsid w:val="00056FE5"/>
    <w:rsid w:val="00057091"/>
    <w:rsid w:val="000571AF"/>
    <w:rsid w:val="000572D0"/>
    <w:rsid w:val="0005731B"/>
    <w:rsid w:val="00057327"/>
    <w:rsid w:val="000573BB"/>
    <w:rsid w:val="000573EA"/>
    <w:rsid w:val="000574C2"/>
    <w:rsid w:val="00057501"/>
    <w:rsid w:val="00057549"/>
    <w:rsid w:val="00057615"/>
    <w:rsid w:val="00057694"/>
    <w:rsid w:val="00057782"/>
    <w:rsid w:val="00057864"/>
    <w:rsid w:val="00057869"/>
    <w:rsid w:val="00057886"/>
    <w:rsid w:val="00057887"/>
    <w:rsid w:val="000579A8"/>
    <w:rsid w:val="000579AC"/>
    <w:rsid w:val="00057AAF"/>
    <w:rsid w:val="00057ACE"/>
    <w:rsid w:val="00057AFE"/>
    <w:rsid w:val="00057B32"/>
    <w:rsid w:val="00057B50"/>
    <w:rsid w:val="00057C37"/>
    <w:rsid w:val="00057C9B"/>
    <w:rsid w:val="00057EFB"/>
    <w:rsid w:val="00057F34"/>
    <w:rsid w:val="0006013F"/>
    <w:rsid w:val="0006023C"/>
    <w:rsid w:val="00060337"/>
    <w:rsid w:val="000603BB"/>
    <w:rsid w:val="0006045F"/>
    <w:rsid w:val="00060466"/>
    <w:rsid w:val="000604C5"/>
    <w:rsid w:val="00060548"/>
    <w:rsid w:val="000605B9"/>
    <w:rsid w:val="00060807"/>
    <w:rsid w:val="000608E5"/>
    <w:rsid w:val="000609DF"/>
    <w:rsid w:val="00060A64"/>
    <w:rsid w:val="00060B23"/>
    <w:rsid w:val="00060B9D"/>
    <w:rsid w:val="00060CBA"/>
    <w:rsid w:val="00060CC9"/>
    <w:rsid w:val="00060DCD"/>
    <w:rsid w:val="00060EA0"/>
    <w:rsid w:val="00060EBD"/>
    <w:rsid w:val="00061044"/>
    <w:rsid w:val="000610F8"/>
    <w:rsid w:val="0006122D"/>
    <w:rsid w:val="00061256"/>
    <w:rsid w:val="000614A9"/>
    <w:rsid w:val="00061635"/>
    <w:rsid w:val="000617B6"/>
    <w:rsid w:val="000618D1"/>
    <w:rsid w:val="000619BB"/>
    <w:rsid w:val="00061A89"/>
    <w:rsid w:val="00061AB8"/>
    <w:rsid w:val="00061BB0"/>
    <w:rsid w:val="00061EB8"/>
    <w:rsid w:val="00061ECB"/>
    <w:rsid w:val="00061F37"/>
    <w:rsid w:val="00062132"/>
    <w:rsid w:val="000621ED"/>
    <w:rsid w:val="0006225F"/>
    <w:rsid w:val="0006240D"/>
    <w:rsid w:val="000624CB"/>
    <w:rsid w:val="000624E4"/>
    <w:rsid w:val="00062574"/>
    <w:rsid w:val="0006261C"/>
    <w:rsid w:val="00062670"/>
    <w:rsid w:val="000626A8"/>
    <w:rsid w:val="000626FF"/>
    <w:rsid w:val="00062782"/>
    <w:rsid w:val="000627E0"/>
    <w:rsid w:val="00062F3E"/>
    <w:rsid w:val="0006303E"/>
    <w:rsid w:val="0006311C"/>
    <w:rsid w:val="00063144"/>
    <w:rsid w:val="0006321F"/>
    <w:rsid w:val="00063266"/>
    <w:rsid w:val="000633AD"/>
    <w:rsid w:val="000633E9"/>
    <w:rsid w:val="00063451"/>
    <w:rsid w:val="00063468"/>
    <w:rsid w:val="000634B0"/>
    <w:rsid w:val="00063538"/>
    <w:rsid w:val="00063588"/>
    <w:rsid w:val="0006358E"/>
    <w:rsid w:val="000636EB"/>
    <w:rsid w:val="000638EC"/>
    <w:rsid w:val="000638FA"/>
    <w:rsid w:val="00063916"/>
    <w:rsid w:val="00063981"/>
    <w:rsid w:val="00063BA5"/>
    <w:rsid w:val="00063CBC"/>
    <w:rsid w:val="00063DE2"/>
    <w:rsid w:val="00063E1A"/>
    <w:rsid w:val="00063F5B"/>
    <w:rsid w:val="00064035"/>
    <w:rsid w:val="00064250"/>
    <w:rsid w:val="00064288"/>
    <w:rsid w:val="000643C8"/>
    <w:rsid w:val="000643DD"/>
    <w:rsid w:val="0006440B"/>
    <w:rsid w:val="000644B4"/>
    <w:rsid w:val="00064502"/>
    <w:rsid w:val="000648D8"/>
    <w:rsid w:val="00064975"/>
    <w:rsid w:val="00064987"/>
    <w:rsid w:val="00064AC8"/>
    <w:rsid w:val="00064D15"/>
    <w:rsid w:val="00064E39"/>
    <w:rsid w:val="00064E48"/>
    <w:rsid w:val="00064EDF"/>
    <w:rsid w:val="00064F66"/>
    <w:rsid w:val="00064FBF"/>
    <w:rsid w:val="000650F3"/>
    <w:rsid w:val="0006542B"/>
    <w:rsid w:val="0006542D"/>
    <w:rsid w:val="0006547B"/>
    <w:rsid w:val="000654A9"/>
    <w:rsid w:val="00065560"/>
    <w:rsid w:val="00065713"/>
    <w:rsid w:val="0006584B"/>
    <w:rsid w:val="00065968"/>
    <w:rsid w:val="00065A7F"/>
    <w:rsid w:val="00065AA8"/>
    <w:rsid w:val="00065BFF"/>
    <w:rsid w:val="00065D14"/>
    <w:rsid w:val="00065E48"/>
    <w:rsid w:val="00065E86"/>
    <w:rsid w:val="00065EE2"/>
    <w:rsid w:val="00066033"/>
    <w:rsid w:val="0006606F"/>
    <w:rsid w:val="00066158"/>
    <w:rsid w:val="000661B0"/>
    <w:rsid w:val="00066307"/>
    <w:rsid w:val="00066365"/>
    <w:rsid w:val="000663C1"/>
    <w:rsid w:val="00066466"/>
    <w:rsid w:val="0006673C"/>
    <w:rsid w:val="00066BC5"/>
    <w:rsid w:val="00066BC7"/>
    <w:rsid w:val="00066C8B"/>
    <w:rsid w:val="00066CAA"/>
    <w:rsid w:val="00066D21"/>
    <w:rsid w:val="00066FC1"/>
    <w:rsid w:val="000670CA"/>
    <w:rsid w:val="00067324"/>
    <w:rsid w:val="000673EA"/>
    <w:rsid w:val="00067466"/>
    <w:rsid w:val="000674A7"/>
    <w:rsid w:val="00067593"/>
    <w:rsid w:val="000675D1"/>
    <w:rsid w:val="0006766B"/>
    <w:rsid w:val="0006769F"/>
    <w:rsid w:val="00067774"/>
    <w:rsid w:val="00067820"/>
    <w:rsid w:val="000678A4"/>
    <w:rsid w:val="000679B6"/>
    <w:rsid w:val="00067AC6"/>
    <w:rsid w:val="00067B85"/>
    <w:rsid w:val="00067B8E"/>
    <w:rsid w:val="00067C3F"/>
    <w:rsid w:val="00067CDF"/>
    <w:rsid w:val="00067D2D"/>
    <w:rsid w:val="00067DB3"/>
    <w:rsid w:val="00067DD4"/>
    <w:rsid w:val="00067F3F"/>
    <w:rsid w:val="00067FED"/>
    <w:rsid w:val="000700BF"/>
    <w:rsid w:val="00070310"/>
    <w:rsid w:val="000703AF"/>
    <w:rsid w:val="00070475"/>
    <w:rsid w:val="000704C1"/>
    <w:rsid w:val="000705C3"/>
    <w:rsid w:val="0007077A"/>
    <w:rsid w:val="00070787"/>
    <w:rsid w:val="00070961"/>
    <w:rsid w:val="000709FA"/>
    <w:rsid w:val="00070A60"/>
    <w:rsid w:val="00070A79"/>
    <w:rsid w:val="00070C5E"/>
    <w:rsid w:val="00070C92"/>
    <w:rsid w:val="00070CBE"/>
    <w:rsid w:val="00070E84"/>
    <w:rsid w:val="00070EFA"/>
    <w:rsid w:val="00070F3A"/>
    <w:rsid w:val="000711F3"/>
    <w:rsid w:val="00071298"/>
    <w:rsid w:val="0007129E"/>
    <w:rsid w:val="000712C5"/>
    <w:rsid w:val="000712E6"/>
    <w:rsid w:val="000713A5"/>
    <w:rsid w:val="0007143C"/>
    <w:rsid w:val="00071481"/>
    <w:rsid w:val="000716E5"/>
    <w:rsid w:val="00071766"/>
    <w:rsid w:val="00071876"/>
    <w:rsid w:val="0007188C"/>
    <w:rsid w:val="000718CD"/>
    <w:rsid w:val="00071921"/>
    <w:rsid w:val="0007198D"/>
    <w:rsid w:val="00071A26"/>
    <w:rsid w:val="00071B09"/>
    <w:rsid w:val="00071B4A"/>
    <w:rsid w:val="00071C4D"/>
    <w:rsid w:val="00071D41"/>
    <w:rsid w:val="00071D44"/>
    <w:rsid w:val="00071DD4"/>
    <w:rsid w:val="00071E28"/>
    <w:rsid w:val="00071FE4"/>
    <w:rsid w:val="0007202C"/>
    <w:rsid w:val="00072127"/>
    <w:rsid w:val="00072231"/>
    <w:rsid w:val="00072252"/>
    <w:rsid w:val="0007228C"/>
    <w:rsid w:val="00072337"/>
    <w:rsid w:val="0007236B"/>
    <w:rsid w:val="000724F5"/>
    <w:rsid w:val="0007253F"/>
    <w:rsid w:val="00072581"/>
    <w:rsid w:val="000725FD"/>
    <w:rsid w:val="00072834"/>
    <w:rsid w:val="00072A9D"/>
    <w:rsid w:val="00072AEE"/>
    <w:rsid w:val="00072D07"/>
    <w:rsid w:val="00072DF1"/>
    <w:rsid w:val="00072F68"/>
    <w:rsid w:val="00072F85"/>
    <w:rsid w:val="00072FB2"/>
    <w:rsid w:val="00073077"/>
    <w:rsid w:val="00073082"/>
    <w:rsid w:val="0007319E"/>
    <w:rsid w:val="00073346"/>
    <w:rsid w:val="00073406"/>
    <w:rsid w:val="000734F6"/>
    <w:rsid w:val="00073521"/>
    <w:rsid w:val="0007354D"/>
    <w:rsid w:val="00073678"/>
    <w:rsid w:val="000736AA"/>
    <w:rsid w:val="000736E2"/>
    <w:rsid w:val="00073745"/>
    <w:rsid w:val="00073825"/>
    <w:rsid w:val="000738BD"/>
    <w:rsid w:val="00073B0E"/>
    <w:rsid w:val="00073B2C"/>
    <w:rsid w:val="00073B84"/>
    <w:rsid w:val="00073C07"/>
    <w:rsid w:val="00073CC9"/>
    <w:rsid w:val="00073FBE"/>
    <w:rsid w:val="00073FC7"/>
    <w:rsid w:val="00073FE6"/>
    <w:rsid w:val="00074094"/>
    <w:rsid w:val="000741CB"/>
    <w:rsid w:val="000742A2"/>
    <w:rsid w:val="000742A9"/>
    <w:rsid w:val="0007432F"/>
    <w:rsid w:val="000744C3"/>
    <w:rsid w:val="0007467C"/>
    <w:rsid w:val="0007485A"/>
    <w:rsid w:val="00074BEB"/>
    <w:rsid w:val="00074C10"/>
    <w:rsid w:val="00074C12"/>
    <w:rsid w:val="00074D11"/>
    <w:rsid w:val="00074D9B"/>
    <w:rsid w:val="00074DB6"/>
    <w:rsid w:val="00074FB4"/>
    <w:rsid w:val="00074FF5"/>
    <w:rsid w:val="00075233"/>
    <w:rsid w:val="00075294"/>
    <w:rsid w:val="000752A0"/>
    <w:rsid w:val="0007535D"/>
    <w:rsid w:val="0007549A"/>
    <w:rsid w:val="00075503"/>
    <w:rsid w:val="00075749"/>
    <w:rsid w:val="0007593D"/>
    <w:rsid w:val="00075A66"/>
    <w:rsid w:val="00075AAB"/>
    <w:rsid w:val="00075ABA"/>
    <w:rsid w:val="00075BA3"/>
    <w:rsid w:val="00075EBE"/>
    <w:rsid w:val="00075F12"/>
    <w:rsid w:val="0007607B"/>
    <w:rsid w:val="0007609D"/>
    <w:rsid w:val="00076173"/>
    <w:rsid w:val="000763C6"/>
    <w:rsid w:val="000763F7"/>
    <w:rsid w:val="0007648D"/>
    <w:rsid w:val="0007650A"/>
    <w:rsid w:val="0007664B"/>
    <w:rsid w:val="0007667F"/>
    <w:rsid w:val="00076738"/>
    <w:rsid w:val="00076797"/>
    <w:rsid w:val="000767EC"/>
    <w:rsid w:val="00076844"/>
    <w:rsid w:val="0007689E"/>
    <w:rsid w:val="00076943"/>
    <w:rsid w:val="00076962"/>
    <w:rsid w:val="00076A73"/>
    <w:rsid w:val="00076AA5"/>
    <w:rsid w:val="00076F41"/>
    <w:rsid w:val="00077329"/>
    <w:rsid w:val="0007751A"/>
    <w:rsid w:val="00077522"/>
    <w:rsid w:val="00077557"/>
    <w:rsid w:val="000775DE"/>
    <w:rsid w:val="0007768F"/>
    <w:rsid w:val="0007777A"/>
    <w:rsid w:val="000777D5"/>
    <w:rsid w:val="000778E7"/>
    <w:rsid w:val="00077917"/>
    <w:rsid w:val="000779A1"/>
    <w:rsid w:val="00077A2B"/>
    <w:rsid w:val="00077B13"/>
    <w:rsid w:val="00077B1A"/>
    <w:rsid w:val="00077B61"/>
    <w:rsid w:val="00077B90"/>
    <w:rsid w:val="00077C32"/>
    <w:rsid w:val="00077CB7"/>
    <w:rsid w:val="00077CC9"/>
    <w:rsid w:val="00077D80"/>
    <w:rsid w:val="00077D9D"/>
    <w:rsid w:val="00077F7D"/>
    <w:rsid w:val="00080050"/>
    <w:rsid w:val="0008013D"/>
    <w:rsid w:val="0008030D"/>
    <w:rsid w:val="0008039F"/>
    <w:rsid w:val="00080439"/>
    <w:rsid w:val="000804C8"/>
    <w:rsid w:val="00080504"/>
    <w:rsid w:val="000805AB"/>
    <w:rsid w:val="000805D7"/>
    <w:rsid w:val="000809F2"/>
    <w:rsid w:val="00080AB1"/>
    <w:rsid w:val="00080B29"/>
    <w:rsid w:val="00080CA1"/>
    <w:rsid w:val="00080DF2"/>
    <w:rsid w:val="00080F29"/>
    <w:rsid w:val="0008112C"/>
    <w:rsid w:val="000812F8"/>
    <w:rsid w:val="000813D0"/>
    <w:rsid w:val="0008140E"/>
    <w:rsid w:val="000814C4"/>
    <w:rsid w:val="000816D8"/>
    <w:rsid w:val="00081739"/>
    <w:rsid w:val="00081752"/>
    <w:rsid w:val="00081762"/>
    <w:rsid w:val="00081C36"/>
    <w:rsid w:val="00081C6D"/>
    <w:rsid w:val="00081D9C"/>
    <w:rsid w:val="00081E92"/>
    <w:rsid w:val="0008204D"/>
    <w:rsid w:val="00082157"/>
    <w:rsid w:val="000821AC"/>
    <w:rsid w:val="000821B2"/>
    <w:rsid w:val="000822CD"/>
    <w:rsid w:val="000823EB"/>
    <w:rsid w:val="000824A4"/>
    <w:rsid w:val="000824BC"/>
    <w:rsid w:val="000825AA"/>
    <w:rsid w:val="00082675"/>
    <w:rsid w:val="00082703"/>
    <w:rsid w:val="00082737"/>
    <w:rsid w:val="0008274D"/>
    <w:rsid w:val="000827D5"/>
    <w:rsid w:val="000828DF"/>
    <w:rsid w:val="00082A7B"/>
    <w:rsid w:val="00082A98"/>
    <w:rsid w:val="00082A99"/>
    <w:rsid w:val="00082D20"/>
    <w:rsid w:val="00082DC7"/>
    <w:rsid w:val="00082DDC"/>
    <w:rsid w:val="000830FB"/>
    <w:rsid w:val="000831A2"/>
    <w:rsid w:val="000831C9"/>
    <w:rsid w:val="00083415"/>
    <w:rsid w:val="000834FE"/>
    <w:rsid w:val="00083614"/>
    <w:rsid w:val="00083643"/>
    <w:rsid w:val="0008377B"/>
    <w:rsid w:val="000838FA"/>
    <w:rsid w:val="00083953"/>
    <w:rsid w:val="000839C8"/>
    <w:rsid w:val="000839E1"/>
    <w:rsid w:val="00083A00"/>
    <w:rsid w:val="00083A6A"/>
    <w:rsid w:val="00083A99"/>
    <w:rsid w:val="00083BDD"/>
    <w:rsid w:val="00083C02"/>
    <w:rsid w:val="000840AB"/>
    <w:rsid w:val="0008419B"/>
    <w:rsid w:val="00084255"/>
    <w:rsid w:val="0008433D"/>
    <w:rsid w:val="000845AE"/>
    <w:rsid w:val="0008462C"/>
    <w:rsid w:val="00084712"/>
    <w:rsid w:val="0008474E"/>
    <w:rsid w:val="000849BA"/>
    <w:rsid w:val="00084D12"/>
    <w:rsid w:val="00084DE2"/>
    <w:rsid w:val="00084DE5"/>
    <w:rsid w:val="00084DE7"/>
    <w:rsid w:val="00084E45"/>
    <w:rsid w:val="00084E55"/>
    <w:rsid w:val="00084F93"/>
    <w:rsid w:val="00085049"/>
    <w:rsid w:val="000850A8"/>
    <w:rsid w:val="000852E9"/>
    <w:rsid w:val="00085328"/>
    <w:rsid w:val="00085586"/>
    <w:rsid w:val="000856A6"/>
    <w:rsid w:val="000856B0"/>
    <w:rsid w:val="00085822"/>
    <w:rsid w:val="000859FB"/>
    <w:rsid w:val="00085BF2"/>
    <w:rsid w:val="00085CAE"/>
    <w:rsid w:val="00085CBD"/>
    <w:rsid w:val="00085FF8"/>
    <w:rsid w:val="00086065"/>
    <w:rsid w:val="0008613E"/>
    <w:rsid w:val="000861C9"/>
    <w:rsid w:val="0008626F"/>
    <w:rsid w:val="000863C3"/>
    <w:rsid w:val="00086635"/>
    <w:rsid w:val="00086761"/>
    <w:rsid w:val="000867A4"/>
    <w:rsid w:val="000867F2"/>
    <w:rsid w:val="000867FC"/>
    <w:rsid w:val="000868B2"/>
    <w:rsid w:val="00086938"/>
    <w:rsid w:val="00086982"/>
    <w:rsid w:val="00086AE1"/>
    <w:rsid w:val="00086B15"/>
    <w:rsid w:val="00086B33"/>
    <w:rsid w:val="00086BBE"/>
    <w:rsid w:val="00086C7A"/>
    <w:rsid w:val="00086CF6"/>
    <w:rsid w:val="00086DB3"/>
    <w:rsid w:val="00086E63"/>
    <w:rsid w:val="00086E96"/>
    <w:rsid w:val="00086F30"/>
    <w:rsid w:val="00086F4B"/>
    <w:rsid w:val="00086FC7"/>
    <w:rsid w:val="00086FDD"/>
    <w:rsid w:val="00087169"/>
    <w:rsid w:val="00087284"/>
    <w:rsid w:val="000872CC"/>
    <w:rsid w:val="00087317"/>
    <w:rsid w:val="0008734E"/>
    <w:rsid w:val="0008745D"/>
    <w:rsid w:val="000875D6"/>
    <w:rsid w:val="0008762A"/>
    <w:rsid w:val="00087706"/>
    <w:rsid w:val="000877E7"/>
    <w:rsid w:val="000879F0"/>
    <w:rsid w:val="00087A48"/>
    <w:rsid w:val="00087A64"/>
    <w:rsid w:val="00087C16"/>
    <w:rsid w:val="00087DB2"/>
    <w:rsid w:val="00087E04"/>
    <w:rsid w:val="00087E4A"/>
    <w:rsid w:val="00087E9A"/>
    <w:rsid w:val="00087EFE"/>
    <w:rsid w:val="00087F02"/>
    <w:rsid w:val="00087F59"/>
    <w:rsid w:val="00087FAF"/>
    <w:rsid w:val="00087FC8"/>
    <w:rsid w:val="00087FE3"/>
    <w:rsid w:val="000901C3"/>
    <w:rsid w:val="000901CC"/>
    <w:rsid w:val="000902E2"/>
    <w:rsid w:val="0009043B"/>
    <w:rsid w:val="000906A8"/>
    <w:rsid w:val="000907C3"/>
    <w:rsid w:val="0009084B"/>
    <w:rsid w:val="000909FB"/>
    <w:rsid w:val="00090A45"/>
    <w:rsid w:val="00090B19"/>
    <w:rsid w:val="00090F5C"/>
    <w:rsid w:val="00090F9B"/>
    <w:rsid w:val="0009101D"/>
    <w:rsid w:val="000910A5"/>
    <w:rsid w:val="0009123B"/>
    <w:rsid w:val="000913B8"/>
    <w:rsid w:val="00091481"/>
    <w:rsid w:val="000915AD"/>
    <w:rsid w:val="000915E0"/>
    <w:rsid w:val="000916CB"/>
    <w:rsid w:val="00091722"/>
    <w:rsid w:val="0009181F"/>
    <w:rsid w:val="0009187A"/>
    <w:rsid w:val="00091957"/>
    <w:rsid w:val="00091977"/>
    <w:rsid w:val="00091A58"/>
    <w:rsid w:val="00091A74"/>
    <w:rsid w:val="00091C2C"/>
    <w:rsid w:val="00091E40"/>
    <w:rsid w:val="00091E8F"/>
    <w:rsid w:val="00091EAD"/>
    <w:rsid w:val="00091F03"/>
    <w:rsid w:val="00091FBF"/>
    <w:rsid w:val="000920A6"/>
    <w:rsid w:val="000920C3"/>
    <w:rsid w:val="0009222F"/>
    <w:rsid w:val="000922E6"/>
    <w:rsid w:val="00092381"/>
    <w:rsid w:val="00092387"/>
    <w:rsid w:val="00092701"/>
    <w:rsid w:val="00092758"/>
    <w:rsid w:val="00092847"/>
    <w:rsid w:val="0009284A"/>
    <w:rsid w:val="000928B7"/>
    <w:rsid w:val="000929C5"/>
    <w:rsid w:val="00092B4C"/>
    <w:rsid w:val="00092B99"/>
    <w:rsid w:val="00092BD4"/>
    <w:rsid w:val="00092C62"/>
    <w:rsid w:val="00092E19"/>
    <w:rsid w:val="00092E5E"/>
    <w:rsid w:val="00092EA5"/>
    <w:rsid w:val="00092F03"/>
    <w:rsid w:val="00092FCF"/>
    <w:rsid w:val="00093081"/>
    <w:rsid w:val="000930B2"/>
    <w:rsid w:val="0009322A"/>
    <w:rsid w:val="000932CB"/>
    <w:rsid w:val="00093456"/>
    <w:rsid w:val="00093496"/>
    <w:rsid w:val="000934C4"/>
    <w:rsid w:val="00093620"/>
    <w:rsid w:val="00093696"/>
    <w:rsid w:val="000937D3"/>
    <w:rsid w:val="000938AD"/>
    <w:rsid w:val="000938D0"/>
    <w:rsid w:val="000938F7"/>
    <w:rsid w:val="00093A8F"/>
    <w:rsid w:val="00093B4C"/>
    <w:rsid w:val="00093C05"/>
    <w:rsid w:val="00093C94"/>
    <w:rsid w:val="00093D16"/>
    <w:rsid w:val="00093D61"/>
    <w:rsid w:val="00093D62"/>
    <w:rsid w:val="00093D9E"/>
    <w:rsid w:val="00093E82"/>
    <w:rsid w:val="00094008"/>
    <w:rsid w:val="00094202"/>
    <w:rsid w:val="00094303"/>
    <w:rsid w:val="0009444A"/>
    <w:rsid w:val="000944FD"/>
    <w:rsid w:val="0009452D"/>
    <w:rsid w:val="0009460D"/>
    <w:rsid w:val="000947DD"/>
    <w:rsid w:val="000948F8"/>
    <w:rsid w:val="000949A1"/>
    <w:rsid w:val="000949CE"/>
    <w:rsid w:val="00094A9F"/>
    <w:rsid w:val="00094BD7"/>
    <w:rsid w:val="00094C08"/>
    <w:rsid w:val="00094C30"/>
    <w:rsid w:val="00094C34"/>
    <w:rsid w:val="00094C9B"/>
    <w:rsid w:val="00094D83"/>
    <w:rsid w:val="00094FC7"/>
    <w:rsid w:val="000950B7"/>
    <w:rsid w:val="00095111"/>
    <w:rsid w:val="0009532E"/>
    <w:rsid w:val="000954E8"/>
    <w:rsid w:val="00095522"/>
    <w:rsid w:val="000955E0"/>
    <w:rsid w:val="00095648"/>
    <w:rsid w:val="0009578D"/>
    <w:rsid w:val="00095793"/>
    <w:rsid w:val="00095904"/>
    <w:rsid w:val="00095AB6"/>
    <w:rsid w:val="00095C41"/>
    <w:rsid w:val="00095C6F"/>
    <w:rsid w:val="00095CCC"/>
    <w:rsid w:val="00095CF5"/>
    <w:rsid w:val="00095D82"/>
    <w:rsid w:val="00095D88"/>
    <w:rsid w:val="00095DB2"/>
    <w:rsid w:val="00095E09"/>
    <w:rsid w:val="00095F40"/>
    <w:rsid w:val="00096017"/>
    <w:rsid w:val="00096071"/>
    <w:rsid w:val="00096186"/>
    <w:rsid w:val="000961BE"/>
    <w:rsid w:val="000962A3"/>
    <w:rsid w:val="00096485"/>
    <w:rsid w:val="00096486"/>
    <w:rsid w:val="00096515"/>
    <w:rsid w:val="0009657E"/>
    <w:rsid w:val="0009669F"/>
    <w:rsid w:val="0009672A"/>
    <w:rsid w:val="0009678F"/>
    <w:rsid w:val="000967C4"/>
    <w:rsid w:val="000967CF"/>
    <w:rsid w:val="00096926"/>
    <w:rsid w:val="0009693F"/>
    <w:rsid w:val="0009694B"/>
    <w:rsid w:val="000969D4"/>
    <w:rsid w:val="000969D5"/>
    <w:rsid w:val="00096A5B"/>
    <w:rsid w:val="00096ABC"/>
    <w:rsid w:val="00096AC6"/>
    <w:rsid w:val="00096BA3"/>
    <w:rsid w:val="00096C4C"/>
    <w:rsid w:val="00096ECD"/>
    <w:rsid w:val="0009701F"/>
    <w:rsid w:val="000970A6"/>
    <w:rsid w:val="000970B1"/>
    <w:rsid w:val="0009721A"/>
    <w:rsid w:val="000972BC"/>
    <w:rsid w:val="000972E6"/>
    <w:rsid w:val="000972FB"/>
    <w:rsid w:val="000974F4"/>
    <w:rsid w:val="00097525"/>
    <w:rsid w:val="0009752E"/>
    <w:rsid w:val="00097585"/>
    <w:rsid w:val="000976AF"/>
    <w:rsid w:val="00097745"/>
    <w:rsid w:val="000977C6"/>
    <w:rsid w:val="00097915"/>
    <w:rsid w:val="00097962"/>
    <w:rsid w:val="0009799D"/>
    <w:rsid w:val="00097A16"/>
    <w:rsid w:val="00097B4C"/>
    <w:rsid w:val="00097C31"/>
    <w:rsid w:val="00097CAA"/>
    <w:rsid w:val="000A0038"/>
    <w:rsid w:val="000A0087"/>
    <w:rsid w:val="000A008C"/>
    <w:rsid w:val="000A01BA"/>
    <w:rsid w:val="000A0218"/>
    <w:rsid w:val="000A02A2"/>
    <w:rsid w:val="000A041E"/>
    <w:rsid w:val="000A043F"/>
    <w:rsid w:val="000A0628"/>
    <w:rsid w:val="000A0684"/>
    <w:rsid w:val="000A078F"/>
    <w:rsid w:val="000A086F"/>
    <w:rsid w:val="000A08C0"/>
    <w:rsid w:val="000A0918"/>
    <w:rsid w:val="000A0A57"/>
    <w:rsid w:val="000A0B68"/>
    <w:rsid w:val="000A0B7A"/>
    <w:rsid w:val="000A0CD5"/>
    <w:rsid w:val="000A0E86"/>
    <w:rsid w:val="000A0FB1"/>
    <w:rsid w:val="000A1074"/>
    <w:rsid w:val="000A10A9"/>
    <w:rsid w:val="000A10BF"/>
    <w:rsid w:val="000A10C4"/>
    <w:rsid w:val="000A11D8"/>
    <w:rsid w:val="000A11F5"/>
    <w:rsid w:val="000A142F"/>
    <w:rsid w:val="000A156F"/>
    <w:rsid w:val="000A1574"/>
    <w:rsid w:val="000A15C6"/>
    <w:rsid w:val="000A15DF"/>
    <w:rsid w:val="000A1691"/>
    <w:rsid w:val="000A16B7"/>
    <w:rsid w:val="000A1948"/>
    <w:rsid w:val="000A19FC"/>
    <w:rsid w:val="000A1A92"/>
    <w:rsid w:val="000A1B02"/>
    <w:rsid w:val="000A1BE4"/>
    <w:rsid w:val="000A1C92"/>
    <w:rsid w:val="000A1C98"/>
    <w:rsid w:val="000A1D89"/>
    <w:rsid w:val="000A1E49"/>
    <w:rsid w:val="000A1E75"/>
    <w:rsid w:val="000A1EB8"/>
    <w:rsid w:val="000A1ED9"/>
    <w:rsid w:val="000A1F56"/>
    <w:rsid w:val="000A2195"/>
    <w:rsid w:val="000A221A"/>
    <w:rsid w:val="000A2268"/>
    <w:rsid w:val="000A2348"/>
    <w:rsid w:val="000A252D"/>
    <w:rsid w:val="000A2799"/>
    <w:rsid w:val="000A28BF"/>
    <w:rsid w:val="000A2A4A"/>
    <w:rsid w:val="000A2AAD"/>
    <w:rsid w:val="000A2AC0"/>
    <w:rsid w:val="000A2B22"/>
    <w:rsid w:val="000A2BE3"/>
    <w:rsid w:val="000A2BF0"/>
    <w:rsid w:val="000A2E56"/>
    <w:rsid w:val="000A30B2"/>
    <w:rsid w:val="000A30C4"/>
    <w:rsid w:val="000A3120"/>
    <w:rsid w:val="000A3443"/>
    <w:rsid w:val="000A3666"/>
    <w:rsid w:val="000A367B"/>
    <w:rsid w:val="000A36B2"/>
    <w:rsid w:val="000A36FD"/>
    <w:rsid w:val="000A379A"/>
    <w:rsid w:val="000A3BD2"/>
    <w:rsid w:val="000A3CC7"/>
    <w:rsid w:val="000A3D0D"/>
    <w:rsid w:val="000A3D5D"/>
    <w:rsid w:val="000A3D95"/>
    <w:rsid w:val="000A3DB4"/>
    <w:rsid w:val="000A3EB0"/>
    <w:rsid w:val="000A3EE7"/>
    <w:rsid w:val="000A3EEC"/>
    <w:rsid w:val="000A3FC3"/>
    <w:rsid w:val="000A3FD3"/>
    <w:rsid w:val="000A4003"/>
    <w:rsid w:val="000A4047"/>
    <w:rsid w:val="000A4114"/>
    <w:rsid w:val="000A4151"/>
    <w:rsid w:val="000A4188"/>
    <w:rsid w:val="000A45CB"/>
    <w:rsid w:val="000A45D6"/>
    <w:rsid w:val="000A468A"/>
    <w:rsid w:val="000A488C"/>
    <w:rsid w:val="000A4B96"/>
    <w:rsid w:val="000A4C09"/>
    <w:rsid w:val="000A4C3B"/>
    <w:rsid w:val="000A4CAB"/>
    <w:rsid w:val="000A4CFA"/>
    <w:rsid w:val="000A4D96"/>
    <w:rsid w:val="000A4F37"/>
    <w:rsid w:val="000A504A"/>
    <w:rsid w:val="000A5051"/>
    <w:rsid w:val="000A519D"/>
    <w:rsid w:val="000A51F0"/>
    <w:rsid w:val="000A527B"/>
    <w:rsid w:val="000A54A8"/>
    <w:rsid w:val="000A559B"/>
    <w:rsid w:val="000A5628"/>
    <w:rsid w:val="000A56B0"/>
    <w:rsid w:val="000A5888"/>
    <w:rsid w:val="000A5956"/>
    <w:rsid w:val="000A5A1A"/>
    <w:rsid w:val="000A5AD4"/>
    <w:rsid w:val="000A5B75"/>
    <w:rsid w:val="000A5C0C"/>
    <w:rsid w:val="000A5E99"/>
    <w:rsid w:val="000A5EB7"/>
    <w:rsid w:val="000A5F81"/>
    <w:rsid w:val="000A5FBF"/>
    <w:rsid w:val="000A60F7"/>
    <w:rsid w:val="000A614C"/>
    <w:rsid w:val="000A61ED"/>
    <w:rsid w:val="000A6240"/>
    <w:rsid w:val="000A62FD"/>
    <w:rsid w:val="000A63BC"/>
    <w:rsid w:val="000A6444"/>
    <w:rsid w:val="000A6454"/>
    <w:rsid w:val="000A655D"/>
    <w:rsid w:val="000A6694"/>
    <w:rsid w:val="000A66E5"/>
    <w:rsid w:val="000A68EE"/>
    <w:rsid w:val="000A69DC"/>
    <w:rsid w:val="000A6AA7"/>
    <w:rsid w:val="000A6AE3"/>
    <w:rsid w:val="000A6B2F"/>
    <w:rsid w:val="000A6BD2"/>
    <w:rsid w:val="000A6BDE"/>
    <w:rsid w:val="000A6FDC"/>
    <w:rsid w:val="000A720C"/>
    <w:rsid w:val="000A72DF"/>
    <w:rsid w:val="000A7370"/>
    <w:rsid w:val="000A7371"/>
    <w:rsid w:val="000A74EE"/>
    <w:rsid w:val="000A7551"/>
    <w:rsid w:val="000A760A"/>
    <w:rsid w:val="000A7645"/>
    <w:rsid w:val="000A767A"/>
    <w:rsid w:val="000A76B1"/>
    <w:rsid w:val="000A76BD"/>
    <w:rsid w:val="000A7703"/>
    <w:rsid w:val="000A7759"/>
    <w:rsid w:val="000A77B9"/>
    <w:rsid w:val="000A7871"/>
    <w:rsid w:val="000A7988"/>
    <w:rsid w:val="000A79EF"/>
    <w:rsid w:val="000A7A1B"/>
    <w:rsid w:val="000A7A63"/>
    <w:rsid w:val="000A7B75"/>
    <w:rsid w:val="000A7C3F"/>
    <w:rsid w:val="000A7E2E"/>
    <w:rsid w:val="000A7EFA"/>
    <w:rsid w:val="000A7F19"/>
    <w:rsid w:val="000A7FF9"/>
    <w:rsid w:val="000B0045"/>
    <w:rsid w:val="000B004B"/>
    <w:rsid w:val="000B04AB"/>
    <w:rsid w:val="000B04F8"/>
    <w:rsid w:val="000B062D"/>
    <w:rsid w:val="000B06E4"/>
    <w:rsid w:val="000B0736"/>
    <w:rsid w:val="000B093F"/>
    <w:rsid w:val="000B0978"/>
    <w:rsid w:val="000B0A1B"/>
    <w:rsid w:val="000B0A1F"/>
    <w:rsid w:val="000B0B27"/>
    <w:rsid w:val="000B0B54"/>
    <w:rsid w:val="000B0B64"/>
    <w:rsid w:val="000B0BF8"/>
    <w:rsid w:val="000B0CC8"/>
    <w:rsid w:val="000B0CE5"/>
    <w:rsid w:val="000B0D35"/>
    <w:rsid w:val="000B0D60"/>
    <w:rsid w:val="000B1016"/>
    <w:rsid w:val="000B129F"/>
    <w:rsid w:val="000B1325"/>
    <w:rsid w:val="000B1357"/>
    <w:rsid w:val="000B15C5"/>
    <w:rsid w:val="000B1671"/>
    <w:rsid w:val="000B16E4"/>
    <w:rsid w:val="000B174F"/>
    <w:rsid w:val="000B17CF"/>
    <w:rsid w:val="000B17F7"/>
    <w:rsid w:val="000B187A"/>
    <w:rsid w:val="000B1901"/>
    <w:rsid w:val="000B1B30"/>
    <w:rsid w:val="000B1B53"/>
    <w:rsid w:val="000B1B59"/>
    <w:rsid w:val="000B1B78"/>
    <w:rsid w:val="000B1BC5"/>
    <w:rsid w:val="000B1CBA"/>
    <w:rsid w:val="000B1CE6"/>
    <w:rsid w:val="000B1D05"/>
    <w:rsid w:val="000B1F09"/>
    <w:rsid w:val="000B215D"/>
    <w:rsid w:val="000B21BF"/>
    <w:rsid w:val="000B21E9"/>
    <w:rsid w:val="000B221F"/>
    <w:rsid w:val="000B225F"/>
    <w:rsid w:val="000B2513"/>
    <w:rsid w:val="000B259B"/>
    <w:rsid w:val="000B2714"/>
    <w:rsid w:val="000B27A1"/>
    <w:rsid w:val="000B27E2"/>
    <w:rsid w:val="000B2865"/>
    <w:rsid w:val="000B2885"/>
    <w:rsid w:val="000B29F1"/>
    <w:rsid w:val="000B2AE2"/>
    <w:rsid w:val="000B2C19"/>
    <w:rsid w:val="000B2C9F"/>
    <w:rsid w:val="000B2E4C"/>
    <w:rsid w:val="000B2E6A"/>
    <w:rsid w:val="000B2E9E"/>
    <w:rsid w:val="000B2F2C"/>
    <w:rsid w:val="000B302A"/>
    <w:rsid w:val="000B31B3"/>
    <w:rsid w:val="000B321A"/>
    <w:rsid w:val="000B3243"/>
    <w:rsid w:val="000B32DD"/>
    <w:rsid w:val="000B370C"/>
    <w:rsid w:val="000B3988"/>
    <w:rsid w:val="000B3BFF"/>
    <w:rsid w:val="000B3C23"/>
    <w:rsid w:val="000B3E06"/>
    <w:rsid w:val="000B3E11"/>
    <w:rsid w:val="000B3ECE"/>
    <w:rsid w:val="000B3F13"/>
    <w:rsid w:val="000B404F"/>
    <w:rsid w:val="000B410F"/>
    <w:rsid w:val="000B4239"/>
    <w:rsid w:val="000B43A0"/>
    <w:rsid w:val="000B43F9"/>
    <w:rsid w:val="000B44C7"/>
    <w:rsid w:val="000B4516"/>
    <w:rsid w:val="000B454B"/>
    <w:rsid w:val="000B4693"/>
    <w:rsid w:val="000B46A7"/>
    <w:rsid w:val="000B4790"/>
    <w:rsid w:val="000B4825"/>
    <w:rsid w:val="000B497A"/>
    <w:rsid w:val="000B49EA"/>
    <w:rsid w:val="000B49F0"/>
    <w:rsid w:val="000B4A22"/>
    <w:rsid w:val="000B4A89"/>
    <w:rsid w:val="000B4A93"/>
    <w:rsid w:val="000B4AC6"/>
    <w:rsid w:val="000B4BDB"/>
    <w:rsid w:val="000B4C11"/>
    <w:rsid w:val="000B4DAA"/>
    <w:rsid w:val="000B4ECC"/>
    <w:rsid w:val="000B4F3B"/>
    <w:rsid w:val="000B5083"/>
    <w:rsid w:val="000B50AB"/>
    <w:rsid w:val="000B50D0"/>
    <w:rsid w:val="000B5151"/>
    <w:rsid w:val="000B519A"/>
    <w:rsid w:val="000B51FC"/>
    <w:rsid w:val="000B5223"/>
    <w:rsid w:val="000B528C"/>
    <w:rsid w:val="000B52B8"/>
    <w:rsid w:val="000B5422"/>
    <w:rsid w:val="000B563D"/>
    <w:rsid w:val="000B5692"/>
    <w:rsid w:val="000B582F"/>
    <w:rsid w:val="000B58D1"/>
    <w:rsid w:val="000B58F5"/>
    <w:rsid w:val="000B59A6"/>
    <w:rsid w:val="000B5AD7"/>
    <w:rsid w:val="000B5B3D"/>
    <w:rsid w:val="000B5DDD"/>
    <w:rsid w:val="000B5E3B"/>
    <w:rsid w:val="000B5F3D"/>
    <w:rsid w:val="000B5F71"/>
    <w:rsid w:val="000B6046"/>
    <w:rsid w:val="000B6264"/>
    <w:rsid w:val="000B627E"/>
    <w:rsid w:val="000B6450"/>
    <w:rsid w:val="000B647D"/>
    <w:rsid w:val="000B647E"/>
    <w:rsid w:val="000B6654"/>
    <w:rsid w:val="000B6928"/>
    <w:rsid w:val="000B69A4"/>
    <w:rsid w:val="000B69F1"/>
    <w:rsid w:val="000B6B51"/>
    <w:rsid w:val="000B6E52"/>
    <w:rsid w:val="000B6EFC"/>
    <w:rsid w:val="000B6F71"/>
    <w:rsid w:val="000B6FE8"/>
    <w:rsid w:val="000B6FF5"/>
    <w:rsid w:val="000B70FC"/>
    <w:rsid w:val="000B71BA"/>
    <w:rsid w:val="000B73CD"/>
    <w:rsid w:val="000B7400"/>
    <w:rsid w:val="000B7820"/>
    <w:rsid w:val="000B7889"/>
    <w:rsid w:val="000B7A87"/>
    <w:rsid w:val="000B7B30"/>
    <w:rsid w:val="000B7C58"/>
    <w:rsid w:val="000B7DB1"/>
    <w:rsid w:val="000B7E2F"/>
    <w:rsid w:val="000B7F32"/>
    <w:rsid w:val="000B7FDC"/>
    <w:rsid w:val="000C00DC"/>
    <w:rsid w:val="000C02A3"/>
    <w:rsid w:val="000C02AE"/>
    <w:rsid w:val="000C02FD"/>
    <w:rsid w:val="000C033C"/>
    <w:rsid w:val="000C05B9"/>
    <w:rsid w:val="000C0628"/>
    <w:rsid w:val="000C069B"/>
    <w:rsid w:val="000C0726"/>
    <w:rsid w:val="000C08A3"/>
    <w:rsid w:val="000C0A46"/>
    <w:rsid w:val="000C0BB9"/>
    <w:rsid w:val="000C0CAC"/>
    <w:rsid w:val="000C0D0D"/>
    <w:rsid w:val="000C0D40"/>
    <w:rsid w:val="000C0D88"/>
    <w:rsid w:val="000C0DBB"/>
    <w:rsid w:val="000C0E20"/>
    <w:rsid w:val="000C0EB3"/>
    <w:rsid w:val="000C0EE4"/>
    <w:rsid w:val="000C0F06"/>
    <w:rsid w:val="000C1018"/>
    <w:rsid w:val="000C10B6"/>
    <w:rsid w:val="000C10DA"/>
    <w:rsid w:val="000C1134"/>
    <w:rsid w:val="000C11A0"/>
    <w:rsid w:val="000C1226"/>
    <w:rsid w:val="000C125C"/>
    <w:rsid w:val="000C16B5"/>
    <w:rsid w:val="000C1706"/>
    <w:rsid w:val="000C1859"/>
    <w:rsid w:val="000C18CC"/>
    <w:rsid w:val="000C18FD"/>
    <w:rsid w:val="000C1B52"/>
    <w:rsid w:val="000C1C26"/>
    <w:rsid w:val="000C1C2E"/>
    <w:rsid w:val="000C1CEB"/>
    <w:rsid w:val="000C1DEF"/>
    <w:rsid w:val="000C1EC5"/>
    <w:rsid w:val="000C2077"/>
    <w:rsid w:val="000C20D8"/>
    <w:rsid w:val="000C2122"/>
    <w:rsid w:val="000C215B"/>
    <w:rsid w:val="000C2262"/>
    <w:rsid w:val="000C22B4"/>
    <w:rsid w:val="000C2392"/>
    <w:rsid w:val="000C2431"/>
    <w:rsid w:val="000C25C2"/>
    <w:rsid w:val="000C26E0"/>
    <w:rsid w:val="000C26E6"/>
    <w:rsid w:val="000C2972"/>
    <w:rsid w:val="000C2B67"/>
    <w:rsid w:val="000C2B7D"/>
    <w:rsid w:val="000C2BBD"/>
    <w:rsid w:val="000C2C55"/>
    <w:rsid w:val="000C2C8A"/>
    <w:rsid w:val="000C2D64"/>
    <w:rsid w:val="000C2E99"/>
    <w:rsid w:val="000C2F58"/>
    <w:rsid w:val="000C3140"/>
    <w:rsid w:val="000C3199"/>
    <w:rsid w:val="000C31E2"/>
    <w:rsid w:val="000C3262"/>
    <w:rsid w:val="000C32AF"/>
    <w:rsid w:val="000C3492"/>
    <w:rsid w:val="000C3936"/>
    <w:rsid w:val="000C3946"/>
    <w:rsid w:val="000C3AF9"/>
    <w:rsid w:val="000C3BEB"/>
    <w:rsid w:val="000C3C8D"/>
    <w:rsid w:val="000C3CD5"/>
    <w:rsid w:val="000C3D46"/>
    <w:rsid w:val="000C3E13"/>
    <w:rsid w:val="000C3E8A"/>
    <w:rsid w:val="000C3FBF"/>
    <w:rsid w:val="000C4355"/>
    <w:rsid w:val="000C4513"/>
    <w:rsid w:val="000C456A"/>
    <w:rsid w:val="000C45E3"/>
    <w:rsid w:val="000C4871"/>
    <w:rsid w:val="000C4CA6"/>
    <w:rsid w:val="000C4D51"/>
    <w:rsid w:val="000C4E4E"/>
    <w:rsid w:val="000C4FCA"/>
    <w:rsid w:val="000C4FD5"/>
    <w:rsid w:val="000C5003"/>
    <w:rsid w:val="000C5022"/>
    <w:rsid w:val="000C525C"/>
    <w:rsid w:val="000C526D"/>
    <w:rsid w:val="000C52EF"/>
    <w:rsid w:val="000C5320"/>
    <w:rsid w:val="000C55DE"/>
    <w:rsid w:val="000C5614"/>
    <w:rsid w:val="000C5641"/>
    <w:rsid w:val="000C571D"/>
    <w:rsid w:val="000C5856"/>
    <w:rsid w:val="000C5966"/>
    <w:rsid w:val="000C5987"/>
    <w:rsid w:val="000C5BC0"/>
    <w:rsid w:val="000C5C01"/>
    <w:rsid w:val="000C5C0D"/>
    <w:rsid w:val="000C5CA1"/>
    <w:rsid w:val="000C5D8A"/>
    <w:rsid w:val="000C5DEC"/>
    <w:rsid w:val="000C5EAA"/>
    <w:rsid w:val="000C5EE0"/>
    <w:rsid w:val="000C5F40"/>
    <w:rsid w:val="000C5F6C"/>
    <w:rsid w:val="000C5F89"/>
    <w:rsid w:val="000C6547"/>
    <w:rsid w:val="000C6595"/>
    <w:rsid w:val="000C660C"/>
    <w:rsid w:val="000C6623"/>
    <w:rsid w:val="000C6775"/>
    <w:rsid w:val="000C67AE"/>
    <w:rsid w:val="000C68D8"/>
    <w:rsid w:val="000C691D"/>
    <w:rsid w:val="000C6A7F"/>
    <w:rsid w:val="000C6AF0"/>
    <w:rsid w:val="000C6BCA"/>
    <w:rsid w:val="000C6C7D"/>
    <w:rsid w:val="000C6C90"/>
    <w:rsid w:val="000C6D75"/>
    <w:rsid w:val="000C6E67"/>
    <w:rsid w:val="000C6EB0"/>
    <w:rsid w:val="000C7208"/>
    <w:rsid w:val="000C7405"/>
    <w:rsid w:val="000C7427"/>
    <w:rsid w:val="000C74A9"/>
    <w:rsid w:val="000C7502"/>
    <w:rsid w:val="000C753F"/>
    <w:rsid w:val="000C7668"/>
    <w:rsid w:val="000C77CF"/>
    <w:rsid w:val="000C7814"/>
    <w:rsid w:val="000C7899"/>
    <w:rsid w:val="000C78BC"/>
    <w:rsid w:val="000C7D5D"/>
    <w:rsid w:val="000C7FA7"/>
    <w:rsid w:val="000C7FB0"/>
    <w:rsid w:val="000C7FC5"/>
    <w:rsid w:val="000D011A"/>
    <w:rsid w:val="000D015F"/>
    <w:rsid w:val="000D02F9"/>
    <w:rsid w:val="000D049C"/>
    <w:rsid w:val="000D056B"/>
    <w:rsid w:val="000D0748"/>
    <w:rsid w:val="000D096A"/>
    <w:rsid w:val="000D09A9"/>
    <w:rsid w:val="000D0A0B"/>
    <w:rsid w:val="000D0B51"/>
    <w:rsid w:val="000D0B87"/>
    <w:rsid w:val="000D0BD9"/>
    <w:rsid w:val="000D0C28"/>
    <w:rsid w:val="000D0E22"/>
    <w:rsid w:val="000D0EF5"/>
    <w:rsid w:val="000D0EFF"/>
    <w:rsid w:val="000D1056"/>
    <w:rsid w:val="000D10AA"/>
    <w:rsid w:val="000D11DF"/>
    <w:rsid w:val="000D122B"/>
    <w:rsid w:val="000D13D5"/>
    <w:rsid w:val="000D1552"/>
    <w:rsid w:val="000D1609"/>
    <w:rsid w:val="000D1890"/>
    <w:rsid w:val="000D1891"/>
    <w:rsid w:val="000D192F"/>
    <w:rsid w:val="000D1970"/>
    <w:rsid w:val="000D1A23"/>
    <w:rsid w:val="000D1AE1"/>
    <w:rsid w:val="000D1DB3"/>
    <w:rsid w:val="000D1E4D"/>
    <w:rsid w:val="000D1F2A"/>
    <w:rsid w:val="000D1F7C"/>
    <w:rsid w:val="000D202B"/>
    <w:rsid w:val="000D213B"/>
    <w:rsid w:val="000D23C7"/>
    <w:rsid w:val="000D2431"/>
    <w:rsid w:val="000D2456"/>
    <w:rsid w:val="000D24E6"/>
    <w:rsid w:val="000D24E9"/>
    <w:rsid w:val="000D260F"/>
    <w:rsid w:val="000D27D4"/>
    <w:rsid w:val="000D28CF"/>
    <w:rsid w:val="000D2938"/>
    <w:rsid w:val="000D29B2"/>
    <w:rsid w:val="000D2CFA"/>
    <w:rsid w:val="000D2D40"/>
    <w:rsid w:val="000D2D9C"/>
    <w:rsid w:val="000D2E1C"/>
    <w:rsid w:val="000D2E77"/>
    <w:rsid w:val="000D2F1C"/>
    <w:rsid w:val="000D2FEF"/>
    <w:rsid w:val="000D3065"/>
    <w:rsid w:val="000D307C"/>
    <w:rsid w:val="000D30A3"/>
    <w:rsid w:val="000D333A"/>
    <w:rsid w:val="000D33E5"/>
    <w:rsid w:val="000D3735"/>
    <w:rsid w:val="000D38BB"/>
    <w:rsid w:val="000D3C1D"/>
    <w:rsid w:val="000D3F4C"/>
    <w:rsid w:val="000D4200"/>
    <w:rsid w:val="000D452A"/>
    <w:rsid w:val="000D45D8"/>
    <w:rsid w:val="000D4799"/>
    <w:rsid w:val="000D48AC"/>
    <w:rsid w:val="000D4947"/>
    <w:rsid w:val="000D496C"/>
    <w:rsid w:val="000D4BF3"/>
    <w:rsid w:val="000D4D1E"/>
    <w:rsid w:val="000D4D44"/>
    <w:rsid w:val="000D4DA6"/>
    <w:rsid w:val="000D4F8B"/>
    <w:rsid w:val="000D4FA3"/>
    <w:rsid w:val="000D4FFE"/>
    <w:rsid w:val="000D50B6"/>
    <w:rsid w:val="000D5139"/>
    <w:rsid w:val="000D51BC"/>
    <w:rsid w:val="000D51C6"/>
    <w:rsid w:val="000D51F2"/>
    <w:rsid w:val="000D5292"/>
    <w:rsid w:val="000D5348"/>
    <w:rsid w:val="000D544A"/>
    <w:rsid w:val="000D547F"/>
    <w:rsid w:val="000D54F0"/>
    <w:rsid w:val="000D5611"/>
    <w:rsid w:val="000D56DD"/>
    <w:rsid w:val="000D570C"/>
    <w:rsid w:val="000D572D"/>
    <w:rsid w:val="000D58EB"/>
    <w:rsid w:val="000D593D"/>
    <w:rsid w:val="000D5BA2"/>
    <w:rsid w:val="000D5C3B"/>
    <w:rsid w:val="000D5CAC"/>
    <w:rsid w:val="000D5D7C"/>
    <w:rsid w:val="000D6027"/>
    <w:rsid w:val="000D6112"/>
    <w:rsid w:val="000D615C"/>
    <w:rsid w:val="000D61E0"/>
    <w:rsid w:val="000D62A4"/>
    <w:rsid w:val="000D634E"/>
    <w:rsid w:val="000D63BF"/>
    <w:rsid w:val="000D6427"/>
    <w:rsid w:val="000D6455"/>
    <w:rsid w:val="000D64A6"/>
    <w:rsid w:val="000D666D"/>
    <w:rsid w:val="000D667A"/>
    <w:rsid w:val="000D66C2"/>
    <w:rsid w:val="000D6837"/>
    <w:rsid w:val="000D69E1"/>
    <w:rsid w:val="000D6A4E"/>
    <w:rsid w:val="000D6A8C"/>
    <w:rsid w:val="000D6AC2"/>
    <w:rsid w:val="000D6B58"/>
    <w:rsid w:val="000D6BEB"/>
    <w:rsid w:val="000D6E97"/>
    <w:rsid w:val="000D6EF8"/>
    <w:rsid w:val="000D7314"/>
    <w:rsid w:val="000D741C"/>
    <w:rsid w:val="000D7447"/>
    <w:rsid w:val="000D74D8"/>
    <w:rsid w:val="000D762F"/>
    <w:rsid w:val="000D76A4"/>
    <w:rsid w:val="000D77DB"/>
    <w:rsid w:val="000D782F"/>
    <w:rsid w:val="000D79EB"/>
    <w:rsid w:val="000D7ABA"/>
    <w:rsid w:val="000D7B3E"/>
    <w:rsid w:val="000D7BA3"/>
    <w:rsid w:val="000D7CF2"/>
    <w:rsid w:val="000D7E82"/>
    <w:rsid w:val="000D7F45"/>
    <w:rsid w:val="000D7FE7"/>
    <w:rsid w:val="000E0044"/>
    <w:rsid w:val="000E023D"/>
    <w:rsid w:val="000E0266"/>
    <w:rsid w:val="000E0492"/>
    <w:rsid w:val="000E04F6"/>
    <w:rsid w:val="000E0563"/>
    <w:rsid w:val="000E05FF"/>
    <w:rsid w:val="000E0683"/>
    <w:rsid w:val="000E075C"/>
    <w:rsid w:val="000E0880"/>
    <w:rsid w:val="000E0974"/>
    <w:rsid w:val="000E0B74"/>
    <w:rsid w:val="000E0CF6"/>
    <w:rsid w:val="000E0F52"/>
    <w:rsid w:val="000E172C"/>
    <w:rsid w:val="000E1814"/>
    <w:rsid w:val="000E182E"/>
    <w:rsid w:val="000E1927"/>
    <w:rsid w:val="000E192B"/>
    <w:rsid w:val="000E1949"/>
    <w:rsid w:val="000E1A2B"/>
    <w:rsid w:val="000E1C36"/>
    <w:rsid w:val="000E1FEF"/>
    <w:rsid w:val="000E2037"/>
    <w:rsid w:val="000E21EA"/>
    <w:rsid w:val="000E2214"/>
    <w:rsid w:val="000E2245"/>
    <w:rsid w:val="000E227F"/>
    <w:rsid w:val="000E2417"/>
    <w:rsid w:val="000E24E4"/>
    <w:rsid w:val="000E2513"/>
    <w:rsid w:val="000E2717"/>
    <w:rsid w:val="000E2822"/>
    <w:rsid w:val="000E2832"/>
    <w:rsid w:val="000E29FF"/>
    <w:rsid w:val="000E2A56"/>
    <w:rsid w:val="000E2AC7"/>
    <w:rsid w:val="000E2B16"/>
    <w:rsid w:val="000E2BE5"/>
    <w:rsid w:val="000E2C17"/>
    <w:rsid w:val="000E2D06"/>
    <w:rsid w:val="000E2DDE"/>
    <w:rsid w:val="000E2E9A"/>
    <w:rsid w:val="000E3014"/>
    <w:rsid w:val="000E3085"/>
    <w:rsid w:val="000E32BA"/>
    <w:rsid w:val="000E33E4"/>
    <w:rsid w:val="000E3442"/>
    <w:rsid w:val="000E34C9"/>
    <w:rsid w:val="000E38D0"/>
    <w:rsid w:val="000E38F9"/>
    <w:rsid w:val="000E39B1"/>
    <w:rsid w:val="000E3B7C"/>
    <w:rsid w:val="000E3DBB"/>
    <w:rsid w:val="000E3F89"/>
    <w:rsid w:val="000E41C9"/>
    <w:rsid w:val="000E442F"/>
    <w:rsid w:val="000E44CE"/>
    <w:rsid w:val="000E45BE"/>
    <w:rsid w:val="000E4758"/>
    <w:rsid w:val="000E47F6"/>
    <w:rsid w:val="000E483B"/>
    <w:rsid w:val="000E491E"/>
    <w:rsid w:val="000E49A2"/>
    <w:rsid w:val="000E4A82"/>
    <w:rsid w:val="000E4A9D"/>
    <w:rsid w:val="000E4AD3"/>
    <w:rsid w:val="000E4B6D"/>
    <w:rsid w:val="000E4C1F"/>
    <w:rsid w:val="000E4E8D"/>
    <w:rsid w:val="000E4E97"/>
    <w:rsid w:val="000E4F33"/>
    <w:rsid w:val="000E508F"/>
    <w:rsid w:val="000E5354"/>
    <w:rsid w:val="000E53E5"/>
    <w:rsid w:val="000E5431"/>
    <w:rsid w:val="000E577A"/>
    <w:rsid w:val="000E58EF"/>
    <w:rsid w:val="000E5A31"/>
    <w:rsid w:val="000E5A64"/>
    <w:rsid w:val="000E5D44"/>
    <w:rsid w:val="000E5E4E"/>
    <w:rsid w:val="000E5FCF"/>
    <w:rsid w:val="000E6068"/>
    <w:rsid w:val="000E61C0"/>
    <w:rsid w:val="000E62BF"/>
    <w:rsid w:val="000E6529"/>
    <w:rsid w:val="000E6676"/>
    <w:rsid w:val="000E667C"/>
    <w:rsid w:val="000E66F0"/>
    <w:rsid w:val="000E6739"/>
    <w:rsid w:val="000E6766"/>
    <w:rsid w:val="000E68D1"/>
    <w:rsid w:val="000E6CE1"/>
    <w:rsid w:val="000E6D06"/>
    <w:rsid w:val="000E6D2C"/>
    <w:rsid w:val="000E6D63"/>
    <w:rsid w:val="000E6E2A"/>
    <w:rsid w:val="000E6E83"/>
    <w:rsid w:val="000E6EB2"/>
    <w:rsid w:val="000E6F2F"/>
    <w:rsid w:val="000E71E2"/>
    <w:rsid w:val="000E74A1"/>
    <w:rsid w:val="000E753E"/>
    <w:rsid w:val="000E75DA"/>
    <w:rsid w:val="000E7616"/>
    <w:rsid w:val="000E7726"/>
    <w:rsid w:val="000E77FA"/>
    <w:rsid w:val="000E7901"/>
    <w:rsid w:val="000E7936"/>
    <w:rsid w:val="000E79F6"/>
    <w:rsid w:val="000E7A87"/>
    <w:rsid w:val="000E7AFA"/>
    <w:rsid w:val="000E7B08"/>
    <w:rsid w:val="000E7CA4"/>
    <w:rsid w:val="000E7D6B"/>
    <w:rsid w:val="000F0104"/>
    <w:rsid w:val="000F014C"/>
    <w:rsid w:val="000F01B5"/>
    <w:rsid w:val="000F0407"/>
    <w:rsid w:val="000F0425"/>
    <w:rsid w:val="000F06A6"/>
    <w:rsid w:val="000F0775"/>
    <w:rsid w:val="000F0804"/>
    <w:rsid w:val="000F0855"/>
    <w:rsid w:val="000F0890"/>
    <w:rsid w:val="000F0A10"/>
    <w:rsid w:val="000F0AFA"/>
    <w:rsid w:val="000F0B0C"/>
    <w:rsid w:val="000F0B30"/>
    <w:rsid w:val="000F0B5E"/>
    <w:rsid w:val="000F0BFD"/>
    <w:rsid w:val="000F0CDE"/>
    <w:rsid w:val="000F0F04"/>
    <w:rsid w:val="000F0F16"/>
    <w:rsid w:val="000F0F67"/>
    <w:rsid w:val="000F1021"/>
    <w:rsid w:val="000F10F5"/>
    <w:rsid w:val="000F128B"/>
    <w:rsid w:val="000F1343"/>
    <w:rsid w:val="000F13B5"/>
    <w:rsid w:val="000F13F9"/>
    <w:rsid w:val="000F1491"/>
    <w:rsid w:val="000F1653"/>
    <w:rsid w:val="000F179A"/>
    <w:rsid w:val="000F190C"/>
    <w:rsid w:val="000F192B"/>
    <w:rsid w:val="000F1955"/>
    <w:rsid w:val="000F19A5"/>
    <w:rsid w:val="000F1B18"/>
    <w:rsid w:val="000F1B45"/>
    <w:rsid w:val="000F1BCC"/>
    <w:rsid w:val="000F1BE6"/>
    <w:rsid w:val="000F1D58"/>
    <w:rsid w:val="000F1D71"/>
    <w:rsid w:val="000F20C4"/>
    <w:rsid w:val="000F214E"/>
    <w:rsid w:val="000F22AC"/>
    <w:rsid w:val="000F2318"/>
    <w:rsid w:val="000F26B4"/>
    <w:rsid w:val="000F2730"/>
    <w:rsid w:val="000F27D3"/>
    <w:rsid w:val="000F2810"/>
    <w:rsid w:val="000F2982"/>
    <w:rsid w:val="000F2A73"/>
    <w:rsid w:val="000F2AC8"/>
    <w:rsid w:val="000F2CCD"/>
    <w:rsid w:val="000F2D82"/>
    <w:rsid w:val="000F2E2F"/>
    <w:rsid w:val="000F2E4A"/>
    <w:rsid w:val="000F3111"/>
    <w:rsid w:val="000F3208"/>
    <w:rsid w:val="000F3452"/>
    <w:rsid w:val="000F3461"/>
    <w:rsid w:val="000F3567"/>
    <w:rsid w:val="000F36B4"/>
    <w:rsid w:val="000F36FC"/>
    <w:rsid w:val="000F3835"/>
    <w:rsid w:val="000F39B7"/>
    <w:rsid w:val="000F3AA0"/>
    <w:rsid w:val="000F3D00"/>
    <w:rsid w:val="000F3D52"/>
    <w:rsid w:val="000F3FB4"/>
    <w:rsid w:val="000F3FFD"/>
    <w:rsid w:val="000F41CD"/>
    <w:rsid w:val="000F4694"/>
    <w:rsid w:val="000F47B7"/>
    <w:rsid w:val="000F48CD"/>
    <w:rsid w:val="000F496B"/>
    <w:rsid w:val="000F49E3"/>
    <w:rsid w:val="000F4A79"/>
    <w:rsid w:val="000F4AA4"/>
    <w:rsid w:val="000F4AB3"/>
    <w:rsid w:val="000F4B1B"/>
    <w:rsid w:val="000F4BEC"/>
    <w:rsid w:val="000F4C23"/>
    <w:rsid w:val="000F4C43"/>
    <w:rsid w:val="000F4CC0"/>
    <w:rsid w:val="000F4E20"/>
    <w:rsid w:val="000F4E55"/>
    <w:rsid w:val="000F4F6D"/>
    <w:rsid w:val="000F5161"/>
    <w:rsid w:val="000F538D"/>
    <w:rsid w:val="000F53FF"/>
    <w:rsid w:val="000F556F"/>
    <w:rsid w:val="000F564F"/>
    <w:rsid w:val="000F5917"/>
    <w:rsid w:val="000F5B01"/>
    <w:rsid w:val="000F5C44"/>
    <w:rsid w:val="000F5CAD"/>
    <w:rsid w:val="000F5CDE"/>
    <w:rsid w:val="000F5E84"/>
    <w:rsid w:val="000F6190"/>
    <w:rsid w:val="000F6233"/>
    <w:rsid w:val="000F6245"/>
    <w:rsid w:val="000F651A"/>
    <w:rsid w:val="000F6660"/>
    <w:rsid w:val="000F66D4"/>
    <w:rsid w:val="000F69CA"/>
    <w:rsid w:val="000F6AE7"/>
    <w:rsid w:val="000F6B12"/>
    <w:rsid w:val="000F6B91"/>
    <w:rsid w:val="000F6BA6"/>
    <w:rsid w:val="000F6C42"/>
    <w:rsid w:val="000F6CF7"/>
    <w:rsid w:val="000F6D10"/>
    <w:rsid w:val="000F6D64"/>
    <w:rsid w:val="000F6E0D"/>
    <w:rsid w:val="000F6E1E"/>
    <w:rsid w:val="000F6FB9"/>
    <w:rsid w:val="000F7125"/>
    <w:rsid w:val="000F72BC"/>
    <w:rsid w:val="000F72C7"/>
    <w:rsid w:val="000F744D"/>
    <w:rsid w:val="000F74AB"/>
    <w:rsid w:val="000F7584"/>
    <w:rsid w:val="000F7706"/>
    <w:rsid w:val="000F7A21"/>
    <w:rsid w:val="000F7C07"/>
    <w:rsid w:val="000F7D8E"/>
    <w:rsid w:val="000F7DB3"/>
    <w:rsid w:val="000F7E50"/>
    <w:rsid w:val="000F7F21"/>
    <w:rsid w:val="000F7F69"/>
    <w:rsid w:val="000F7FA5"/>
    <w:rsid w:val="00100006"/>
    <w:rsid w:val="001001F4"/>
    <w:rsid w:val="0010028A"/>
    <w:rsid w:val="001004AB"/>
    <w:rsid w:val="001005C7"/>
    <w:rsid w:val="00100826"/>
    <w:rsid w:val="0010084C"/>
    <w:rsid w:val="0010090A"/>
    <w:rsid w:val="00100A07"/>
    <w:rsid w:val="00100C9A"/>
    <w:rsid w:val="00100CCD"/>
    <w:rsid w:val="00100D66"/>
    <w:rsid w:val="00100DF5"/>
    <w:rsid w:val="00100F98"/>
    <w:rsid w:val="0010102F"/>
    <w:rsid w:val="001010D5"/>
    <w:rsid w:val="00101302"/>
    <w:rsid w:val="0010141D"/>
    <w:rsid w:val="0010147A"/>
    <w:rsid w:val="0010161D"/>
    <w:rsid w:val="00101648"/>
    <w:rsid w:val="0010178F"/>
    <w:rsid w:val="001017BC"/>
    <w:rsid w:val="00101B49"/>
    <w:rsid w:val="00101E03"/>
    <w:rsid w:val="00101F12"/>
    <w:rsid w:val="00101F4B"/>
    <w:rsid w:val="00101F77"/>
    <w:rsid w:val="00101FA5"/>
    <w:rsid w:val="0010201F"/>
    <w:rsid w:val="0010216A"/>
    <w:rsid w:val="0010216C"/>
    <w:rsid w:val="0010235C"/>
    <w:rsid w:val="001023DD"/>
    <w:rsid w:val="0010250B"/>
    <w:rsid w:val="0010252E"/>
    <w:rsid w:val="001025A9"/>
    <w:rsid w:val="0010269A"/>
    <w:rsid w:val="001026AC"/>
    <w:rsid w:val="00102814"/>
    <w:rsid w:val="0010281F"/>
    <w:rsid w:val="00102AC2"/>
    <w:rsid w:val="00102B3A"/>
    <w:rsid w:val="00102D04"/>
    <w:rsid w:val="00102E33"/>
    <w:rsid w:val="00102EA1"/>
    <w:rsid w:val="00102F2E"/>
    <w:rsid w:val="00102FC7"/>
    <w:rsid w:val="00103008"/>
    <w:rsid w:val="00103112"/>
    <w:rsid w:val="0010315E"/>
    <w:rsid w:val="0010322B"/>
    <w:rsid w:val="00103281"/>
    <w:rsid w:val="00103419"/>
    <w:rsid w:val="001034A8"/>
    <w:rsid w:val="0010386E"/>
    <w:rsid w:val="0010399F"/>
    <w:rsid w:val="00103A37"/>
    <w:rsid w:val="00103B13"/>
    <w:rsid w:val="00103B28"/>
    <w:rsid w:val="00103C54"/>
    <w:rsid w:val="00103CCF"/>
    <w:rsid w:val="00103E92"/>
    <w:rsid w:val="00103F3B"/>
    <w:rsid w:val="00103F3C"/>
    <w:rsid w:val="00104025"/>
    <w:rsid w:val="00104029"/>
    <w:rsid w:val="00104196"/>
    <w:rsid w:val="001041AF"/>
    <w:rsid w:val="001041D9"/>
    <w:rsid w:val="0010429D"/>
    <w:rsid w:val="0010431B"/>
    <w:rsid w:val="00104328"/>
    <w:rsid w:val="001045F4"/>
    <w:rsid w:val="00104634"/>
    <w:rsid w:val="00104798"/>
    <w:rsid w:val="001047AC"/>
    <w:rsid w:val="00104890"/>
    <w:rsid w:val="00104A43"/>
    <w:rsid w:val="00104A96"/>
    <w:rsid w:val="00104B65"/>
    <w:rsid w:val="00104BC0"/>
    <w:rsid w:val="00104BFA"/>
    <w:rsid w:val="00104E4C"/>
    <w:rsid w:val="00104E95"/>
    <w:rsid w:val="001051FC"/>
    <w:rsid w:val="001053F1"/>
    <w:rsid w:val="00105542"/>
    <w:rsid w:val="0010563E"/>
    <w:rsid w:val="00105663"/>
    <w:rsid w:val="0010569F"/>
    <w:rsid w:val="001056D9"/>
    <w:rsid w:val="001057ED"/>
    <w:rsid w:val="001057FB"/>
    <w:rsid w:val="001057FC"/>
    <w:rsid w:val="00105962"/>
    <w:rsid w:val="00105A76"/>
    <w:rsid w:val="00105CDA"/>
    <w:rsid w:val="00106082"/>
    <w:rsid w:val="0010609D"/>
    <w:rsid w:val="001061D9"/>
    <w:rsid w:val="0010627C"/>
    <w:rsid w:val="00106330"/>
    <w:rsid w:val="0010638D"/>
    <w:rsid w:val="001063AF"/>
    <w:rsid w:val="00106444"/>
    <w:rsid w:val="0010657C"/>
    <w:rsid w:val="00106755"/>
    <w:rsid w:val="0010676C"/>
    <w:rsid w:val="001068DF"/>
    <w:rsid w:val="00106930"/>
    <w:rsid w:val="00106A10"/>
    <w:rsid w:val="00106B5A"/>
    <w:rsid w:val="00106D82"/>
    <w:rsid w:val="00106DCC"/>
    <w:rsid w:val="00106E7F"/>
    <w:rsid w:val="00106ECE"/>
    <w:rsid w:val="00106F26"/>
    <w:rsid w:val="00106F4D"/>
    <w:rsid w:val="00106FA0"/>
    <w:rsid w:val="00106FED"/>
    <w:rsid w:val="001070EA"/>
    <w:rsid w:val="0010712B"/>
    <w:rsid w:val="001071BB"/>
    <w:rsid w:val="001071C7"/>
    <w:rsid w:val="00107347"/>
    <w:rsid w:val="00107356"/>
    <w:rsid w:val="00107380"/>
    <w:rsid w:val="00107506"/>
    <w:rsid w:val="0010761B"/>
    <w:rsid w:val="00107914"/>
    <w:rsid w:val="00107B61"/>
    <w:rsid w:val="00107D94"/>
    <w:rsid w:val="00107DE4"/>
    <w:rsid w:val="00110139"/>
    <w:rsid w:val="001101A8"/>
    <w:rsid w:val="0011024A"/>
    <w:rsid w:val="00110308"/>
    <w:rsid w:val="0011033B"/>
    <w:rsid w:val="00110347"/>
    <w:rsid w:val="001103E6"/>
    <w:rsid w:val="00110545"/>
    <w:rsid w:val="0011086A"/>
    <w:rsid w:val="00110CD1"/>
    <w:rsid w:val="00110D35"/>
    <w:rsid w:val="00110DE8"/>
    <w:rsid w:val="00110E84"/>
    <w:rsid w:val="0011124D"/>
    <w:rsid w:val="001112A7"/>
    <w:rsid w:val="00111417"/>
    <w:rsid w:val="001115B1"/>
    <w:rsid w:val="00111715"/>
    <w:rsid w:val="00111800"/>
    <w:rsid w:val="001118B8"/>
    <w:rsid w:val="001118CB"/>
    <w:rsid w:val="0011191F"/>
    <w:rsid w:val="00111921"/>
    <w:rsid w:val="00111B09"/>
    <w:rsid w:val="00111B4B"/>
    <w:rsid w:val="00111B6E"/>
    <w:rsid w:val="00111BAD"/>
    <w:rsid w:val="00111C68"/>
    <w:rsid w:val="00111C74"/>
    <w:rsid w:val="0011221C"/>
    <w:rsid w:val="00112399"/>
    <w:rsid w:val="001124CE"/>
    <w:rsid w:val="001124F5"/>
    <w:rsid w:val="001125AC"/>
    <w:rsid w:val="0011267F"/>
    <w:rsid w:val="001126ED"/>
    <w:rsid w:val="0011281B"/>
    <w:rsid w:val="00112870"/>
    <w:rsid w:val="0011289E"/>
    <w:rsid w:val="00112A44"/>
    <w:rsid w:val="00112A4B"/>
    <w:rsid w:val="00112BC4"/>
    <w:rsid w:val="00112DF1"/>
    <w:rsid w:val="00112FF0"/>
    <w:rsid w:val="00113075"/>
    <w:rsid w:val="00113098"/>
    <w:rsid w:val="001130A5"/>
    <w:rsid w:val="0011312B"/>
    <w:rsid w:val="0011327D"/>
    <w:rsid w:val="00113333"/>
    <w:rsid w:val="001133A1"/>
    <w:rsid w:val="001135FC"/>
    <w:rsid w:val="00113680"/>
    <w:rsid w:val="001137AD"/>
    <w:rsid w:val="001137B6"/>
    <w:rsid w:val="0011380A"/>
    <w:rsid w:val="001138A2"/>
    <w:rsid w:val="0011399B"/>
    <w:rsid w:val="001139B5"/>
    <w:rsid w:val="00113A28"/>
    <w:rsid w:val="00113B01"/>
    <w:rsid w:val="00113B05"/>
    <w:rsid w:val="00113B7D"/>
    <w:rsid w:val="00113C3B"/>
    <w:rsid w:val="00113C95"/>
    <w:rsid w:val="00113CCD"/>
    <w:rsid w:val="00113D53"/>
    <w:rsid w:val="00113FCA"/>
    <w:rsid w:val="00114088"/>
    <w:rsid w:val="001140DA"/>
    <w:rsid w:val="0011419A"/>
    <w:rsid w:val="0011421B"/>
    <w:rsid w:val="0011426C"/>
    <w:rsid w:val="001142F9"/>
    <w:rsid w:val="00114531"/>
    <w:rsid w:val="00114582"/>
    <w:rsid w:val="001146B3"/>
    <w:rsid w:val="001146FE"/>
    <w:rsid w:val="0011476F"/>
    <w:rsid w:val="001147C2"/>
    <w:rsid w:val="00114819"/>
    <w:rsid w:val="00114B09"/>
    <w:rsid w:val="00114B16"/>
    <w:rsid w:val="00114D1E"/>
    <w:rsid w:val="00114D35"/>
    <w:rsid w:val="00114D78"/>
    <w:rsid w:val="00114F85"/>
    <w:rsid w:val="00115144"/>
    <w:rsid w:val="001151F2"/>
    <w:rsid w:val="001152BF"/>
    <w:rsid w:val="001154FD"/>
    <w:rsid w:val="00115526"/>
    <w:rsid w:val="001155C6"/>
    <w:rsid w:val="001157FA"/>
    <w:rsid w:val="001159E0"/>
    <w:rsid w:val="00115BEC"/>
    <w:rsid w:val="00115BFF"/>
    <w:rsid w:val="00115D83"/>
    <w:rsid w:val="00115DB6"/>
    <w:rsid w:val="00115EA7"/>
    <w:rsid w:val="00115F1B"/>
    <w:rsid w:val="00115F21"/>
    <w:rsid w:val="00115FB9"/>
    <w:rsid w:val="00116105"/>
    <w:rsid w:val="0011611E"/>
    <w:rsid w:val="0011621F"/>
    <w:rsid w:val="0011628E"/>
    <w:rsid w:val="00116345"/>
    <w:rsid w:val="00116377"/>
    <w:rsid w:val="001164D2"/>
    <w:rsid w:val="00116605"/>
    <w:rsid w:val="00116631"/>
    <w:rsid w:val="001167EC"/>
    <w:rsid w:val="001167F1"/>
    <w:rsid w:val="0011684E"/>
    <w:rsid w:val="0011693C"/>
    <w:rsid w:val="00116C8E"/>
    <w:rsid w:val="00116CAD"/>
    <w:rsid w:val="00116CFF"/>
    <w:rsid w:val="00116D34"/>
    <w:rsid w:val="00117077"/>
    <w:rsid w:val="001170F3"/>
    <w:rsid w:val="001171A2"/>
    <w:rsid w:val="00117294"/>
    <w:rsid w:val="001172DE"/>
    <w:rsid w:val="00117533"/>
    <w:rsid w:val="0011758E"/>
    <w:rsid w:val="0011779D"/>
    <w:rsid w:val="001177B3"/>
    <w:rsid w:val="00117832"/>
    <w:rsid w:val="00117888"/>
    <w:rsid w:val="00117A06"/>
    <w:rsid w:val="00117A1D"/>
    <w:rsid w:val="00117A8B"/>
    <w:rsid w:val="00117CAB"/>
    <w:rsid w:val="00117CBC"/>
    <w:rsid w:val="00117CFB"/>
    <w:rsid w:val="00117E97"/>
    <w:rsid w:val="00120054"/>
    <w:rsid w:val="001200BF"/>
    <w:rsid w:val="0012013B"/>
    <w:rsid w:val="0012022E"/>
    <w:rsid w:val="0012040F"/>
    <w:rsid w:val="00120458"/>
    <w:rsid w:val="00120592"/>
    <w:rsid w:val="001207F3"/>
    <w:rsid w:val="00120881"/>
    <w:rsid w:val="00120884"/>
    <w:rsid w:val="001209C6"/>
    <w:rsid w:val="00120A43"/>
    <w:rsid w:val="00120A5E"/>
    <w:rsid w:val="00120BA2"/>
    <w:rsid w:val="00120C46"/>
    <w:rsid w:val="00120DFA"/>
    <w:rsid w:val="00120E5D"/>
    <w:rsid w:val="00120F28"/>
    <w:rsid w:val="00120FB9"/>
    <w:rsid w:val="00121091"/>
    <w:rsid w:val="00121138"/>
    <w:rsid w:val="00121237"/>
    <w:rsid w:val="0012138C"/>
    <w:rsid w:val="001213B1"/>
    <w:rsid w:val="00121516"/>
    <w:rsid w:val="00121520"/>
    <w:rsid w:val="00121697"/>
    <w:rsid w:val="001218AC"/>
    <w:rsid w:val="00121972"/>
    <w:rsid w:val="00121A14"/>
    <w:rsid w:val="00121A2F"/>
    <w:rsid w:val="00121B70"/>
    <w:rsid w:val="00121C1E"/>
    <w:rsid w:val="00121DE5"/>
    <w:rsid w:val="00121E03"/>
    <w:rsid w:val="00121E28"/>
    <w:rsid w:val="00121E45"/>
    <w:rsid w:val="00121F45"/>
    <w:rsid w:val="00121F76"/>
    <w:rsid w:val="00121FA0"/>
    <w:rsid w:val="00122117"/>
    <w:rsid w:val="0012221A"/>
    <w:rsid w:val="0012223A"/>
    <w:rsid w:val="00122385"/>
    <w:rsid w:val="00122436"/>
    <w:rsid w:val="00122485"/>
    <w:rsid w:val="001224D0"/>
    <w:rsid w:val="0012251E"/>
    <w:rsid w:val="001225AA"/>
    <w:rsid w:val="001226BE"/>
    <w:rsid w:val="00122712"/>
    <w:rsid w:val="001227DF"/>
    <w:rsid w:val="0012283F"/>
    <w:rsid w:val="00122A30"/>
    <w:rsid w:val="00122A5A"/>
    <w:rsid w:val="00122AE3"/>
    <w:rsid w:val="00122AFE"/>
    <w:rsid w:val="00122B0B"/>
    <w:rsid w:val="00122BDC"/>
    <w:rsid w:val="00122C6A"/>
    <w:rsid w:val="00122D48"/>
    <w:rsid w:val="00122D52"/>
    <w:rsid w:val="00122D6B"/>
    <w:rsid w:val="00122DF8"/>
    <w:rsid w:val="00122EBB"/>
    <w:rsid w:val="0012303A"/>
    <w:rsid w:val="0012308C"/>
    <w:rsid w:val="001230EB"/>
    <w:rsid w:val="00123112"/>
    <w:rsid w:val="00123372"/>
    <w:rsid w:val="001233EE"/>
    <w:rsid w:val="00123454"/>
    <w:rsid w:val="00123484"/>
    <w:rsid w:val="00123684"/>
    <w:rsid w:val="00123803"/>
    <w:rsid w:val="00123811"/>
    <w:rsid w:val="0012385B"/>
    <w:rsid w:val="00123865"/>
    <w:rsid w:val="00123985"/>
    <w:rsid w:val="00123C3F"/>
    <w:rsid w:val="00123DB4"/>
    <w:rsid w:val="00123E1C"/>
    <w:rsid w:val="00123F16"/>
    <w:rsid w:val="00123F7F"/>
    <w:rsid w:val="00123FB8"/>
    <w:rsid w:val="00123FF1"/>
    <w:rsid w:val="001241A0"/>
    <w:rsid w:val="0012424D"/>
    <w:rsid w:val="001242BA"/>
    <w:rsid w:val="00124386"/>
    <w:rsid w:val="00124409"/>
    <w:rsid w:val="00124536"/>
    <w:rsid w:val="001245FA"/>
    <w:rsid w:val="001246D5"/>
    <w:rsid w:val="00124870"/>
    <w:rsid w:val="00124967"/>
    <w:rsid w:val="00124A39"/>
    <w:rsid w:val="00124B61"/>
    <w:rsid w:val="00124BA5"/>
    <w:rsid w:val="00124D39"/>
    <w:rsid w:val="00124D4A"/>
    <w:rsid w:val="00124DBF"/>
    <w:rsid w:val="00124E43"/>
    <w:rsid w:val="00124F14"/>
    <w:rsid w:val="00124F9A"/>
    <w:rsid w:val="00125028"/>
    <w:rsid w:val="00125212"/>
    <w:rsid w:val="0012521B"/>
    <w:rsid w:val="001252B3"/>
    <w:rsid w:val="001252DC"/>
    <w:rsid w:val="001254CE"/>
    <w:rsid w:val="0012552B"/>
    <w:rsid w:val="001255D5"/>
    <w:rsid w:val="0012571D"/>
    <w:rsid w:val="00125724"/>
    <w:rsid w:val="00125892"/>
    <w:rsid w:val="001258B4"/>
    <w:rsid w:val="00125908"/>
    <w:rsid w:val="00125E54"/>
    <w:rsid w:val="00125EAE"/>
    <w:rsid w:val="00125FCD"/>
    <w:rsid w:val="00125FE1"/>
    <w:rsid w:val="0012605B"/>
    <w:rsid w:val="001260C2"/>
    <w:rsid w:val="00126133"/>
    <w:rsid w:val="0012613E"/>
    <w:rsid w:val="00126165"/>
    <w:rsid w:val="00126356"/>
    <w:rsid w:val="001263E5"/>
    <w:rsid w:val="00126403"/>
    <w:rsid w:val="0012643C"/>
    <w:rsid w:val="0012653C"/>
    <w:rsid w:val="00126614"/>
    <w:rsid w:val="00126652"/>
    <w:rsid w:val="00126870"/>
    <w:rsid w:val="001268C6"/>
    <w:rsid w:val="0012698B"/>
    <w:rsid w:val="00126AEA"/>
    <w:rsid w:val="00126BB3"/>
    <w:rsid w:val="00126C14"/>
    <w:rsid w:val="00126CE1"/>
    <w:rsid w:val="00126E38"/>
    <w:rsid w:val="00126E52"/>
    <w:rsid w:val="00126E70"/>
    <w:rsid w:val="00126E91"/>
    <w:rsid w:val="00126FAF"/>
    <w:rsid w:val="00126FC4"/>
    <w:rsid w:val="001270F3"/>
    <w:rsid w:val="00127122"/>
    <w:rsid w:val="00127170"/>
    <w:rsid w:val="001271A5"/>
    <w:rsid w:val="001271F8"/>
    <w:rsid w:val="00127337"/>
    <w:rsid w:val="00127474"/>
    <w:rsid w:val="001274B2"/>
    <w:rsid w:val="0012752C"/>
    <w:rsid w:val="001275EF"/>
    <w:rsid w:val="00127789"/>
    <w:rsid w:val="001278EA"/>
    <w:rsid w:val="0012796F"/>
    <w:rsid w:val="00127A01"/>
    <w:rsid w:val="00127A21"/>
    <w:rsid w:val="00127AEB"/>
    <w:rsid w:val="00127B87"/>
    <w:rsid w:val="00127BFB"/>
    <w:rsid w:val="00127E8F"/>
    <w:rsid w:val="00127F94"/>
    <w:rsid w:val="00130097"/>
    <w:rsid w:val="0013010B"/>
    <w:rsid w:val="00130189"/>
    <w:rsid w:val="0013023B"/>
    <w:rsid w:val="0013035F"/>
    <w:rsid w:val="00130429"/>
    <w:rsid w:val="001304A6"/>
    <w:rsid w:val="001305DD"/>
    <w:rsid w:val="00130623"/>
    <w:rsid w:val="00130877"/>
    <w:rsid w:val="00130AAC"/>
    <w:rsid w:val="00130AB8"/>
    <w:rsid w:val="00130ABB"/>
    <w:rsid w:val="00130AEE"/>
    <w:rsid w:val="00130B84"/>
    <w:rsid w:val="00130C22"/>
    <w:rsid w:val="00130D52"/>
    <w:rsid w:val="00130DE1"/>
    <w:rsid w:val="00130E3D"/>
    <w:rsid w:val="00131114"/>
    <w:rsid w:val="00131333"/>
    <w:rsid w:val="00131358"/>
    <w:rsid w:val="001313A2"/>
    <w:rsid w:val="0013145C"/>
    <w:rsid w:val="0013146A"/>
    <w:rsid w:val="001314FA"/>
    <w:rsid w:val="001315F6"/>
    <w:rsid w:val="00131816"/>
    <w:rsid w:val="0013187D"/>
    <w:rsid w:val="001319ED"/>
    <w:rsid w:val="00131A1C"/>
    <w:rsid w:val="00131B6A"/>
    <w:rsid w:val="00131D8B"/>
    <w:rsid w:val="00131DB9"/>
    <w:rsid w:val="00131DC3"/>
    <w:rsid w:val="00131E99"/>
    <w:rsid w:val="00131EAC"/>
    <w:rsid w:val="001320A6"/>
    <w:rsid w:val="001321F2"/>
    <w:rsid w:val="00132211"/>
    <w:rsid w:val="001324F0"/>
    <w:rsid w:val="0013263C"/>
    <w:rsid w:val="001326AA"/>
    <w:rsid w:val="001326D0"/>
    <w:rsid w:val="001328A9"/>
    <w:rsid w:val="001328C9"/>
    <w:rsid w:val="0013291D"/>
    <w:rsid w:val="0013292C"/>
    <w:rsid w:val="001329AC"/>
    <w:rsid w:val="00132AEE"/>
    <w:rsid w:val="00132C7E"/>
    <w:rsid w:val="00132DF5"/>
    <w:rsid w:val="00133142"/>
    <w:rsid w:val="00133217"/>
    <w:rsid w:val="00133262"/>
    <w:rsid w:val="001332B7"/>
    <w:rsid w:val="0013333C"/>
    <w:rsid w:val="0013341E"/>
    <w:rsid w:val="00133490"/>
    <w:rsid w:val="001334D2"/>
    <w:rsid w:val="00133745"/>
    <w:rsid w:val="00133834"/>
    <w:rsid w:val="00133887"/>
    <w:rsid w:val="001338AA"/>
    <w:rsid w:val="001339F2"/>
    <w:rsid w:val="00133A17"/>
    <w:rsid w:val="00133A27"/>
    <w:rsid w:val="00133B09"/>
    <w:rsid w:val="00133BE0"/>
    <w:rsid w:val="00133BF6"/>
    <w:rsid w:val="00133C04"/>
    <w:rsid w:val="00133C67"/>
    <w:rsid w:val="00133CE3"/>
    <w:rsid w:val="00133DFA"/>
    <w:rsid w:val="00133E1B"/>
    <w:rsid w:val="00133E4A"/>
    <w:rsid w:val="00133E6E"/>
    <w:rsid w:val="00133EC9"/>
    <w:rsid w:val="00133EFB"/>
    <w:rsid w:val="00133F1B"/>
    <w:rsid w:val="00133F1C"/>
    <w:rsid w:val="00133FBB"/>
    <w:rsid w:val="00134037"/>
    <w:rsid w:val="00134088"/>
    <w:rsid w:val="00134147"/>
    <w:rsid w:val="001341C5"/>
    <w:rsid w:val="001341F1"/>
    <w:rsid w:val="0013437B"/>
    <w:rsid w:val="0013437F"/>
    <w:rsid w:val="0013443D"/>
    <w:rsid w:val="001344B9"/>
    <w:rsid w:val="0013468C"/>
    <w:rsid w:val="001346C3"/>
    <w:rsid w:val="001347A1"/>
    <w:rsid w:val="0013492B"/>
    <w:rsid w:val="00134A83"/>
    <w:rsid w:val="00134D49"/>
    <w:rsid w:val="00134E66"/>
    <w:rsid w:val="00134F0F"/>
    <w:rsid w:val="00134F45"/>
    <w:rsid w:val="001350C0"/>
    <w:rsid w:val="00135181"/>
    <w:rsid w:val="00135216"/>
    <w:rsid w:val="00135221"/>
    <w:rsid w:val="00135296"/>
    <w:rsid w:val="00135345"/>
    <w:rsid w:val="00135352"/>
    <w:rsid w:val="001353A2"/>
    <w:rsid w:val="001353C4"/>
    <w:rsid w:val="00135473"/>
    <w:rsid w:val="001354DB"/>
    <w:rsid w:val="0013554B"/>
    <w:rsid w:val="00135604"/>
    <w:rsid w:val="001356B7"/>
    <w:rsid w:val="00135785"/>
    <w:rsid w:val="0013579D"/>
    <w:rsid w:val="00135910"/>
    <w:rsid w:val="00135940"/>
    <w:rsid w:val="001359F2"/>
    <w:rsid w:val="00135BDC"/>
    <w:rsid w:val="00135C16"/>
    <w:rsid w:val="00135CD1"/>
    <w:rsid w:val="00135D1C"/>
    <w:rsid w:val="00135D45"/>
    <w:rsid w:val="00135DD4"/>
    <w:rsid w:val="00135E4C"/>
    <w:rsid w:val="00135E7F"/>
    <w:rsid w:val="001360EA"/>
    <w:rsid w:val="0013625B"/>
    <w:rsid w:val="0013630C"/>
    <w:rsid w:val="001363C8"/>
    <w:rsid w:val="00136464"/>
    <w:rsid w:val="0013648C"/>
    <w:rsid w:val="001365C0"/>
    <w:rsid w:val="0013668E"/>
    <w:rsid w:val="001366F0"/>
    <w:rsid w:val="0013684B"/>
    <w:rsid w:val="00136ADF"/>
    <w:rsid w:val="00136B3F"/>
    <w:rsid w:val="00136B5A"/>
    <w:rsid w:val="00136D26"/>
    <w:rsid w:val="00136D7E"/>
    <w:rsid w:val="00137057"/>
    <w:rsid w:val="00137145"/>
    <w:rsid w:val="001372A8"/>
    <w:rsid w:val="001372FD"/>
    <w:rsid w:val="00137365"/>
    <w:rsid w:val="001373D6"/>
    <w:rsid w:val="001373F5"/>
    <w:rsid w:val="00137401"/>
    <w:rsid w:val="001374B5"/>
    <w:rsid w:val="001374B9"/>
    <w:rsid w:val="00137567"/>
    <w:rsid w:val="00137604"/>
    <w:rsid w:val="001376A4"/>
    <w:rsid w:val="001376B0"/>
    <w:rsid w:val="001377AD"/>
    <w:rsid w:val="001379BC"/>
    <w:rsid w:val="001379FD"/>
    <w:rsid w:val="00137BA1"/>
    <w:rsid w:val="00137E4B"/>
    <w:rsid w:val="00137E6E"/>
    <w:rsid w:val="00140004"/>
    <w:rsid w:val="001400C3"/>
    <w:rsid w:val="0014010C"/>
    <w:rsid w:val="00140119"/>
    <w:rsid w:val="00140175"/>
    <w:rsid w:val="0014019F"/>
    <w:rsid w:val="00140287"/>
    <w:rsid w:val="0014031C"/>
    <w:rsid w:val="001403DA"/>
    <w:rsid w:val="00140414"/>
    <w:rsid w:val="001404C6"/>
    <w:rsid w:val="001404CC"/>
    <w:rsid w:val="001406BB"/>
    <w:rsid w:val="00140702"/>
    <w:rsid w:val="001407D7"/>
    <w:rsid w:val="001407F7"/>
    <w:rsid w:val="0014094B"/>
    <w:rsid w:val="001409C5"/>
    <w:rsid w:val="001409DA"/>
    <w:rsid w:val="00140C51"/>
    <w:rsid w:val="00140E23"/>
    <w:rsid w:val="00140E40"/>
    <w:rsid w:val="00140EED"/>
    <w:rsid w:val="00140F26"/>
    <w:rsid w:val="00140F3E"/>
    <w:rsid w:val="00141113"/>
    <w:rsid w:val="0014122D"/>
    <w:rsid w:val="001412AE"/>
    <w:rsid w:val="001413C2"/>
    <w:rsid w:val="0014145F"/>
    <w:rsid w:val="00141506"/>
    <w:rsid w:val="0014159D"/>
    <w:rsid w:val="00141660"/>
    <w:rsid w:val="001416D5"/>
    <w:rsid w:val="0014178B"/>
    <w:rsid w:val="001419D0"/>
    <w:rsid w:val="00141A17"/>
    <w:rsid w:val="00141B89"/>
    <w:rsid w:val="00141BA4"/>
    <w:rsid w:val="00141C62"/>
    <w:rsid w:val="00141CAC"/>
    <w:rsid w:val="00141D1C"/>
    <w:rsid w:val="00141E81"/>
    <w:rsid w:val="00141F2A"/>
    <w:rsid w:val="00141FA8"/>
    <w:rsid w:val="00141FFE"/>
    <w:rsid w:val="001420DC"/>
    <w:rsid w:val="001421B5"/>
    <w:rsid w:val="001422CF"/>
    <w:rsid w:val="00142461"/>
    <w:rsid w:val="00142551"/>
    <w:rsid w:val="00142567"/>
    <w:rsid w:val="001425E9"/>
    <w:rsid w:val="00142644"/>
    <w:rsid w:val="0014271B"/>
    <w:rsid w:val="00142777"/>
    <w:rsid w:val="001428CC"/>
    <w:rsid w:val="00142962"/>
    <w:rsid w:val="0014299A"/>
    <w:rsid w:val="00142A5E"/>
    <w:rsid w:val="00142B45"/>
    <w:rsid w:val="00142BC5"/>
    <w:rsid w:val="00142CF5"/>
    <w:rsid w:val="00142D0D"/>
    <w:rsid w:val="00142D42"/>
    <w:rsid w:val="00142E3E"/>
    <w:rsid w:val="00142E8F"/>
    <w:rsid w:val="00142F22"/>
    <w:rsid w:val="00142F78"/>
    <w:rsid w:val="001430F2"/>
    <w:rsid w:val="00143366"/>
    <w:rsid w:val="0014343F"/>
    <w:rsid w:val="00143480"/>
    <w:rsid w:val="00143531"/>
    <w:rsid w:val="001435E0"/>
    <w:rsid w:val="00143622"/>
    <w:rsid w:val="0014362A"/>
    <w:rsid w:val="001437B3"/>
    <w:rsid w:val="001437CA"/>
    <w:rsid w:val="001437FC"/>
    <w:rsid w:val="001438A3"/>
    <w:rsid w:val="001439DD"/>
    <w:rsid w:val="00143A92"/>
    <w:rsid w:val="00143B39"/>
    <w:rsid w:val="00143BC0"/>
    <w:rsid w:val="00143C0A"/>
    <w:rsid w:val="00143C40"/>
    <w:rsid w:val="00143C56"/>
    <w:rsid w:val="00143D19"/>
    <w:rsid w:val="00143FFF"/>
    <w:rsid w:val="001442E3"/>
    <w:rsid w:val="00144380"/>
    <w:rsid w:val="001443D6"/>
    <w:rsid w:val="00144432"/>
    <w:rsid w:val="001445D9"/>
    <w:rsid w:val="001445E9"/>
    <w:rsid w:val="00144664"/>
    <w:rsid w:val="001446AE"/>
    <w:rsid w:val="001446F5"/>
    <w:rsid w:val="00144714"/>
    <w:rsid w:val="0014479D"/>
    <w:rsid w:val="0014480B"/>
    <w:rsid w:val="00144B03"/>
    <w:rsid w:val="00144B06"/>
    <w:rsid w:val="00144BC5"/>
    <w:rsid w:val="00144C20"/>
    <w:rsid w:val="00144CFE"/>
    <w:rsid w:val="00144E4E"/>
    <w:rsid w:val="00144F8A"/>
    <w:rsid w:val="00144FB6"/>
    <w:rsid w:val="00145031"/>
    <w:rsid w:val="001450FE"/>
    <w:rsid w:val="0014515F"/>
    <w:rsid w:val="001451B0"/>
    <w:rsid w:val="00145231"/>
    <w:rsid w:val="00145283"/>
    <w:rsid w:val="001453B5"/>
    <w:rsid w:val="0014566A"/>
    <w:rsid w:val="00145889"/>
    <w:rsid w:val="00145B6C"/>
    <w:rsid w:val="00145B74"/>
    <w:rsid w:val="00145B80"/>
    <w:rsid w:val="00145BC0"/>
    <w:rsid w:val="00145CE5"/>
    <w:rsid w:val="00145DD0"/>
    <w:rsid w:val="00145E97"/>
    <w:rsid w:val="0014616B"/>
    <w:rsid w:val="00146393"/>
    <w:rsid w:val="00146447"/>
    <w:rsid w:val="00146458"/>
    <w:rsid w:val="001464CF"/>
    <w:rsid w:val="00146577"/>
    <w:rsid w:val="00146651"/>
    <w:rsid w:val="00146731"/>
    <w:rsid w:val="0014681A"/>
    <w:rsid w:val="001468B8"/>
    <w:rsid w:val="00146925"/>
    <w:rsid w:val="001469B7"/>
    <w:rsid w:val="00146A32"/>
    <w:rsid w:val="00146B1F"/>
    <w:rsid w:val="00146B78"/>
    <w:rsid w:val="00146C25"/>
    <w:rsid w:val="00146C3D"/>
    <w:rsid w:val="00146FE7"/>
    <w:rsid w:val="0014711E"/>
    <w:rsid w:val="00147182"/>
    <w:rsid w:val="00147293"/>
    <w:rsid w:val="00147299"/>
    <w:rsid w:val="00147369"/>
    <w:rsid w:val="001473F9"/>
    <w:rsid w:val="00147440"/>
    <w:rsid w:val="00147483"/>
    <w:rsid w:val="001476B2"/>
    <w:rsid w:val="00147753"/>
    <w:rsid w:val="00147797"/>
    <w:rsid w:val="00147829"/>
    <w:rsid w:val="001478A5"/>
    <w:rsid w:val="001478FD"/>
    <w:rsid w:val="00147A11"/>
    <w:rsid w:val="00147A20"/>
    <w:rsid w:val="00147CB7"/>
    <w:rsid w:val="00147E20"/>
    <w:rsid w:val="00147F32"/>
    <w:rsid w:val="00147FF2"/>
    <w:rsid w:val="0015009E"/>
    <w:rsid w:val="001500E6"/>
    <w:rsid w:val="001503BA"/>
    <w:rsid w:val="001506E8"/>
    <w:rsid w:val="001506F0"/>
    <w:rsid w:val="001508CA"/>
    <w:rsid w:val="001508CE"/>
    <w:rsid w:val="001508D9"/>
    <w:rsid w:val="00150B3B"/>
    <w:rsid w:val="00150BD6"/>
    <w:rsid w:val="00150C0E"/>
    <w:rsid w:val="00150C14"/>
    <w:rsid w:val="00150C5C"/>
    <w:rsid w:val="00150CEE"/>
    <w:rsid w:val="00151001"/>
    <w:rsid w:val="0015107B"/>
    <w:rsid w:val="001510B3"/>
    <w:rsid w:val="0015121D"/>
    <w:rsid w:val="0015125D"/>
    <w:rsid w:val="001512FB"/>
    <w:rsid w:val="001513A1"/>
    <w:rsid w:val="001514F5"/>
    <w:rsid w:val="00151563"/>
    <w:rsid w:val="00151616"/>
    <w:rsid w:val="0015165B"/>
    <w:rsid w:val="0015169A"/>
    <w:rsid w:val="001516DB"/>
    <w:rsid w:val="001516F3"/>
    <w:rsid w:val="00151758"/>
    <w:rsid w:val="001519A6"/>
    <w:rsid w:val="00151BD5"/>
    <w:rsid w:val="00151DCD"/>
    <w:rsid w:val="00151FC5"/>
    <w:rsid w:val="00152038"/>
    <w:rsid w:val="001520F2"/>
    <w:rsid w:val="0015210D"/>
    <w:rsid w:val="00152272"/>
    <w:rsid w:val="00152331"/>
    <w:rsid w:val="001523ED"/>
    <w:rsid w:val="00152420"/>
    <w:rsid w:val="00152457"/>
    <w:rsid w:val="00152534"/>
    <w:rsid w:val="00152546"/>
    <w:rsid w:val="0015259C"/>
    <w:rsid w:val="001525E1"/>
    <w:rsid w:val="0015274D"/>
    <w:rsid w:val="0015281D"/>
    <w:rsid w:val="0015294E"/>
    <w:rsid w:val="00152A1F"/>
    <w:rsid w:val="00152C71"/>
    <w:rsid w:val="00152D02"/>
    <w:rsid w:val="00152DDF"/>
    <w:rsid w:val="00152DE2"/>
    <w:rsid w:val="00152F94"/>
    <w:rsid w:val="001532FD"/>
    <w:rsid w:val="0015348F"/>
    <w:rsid w:val="00153536"/>
    <w:rsid w:val="001535D5"/>
    <w:rsid w:val="00153611"/>
    <w:rsid w:val="0015369B"/>
    <w:rsid w:val="001536B7"/>
    <w:rsid w:val="00153787"/>
    <w:rsid w:val="0015381D"/>
    <w:rsid w:val="00153894"/>
    <w:rsid w:val="0015389A"/>
    <w:rsid w:val="001539E4"/>
    <w:rsid w:val="00153C6D"/>
    <w:rsid w:val="00153D93"/>
    <w:rsid w:val="00153E2E"/>
    <w:rsid w:val="00153E87"/>
    <w:rsid w:val="00153EA4"/>
    <w:rsid w:val="001540B2"/>
    <w:rsid w:val="001540F1"/>
    <w:rsid w:val="00154145"/>
    <w:rsid w:val="00154199"/>
    <w:rsid w:val="001543A8"/>
    <w:rsid w:val="00154559"/>
    <w:rsid w:val="001545DB"/>
    <w:rsid w:val="001545F0"/>
    <w:rsid w:val="00154615"/>
    <w:rsid w:val="001546B9"/>
    <w:rsid w:val="00154744"/>
    <w:rsid w:val="00154909"/>
    <w:rsid w:val="00154AD4"/>
    <w:rsid w:val="00154C1A"/>
    <w:rsid w:val="00154DAA"/>
    <w:rsid w:val="00154E82"/>
    <w:rsid w:val="001550F9"/>
    <w:rsid w:val="0015531B"/>
    <w:rsid w:val="0015545E"/>
    <w:rsid w:val="001555B6"/>
    <w:rsid w:val="00155602"/>
    <w:rsid w:val="0015569B"/>
    <w:rsid w:val="001556B4"/>
    <w:rsid w:val="00155712"/>
    <w:rsid w:val="00155728"/>
    <w:rsid w:val="001558BF"/>
    <w:rsid w:val="0015595B"/>
    <w:rsid w:val="00155963"/>
    <w:rsid w:val="0015596C"/>
    <w:rsid w:val="00155A1F"/>
    <w:rsid w:val="00155AFB"/>
    <w:rsid w:val="00155BCE"/>
    <w:rsid w:val="00155CB8"/>
    <w:rsid w:val="00155CBC"/>
    <w:rsid w:val="00155CC0"/>
    <w:rsid w:val="00155D74"/>
    <w:rsid w:val="00155E37"/>
    <w:rsid w:val="00156132"/>
    <w:rsid w:val="0015621A"/>
    <w:rsid w:val="0015628D"/>
    <w:rsid w:val="001562D7"/>
    <w:rsid w:val="001563F5"/>
    <w:rsid w:val="001565EB"/>
    <w:rsid w:val="0015663D"/>
    <w:rsid w:val="00156691"/>
    <w:rsid w:val="00156740"/>
    <w:rsid w:val="001567DC"/>
    <w:rsid w:val="001567F8"/>
    <w:rsid w:val="00156968"/>
    <w:rsid w:val="00156AAF"/>
    <w:rsid w:val="00156B45"/>
    <w:rsid w:val="00156BDD"/>
    <w:rsid w:val="00156C18"/>
    <w:rsid w:val="00156EEA"/>
    <w:rsid w:val="00156F7E"/>
    <w:rsid w:val="00156FE5"/>
    <w:rsid w:val="00157010"/>
    <w:rsid w:val="0015709E"/>
    <w:rsid w:val="00157193"/>
    <w:rsid w:val="00157311"/>
    <w:rsid w:val="001574B7"/>
    <w:rsid w:val="001574C0"/>
    <w:rsid w:val="00157549"/>
    <w:rsid w:val="00157680"/>
    <w:rsid w:val="0015769D"/>
    <w:rsid w:val="001576CE"/>
    <w:rsid w:val="001577EE"/>
    <w:rsid w:val="0015781A"/>
    <w:rsid w:val="00157A42"/>
    <w:rsid w:val="00157DBB"/>
    <w:rsid w:val="00157E90"/>
    <w:rsid w:val="00160105"/>
    <w:rsid w:val="00160308"/>
    <w:rsid w:val="00160335"/>
    <w:rsid w:val="0016038E"/>
    <w:rsid w:val="00160393"/>
    <w:rsid w:val="00160537"/>
    <w:rsid w:val="001606CF"/>
    <w:rsid w:val="001606DD"/>
    <w:rsid w:val="00160748"/>
    <w:rsid w:val="0016094B"/>
    <w:rsid w:val="00160956"/>
    <w:rsid w:val="00160A82"/>
    <w:rsid w:val="00160B8C"/>
    <w:rsid w:val="00160CA1"/>
    <w:rsid w:val="00160DA6"/>
    <w:rsid w:val="0016102E"/>
    <w:rsid w:val="001610DE"/>
    <w:rsid w:val="001610E2"/>
    <w:rsid w:val="001611E8"/>
    <w:rsid w:val="0016122B"/>
    <w:rsid w:val="00161252"/>
    <w:rsid w:val="0016128D"/>
    <w:rsid w:val="00161413"/>
    <w:rsid w:val="00161553"/>
    <w:rsid w:val="00161854"/>
    <w:rsid w:val="001618A5"/>
    <w:rsid w:val="001618C2"/>
    <w:rsid w:val="00161994"/>
    <w:rsid w:val="00161A2F"/>
    <w:rsid w:val="00161A93"/>
    <w:rsid w:val="00161C2C"/>
    <w:rsid w:val="00161C6F"/>
    <w:rsid w:val="00161D89"/>
    <w:rsid w:val="00161E91"/>
    <w:rsid w:val="00161F55"/>
    <w:rsid w:val="00162296"/>
    <w:rsid w:val="0016237E"/>
    <w:rsid w:val="001625D1"/>
    <w:rsid w:val="001625EF"/>
    <w:rsid w:val="00162720"/>
    <w:rsid w:val="00162879"/>
    <w:rsid w:val="00162A6F"/>
    <w:rsid w:val="00162B20"/>
    <w:rsid w:val="00162B96"/>
    <w:rsid w:val="00162BCE"/>
    <w:rsid w:val="00162D16"/>
    <w:rsid w:val="00162E2E"/>
    <w:rsid w:val="00162F1D"/>
    <w:rsid w:val="00162FCF"/>
    <w:rsid w:val="00162FD8"/>
    <w:rsid w:val="00163172"/>
    <w:rsid w:val="00163317"/>
    <w:rsid w:val="0016333E"/>
    <w:rsid w:val="001633DE"/>
    <w:rsid w:val="001636DB"/>
    <w:rsid w:val="001639F1"/>
    <w:rsid w:val="00163A1F"/>
    <w:rsid w:val="00163ADB"/>
    <w:rsid w:val="00163ADC"/>
    <w:rsid w:val="00163B6F"/>
    <w:rsid w:val="00163BCD"/>
    <w:rsid w:val="00163C47"/>
    <w:rsid w:val="00163D19"/>
    <w:rsid w:val="00163D34"/>
    <w:rsid w:val="00163E61"/>
    <w:rsid w:val="00163EAB"/>
    <w:rsid w:val="00163EB2"/>
    <w:rsid w:val="00163F19"/>
    <w:rsid w:val="00163F75"/>
    <w:rsid w:val="00164059"/>
    <w:rsid w:val="001640FD"/>
    <w:rsid w:val="001641AE"/>
    <w:rsid w:val="001641C0"/>
    <w:rsid w:val="00164226"/>
    <w:rsid w:val="00164490"/>
    <w:rsid w:val="00164599"/>
    <w:rsid w:val="00164913"/>
    <w:rsid w:val="00164A25"/>
    <w:rsid w:val="00164A59"/>
    <w:rsid w:val="00164A7A"/>
    <w:rsid w:val="00164BE0"/>
    <w:rsid w:val="00164C55"/>
    <w:rsid w:val="00164C74"/>
    <w:rsid w:val="00164C87"/>
    <w:rsid w:val="00164C8B"/>
    <w:rsid w:val="00164D26"/>
    <w:rsid w:val="00164D80"/>
    <w:rsid w:val="00164DA5"/>
    <w:rsid w:val="00164EF1"/>
    <w:rsid w:val="00164F59"/>
    <w:rsid w:val="00164F8A"/>
    <w:rsid w:val="00164FFB"/>
    <w:rsid w:val="001650A8"/>
    <w:rsid w:val="001651FA"/>
    <w:rsid w:val="00165218"/>
    <w:rsid w:val="0016526B"/>
    <w:rsid w:val="00165285"/>
    <w:rsid w:val="00165324"/>
    <w:rsid w:val="001653CF"/>
    <w:rsid w:val="0016540E"/>
    <w:rsid w:val="001654CA"/>
    <w:rsid w:val="001656C5"/>
    <w:rsid w:val="001657CF"/>
    <w:rsid w:val="00165883"/>
    <w:rsid w:val="00165A1F"/>
    <w:rsid w:val="00165AD1"/>
    <w:rsid w:val="00165BFB"/>
    <w:rsid w:val="00165C03"/>
    <w:rsid w:val="00165F2E"/>
    <w:rsid w:val="00166040"/>
    <w:rsid w:val="001660A3"/>
    <w:rsid w:val="001660EE"/>
    <w:rsid w:val="0016617D"/>
    <w:rsid w:val="0016627A"/>
    <w:rsid w:val="00166305"/>
    <w:rsid w:val="00166374"/>
    <w:rsid w:val="00166444"/>
    <w:rsid w:val="00166466"/>
    <w:rsid w:val="00166586"/>
    <w:rsid w:val="00166619"/>
    <w:rsid w:val="00166664"/>
    <w:rsid w:val="001666F7"/>
    <w:rsid w:val="001668D0"/>
    <w:rsid w:val="00166995"/>
    <w:rsid w:val="00166AD6"/>
    <w:rsid w:val="00166AF0"/>
    <w:rsid w:val="00166C45"/>
    <w:rsid w:val="00166DC1"/>
    <w:rsid w:val="00166DC3"/>
    <w:rsid w:val="00166F1C"/>
    <w:rsid w:val="001672DC"/>
    <w:rsid w:val="0016734C"/>
    <w:rsid w:val="001674A1"/>
    <w:rsid w:val="0016757A"/>
    <w:rsid w:val="0016760C"/>
    <w:rsid w:val="00167682"/>
    <w:rsid w:val="001677AA"/>
    <w:rsid w:val="0016786E"/>
    <w:rsid w:val="00167981"/>
    <w:rsid w:val="00167A0F"/>
    <w:rsid w:val="00167A25"/>
    <w:rsid w:val="00167ABA"/>
    <w:rsid w:val="00167B73"/>
    <w:rsid w:val="00167BC2"/>
    <w:rsid w:val="00167C44"/>
    <w:rsid w:val="00167C6D"/>
    <w:rsid w:val="00167D1B"/>
    <w:rsid w:val="00167FD3"/>
    <w:rsid w:val="00170085"/>
    <w:rsid w:val="0017037A"/>
    <w:rsid w:val="001703B6"/>
    <w:rsid w:val="001703F7"/>
    <w:rsid w:val="0017049E"/>
    <w:rsid w:val="0017057D"/>
    <w:rsid w:val="001705CF"/>
    <w:rsid w:val="00170636"/>
    <w:rsid w:val="00170857"/>
    <w:rsid w:val="0017088B"/>
    <w:rsid w:val="0017089D"/>
    <w:rsid w:val="00170A3F"/>
    <w:rsid w:val="00170AAF"/>
    <w:rsid w:val="00170ACB"/>
    <w:rsid w:val="00170B33"/>
    <w:rsid w:val="00170C30"/>
    <w:rsid w:val="00170D21"/>
    <w:rsid w:val="00170DFA"/>
    <w:rsid w:val="00170E13"/>
    <w:rsid w:val="00170E91"/>
    <w:rsid w:val="001710CE"/>
    <w:rsid w:val="0017126E"/>
    <w:rsid w:val="001712C3"/>
    <w:rsid w:val="00171304"/>
    <w:rsid w:val="00171369"/>
    <w:rsid w:val="0017156D"/>
    <w:rsid w:val="001716CF"/>
    <w:rsid w:val="001717A7"/>
    <w:rsid w:val="001717C2"/>
    <w:rsid w:val="001717F0"/>
    <w:rsid w:val="001718B6"/>
    <w:rsid w:val="00171921"/>
    <w:rsid w:val="001719EF"/>
    <w:rsid w:val="00171C1F"/>
    <w:rsid w:val="00171C72"/>
    <w:rsid w:val="00171D22"/>
    <w:rsid w:val="00171DE5"/>
    <w:rsid w:val="00171EFE"/>
    <w:rsid w:val="00172059"/>
    <w:rsid w:val="0017207E"/>
    <w:rsid w:val="0017209D"/>
    <w:rsid w:val="00172114"/>
    <w:rsid w:val="00172133"/>
    <w:rsid w:val="00172249"/>
    <w:rsid w:val="00172272"/>
    <w:rsid w:val="001722F8"/>
    <w:rsid w:val="00172388"/>
    <w:rsid w:val="0017246C"/>
    <w:rsid w:val="00172551"/>
    <w:rsid w:val="001725B7"/>
    <w:rsid w:val="001725DA"/>
    <w:rsid w:val="001726B0"/>
    <w:rsid w:val="0017272B"/>
    <w:rsid w:val="001729E9"/>
    <w:rsid w:val="00172CB2"/>
    <w:rsid w:val="00172D94"/>
    <w:rsid w:val="00172E32"/>
    <w:rsid w:val="00172E55"/>
    <w:rsid w:val="00172F37"/>
    <w:rsid w:val="00172F65"/>
    <w:rsid w:val="0017309F"/>
    <w:rsid w:val="00173180"/>
    <w:rsid w:val="0017331C"/>
    <w:rsid w:val="00173592"/>
    <w:rsid w:val="0017366D"/>
    <w:rsid w:val="001736F6"/>
    <w:rsid w:val="0017375B"/>
    <w:rsid w:val="001738AE"/>
    <w:rsid w:val="00173960"/>
    <w:rsid w:val="0017398D"/>
    <w:rsid w:val="00173A7B"/>
    <w:rsid w:val="00173AC1"/>
    <w:rsid w:val="00173C4D"/>
    <w:rsid w:val="00173CC2"/>
    <w:rsid w:val="00173D38"/>
    <w:rsid w:val="00173EA8"/>
    <w:rsid w:val="0017406A"/>
    <w:rsid w:val="00174213"/>
    <w:rsid w:val="00174260"/>
    <w:rsid w:val="001742A9"/>
    <w:rsid w:val="001742E8"/>
    <w:rsid w:val="0017432D"/>
    <w:rsid w:val="0017434C"/>
    <w:rsid w:val="00174473"/>
    <w:rsid w:val="00174496"/>
    <w:rsid w:val="001744F2"/>
    <w:rsid w:val="00174630"/>
    <w:rsid w:val="001746B6"/>
    <w:rsid w:val="001746C1"/>
    <w:rsid w:val="00174700"/>
    <w:rsid w:val="0017477D"/>
    <w:rsid w:val="001747DD"/>
    <w:rsid w:val="00174867"/>
    <w:rsid w:val="0017497A"/>
    <w:rsid w:val="00174BAC"/>
    <w:rsid w:val="00174BB9"/>
    <w:rsid w:val="00174CD1"/>
    <w:rsid w:val="00174E20"/>
    <w:rsid w:val="00174F55"/>
    <w:rsid w:val="00174FC9"/>
    <w:rsid w:val="00174FE2"/>
    <w:rsid w:val="00175142"/>
    <w:rsid w:val="0017537D"/>
    <w:rsid w:val="00175393"/>
    <w:rsid w:val="0017559E"/>
    <w:rsid w:val="001755B3"/>
    <w:rsid w:val="0017566B"/>
    <w:rsid w:val="00175687"/>
    <w:rsid w:val="001757A1"/>
    <w:rsid w:val="001757F9"/>
    <w:rsid w:val="0017597E"/>
    <w:rsid w:val="001759C8"/>
    <w:rsid w:val="001759D9"/>
    <w:rsid w:val="00175B08"/>
    <w:rsid w:val="00175B26"/>
    <w:rsid w:val="00175B82"/>
    <w:rsid w:val="00175CA6"/>
    <w:rsid w:val="00175D87"/>
    <w:rsid w:val="00175E93"/>
    <w:rsid w:val="00175EA5"/>
    <w:rsid w:val="00175F02"/>
    <w:rsid w:val="00175F9C"/>
    <w:rsid w:val="00175FBC"/>
    <w:rsid w:val="001760B4"/>
    <w:rsid w:val="00176121"/>
    <w:rsid w:val="00176151"/>
    <w:rsid w:val="00176279"/>
    <w:rsid w:val="00176376"/>
    <w:rsid w:val="00176428"/>
    <w:rsid w:val="001764BB"/>
    <w:rsid w:val="00176561"/>
    <w:rsid w:val="0017660D"/>
    <w:rsid w:val="00176784"/>
    <w:rsid w:val="0017682C"/>
    <w:rsid w:val="001769FA"/>
    <w:rsid w:val="00176BB6"/>
    <w:rsid w:val="00176C14"/>
    <w:rsid w:val="00176C5A"/>
    <w:rsid w:val="00176D0D"/>
    <w:rsid w:val="00176DEC"/>
    <w:rsid w:val="00176E78"/>
    <w:rsid w:val="00176FC5"/>
    <w:rsid w:val="00177114"/>
    <w:rsid w:val="0017725B"/>
    <w:rsid w:val="00177510"/>
    <w:rsid w:val="0017773D"/>
    <w:rsid w:val="001777E2"/>
    <w:rsid w:val="0017784F"/>
    <w:rsid w:val="00177956"/>
    <w:rsid w:val="00177B23"/>
    <w:rsid w:val="00177F66"/>
    <w:rsid w:val="00177FD5"/>
    <w:rsid w:val="00180031"/>
    <w:rsid w:val="0018025C"/>
    <w:rsid w:val="001802A6"/>
    <w:rsid w:val="001803AC"/>
    <w:rsid w:val="001805A8"/>
    <w:rsid w:val="00180686"/>
    <w:rsid w:val="001807DA"/>
    <w:rsid w:val="00180830"/>
    <w:rsid w:val="001809B3"/>
    <w:rsid w:val="00180A1C"/>
    <w:rsid w:val="00180CBB"/>
    <w:rsid w:val="00180E10"/>
    <w:rsid w:val="00180E27"/>
    <w:rsid w:val="00180E84"/>
    <w:rsid w:val="00180F9E"/>
    <w:rsid w:val="001811CE"/>
    <w:rsid w:val="001811D8"/>
    <w:rsid w:val="0018120D"/>
    <w:rsid w:val="0018126E"/>
    <w:rsid w:val="001813B5"/>
    <w:rsid w:val="0018149E"/>
    <w:rsid w:val="001814C4"/>
    <w:rsid w:val="001814C5"/>
    <w:rsid w:val="001814FC"/>
    <w:rsid w:val="001816DF"/>
    <w:rsid w:val="00181710"/>
    <w:rsid w:val="00181726"/>
    <w:rsid w:val="0018174C"/>
    <w:rsid w:val="00181765"/>
    <w:rsid w:val="00181A1E"/>
    <w:rsid w:val="00181A21"/>
    <w:rsid w:val="00181AAA"/>
    <w:rsid w:val="00181AF2"/>
    <w:rsid w:val="00181CDF"/>
    <w:rsid w:val="00181CE1"/>
    <w:rsid w:val="00181DFB"/>
    <w:rsid w:val="00181F49"/>
    <w:rsid w:val="00181F9A"/>
    <w:rsid w:val="00181FE4"/>
    <w:rsid w:val="00181FE8"/>
    <w:rsid w:val="0018203F"/>
    <w:rsid w:val="001822DA"/>
    <w:rsid w:val="0018231F"/>
    <w:rsid w:val="001823DE"/>
    <w:rsid w:val="001824C4"/>
    <w:rsid w:val="001824F4"/>
    <w:rsid w:val="0018256F"/>
    <w:rsid w:val="001825A1"/>
    <w:rsid w:val="00182697"/>
    <w:rsid w:val="001826CE"/>
    <w:rsid w:val="0018282A"/>
    <w:rsid w:val="00182848"/>
    <w:rsid w:val="001828A9"/>
    <w:rsid w:val="001828E8"/>
    <w:rsid w:val="001828F5"/>
    <w:rsid w:val="00182B18"/>
    <w:rsid w:val="00182BCC"/>
    <w:rsid w:val="00182C17"/>
    <w:rsid w:val="00182C9D"/>
    <w:rsid w:val="00182CA4"/>
    <w:rsid w:val="00182D06"/>
    <w:rsid w:val="00182D58"/>
    <w:rsid w:val="00182DC7"/>
    <w:rsid w:val="00182F64"/>
    <w:rsid w:val="0018300B"/>
    <w:rsid w:val="00183089"/>
    <w:rsid w:val="001831FC"/>
    <w:rsid w:val="00183232"/>
    <w:rsid w:val="001832B0"/>
    <w:rsid w:val="00183309"/>
    <w:rsid w:val="00183312"/>
    <w:rsid w:val="00183502"/>
    <w:rsid w:val="001836C3"/>
    <w:rsid w:val="001836EB"/>
    <w:rsid w:val="00183708"/>
    <w:rsid w:val="00183AD0"/>
    <w:rsid w:val="00183B79"/>
    <w:rsid w:val="00183BB6"/>
    <w:rsid w:val="00183BBF"/>
    <w:rsid w:val="00183BC4"/>
    <w:rsid w:val="00183C9C"/>
    <w:rsid w:val="00183DE2"/>
    <w:rsid w:val="00183E37"/>
    <w:rsid w:val="00183E7C"/>
    <w:rsid w:val="00183ED8"/>
    <w:rsid w:val="00183F1E"/>
    <w:rsid w:val="00183FF1"/>
    <w:rsid w:val="0018404B"/>
    <w:rsid w:val="0018417E"/>
    <w:rsid w:val="0018429A"/>
    <w:rsid w:val="0018432A"/>
    <w:rsid w:val="001845D1"/>
    <w:rsid w:val="001846DF"/>
    <w:rsid w:val="00184712"/>
    <w:rsid w:val="001847F8"/>
    <w:rsid w:val="00184841"/>
    <w:rsid w:val="001848DC"/>
    <w:rsid w:val="00184946"/>
    <w:rsid w:val="0018494C"/>
    <w:rsid w:val="00184AE8"/>
    <w:rsid w:val="00184B89"/>
    <w:rsid w:val="00184C80"/>
    <w:rsid w:val="00184C91"/>
    <w:rsid w:val="00184D07"/>
    <w:rsid w:val="00184D10"/>
    <w:rsid w:val="00184D32"/>
    <w:rsid w:val="00184DB7"/>
    <w:rsid w:val="00184DDD"/>
    <w:rsid w:val="00184F7D"/>
    <w:rsid w:val="00184F96"/>
    <w:rsid w:val="00184F9F"/>
    <w:rsid w:val="001850C4"/>
    <w:rsid w:val="00185106"/>
    <w:rsid w:val="0018515A"/>
    <w:rsid w:val="001851A0"/>
    <w:rsid w:val="00185288"/>
    <w:rsid w:val="0018559A"/>
    <w:rsid w:val="001855B2"/>
    <w:rsid w:val="00185748"/>
    <w:rsid w:val="001857F3"/>
    <w:rsid w:val="00185828"/>
    <w:rsid w:val="0018599D"/>
    <w:rsid w:val="00185ABC"/>
    <w:rsid w:val="00185B23"/>
    <w:rsid w:val="00185C5A"/>
    <w:rsid w:val="00185D70"/>
    <w:rsid w:val="00185D72"/>
    <w:rsid w:val="00185F10"/>
    <w:rsid w:val="00185FD3"/>
    <w:rsid w:val="001860ED"/>
    <w:rsid w:val="0018611A"/>
    <w:rsid w:val="001862CC"/>
    <w:rsid w:val="00186458"/>
    <w:rsid w:val="00186481"/>
    <w:rsid w:val="0018650A"/>
    <w:rsid w:val="00186579"/>
    <w:rsid w:val="0018659B"/>
    <w:rsid w:val="001865CC"/>
    <w:rsid w:val="00186629"/>
    <w:rsid w:val="001867F4"/>
    <w:rsid w:val="00186A26"/>
    <w:rsid w:val="00186B67"/>
    <w:rsid w:val="00186C62"/>
    <w:rsid w:val="00186C9C"/>
    <w:rsid w:val="00186E1B"/>
    <w:rsid w:val="00187028"/>
    <w:rsid w:val="001870DD"/>
    <w:rsid w:val="001871B9"/>
    <w:rsid w:val="001873B0"/>
    <w:rsid w:val="001873BE"/>
    <w:rsid w:val="00187444"/>
    <w:rsid w:val="00187553"/>
    <w:rsid w:val="00187573"/>
    <w:rsid w:val="00187A8A"/>
    <w:rsid w:val="00187BCF"/>
    <w:rsid w:val="00187C1E"/>
    <w:rsid w:val="00187CA8"/>
    <w:rsid w:val="00187CB0"/>
    <w:rsid w:val="00187DE0"/>
    <w:rsid w:val="00190004"/>
    <w:rsid w:val="0019003D"/>
    <w:rsid w:val="001900C2"/>
    <w:rsid w:val="0019012B"/>
    <w:rsid w:val="0019014B"/>
    <w:rsid w:val="0019024E"/>
    <w:rsid w:val="001902D7"/>
    <w:rsid w:val="001903C2"/>
    <w:rsid w:val="00190431"/>
    <w:rsid w:val="00190474"/>
    <w:rsid w:val="001904AA"/>
    <w:rsid w:val="00190522"/>
    <w:rsid w:val="00190542"/>
    <w:rsid w:val="00190556"/>
    <w:rsid w:val="001905A1"/>
    <w:rsid w:val="001905BC"/>
    <w:rsid w:val="00190716"/>
    <w:rsid w:val="00190760"/>
    <w:rsid w:val="001909C2"/>
    <w:rsid w:val="001909FA"/>
    <w:rsid w:val="00190AA0"/>
    <w:rsid w:val="00190AFA"/>
    <w:rsid w:val="00190C65"/>
    <w:rsid w:val="00190D1A"/>
    <w:rsid w:val="00190D49"/>
    <w:rsid w:val="00190DB1"/>
    <w:rsid w:val="00190EC1"/>
    <w:rsid w:val="00190EE5"/>
    <w:rsid w:val="00190EE6"/>
    <w:rsid w:val="00190FB8"/>
    <w:rsid w:val="0019101A"/>
    <w:rsid w:val="00191043"/>
    <w:rsid w:val="00191298"/>
    <w:rsid w:val="001913AB"/>
    <w:rsid w:val="0019155C"/>
    <w:rsid w:val="0019162C"/>
    <w:rsid w:val="001916BB"/>
    <w:rsid w:val="001918CC"/>
    <w:rsid w:val="001918ED"/>
    <w:rsid w:val="0019198B"/>
    <w:rsid w:val="001919D9"/>
    <w:rsid w:val="001919DD"/>
    <w:rsid w:val="001919F0"/>
    <w:rsid w:val="00191A2D"/>
    <w:rsid w:val="00191B6A"/>
    <w:rsid w:val="00191BC2"/>
    <w:rsid w:val="00191CEC"/>
    <w:rsid w:val="00191D3F"/>
    <w:rsid w:val="00191DF3"/>
    <w:rsid w:val="00191E06"/>
    <w:rsid w:val="00191E09"/>
    <w:rsid w:val="00191E2D"/>
    <w:rsid w:val="00191E45"/>
    <w:rsid w:val="00191F1C"/>
    <w:rsid w:val="00191F5A"/>
    <w:rsid w:val="001920AA"/>
    <w:rsid w:val="001920BA"/>
    <w:rsid w:val="001920E6"/>
    <w:rsid w:val="00192168"/>
    <w:rsid w:val="00192249"/>
    <w:rsid w:val="0019227F"/>
    <w:rsid w:val="0019237B"/>
    <w:rsid w:val="001925EB"/>
    <w:rsid w:val="001928D9"/>
    <w:rsid w:val="00192933"/>
    <w:rsid w:val="00192B7F"/>
    <w:rsid w:val="00192E02"/>
    <w:rsid w:val="00192E13"/>
    <w:rsid w:val="00192EBC"/>
    <w:rsid w:val="00193010"/>
    <w:rsid w:val="00193086"/>
    <w:rsid w:val="001930C5"/>
    <w:rsid w:val="00193285"/>
    <w:rsid w:val="0019336E"/>
    <w:rsid w:val="001934C3"/>
    <w:rsid w:val="0019359E"/>
    <w:rsid w:val="00193664"/>
    <w:rsid w:val="00193680"/>
    <w:rsid w:val="001939AD"/>
    <w:rsid w:val="00193A7A"/>
    <w:rsid w:val="00193AE1"/>
    <w:rsid w:val="00193C53"/>
    <w:rsid w:val="00193DC3"/>
    <w:rsid w:val="00193DE0"/>
    <w:rsid w:val="00193FB8"/>
    <w:rsid w:val="00193FC9"/>
    <w:rsid w:val="0019401E"/>
    <w:rsid w:val="0019415C"/>
    <w:rsid w:val="0019419A"/>
    <w:rsid w:val="0019425A"/>
    <w:rsid w:val="001943FE"/>
    <w:rsid w:val="001945EC"/>
    <w:rsid w:val="001945F2"/>
    <w:rsid w:val="00194618"/>
    <w:rsid w:val="001947C9"/>
    <w:rsid w:val="00194B0F"/>
    <w:rsid w:val="00194B5B"/>
    <w:rsid w:val="00194C70"/>
    <w:rsid w:val="00194E04"/>
    <w:rsid w:val="00194E16"/>
    <w:rsid w:val="00194F14"/>
    <w:rsid w:val="0019503C"/>
    <w:rsid w:val="00195184"/>
    <w:rsid w:val="00195290"/>
    <w:rsid w:val="0019552D"/>
    <w:rsid w:val="00195567"/>
    <w:rsid w:val="00195636"/>
    <w:rsid w:val="0019573E"/>
    <w:rsid w:val="001958D0"/>
    <w:rsid w:val="00195917"/>
    <w:rsid w:val="0019592A"/>
    <w:rsid w:val="001959D4"/>
    <w:rsid w:val="00195AED"/>
    <w:rsid w:val="00195B9B"/>
    <w:rsid w:val="00195C08"/>
    <w:rsid w:val="00195C8E"/>
    <w:rsid w:val="00195E08"/>
    <w:rsid w:val="00195F19"/>
    <w:rsid w:val="00195F4D"/>
    <w:rsid w:val="001960D2"/>
    <w:rsid w:val="00196175"/>
    <w:rsid w:val="0019618D"/>
    <w:rsid w:val="00196218"/>
    <w:rsid w:val="001964C2"/>
    <w:rsid w:val="001965B9"/>
    <w:rsid w:val="0019698B"/>
    <w:rsid w:val="001969A5"/>
    <w:rsid w:val="00196C02"/>
    <w:rsid w:val="00197002"/>
    <w:rsid w:val="00197026"/>
    <w:rsid w:val="00197061"/>
    <w:rsid w:val="0019711D"/>
    <w:rsid w:val="00197238"/>
    <w:rsid w:val="0019728C"/>
    <w:rsid w:val="001972D2"/>
    <w:rsid w:val="00197322"/>
    <w:rsid w:val="00197426"/>
    <w:rsid w:val="001974D0"/>
    <w:rsid w:val="001974E0"/>
    <w:rsid w:val="001974E1"/>
    <w:rsid w:val="00197543"/>
    <w:rsid w:val="0019757C"/>
    <w:rsid w:val="001975F5"/>
    <w:rsid w:val="001975FC"/>
    <w:rsid w:val="001976CA"/>
    <w:rsid w:val="00197820"/>
    <w:rsid w:val="00197867"/>
    <w:rsid w:val="001978DE"/>
    <w:rsid w:val="0019793F"/>
    <w:rsid w:val="00197A92"/>
    <w:rsid w:val="00197AB8"/>
    <w:rsid w:val="00197C26"/>
    <w:rsid w:val="00197C8B"/>
    <w:rsid w:val="00197C97"/>
    <w:rsid w:val="00197D16"/>
    <w:rsid w:val="00197D50"/>
    <w:rsid w:val="00197E33"/>
    <w:rsid w:val="00197F21"/>
    <w:rsid w:val="00197FD8"/>
    <w:rsid w:val="001A007D"/>
    <w:rsid w:val="001A00B2"/>
    <w:rsid w:val="001A00E1"/>
    <w:rsid w:val="001A01EB"/>
    <w:rsid w:val="001A0272"/>
    <w:rsid w:val="001A02CB"/>
    <w:rsid w:val="001A0323"/>
    <w:rsid w:val="001A0361"/>
    <w:rsid w:val="001A036B"/>
    <w:rsid w:val="001A04A4"/>
    <w:rsid w:val="001A053E"/>
    <w:rsid w:val="001A0544"/>
    <w:rsid w:val="001A0765"/>
    <w:rsid w:val="001A0802"/>
    <w:rsid w:val="001A0865"/>
    <w:rsid w:val="001A09DB"/>
    <w:rsid w:val="001A0B97"/>
    <w:rsid w:val="001A0D6A"/>
    <w:rsid w:val="001A0F20"/>
    <w:rsid w:val="001A1064"/>
    <w:rsid w:val="001A10D8"/>
    <w:rsid w:val="001A1115"/>
    <w:rsid w:val="001A11B8"/>
    <w:rsid w:val="001A11D3"/>
    <w:rsid w:val="001A11D4"/>
    <w:rsid w:val="001A1278"/>
    <w:rsid w:val="001A12CE"/>
    <w:rsid w:val="001A13D0"/>
    <w:rsid w:val="001A15A4"/>
    <w:rsid w:val="001A15CC"/>
    <w:rsid w:val="001A1697"/>
    <w:rsid w:val="001A1743"/>
    <w:rsid w:val="001A17A2"/>
    <w:rsid w:val="001A17C1"/>
    <w:rsid w:val="001A17F6"/>
    <w:rsid w:val="001A180F"/>
    <w:rsid w:val="001A1834"/>
    <w:rsid w:val="001A1A02"/>
    <w:rsid w:val="001A1C06"/>
    <w:rsid w:val="001A1DBF"/>
    <w:rsid w:val="001A1F0F"/>
    <w:rsid w:val="001A20C8"/>
    <w:rsid w:val="001A2100"/>
    <w:rsid w:val="001A2191"/>
    <w:rsid w:val="001A2283"/>
    <w:rsid w:val="001A236C"/>
    <w:rsid w:val="001A237D"/>
    <w:rsid w:val="001A23F6"/>
    <w:rsid w:val="001A2404"/>
    <w:rsid w:val="001A244B"/>
    <w:rsid w:val="001A2544"/>
    <w:rsid w:val="001A262C"/>
    <w:rsid w:val="001A26F6"/>
    <w:rsid w:val="001A27F3"/>
    <w:rsid w:val="001A2994"/>
    <w:rsid w:val="001A2A18"/>
    <w:rsid w:val="001A2A1B"/>
    <w:rsid w:val="001A2A59"/>
    <w:rsid w:val="001A2A92"/>
    <w:rsid w:val="001A2CC2"/>
    <w:rsid w:val="001A2CD4"/>
    <w:rsid w:val="001A2F66"/>
    <w:rsid w:val="001A2FFC"/>
    <w:rsid w:val="001A31B1"/>
    <w:rsid w:val="001A339A"/>
    <w:rsid w:val="001A344A"/>
    <w:rsid w:val="001A3519"/>
    <w:rsid w:val="001A35C0"/>
    <w:rsid w:val="001A36FE"/>
    <w:rsid w:val="001A380B"/>
    <w:rsid w:val="001A3A74"/>
    <w:rsid w:val="001A3AB7"/>
    <w:rsid w:val="001A3D71"/>
    <w:rsid w:val="001A3DAF"/>
    <w:rsid w:val="001A3E10"/>
    <w:rsid w:val="001A3E11"/>
    <w:rsid w:val="001A3E12"/>
    <w:rsid w:val="001A3EF1"/>
    <w:rsid w:val="001A3F53"/>
    <w:rsid w:val="001A3F5A"/>
    <w:rsid w:val="001A3F8B"/>
    <w:rsid w:val="001A3FBB"/>
    <w:rsid w:val="001A4112"/>
    <w:rsid w:val="001A41F1"/>
    <w:rsid w:val="001A42F2"/>
    <w:rsid w:val="001A42FB"/>
    <w:rsid w:val="001A432B"/>
    <w:rsid w:val="001A4373"/>
    <w:rsid w:val="001A45F6"/>
    <w:rsid w:val="001A46DF"/>
    <w:rsid w:val="001A46EA"/>
    <w:rsid w:val="001A497C"/>
    <w:rsid w:val="001A497D"/>
    <w:rsid w:val="001A4A1B"/>
    <w:rsid w:val="001A4A44"/>
    <w:rsid w:val="001A4C7E"/>
    <w:rsid w:val="001A4D01"/>
    <w:rsid w:val="001A4E1B"/>
    <w:rsid w:val="001A4F1F"/>
    <w:rsid w:val="001A4F3A"/>
    <w:rsid w:val="001A5165"/>
    <w:rsid w:val="001A51DE"/>
    <w:rsid w:val="001A5391"/>
    <w:rsid w:val="001A542D"/>
    <w:rsid w:val="001A54D8"/>
    <w:rsid w:val="001A5565"/>
    <w:rsid w:val="001A558E"/>
    <w:rsid w:val="001A5695"/>
    <w:rsid w:val="001A56A0"/>
    <w:rsid w:val="001A5894"/>
    <w:rsid w:val="001A596E"/>
    <w:rsid w:val="001A5A55"/>
    <w:rsid w:val="001A5B14"/>
    <w:rsid w:val="001A5BB0"/>
    <w:rsid w:val="001A5CCD"/>
    <w:rsid w:val="001A5EA5"/>
    <w:rsid w:val="001A5F54"/>
    <w:rsid w:val="001A5F73"/>
    <w:rsid w:val="001A60FC"/>
    <w:rsid w:val="001A6378"/>
    <w:rsid w:val="001A63EC"/>
    <w:rsid w:val="001A6420"/>
    <w:rsid w:val="001A660C"/>
    <w:rsid w:val="001A661F"/>
    <w:rsid w:val="001A6624"/>
    <w:rsid w:val="001A668E"/>
    <w:rsid w:val="001A690F"/>
    <w:rsid w:val="001A6A00"/>
    <w:rsid w:val="001A6A90"/>
    <w:rsid w:val="001A6AE7"/>
    <w:rsid w:val="001A6B4F"/>
    <w:rsid w:val="001A6D7A"/>
    <w:rsid w:val="001A6DBE"/>
    <w:rsid w:val="001A6E08"/>
    <w:rsid w:val="001A6F1C"/>
    <w:rsid w:val="001A6FD2"/>
    <w:rsid w:val="001A7114"/>
    <w:rsid w:val="001A7220"/>
    <w:rsid w:val="001A7389"/>
    <w:rsid w:val="001A74BF"/>
    <w:rsid w:val="001A7642"/>
    <w:rsid w:val="001A7699"/>
    <w:rsid w:val="001A776A"/>
    <w:rsid w:val="001A778D"/>
    <w:rsid w:val="001A77BF"/>
    <w:rsid w:val="001A78AF"/>
    <w:rsid w:val="001A796E"/>
    <w:rsid w:val="001A7972"/>
    <w:rsid w:val="001A7AE9"/>
    <w:rsid w:val="001A7B14"/>
    <w:rsid w:val="001A7B35"/>
    <w:rsid w:val="001A7B3D"/>
    <w:rsid w:val="001A7DC7"/>
    <w:rsid w:val="001A7E22"/>
    <w:rsid w:val="001A7E46"/>
    <w:rsid w:val="001A7EAC"/>
    <w:rsid w:val="001A7F9D"/>
    <w:rsid w:val="001B0000"/>
    <w:rsid w:val="001B0011"/>
    <w:rsid w:val="001B0145"/>
    <w:rsid w:val="001B02E9"/>
    <w:rsid w:val="001B04C4"/>
    <w:rsid w:val="001B04D2"/>
    <w:rsid w:val="001B04EE"/>
    <w:rsid w:val="001B0748"/>
    <w:rsid w:val="001B07A0"/>
    <w:rsid w:val="001B083A"/>
    <w:rsid w:val="001B08EA"/>
    <w:rsid w:val="001B08EF"/>
    <w:rsid w:val="001B09B0"/>
    <w:rsid w:val="001B09FF"/>
    <w:rsid w:val="001B0CCB"/>
    <w:rsid w:val="001B0D93"/>
    <w:rsid w:val="001B0EEC"/>
    <w:rsid w:val="001B1008"/>
    <w:rsid w:val="001B10FB"/>
    <w:rsid w:val="001B116F"/>
    <w:rsid w:val="001B133C"/>
    <w:rsid w:val="001B1341"/>
    <w:rsid w:val="001B1407"/>
    <w:rsid w:val="001B151A"/>
    <w:rsid w:val="001B1636"/>
    <w:rsid w:val="001B1715"/>
    <w:rsid w:val="001B182A"/>
    <w:rsid w:val="001B182D"/>
    <w:rsid w:val="001B1839"/>
    <w:rsid w:val="001B18D7"/>
    <w:rsid w:val="001B1B14"/>
    <w:rsid w:val="001B1B5A"/>
    <w:rsid w:val="001B1C4B"/>
    <w:rsid w:val="001B1C52"/>
    <w:rsid w:val="001B1EEA"/>
    <w:rsid w:val="001B1F27"/>
    <w:rsid w:val="001B1F7F"/>
    <w:rsid w:val="001B2008"/>
    <w:rsid w:val="001B222C"/>
    <w:rsid w:val="001B23E1"/>
    <w:rsid w:val="001B252A"/>
    <w:rsid w:val="001B25C0"/>
    <w:rsid w:val="001B26E3"/>
    <w:rsid w:val="001B27DE"/>
    <w:rsid w:val="001B29F6"/>
    <w:rsid w:val="001B2A9D"/>
    <w:rsid w:val="001B2AB1"/>
    <w:rsid w:val="001B2C21"/>
    <w:rsid w:val="001B2C30"/>
    <w:rsid w:val="001B2CAD"/>
    <w:rsid w:val="001B2CB6"/>
    <w:rsid w:val="001B2CBA"/>
    <w:rsid w:val="001B2D9B"/>
    <w:rsid w:val="001B2E99"/>
    <w:rsid w:val="001B2F4B"/>
    <w:rsid w:val="001B30AD"/>
    <w:rsid w:val="001B331B"/>
    <w:rsid w:val="001B334E"/>
    <w:rsid w:val="001B33C5"/>
    <w:rsid w:val="001B3412"/>
    <w:rsid w:val="001B3474"/>
    <w:rsid w:val="001B3667"/>
    <w:rsid w:val="001B382E"/>
    <w:rsid w:val="001B383B"/>
    <w:rsid w:val="001B3872"/>
    <w:rsid w:val="001B3C98"/>
    <w:rsid w:val="001B3CE5"/>
    <w:rsid w:val="001B3DB9"/>
    <w:rsid w:val="001B4003"/>
    <w:rsid w:val="001B40BA"/>
    <w:rsid w:val="001B41BF"/>
    <w:rsid w:val="001B4310"/>
    <w:rsid w:val="001B43C3"/>
    <w:rsid w:val="001B43FD"/>
    <w:rsid w:val="001B4471"/>
    <w:rsid w:val="001B4504"/>
    <w:rsid w:val="001B4519"/>
    <w:rsid w:val="001B45B2"/>
    <w:rsid w:val="001B4620"/>
    <w:rsid w:val="001B4634"/>
    <w:rsid w:val="001B4644"/>
    <w:rsid w:val="001B469B"/>
    <w:rsid w:val="001B46A5"/>
    <w:rsid w:val="001B47A1"/>
    <w:rsid w:val="001B4832"/>
    <w:rsid w:val="001B4859"/>
    <w:rsid w:val="001B4AB5"/>
    <w:rsid w:val="001B4AB7"/>
    <w:rsid w:val="001B4AEE"/>
    <w:rsid w:val="001B4AFC"/>
    <w:rsid w:val="001B4B28"/>
    <w:rsid w:val="001B4CFB"/>
    <w:rsid w:val="001B4D52"/>
    <w:rsid w:val="001B4E51"/>
    <w:rsid w:val="001B4E56"/>
    <w:rsid w:val="001B4E9B"/>
    <w:rsid w:val="001B4EBB"/>
    <w:rsid w:val="001B5130"/>
    <w:rsid w:val="001B51D0"/>
    <w:rsid w:val="001B5308"/>
    <w:rsid w:val="001B53AF"/>
    <w:rsid w:val="001B5429"/>
    <w:rsid w:val="001B5655"/>
    <w:rsid w:val="001B5689"/>
    <w:rsid w:val="001B5847"/>
    <w:rsid w:val="001B584A"/>
    <w:rsid w:val="001B5851"/>
    <w:rsid w:val="001B592A"/>
    <w:rsid w:val="001B5AA8"/>
    <w:rsid w:val="001B5B4A"/>
    <w:rsid w:val="001B5B98"/>
    <w:rsid w:val="001B5C0D"/>
    <w:rsid w:val="001B5E7F"/>
    <w:rsid w:val="001B60B6"/>
    <w:rsid w:val="001B60E9"/>
    <w:rsid w:val="001B6140"/>
    <w:rsid w:val="001B61A1"/>
    <w:rsid w:val="001B61A3"/>
    <w:rsid w:val="001B61FF"/>
    <w:rsid w:val="001B62FF"/>
    <w:rsid w:val="001B630D"/>
    <w:rsid w:val="001B6339"/>
    <w:rsid w:val="001B63C2"/>
    <w:rsid w:val="001B6435"/>
    <w:rsid w:val="001B667E"/>
    <w:rsid w:val="001B6699"/>
    <w:rsid w:val="001B6797"/>
    <w:rsid w:val="001B67E0"/>
    <w:rsid w:val="001B6B6F"/>
    <w:rsid w:val="001B6DBD"/>
    <w:rsid w:val="001B70AB"/>
    <w:rsid w:val="001B7125"/>
    <w:rsid w:val="001B71D4"/>
    <w:rsid w:val="001B725D"/>
    <w:rsid w:val="001B7317"/>
    <w:rsid w:val="001B7321"/>
    <w:rsid w:val="001B738C"/>
    <w:rsid w:val="001B74FD"/>
    <w:rsid w:val="001B7503"/>
    <w:rsid w:val="001B754A"/>
    <w:rsid w:val="001B759D"/>
    <w:rsid w:val="001B75B0"/>
    <w:rsid w:val="001B76D8"/>
    <w:rsid w:val="001B776D"/>
    <w:rsid w:val="001B77CE"/>
    <w:rsid w:val="001B791D"/>
    <w:rsid w:val="001B7A06"/>
    <w:rsid w:val="001B7A44"/>
    <w:rsid w:val="001B7ABC"/>
    <w:rsid w:val="001B7AFB"/>
    <w:rsid w:val="001B7B77"/>
    <w:rsid w:val="001B7B7E"/>
    <w:rsid w:val="001B7BFD"/>
    <w:rsid w:val="001B7D29"/>
    <w:rsid w:val="001B7DC4"/>
    <w:rsid w:val="001B7EAD"/>
    <w:rsid w:val="001B7F28"/>
    <w:rsid w:val="001C02E9"/>
    <w:rsid w:val="001C03DA"/>
    <w:rsid w:val="001C063E"/>
    <w:rsid w:val="001C0669"/>
    <w:rsid w:val="001C0A4D"/>
    <w:rsid w:val="001C0AC2"/>
    <w:rsid w:val="001C0AD7"/>
    <w:rsid w:val="001C0BCC"/>
    <w:rsid w:val="001C0C1F"/>
    <w:rsid w:val="001C0C20"/>
    <w:rsid w:val="001C0C34"/>
    <w:rsid w:val="001C0CE8"/>
    <w:rsid w:val="001C0DB5"/>
    <w:rsid w:val="001C0DF7"/>
    <w:rsid w:val="001C0E58"/>
    <w:rsid w:val="001C0F3C"/>
    <w:rsid w:val="001C1045"/>
    <w:rsid w:val="001C108D"/>
    <w:rsid w:val="001C10C3"/>
    <w:rsid w:val="001C12B8"/>
    <w:rsid w:val="001C1378"/>
    <w:rsid w:val="001C14DF"/>
    <w:rsid w:val="001C1718"/>
    <w:rsid w:val="001C183A"/>
    <w:rsid w:val="001C18E5"/>
    <w:rsid w:val="001C19E6"/>
    <w:rsid w:val="001C1A30"/>
    <w:rsid w:val="001C1AA2"/>
    <w:rsid w:val="001C1B7C"/>
    <w:rsid w:val="001C1BAE"/>
    <w:rsid w:val="001C1BEC"/>
    <w:rsid w:val="001C1D3D"/>
    <w:rsid w:val="001C1DAA"/>
    <w:rsid w:val="001C1E50"/>
    <w:rsid w:val="001C1E6E"/>
    <w:rsid w:val="001C208B"/>
    <w:rsid w:val="001C20B6"/>
    <w:rsid w:val="001C20F9"/>
    <w:rsid w:val="001C2168"/>
    <w:rsid w:val="001C21D0"/>
    <w:rsid w:val="001C21FF"/>
    <w:rsid w:val="001C2303"/>
    <w:rsid w:val="001C2304"/>
    <w:rsid w:val="001C2597"/>
    <w:rsid w:val="001C25CA"/>
    <w:rsid w:val="001C26AB"/>
    <w:rsid w:val="001C270C"/>
    <w:rsid w:val="001C28A4"/>
    <w:rsid w:val="001C28E2"/>
    <w:rsid w:val="001C29FE"/>
    <w:rsid w:val="001C2A0B"/>
    <w:rsid w:val="001C2B3D"/>
    <w:rsid w:val="001C2B66"/>
    <w:rsid w:val="001C2CD6"/>
    <w:rsid w:val="001C2DBD"/>
    <w:rsid w:val="001C2DBE"/>
    <w:rsid w:val="001C2DC7"/>
    <w:rsid w:val="001C2DE2"/>
    <w:rsid w:val="001C2E4E"/>
    <w:rsid w:val="001C318E"/>
    <w:rsid w:val="001C3448"/>
    <w:rsid w:val="001C34A9"/>
    <w:rsid w:val="001C358D"/>
    <w:rsid w:val="001C3689"/>
    <w:rsid w:val="001C378D"/>
    <w:rsid w:val="001C38E2"/>
    <w:rsid w:val="001C38F9"/>
    <w:rsid w:val="001C3A41"/>
    <w:rsid w:val="001C3B8C"/>
    <w:rsid w:val="001C3CF6"/>
    <w:rsid w:val="001C3D22"/>
    <w:rsid w:val="001C3ED6"/>
    <w:rsid w:val="001C3EFE"/>
    <w:rsid w:val="001C4052"/>
    <w:rsid w:val="001C40A0"/>
    <w:rsid w:val="001C417F"/>
    <w:rsid w:val="001C429F"/>
    <w:rsid w:val="001C439B"/>
    <w:rsid w:val="001C442D"/>
    <w:rsid w:val="001C44B5"/>
    <w:rsid w:val="001C4570"/>
    <w:rsid w:val="001C465D"/>
    <w:rsid w:val="001C4694"/>
    <w:rsid w:val="001C47D1"/>
    <w:rsid w:val="001C48C5"/>
    <w:rsid w:val="001C49E5"/>
    <w:rsid w:val="001C4A46"/>
    <w:rsid w:val="001C4A58"/>
    <w:rsid w:val="001C4A86"/>
    <w:rsid w:val="001C4CAE"/>
    <w:rsid w:val="001C4E0B"/>
    <w:rsid w:val="001C4E0F"/>
    <w:rsid w:val="001C4E4D"/>
    <w:rsid w:val="001C4E63"/>
    <w:rsid w:val="001C4EC3"/>
    <w:rsid w:val="001C5184"/>
    <w:rsid w:val="001C521F"/>
    <w:rsid w:val="001C5280"/>
    <w:rsid w:val="001C5480"/>
    <w:rsid w:val="001C549A"/>
    <w:rsid w:val="001C5611"/>
    <w:rsid w:val="001C567A"/>
    <w:rsid w:val="001C5802"/>
    <w:rsid w:val="001C5853"/>
    <w:rsid w:val="001C58D2"/>
    <w:rsid w:val="001C59BC"/>
    <w:rsid w:val="001C5AB0"/>
    <w:rsid w:val="001C5BF1"/>
    <w:rsid w:val="001C5F62"/>
    <w:rsid w:val="001C605A"/>
    <w:rsid w:val="001C6070"/>
    <w:rsid w:val="001C6083"/>
    <w:rsid w:val="001C6087"/>
    <w:rsid w:val="001C60AF"/>
    <w:rsid w:val="001C610B"/>
    <w:rsid w:val="001C6350"/>
    <w:rsid w:val="001C6467"/>
    <w:rsid w:val="001C64F3"/>
    <w:rsid w:val="001C65CE"/>
    <w:rsid w:val="001C65F9"/>
    <w:rsid w:val="001C6601"/>
    <w:rsid w:val="001C6693"/>
    <w:rsid w:val="001C66A5"/>
    <w:rsid w:val="001C66BC"/>
    <w:rsid w:val="001C66E1"/>
    <w:rsid w:val="001C67E6"/>
    <w:rsid w:val="001C6A9E"/>
    <w:rsid w:val="001C6C15"/>
    <w:rsid w:val="001C6EDC"/>
    <w:rsid w:val="001C6F5F"/>
    <w:rsid w:val="001C6F97"/>
    <w:rsid w:val="001C7299"/>
    <w:rsid w:val="001C7468"/>
    <w:rsid w:val="001C75F3"/>
    <w:rsid w:val="001C7740"/>
    <w:rsid w:val="001C789C"/>
    <w:rsid w:val="001C78A0"/>
    <w:rsid w:val="001C78A7"/>
    <w:rsid w:val="001C7A01"/>
    <w:rsid w:val="001C7AC2"/>
    <w:rsid w:val="001C7AD3"/>
    <w:rsid w:val="001C7AFC"/>
    <w:rsid w:val="001C7B9E"/>
    <w:rsid w:val="001C7C98"/>
    <w:rsid w:val="001C7D45"/>
    <w:rsid w:val="001C7D9A"/>
    <w:rsid w:val="001C7DA8"/>
    <w:rsid w:val="001C7E2D"/>
    <w:rsid w:val="001C7E5F"/>
    <w:rsid w:val="001C7EE1"/>
    <w:rsid w:val="001D032F"/>
    <w:rsid w:val="001D04F2"/>
    <w:rsid w:val="001D0505"/>
    <w:rsid w:val="001D059D"/>
    <w:rsid w:val="001D059F"/>
    <w:rsid w:val="001D0687"/>
    <w:rsid w:val="001D0718"/>
    <w:rsid w:val="001D071A"/>
    <w:rsid w:val="001D07D9"/>
    <w:rsid w:val="001D07F3"/>
    <w:rsid w:val="001D085E"/>
    <w:rsid w:val="001D08C1"/>
    <w:rsid w:val="001D0AAF"/>
    <w:rsid w:val="001D0AB5"/>
    <w:rsid w:val="001D0BDA"/>
    <w:rsid w:val="001D0C1D"/>
    <w:rsid w:val="001D0CD0"/>
    <w:rsid w:val="001D0CF5"/>
    <w:rsid w:val="001D0CFB"/>
    <w:rsid w:val="001D0D08"/>
    <w:rsid w:val="001D0EB2"/>
    <w:rsid w:val="001D10AD"/>
    <w:rsid w:val="001D1196"/>
    <w:rsid w:val="001D119B"/>
    <w:rsid w:val="001D121A"/>
    <w:rsid w:val="001D1336"/>
    <w:rsid w:val="001D13BE"/>
    <w:rsid w:val="001D13E3"/>
    <w:rsid w:val="001D14AB"/>
    <w:rsid w:val="001D1504"/>
    <w:rsid w:val="001D1534"/>
    <w:rsid w:val="001D15C4"/>
    <w:rsid w:val="001D15DA"/>
    <w:rsid w:val="001D16FE"/>
    <w:rsid w:val="001D1737"/>
    <w:rsid w:val="001D1745"/>
    <w:rsid w:val="001D179B"/>
    <w:rsid w:val="001D19C0"/>
    <w:rsid w:val="001D1AB0"/>
    <w:rsid w:val="001D1CB9"/>
    <w:rsid w:val="001D1D84"/>
    <w:rsid w:val="001D1DD8"/>
    <w:rsid w:val="001D1DEB"/>
    <w:rsid w:val="001D1E77"/>
    <w:rsid w:val="001D1F28"/>
    <w:rsid w:val="001D1F45"/>
    <w:rsid w:val="001D1FA6"/>
    <w:rsid w:val="001D203F"/>
    <w:rsid w:val="001D21C4"/>
    <w:rsid w:val="001D2212"/>
    <w:rsid w:val="001D2221"/>
    <w:rsid w:val="001D2284"/>
    <w:rsid w:val="001D2314"/>
    <w:rsid w:val="001D2339"/>
    <w:rsid w:val="001D247A"/>
    <w:rsid w:val="001D24D7"/>
    <w:rsid w:val="001D284F"/>
    <w:rsid w:val="001D28B4"/>
    <w:rsid w:val="001D2933"/>
    <w:rsid w:val="001D2B0A"/>
    <w:rsid w:val="001D2B59"/>
    <w:rsid w:val="001D2B68"/>
    <w:rsid w:val="001D2BB1"/>
    <w:rsid w:val="001D2C25"/>
    <w:rsid w:val="001D2CD3"/>
    <w:rsid w:val="001D2E39"/>
    <w:rsid w:val="001D2EAA"/>
    <w:rsid w:val="001D2F07"/>
    <w:rsid w:val="001D2F66"/>
    <w:rsid w:val="001D3011"/>
    <w:rsid w:val="001D3109"/>
    <w:rsid w:val="001D310B"/>
    <w:rsid w:val="001D32EB"/>
    <w:rsid w:val="001D3442"/>
    <w:rsid w:val="001D34D7"/>
    <w:rsid w:val="001D35F1"/>
    <w:rsid w:val="001D370A"/>
    <w:rsid w:val="001D37A7"/>
    <w:rsid w:val="001D383A"/>
    <w:rsid w:val="001D3841"/>
    <w:rsid w:val="001D3985"/>
    <w:rsid w:val="001D39CA"/>
    <w:rsid w:val="001D39CB"/>
    <w:rsid w:val="001D3B65"/>
    <w:rsid w:val="001D3B7D"/>
    <w:rsid w:val="001D3C4A"/>
    <w:rsid w:val="001D3DEC"/>
    <w:rsid w:val="001D3F2F"/>
    <w:rsid w:val="001D408A"/>
    <w:rsid w:val="001D40EE"/>
    <w:rsid w:val="001D416F"/>
    <w:rsid w:val="001D4294"/>
    <w:rsid w:val="001D4314"/>
    <w:rsid w:val="001D432A"/>
    <w:rsid w:val="001D4390"/>
    <w:rsid w:val="001D43AF"/>
    <w:rsid w:val="001D43B5"/>
    <w:rsid w:val="001D4482"/>
    <w:rsid w:val="001D453C"/>
    <w:rsid w:val="001D455F"/>
    <w:rsid w:val="001D45CE"/>
    <w:rsid w:val="001D46DE"/>
    <w:rsid w:val="001D4734"/>
    <w:rsid w:val="001D4760"/>
    <w:rsid w:val="001D477A"/>
    <w:rsid w:val="001D479E"/>
    <w:rsid w:val="001D4834"/>
    <w:rsid w:val="001D491D"/>
    <w:rsid w:val="001D49AB"/>
    <w:rsid w:val="001D4B11"/>
    <w:rsid w:val="001D4B80"/>
    <w:rsid w:val="001D4B94"/>
    <w:rsid w:val="001D4BCA"/>
    <w:rsid w:val="001D4D43"/>
    <w:rsid w:val="001D4DB3"/>
    <w:rsid w:val="001D4DF8"/>
    <w:rsid w:val="001D4E28"/>
    <w:rsid w:val="001D4EBA"/>
    <w:rsid w:val="001D4F39"/>
    <w:rsid w:val="001D4F52"/>
    <w:rsid w:val="001D5041"/>
    <w:rsid w:val="001D508E"/>
    <w:rsid w:val="001D50FB"/>
    <w:rsid w:val="001D5161"/>
    <w:rsid w:val="001D52ED"/>
    <w:rsid w:val="001D53F4"/>
    <w:rsid w:val="001D5484"/>
    <w:rsid w:val="001D54AA"/>
    <w:rsid w:val="001D5630"/>
    <w:rsid w:val="001D5957"/>
    <w:rsid w:val="001D59CF"/>
    <w:rsid w:val="001D5A56"/>
    <w:rsid w:val="001D5A7B"/>
    <w:rsid w:val="001D5B57"/>
    <w:rsid w:val="001D5CB5"/>
    <w:rsid w:val="001D5CE4"/>
    <w:rsid w:val="001D5D3A"/>
    <w:rsid w:val="001D5E55"/>
    <w:rsid w:val="001D5F64"/>
    <w:rsid w:val="001D615D"/>
    <w:rsid w:val="001D61A5"/>
    <w:rsid w:val="001D622E"/>
    <w:rsid w:val="001D6378"/>
    <w:rsid w:val="001D654B"/>
    <w:rsid w:val="001D67AF"/>
    <w:rsid w:val="001D67FC"/>
    <w:rsid w:val="001D68DF"/>
    <w:rsid w:val="001D6972"/>
    <w:rsid w:val="001D69AF"/>
    <w:rsid w:val="001D6B48"/>
    <w:rsid w:val="001D6CD0"/>
    <w:rsid w:val="001D6D7D"/>
    <w:rsid w:val="001D6DB2"/>
    <w:rsid w:val="001D6E56"/>
    <w:rsid w:val="001D6ED4"/>
    <w:rsid w:val="001D707C"/>
    <w:rsid w:val="001D7270"/>
    <w:rsid w:val="001D7348"/>
    <w:rsid w:val="001D7361"/>
    <w:rsid w:val="001D73CD"/>
    <w:rsid w:val="001D75BD"/>
    <w:rsid w:val="001D7696"/>
    <w:rsid w:val="001D76DD"/>
    <w:rsid w:val="001D7716"/>
    <w:rsid w:val="001D77B7"/>
    <w:rsid w:val="001D77F9"/>
    <w:rsid w:val="001D78E8"/>
    <w:rsid w:val="001D7AFA"/>
    <w:rsid w:val="001D7AFE"/>
    <w:rsid w:val="001D7B2D"/>
    <w:rsid w:val="001D7B2E"/>
    <w:rsid w:val="001D7B39"/>
    <w:rsid w:val="001D7BB6"/>
    <w:rsid w:val="001D7D12"/>
    <w:rsid w:val="001D7D57"/>
    <w:rsid w:val="001D7E33"/>
    <w:rsid w:val="001D7E57"/>
    <w:rsid w:val="001E0042"/>
    <w:rsid w:val="001E00E0"/>
    <w:rsid w:val="001E01F2"/>
    <w:rsid w:val="001E02F6"/>
    <w:rsid w:val="001E0387"/>
    <w:rsid w:val="001E04E8"/>
    <w:rsid w:val="001E053A"/>
    <w:rsid w:val="001E0550"/>
    <w:rsid w:val="001E073D"/>
    <w:rsid w:val="001E088E"/>
    <w:rsid w:val="001E0972"/>
    <w:rsid w:val="001E099D"/>
    <w:rsid w:val="001E0AC4"/>
    <w:rsid w:val="001E0AC8"/>
    <w:rsid w:val="001E0B93"/>
    <w:rsid w:val="001E0C3F"/>
    <w:rsid w:val="001E0DA1"/>
    <w:rsid w:val="001E0E4D"/>
    <w:rsid w:val="001E0E60"/>
    <w:rsid w:val="001E0E96"/>
    <w:rsid w:val="001E0ECC"/>
    <w:rsid w:val="001E0F04"/>
    <w:rsid w:val="001E0F6C"/>
    <w:rsid w:val="001E0FB0"/>
    <w:rsid w:val="001E0FD1"/>
    <w:rsid w:val="001E1068"/>
    <w:rsid w:val="001E1179"/>
    <w:rsid w:val="001E128F"/>
    <w:rsid w:val="001E13C8"/>
    <w:rsid w:val="001E14BE"/>
    <w:rsid w:val="001E14F1"/>
    <w:rsid w:val="001E1555"/>
    <w:rsid w:val="001E16C6"/>
    <w:rsid w:val="001E16DA"/>
    <w:rsid w:val="001E1705"/>
    <w:rsid w:val="001E188C"/>
    <w:rsid w:val="001E1905"/>
    <w:rsid w:val="001E193F"/>
    <w:rsid w:val="001E1AC6"/>
    <w:rsid w:val="001E1AEB"/>
    <w:rsid w:val="001E1BD7"/>
    <w:rsid w:val="001E1C6E"/>
    <w:rsid w:val="001E1DC5"/>
    <w:rsid w:val="001E1EF5"/>
    <w:rsid w:val="001E1F21"/>
    <w:rsid w:val="001E20C3"/>
    <w:rsid w:val="001E2140"/>
    <w:rsid w:val="001E21BB"/>
    <w:rsid w:val="001E23DA"/>
    <w:rsid w:val="001E2518"/>
    <w:rsid w:val="001E256B"/>
    <w:rsid w:val="001E258A"/>
    <w:rsid w:val="001E2603"/>
    <w:rsid w:val="001E2915"/>
    <w:rsid w:val="001E2928"/>
    <w:rsid w:val="001E2A0A"/>
    <w:rsid w:val="001E2A2A"/>
    <w:rsid w:val="001E2A48"/>
    <w:rsid w:val="001E2A9E"/>
    <w:rsid w:val="001E2B3C"/>
    <w:rsid w:val="001E2B9B"/>
    <w:rsid w:val="001E2DEB"/>
    <w:rsid w:val="001E2EB8"/>
    <w:rsid w:val="001E2FFE"/>
    <w:rsid w:val="001E3115"/>
    <w:rsid w:val="001E31BE"/>
    <w:rsid w:val="001E32A8"/>
    <w:rsid w:val="001E32BC"/>
    <w:rsid w:val="001E3390"/>
    <w:rsid w:val="001E33AF"/>
    <w:rsid w:val="001E33DA"/>
    <w:rsid w:val="001E3412"/>
    <w:rsid w:val="001E35EB"/>
    <w:rsid w:val="001E3783"/>
    <w:rsid w:val="001E37ED"/>
    <w:rsid w:val="001E382B"/>
    <w:rsid w:val="001E394D"/>
    <w:rsid w:val="001E39AE"/>
    <w:rsid w:val="001E3A44"/>
    <w:rsid w:val="001E3A7E"/>
    <w:rsid w:val="001E3B47"/>
    <w:rsid w:val="001E3B77"/>
    <w:rsid w:val="001E3BCF"/>
    <w:rsid w:val="001E3C91"/>
    <w:rsid w:val="001E3CDE"/>
    <w:rsid w:val="001E3D02"/>
    <w:rsid w:val="001E3E6C"/>
    <w:rsid w:val="001E3F23"/>
    <w:rsid w:val="001E3F94"/>
    <w:rsid w:val="001E4135"/>
    <w:rsid w:val="001E4230"/>
    <w:rsid w:val="001E438D"/>
    <w:rsid w:val="001E43B2"/>
    <w:rsid w:val="001E43C5"/>
    <w:rsid w:val="001E4546"/>
    <w:rsid w:val="001E4574"/>
    <w:rsid w:val="001E45B0"/>
    <w:rsid w:val="001E465F"/>
    <w:rsid w:val="001E46EC"/>
    <w:rsid w:val="001E491B"/>
    <w:rsid w:val="001E4955"/>
    <w:rsid w:val="001E4A1F"/>
    <w:rsid w:val="001E4BCE"/>
    <w:rsid w:val="001E4D1C"/>
    <w:rsid w:val="001E4D87"/>
    <w:rsid w:val="001E4EFD"/>
    <w:rsid w:val="001E4F07"/>
    <w:rsid w:val="001E4F5E"/>
    <w:rsid w:val="001E5016"/>
    <w:rsid w:val="001E5213"/>
    <w:rsid w:val="001E52E9"/>
    <w:rsid w:val="001E536B"/>
    <w:rsid w:val="001E53FD"/>
    <w:rsid w:val="001E54E8"/>
    <w:rsid w:val="001E550A"/>
    <w:rsid w:val="001E550C"/>
    <w:rsid w:val="001E5530"/>
    <w:rsid w:val="001E5554"/>
    <w:rsid w:val="001E55FD"/>
    <w:rsid w:val="001E57C2"/>
    <w:rsid w:val="001E5877"/>
    <w:rsid w:val="001E59CC"/>
    <w:rsid w:val="001E5A31"/>
    <w:rsid w:val="001E5ABD"/>
    <w:rsid w:val="001E5ACD"/>
    <w:rsid w:val="001E5C0F"/>
    <w:rsid w:val="001E5CCF"/>
    <w:rsid w:val="001E5DF6"/>
    <w:rsid w:val="001E60C9"/>
    <w:rsid w:val="001E6366"/>
    <w:rsid w:val="001E6394"/>
    <w:rsid w:val="001E63E1"/>
    <w:rsid w:val="001E6506"/>
    <w:rsid w:val="001E66B2"/>
    <w:rsid w:val="001E6857"/>
    <w:rsid w:val="001E69CC"/>
    <w:rsid w:val="001E69D9"/>
    <w:rsid w:val="001E6A25"/>
    <w:rsid w:val="001E6A9C"/>
    <w:rsid w:val="001E6AC6"/>
    <w:rsid w:val="001E6BBE"/>
    <w:rsid w:val="001E6DE7"/>
    <w:rsid w:val="001E6F2C"/>
    <w:rsid w:val="001E6F33"/>
    <w:rsid w:val="001E6FB1"/>
    <w:rsid w:val="001E6FF9"/>
    <w:rsid w:val="001E7025"/>
    <w:rsid w:val="001E7122"/>
    <w:rsid w:val="001E72A3"/>
    <w:rsid w:val="001E7356"/>
    <w:rsid w:val="001E7406"/>
    <w:rsid w:val="001E741D"/>
    <w:rsid w:val="001E7517"/>
    <w:rsid w:val="001E75B8"/>
    <w:rsid w:val="001E7664"/>
    <w:rsid w:val="001E77F4"/>
    <w:rsid w:val="001E7977"/>
    <w:rsid w:val="001E7A3C"/>
    <w:rsid w:val="001E7ACF"/>
    <w:rsid w:val="001E7AF2"/>
    <w:rsid w:val="001E7B15"/>
    <w:rsid w:val="001E7B2E"/>
    <w:rsid w:val="001E7CF7"/>
    <w:rsid w:val="001E7F8A"/>
    <w:rsid w:val="001F0036"/>
    <w:rsid w:val="001F0151"/>
    <w:rsid w:val="001F02D9"/>
    <w:rsid w:val="001F0478"/>
    <w:rsid w:val="001F04BF"/>
    <w:rsid w:val="001F05C9"/>
    <w:rsid w:val="001F05D7"/>
    <w:rsid w:val="001F0718"/>
    <w:rsid w:val="001F079B"/>
    <w:rsid w:val="001F0897"/>
    <w:rsid w:val="001F09B3"/>
    <w:rsid w:val="001F09F6"/>
    <w:rsid w:val="001F0AF1"/>
    <w:rsid w:val="001F0B12"/>
    <w:rsid w:val="001F0C22"/>
    <w:rsid w:val="001F0C91"/>
    <w:rsid w:val="001F0DA7"/>
    <w:rsid w:val="001F0DFD"/>
    <w:rsid w:val="001F0E55"/>
    <w:rsid w:val="001F1002"/>
    <w:rsid w:val="001F1169"/>
    <w:rsid w:val="001F117D"/>
    <w:rsid w:val="001F11E9"/>
    <w:rsid w:val="001F1244"/>
    <w:rsid w:val="001F12F9"/>
    <w:rsid w:val="001F13AB"/>
    <w:rsid w:val="001F13E1"/>
    <w:rsid w:val="001F1448"/>
    <w:rsid w:val="001F14B8"/>
    <w:rsid w:val="001F14FF"/>
    <w:rsid w:val="001F1651"/>
    <w:rsid w:val="001F16B0"/>
    <w:rsid w:val="001F1747"/>
    <w:rsid w:val="001F17C2"/>
    <w:rsid w:val="001F1804"/>
    <w:rsid w:val="001F18BA"/>
    <w:rsid w:val="001F1AD5"/>
    <w:rsid w:val="001F1AD7"/>
    <w:rsid w:val="001F1B27"/>
    <w:rsid w:val="001F1B8A"/>
    <w:rsid w:val="001F1BBD"/>
    <w:rsid w:val="001F1D33"/>
    <w:rsid w:val="001F1DD9"/>
    <w:rsid w:val="001F1EAB"/>
    <w:rsid w:val="001F1F69"/>
    <w:rsid w:val="001F2039"/>
    <w:rsid w:val="001F2041"/>
    <w:rsid w:val="001F20D3"/>
    <w:rsid w:val="001F214E"/>
    <w:rsid w:val="001F2342"/>
    <w:rsid w:val="001F248C"/>
    <w:rsid w:val="001F248F"/>
    <w:rsid w:val="001F2492"/>
    <w:rsid w:val="001F25B9"/>
    <w:rsid w:val="001F2702"/>
    <w:rsid w:val="001F2BDA"/>
    <w:rsid w:val="001F2C63"/>
    <w:rsid w:val="001F2C81"/>
    <w:rsid w:val="001F2D7D"/>
    <w:rsid w:val="001F2E83"/>
    <w:rsid w:val="001F2FE7"/>
    <w:rsid w:val="001F3035"/>
    <w:rsid w:val="001F3059"/>
    <w:rsid w:val="001F30AE"/>
    <w:rsid w:val="001F3193"/>
    <w:rsid w:val="001F3198"/>
    <w:rsid w:val="001F3277"/>
    <w:rsid w:val="001F327F"/>
    <w:rsid w:val="001F33B1"/>
    <w:rsid w:val="001F33D1"/>
    <w:rsid w:val="001F340D"/>
    <w:rsid w:val="001F3520"/>
    <w:rsid w:val="001F3525"/>
    <w:rsid w:val="001F35DE"/>
    <w:rsid w:val="001F36AD"/>
    <w:rsid w:val="001F36BE"/>
    <w:rsid w:val="001F3700"/>
    <w:rsid w:val="001F375A"/>
    <w:rsid w:val="001F37AD"/>
    <w:rsid w:val="001F381B"/>
    <w:rsid w:val="001F38CC"/>
    <w:rsid w:val="001F394E"/>
    <w:rsid w:val="001F3A94"/>
    <w:rsid w:val="001F3BFE"/>
    <w:rsid w:val="001F3CEF"/>
    <w:rsid w:val="001F3D86"/>
    <w:rsid w:val="001F3DEE"/>
    <w:rsid w:val="001F3EC4"/>
    <w:rsid w:val="001F4123"/>
    <w:rsid w:val="001F42D2"/>
    <w:rsid w:val="001F43EF"/>
    <w:rsid w:val="001F44B8"/>
    <w:rsid w:val="001F451B"/>
    <w:rsid w:val="001F4557"/>
    <w:rsid w:val="001F4A9B"/>
    <w:rsid w:val="001F4BEC"/>
    <w:rsid w:val="001F4C3D"/>
    <w:rsid w:val="001F4E21"/>
    <w:rsid w:val="001F4F0B"/>
    <w:rsid w:val="001F5148"/>
    <w:rsid w:val="001F5358"/>
    <w:rsid w:val="001F5464"/>
    <w:rsid w:val="001F5581"/>
    <w:rsid w:val="001F5848"/>
    <w:rsid w:val="001F5849"/>
    <w:rsid w:val="001F58BF"/>
    <w:rsid w:val="001F5959"/>
    <w:rsid w:val="001F5A74"/>
    <w:rsid w:val="001F5B55"/>
    <w:rsid w:val="001F5B86"/>
    <w:rsid w:val="001F5BFE"/>
    <w:rsid w:val="001F5C28"/>
    <w:rsid w:val="001F5D9C"/>
    <w:rsid w:val="001F5DDB"/>
    <w:rsid w:val="001F5F17"/>
    <w:rsid w:val="001F6061"/>
    <w:rsid w:val="001F610C"/>
    <w:rsid w:val="001F6188"/>
    <w:rsid w:val="001F61EA"/>
    <w:rsid w:val="001F6208"/>
    <w:rsid w:val="001F62E4"/>
    <w:rsid w:val="001F63E1"/>
    <w:rsid w:val="001F64DB"/>
    <w:rsid w:val="001F653D"/>
    <w:rsid w:val="001F6648"/>
    <w:rsid w:val="001F66AD"/>
    <w:rsid w:val="001F674B"/>
    <w:rsid w:val="001F677C"/>
    <w:rsid w:val="001F68D3"/>
    <w:rsid w:val="001F6975"/>
    <w:rsid w:val="001F6980"/>
    <w:rsid w:val="001F6B7A"/>
    <w:rsid w:val="001F6B93"/>
    <w:rsid w:val="001F6BB2"/>
    <w:rsid w:val="001F6BF7"/>
    <w:rsid w:val="001F6D7E"/>
    <w:rsid w:val="001F6DD1"/>
    <w:rsid w:val="001F6E1C"/>
    <w:rsid w:val="001F6E5B"/>
    <w:rsid w:val="001F6EB4"/>
    <w:rsid w:val="001F6EC0"/>
    <w:rsid w:val="001F6F4D"/>
    <w:rsid w:val="001F720F"/>
    <w:rsid w:val="001F73A2"/>
    <w:rsid w:val="001F7405"/>
    <w:rsid w:val="001F7504"/>
    <w:rsid w:val="001F75AB"/>
    <w:rsid w:val="001F76AE"/>
    <w:rsid w:val="001F76C7"/>
    <w:rsid w:val="001F76E5"/>
    <w:rsid w:val="001F7810"/>
    <w:rsid w:val="001F7884"/>
    <w:rsid w:val="001F791B"/>
    <w:rsid w:val="001F792C"/>
    <w:rsid w:val="001F7943"/>
    <w:rsid w:val="001F7DAE"/>
    <w:rsid w:val="001F7EBD"/>
    <w:rsid w:val="00200093"/>
    <w:rsid w:val="002001A4"/>
    <w:rsid w:val="0020021F"/>
    <w:rsid w:val="00200239"/>
    <w:rsid w:val="0020030D"/>
    <w:rsid w:val="0020033D"/>
    <w:rsid w:val="00200390"/>
    <w:rsid w:val="0020041A"/>
    <w:rsid w:val="00200441"/>
    <w:rsid w:val="00200550"/>
    <w:rsid w:val="002006F2"/>
    <w:rsid w:val="002009AA"/>
    <w:rsid w:val="00200A10"/>
    <w:rsid w:val="00200B4D"/>
    <w:rsid w:val="00200C59"/>
    <w:rsid w:val="00200D4A"/>
    <w:rsid w:val="00200D93"/>
    <w:rsid w:val="00200F0E"/>
    <w:rsid w:val="00200FBB"/>
    <w:rsid w:val="0020107F"/>
    <w:rsid w:val="002011CA"/>
    <w:rsid w:val="00201263"/>
    <w:rsid w:val="0020127B"/>
    <w:rsid w:val="0020129D"/>
    <w:rsid w:val="00201373"/>
    <w:rsid w:val="002014B5"/>
    <w:rsid w:val="002014C0"/>
    <w:rsid w:val="002014CA"/>
    <w:rsid w:val="00201568"/>
    <w:rsid w:val="0020164F"/>
    <w:rsid w:val="002016A6"/>
    <w:rsid w:val="00201A21"/>
    <w:rsid w:val="00201B82"/>
    <w:rsid w:val="0020204E"/>
    <w:rsid w:val="002020D4"/>
    <w:rsid w:val="002021F8"/>
    <w:rsid w:val="002022E7"/>
    <w:rsid w:val="00202397"/>
    <w:rsid w:val="002025CE"/>
    <w:rsid w:val="0020261D"/>
    <w:rsid w:val="00202627"/>
    <w:rsid w:val="002026C2"/>
    <w:rsid w:val="002026CD"/>
    <w:rsid w:val="00202725"/>
    <w:rsid w:val="0020276D"/>
    <w:rsid w:val="002027AF"/>
    <w:rsid w:val="002027BB"/>
    <w:rsid w:val="00202923"/>
    <w:rsid w:val="0020294B"/>
    <w:rsid w:val="00202953"/>
    <w:rsid w:val="0020295F"/>
    <w:rsid w:val="00202AEE"/>
    <w:rsid w:val="00202B5F"/>
    <w:rsid w:val="00202B8A"/>
    <w:rsid w:val="00202BAA"/>
    <w:rsid w:val="00202C25"/>
    <w:rsid w:val="00202DAC"/>
    <w:rsid w:val="00202FE8"/>
    <w:rsid w:val="00202FF8"/>
    <w:rsid w:val="00203002"/>
    <w:rsid w:val="002030B3"/>
    <w:rsid w:val="002030C2"/>
    <w:rsid w:val="002032A4"/>
    <w:rsid w:val="002032CC"/>
    <w:rsid w:val="0020330F"/>
    <w:rsid w:val="002033BC"/>
    <w:rsid w:val="002034A2"/>
    <w:rsid w:val="00203632"/>
    <w:rsid w:val="00203732"/>
    <w:rsid w:val="0020382B"/>
    <w:rsid w:val="00203855"/>
    <w:rsid w:val="0020390D"/>
    <w:rsid w:val="002039B3"/>
    <w:rsid w:val="00203BDC"/>
    <w:rsid w:val="00203C17"/>
    <w:rsid w:val="00203DE8"/>
    <w:rsid w:val="00204086"/>
    <w:rsid w:val="00204265"/>
    <w:rsid w:val="002042F4"/>
    <w:rsid w:val="0020430F"/>
    <w:rsid w:val="00204372"/>
    <w:rsid w:val="002045DB"/>
    <w:rsid w:val="00204656"/>
    <w:rsid w:val="00204731"/>
    <w:rsid w:val="0020474A"/>
    <w:rsid w:val="00204870"/>
    <w:rsid w:val="00204874"/>
    <w:rsid w:val="002048AE"/>
    <w:rsid w:val="002048E9"/>
    <w:rsid w:val="00204992"/>
    <w:rsid w:val="00204B4B"/>
    <w:rsid w:val="00204B51"/>
    <w:rsid w:val="00204B98"/>
    <w:rsid w:val="00204CCB"/>
    <w:rsid w:val="00204D07"/>
    <w:rsid w:val="00204D2B"/>
    <w:rsid w:val="00204D55"/>
    <w:rsid w:val="00204D66"/>
    <w:rsid w:val="00204DFD"/>
    <w:rsid w:val="00204E38"/>
    <w:rsid w:val="00204E63"/>
    <w:rsid w:val="00204FB1"/>
    <w:rsid w:val="00205034"/>
    <w:rsid w:val="00205255"/>
    <w:rsid w:val="0020531E"/>
    <w:rsid w:val="0020536C"/>
    <w:rsid w:val="0020540F"/>
    <w:rsid w:val="00205471"/>
    <w:rsid w:val="002054DC"/>
    <w:rsid w:val="002055D3"/>
    <w:rsid w:val="0020563D"/>
    <w:rsid w:val="00205A37"/>
    <w:rsid w:val="00205A91"/>
    <w:rsid w:val="00205C66"/>
    <w:rsid w:val="00205DAC"/>
    <w:rsid w:val="00205E57"/>
    <w:rsid w:val="00206108"/>
    <w:rsid w:val="0020610A"/>
    <w:rsid w:val="00206239"/>
    <w:rsid w:val="00206262"/>
    <w:rsid w:val="002062B2"/>
    <w:rsid w:val="002063FC"/>
    <w:rsid w:val="00206667"/>
    <w:rsid w:val="002069A8"/>
    <w:rsid w:val="00206A18"/>
    <w:rsid w:val="00206AE8"/>
    <w:rsid w:val="00206B0D"/>
    <w:rsid w:val="00206E24"/>
    <w:rsid w:val="00206E8D"/>
    <w:rsid w:val="00206E90"/>
    <w:rsid w:val="002070EA"/>
    <w:rsid w:val="002072EC"/>
    <w:rsid w:val="00207305"/>
    <w:rsid w:val="0020754A"/>
    <w:rsid w:val="00207553"/>
    <w:rsid w:val="0020758B"/>
    <w:rsid w:val="002075FA"/>
    <w:rsid w:val="002077A9"/>
    <w:rsid w:val="002078A9"/>
    <w:rsid w:val="002079C8"/>
    <w:rsid w:val="00207AD3"/>
    <w:rsid w:val="00207CF7"/>
    <w:rsid w:val="00207D4B"/>
    <w:rsid w:val="00207DB8"/>
    <w:rsid w:val="00207E0E"/>
    <w:rsid w:val="00207E4D"/>
    <w:rsid w:val="00210029"/>
    <w:rsid w:val="0021009E"/>
    <w:rsid w:val="002101F9"/>
    <w:rsid w:val="00210378"/>
    <w:rsid w:val="00210484"/>
    <w:rsid w:val="002104DD"/>
    <w:rsid w:val="00210539"/>
    <w:rsid w:val="00210618"/>
    <w:rsid w:val="00210620"/>
    <w:rsid w:val="002106D0"/>
    <w:rsid w:val="00210752"/>
    <w:rsid w:val="00210780"/>
    <w:rsid w:val="002107BD"/>
    <w:rsid w:val="00210A80"/>
    <w:rsid w:val="00210B84"/>
    <w:rsid w:val="00210B85"/>
    <w:rsid w:val="00210B91"/>
    <w:rsid w:val="00210CD0"/>
    <w:rsid w:val="00211066"/>
    <w:rsid w:val="00211281"/>
    <w:rsid w:val="002112BF"/>
    <w:rsid w:val="0021135C"/>
    <w:rsid w:val="00211764"/>
    <w:rsid w:val="002117DC"/>
    <w:rsid w:val="0021189B"/>
    <w:rsid w:val="002118C2"/>
    <w:rsid w:val="0021190F"/>
    <w:rsid w:val="00211DC6"/>
    <w:rsid w:val="00211E0B"/>
    <w:rsid w:val="00211F3B"/>
    <w:rsid w:val="002122D6"/>
    <w:rsid w:val="00212307"/>
    <w:rsid w:val="0021233F"/>
    <w:rsid w:val="0021237C"/>
    <w:rsid w:val="00212564"/>
    <w:rsid w:val="00212577"/>
    <w:rsid w:val="002125E8"/>
    <w:rsid w:val="0021270B"/>
    <w:rsid w:val="00212803"/>
    <w:rsid w:val="00212898"/>
    <w:rsid w:val="00212A03"/>
    <w:rsid w:val="00212A16"/>
    <w:rsid w:val="00212AD7"/>
    <w:rsid w:val="00212B65"/>
    <w:rsid w:val="00212B96"/>
    <w:rsid w:val="00212BC6"/>
    <w:rsid w:val="00212EA1"/>
    <w:rsid w:val="00212EEC"/>
    <w:rsid w:val="00212FD1"/>
    <w:rsid w:val="0021302A"/>
    <w:rsid w:val="00213074"/>
    <w:rsid w:val="002130A9"/>
    <w:rsid w:val="002130D8"/>
    <w:rsid w:val="00213174"/>
    <w:rsid w:val="002131CB"/>
    <w:rsid w:val="0021328B"/>
    <w:rsid w:val="002137A2"/>
    <w:rsid w:val="00213807"/>
    <w:rsid w:val="00213926"/>
    <w:rsid w:val="00213A55"/>
    <w:rsid w:val="00213BB1"/>
    <w:rsid w:val="00213CE8"/>
    <w:rsid w:val="00213D4B"/>
    <w:rsid w:val="00213DC3"/>
    <w:rsid w:val="00213E08"/>
    <w:rsid w:val="00213F6D"/>
    <w:rsid w:val="00213F96"/>
    <w:rsid w:val="002142E9"/>
    <w:rsid w:val="002143C8"/>
    <w:rsid w:val="002143E1"/>
    <w:rsid w:val="0021469E"/>
    <w:rsid w:val="002146E2"/>
    <w:rsid w:val="002147CE"/>
    <w:rsid w:val="002148C9"/>
    <w:rsid w:val="00214A44"/>
    <w:rsid w:val="00214A46"/>
    <w:rsid w:val="00214A72"/>
    <w:rsid w:val="00214AB3"/>
    <w:rsid w:val="00214AEE"/>
    <w:rsid w:val="00214B6D"/>
    <w:rsid w:val="00214BE2"/>
    <w:rsid w:val="00214C27"/>
    <w:rsid w:val="00214C90"/>
    <w:rsid w:val="00214D21"/>
    <w:rsid w:val="00214DEF"/>
    <w:rsid w:val="00214FEF"/>
    <w:rsid w:val="00214FFE"/>
    <w:rsid w:val="00215009"/>
    <w:rsid w:val="002150C1"/>
    <w:rsid w:val="002150CB"/>
    <w:rsid w:val="00215204"/>
    <w:rsid w:val="0021527A"/>
    <w:rsid w:val="002153C6"/>
    <w:rsid w:val="0021542B"/>
    <w:rsid w:val="00215665"/>
    <w:rsid w:val="002156C5"/>
    <w:rsid w:val="00215778"/>
    <w:rsid w:val="002157C5"/>
    <w:rsid w:val="00215861"/>
    <w:rsid w:val="00215905"/>
    <w:rsid w:val="00215B2E"/>
    <w:rsid w:val="00215B72"/>
    <w:rsid w:val="00215B9E"/>
    <w:rsid w:val="00215BCE"/>
    <w:rsid w:val="00215D2E"/>
    <w:rsid w:val="00215DC5"/>
    <w:rsid w:val="00215E28"/>
    <w:rsid w:val="00215EC0"/>
    <w:rsid w:val="00215FAC"/>
    <w:rsid w:val="002161DD"/>
    <w:rsid w:val="00216409"/>
    <w:rsid w:val="002164F3"/>
    <w:rsid w:val="0021688B"/>
    <w:rsid w:val="00216A38"/>
    <w:rsid w:val="00216AB6"/>
    <w:rsid w:val="00216B2B"/>
    <w:rsid w:val="00216C47"/>
    <w:rsid w:val="00216CCC"/>
    <w:rsid w:val="00216E73"/>
    <w:rsid w:val="00216ED6"/>
    <w:rsid w:val="00216F25"/>
    <w:rsid w:val="00216FE6"/>
    <w:rsid w:val="0021704C"/>
    <w:rsid w:val="00217134"/>
    <w:rsid w:val="00217164"/>
    <w:rsid w:val="00217330"/>
    <w:rsid w:val="00217408"/>
    <w:rsid w:val="00217632"/>
    <w:rsid w:val="002177A9"/>
    <w:rsid w:val="002179BD"/>
    <w:rsid w:val="00217BC2"/>
    <w:rsid w:val="00217C7E"/>
    <w:rsid w:val="00217DEF"/>
    <w:rsid w:val="00217F0C"/>
    <w:rsid w:val="00217F7C"/>
    <w:rsid w:val="00217FB6"/>
    <w:rsid w:val="002200CF"/>
    <w:rsid w:val="0022011B"/>
    <w:rsid w:val="00220297"/>
    <w:rsid w:val="0022036A"/>
    <w:rsid w:val="0022036C"/>
    <w:rsid w:val="0022038B"/>
    <w:rsid w:val="0022055F"/>
    <w:rsid w:val="0022064D"/>
    <w:rsid w:val="00220661"/>
    <w:rsid w:val="00220686"/>
    <w:rsid w:val="00220708"/>
    <w:rsid w:val="0022074E"/>
    <w:rsid w:val="002207AD"/>
    <w:rsid w:val="002207AF"/>
    <w:rsid w:val="002207E7"/>
    <w:rsid w:val="00220A5F"/>
    <w:rsid w:val="00220CE7"/>
    <w:rsid w:val="00220D24"/>
    <w:rsid w:val="00220E16"/>
    <w:rsid w:val="00220E75"/>
    <w:rsid w:val="002210AA"/>
    <w:rsid w:val="002212E3"/>
    <w:rsid w:val="00221332"/>
    <w:rsid w:val="0022138B"/>
    <w:rsid w:val="00221563"/>
    <w:rsid w:val="00221920"/>
    <w:rsid w:val="0022194F"/>
    <w:rsid w:val="00221A74"/>
    <w:rsid w:val="00221ADA"/>
    <w:rsid w:val="00221B3A"/>
    <w:rsid w:val="00221BAF"/>
    <w:rsid w:val="00221BE2"/>
    <w:rsid w:val="00221BF6"/>
    <w:rsid w:val="00221C4E"/>
    <w:rsid w:val="00221CAC"/>
    <w:rsid w:val="00221CDB"/>
    <w:rsid w:val="00221DBF"/>
    <w:rsid w:val="00221DDF"/>
    <w:rsid w:val="00221E4D"/>
    <w:rsid w:val="00221EC0"/>
    <w:rsid w:val="00221EF3"/>
    <w:rsid w:val="00221F02"/>
    <w:rsid w:val="0022201B"/>
    <w:rsid w:val="002220C1"/>
    <w:rsid w:val="002221C0"/>
    <w:rsid w:val="0022230E"/>
    <w:rsid w:val="00222320"/>
    <w:rsid w:val="002223CC"/>
    <w:rsid w:val="0022242A"/>
    <w:rsid w:val="0022259B"/>
    <w:rsid w:val="002228CB"/>
    <w:rsid w:val="00222955"/>
    <w:rsid w:val="002229C9"/>
    <w:rsid w:val="00222B2C"/>
    <w:rsid w:val="00222CB1"/>
    <w:rsid w:val="00222E55"/>
    <w:rsid w:val="00222EE9"/>
    <w:rsid w:val="00222EFA"/>
    <w:rsid w:val="0022311D"/>
    <w:rsid w:val="0022311E"/>
    <w:rsid w:val="00223175"/>
    <w:rsid w:val="002232B4"/>
    <w:rsid w:val="00223305"/>
    <w:rsid w:val="00223384"/>
    <w:rsid w:val="00223473"/>
    <w:rsid w:val="0022351E"/>
    <w:rsid w:val="00223595"/>
    <w:rsid w:val="002235C9"/>
    <w:rsid w:val="002235E6"/>
    <w:rsid w:val="002236B3"/>
    <w:rsid w:val="00223821"/>
    <w:rsid w:val="00223962"/>
    <w:rsid w:val="00223BAC"/>
    <w:rsid w:val="00223E32"/>
    <w:rsid w:val="00223E64"/>
    <w:rsid w:val="00223F1F"/>
    <w:rsid w:val="00223FA2"/>
    <w:rsid w:val="002240B3"/>
    <w:rsid w:val="00224171"/>
    <w:rsid w:val="0022418A"/>
    <w:rsid w:val="00224282"/>
    <w:rsid w:val="00224384"/>
    <w:rsid w:val="002243DE"/>
    <w:rsid w:val="002243E7"/>
    <w:rsid w:val="0022447D"/>
    <w:rsid w:val="002246EA"/>
    <w:rsid w:val="0022481F"/>
    <w:rsid w:val="0022489B"/>
    <w:rsid w:val="00224A06"/>
    <w:rsid w:val="00224B18"/>
    <w:rsid w:val="00224B95"/>
    <w:rsid w:val="00224C91"/>
    <w:rsid w:val="00224C9C"/>
    <w:rsid w:val="00224CEB"/>
    <w:rsid w:val="00224DD7"/>
    <w:rsid w:val="00224E1B"/>
    <w:rsid w:val="00224E3D"/>
    <w:rsid w:val="00224E7B"/>
    <w:rsid w:val="00224F5C"/>
    <w:rsid w:val="00225089"/>
    <w:rsid w:val="00225295"/>
    <w:rsid w:val="002252E2"/>
    <w:rsid w:val="0022530B"/>
    <w:rsid w:val="002253B2"/>
    <w:rsid w:val="00225477"/>
    <w:rsid w:val="002254FD"/>
    <w:rsid w:val="0022569F"/>
    <w:rsid w:val="002256E6"/>
    <w:rsid w:val="002256E9"/>
    <w:rsid w:val="0022571F"/>
    <w:rsid w:val="00225974"/>
    <w:rsid w:val="00225B00"/>
    <w:rsid w:val="00225DAD"/>
    <w:rsid w:val="00225DE0"/>
    <w:rsid w:val="00225E07"/>
    <w:rsid w:val="00225E71"/>
    <w:rsid w:val="00225EAD"/>
    <w:rsid w:val="00225ED2"/>
    <w:rsid w:val="00225F20"/>
    <w:rsid w:val="00225F74"/>
    <w:rsid w:val="00226113"/>
    <w:rsid w:val="00226256"/>
    <w:rsid w:val="00226290"/>
    <w:rsid w:val="00226621"/>
    <w:rsid w:val="00226642"/>
    <w:rsid w:val="002266A5"/>
    <w:rsid w:val="00226963"/>
    <w:rsid w:val="00226977"/>
    <w:rsid w:val="00226D04"/>
    <w:rsid w:val="00226D49"/>
    <w:rsid w:val="00226F66"/>
    <w:rsid w:val="002271DA"/>
    <w:rsid w:val="00227273"/>
    <w:rsid w:val="002272BD"/>
    <w:rsid w:val="00227324"/>
    <w:rsid w:val="00227397"/>
    <w:rsid w:val="002273B1"/>
    <w:rsid w:val="00227472"/>
    <w:rsid w:val="00227484"/>
    <w:rsid w:val="0022753D"/>
    <w:rsid w:val="002275A6"/>
    <w:rsid w:val="00227622"/>
    <w:rsid w:val="00227793"/>
    <w:rsid w:val="00227797"/>
    <w:rsid w:val="0022784C"/>
    <w:rsid w:val="0022793C"/>
    <w:rsid w:val="002279B6"/>
    <w:rsid w:val="00227B1F"/>
    <w:rsid w:val="00227BB6"/>
    <w:rsid w:val="00227C72"/>
    <w:rsid w:val="00227C93"/>
    <w:rsid w:val="00227CA2"/>
    <w:rsid w:val="00227CC1"/>
    <w:rsid w:val="00227D33"/>
    <w:rsid w:val="00227DF2"/>
    <w:rsid w:val="00227EDE"/>
    <w:rsid w:val="0022EFE4"/>
    <w:rsid w:val="0023027B"/>
    <w:rsid w:val="00230291"/>
    <w:rsid w:val="00230306"/>
    <w:rsid w:val="002303A4"/>
    <w:rsid w:val="002305B0"/>
    <w:rsid w:val="00230601"/>
    <w:rsid w:val="00230780"/>
    <w:rsid w:val="002308BE"/>
    <w:rsid w:val="00230907"/>
    <w:rsid w:val="0023099C"/>
    <w:rsid w:val="002309C8"/>
    <w:rsid w:val="00230A1B"/>
    <w:rsid w:val="00230A89"/>
    <w:rsid w:val="00230BB1"/>
    <w:rsid w:val="00230BFB"/>
    <w:rsid w:val="00230C33"/>
    <w:rsid w:val="00230CF3"/>
    <w:rsid w:val="00230E36"/>
    <w:rsid w:val="00230EB5"/>
    <w:rsid w:val="0023102F"/>
    <w:rsid w:val="00231049"/>
    <w:rsid w:val="0023104F"/>
    <w:rsid w:val="002311AE"/>
    <w:rsid w:val="00231313"/>
    <w:rsid w:val="00231463"/>
    <w:rsid w:val="002314D2"/>
    <w:rsid w:val="00231561"/>
    <w:rsid w:val="002315C3"/>
    <w:rsid w:val="00231697"/>
    <w:rsid w:val="00231922"/>
    <w:rsid w:val="00231A01"/>
    <w:rsid w:val="00231A54"/>
    <w:rsid w:val="00231A97"/>
    <w:rsid w:val="00231AB0"/>
    <w:rsid w:val="00231C0B"/>
    <w:rsid w:val="00231C3F"/>
    <w:rsid w:val="00231CEA"/>
    <w:rsid w:val="00231F08"/>
    <w:rsid w:val="002320D4"/>
    <w:rsid w:val="0023213F"/>
    <w:rsid w:val="0023220E"/>
    <w:rsid w:val="002322D3"/>
    <w:rsid w:val="00232396"/>
    <w:rsid w:val="002324F2"/>
    <w:rsid w:val="00232571"/>
    <w:rsid w:val="0023257F"/>
    <w:rsid w:val="00232618"/>
    <w:rsid w:val="00232720"/>
    <w:rsid w:val="002328DD"/>
    <w:rsid w:val="00232949"/>
    <w:rsid w:val="00232AC5"/>
    <w:rsid w:val="00232BAA"/>
    <w:rsid w:val="00232CD8"/>
    <w:rsid w:val="00232CFE"/>
    <w:rsid w:val="00232D9A"/>
    <w:rsid w:val="00232D9D"/>
    <w:rsid w:val="00232E11"/>
    <w:rsid w:val="00232FEF"/>
    <w:rsid w:val="0023305C"/>
    <w:rsid w:val="0023319F"/>
    <w:rsid w:val="0023321B"/>
    <w:rsid w:val="00233342"/>
    <w:rsid w:val="00233363"/>
    <w:rsid w:val="002333E6"/>
    <w:rsid w:val="002334A5"/>
    <w:rsid w:val="00233513"/>
    <w:rsid w:val="002336CC"/>
    <w:rsid w:val="00233749"/>
    <w:rsid w:val="00233939"/>
    <w:rsid w:val="00233943"/>
    <w:rsid w:val="00233989"/>
    <w:rsid w:val="002339F1"/>
    <w:rsid w:val="00233A5D"/>
    <w:rsid w:val="00233ACE"/>
    <w:rsid w:val="00233AF8"/>
    <w:rsid w:val="00233B08"/>
    <w:rsid w:val="00233B7A"/>
    <w:rsid w:val="00233BE7"/>
    <w:rsid w:val="00233CEC"/>
    <w:rsid w:val="00233D78"/>
    <w:rsid w:val="00233DA0"/>
    <w:rsid w:val="00233F00"/>
    <w:rsid w:val="00234082"/>
    <w:rsid w:val="0023412A"/>
    <w:rsid w:val="0023418C"/>
    <w:rsid w:val="00234208"/>
    <w:rsid w:val="00234335"/>
    <w:rsid w:val="00234401"/>
    <w:rsid w:val="0023449D"/>
    <w:rsid w:val="002345AE"/>
    <w:rsid w:val="00234658"/>
    <w:rsid w:val="00234695"/>
    <w:rsid w:val="0023475F"/>
    <w:rsid w:val="002347FF"/>
    <w:rsid w:val="0023483B"/>
    <w:rsid w:val="00234855"/>
    <w:rsid w:val="00234876"/>
    <w:rsid w:val="00234975"/>
    <w:rsid w:val="00234B33"/>
    <w:rsid w:val="00234BE1"/>
    <w:rsid w:val="00234C0A"/>
    <w:rsid w:val="00234D48"/>
    <w:rsid w:val="00234E83"/>
    <w:rsid w:val="00234FA2"/>
    <w:rsid w:val="0023506C"/>
    <w:rsid w:val="0023512A"/>
    <w:rsid w:val="002351C5"/>
    <w:rsid w:val="00235372"/>
    <w:rsid w:val="00235391"/>
    <w:rsid w:val="00235533"/>
    <w:rsid w:val="00235586"/>
    <w:rsid w:val="00235607"/>
    <w:rsid w:val="002356FA"/>
    <w:rsid w:val="00235943"/>
    <w:rsid w:val="002359DE"/>
    <w:rsid w:val="00235AEF"/>
    <w:rsid w:val="00235BD5"/>
    <w:rsid w:val="00235C48"/>
    <w:rsid w:val="00235D2B"/>
    <w:rsid w:val="00235D61"/>
    <w:rsid w:val="00235DD1"/>
    <w:rsid w:val="00235E9D"/>
    <w:rsid w:val="00235F7E"/>
    <w:rsid w:val="00235FFD"/>
    <w:rsid w:val="0023622E"/>
    <w:rsid w:val="0023633D"/>
    <w:rsid w:val="002363F1"/>
    <w:rsid w:val="0023649E"/>
    <w:rsid w:val="002364AA"/>
    <w:rsid w:val="00236536"/>
    <w:rsid w:val="0023661B"/>
    <w:rsid w:val="0023661F"/>
    <w:rsid w:val="00236697"/>
    <w:rsid w:val="002368C6"/>
    <w:rsid w:val="002369B4"/>
    <w:rsid w:val="002369D8"/>
    <w:rsid w:val="00236AE6"/>
    <w:rsid w:val="00236B46"/>
    <w:rsid w:val="00236BE6"/>
    <w:rsid w:val="00236C80"/>
    <w:rsid w:val="00236DAE"/>
    <w:rsid w:val="00236DDF"/>
    <w:rsid w:val="00236E61"/>
    <w:rsid w:val="00236EBA"/>
    <w:rsid w:val="00237137"/>
    <w:rsid w:val="00237145"/>
    <w:rsid w:val="002371DC"/>
    <w:rsid w:val="00237236"/>
    <w:rsid w:val="002372C3"/>
    <w:rsid w:val="00237374"/>
    <w:rsid w:val="002374E7"/>
    <w:rsid w:val="00237688"/>
    <w:rsid w:val="002376D3"/>
    <w:rsid w:val="0023778E"/>
    <w:rsid w:val="00237857"/>
    <w:rsid w:val="002378CC"/>
    <w:rsid w:val="00237916"/>
    <w:rsid w:val="00237A72"/>
    <w:rsid w:val="00237B82"/>
    <w:rsid w:val="00237C3F"/>
    <w:rsid w:val="00237CDB"/>
    <w:rsid w:val="00237E07"/>
    <w:rsid w:val="00237E97"/>
    <w:rsid w:val="00237EE0"/>
    <w:rsid w:val="0024015B"/>
    <w:rsid w:val="00240210"/>
    <w:rsid w:val="00240349"/>
    <w:rsid w:val="002403E6"/>
    <w:rsid w:val="00240435"/>
    <w:rsid w:val="00240468"/>
    <w:rsid w:val="002404C3"/>
    <w:rsid w:val="002404ED"/>
    <w:rsid w:val="00240659"/>
    <w:rsid w:val="002406C3"/>
    <w:rsid w:val="00240789"/>
    <w:rsid w:val="002407D7"/>
    <w:rsid w:val="002407F7"/>
    <w:rsid w:val="002408B0"/>
    <w:rsid w:val="00240A32"/>
    <w:rsid w:val="00240B62"/>
    <w:rsid w:val="00240B71"/>
    <w:rsid w:val="00240B82"/>
    <w:rsid w:val="00240BBC"/>
    <w:rsid w:val="00240BC6"/>
    <w:rsid w:val="00240DF2"/>
    <w:rsid w:val="00240E75"/>
    <w:rsid w:val="00240EE2"/>
    <w:rsid w:val="00240F14"/>
    <w:rsid w:val="00241045"/>
    <w:rsid w:val="002410F1"/>
    <w:rsid w:val="0024121A"/>
    <w:rsid w:val="0024122D"/>
    <w:rsid w:val="002412E4"/>
    <w:rsid w:val="002413B7"/>
    <w:rsid w:val="00241581"/>
    <w:rsid w:val="0024159C"/>
    <w:rsid w:val="002415B4"/>
    <w:rsid w:val="0024177F"/>
    <w:rsid w:val="00241865"/>
    <w:rsid w:val="00241878"/>
    <w:rsid w:val="0024187E"/>
    <w:rsid w:val="00241881"/>
    <w:rsid w:val="002419B0"/>
    <w:rsid w:val="00241A5F"/>
    <w:rsid w:val="00241B6B"/>
    <w:rsid w:val="00241BA4"/>
    <w:rsid w:val="00241C1B"/>
    <w:rsid w:val="00241C45"/>
    <w:rsid w:val="00241E8D"/>
    <w:rsid w:val="00241EC7"/>
    <w:rsid w:val="00241F5F"/>
    <w:rsid w:val="00242047"/>
    <w:rsid w:val="00242089"/>
    <w:rsid w:val="00242191"/>
    <w:rsid w:val="002421CD"/>
    <w:rsid w:val="00242245"/>
    <w:rsid w:val="0024240E"/>
    <w:rsid w:val="0024244E"/>
    <w:rsid w:val="00242565"/>
    <w:rsid w:val="002425D3"/>
    <w:rsid w:val="00242635"/>
    <w:rsid w:val="002426CB"/>
    <w:rsid w:val="00242700"/>
    <w:rsid w:val="00242731"/>
    <w:rsid w:val="002427B3"/>
    <w:rsid w:val="002428AB"/>
    <w:rsid w:val="0024294C"/>
    <w:rsid w:val="00242AE4"/>
    <w:rsid w:val="00242B42"/>
    <w:rsid w:val="00242B89"/>
    <w:rsid w:val="00242C7D"/>
    <w:rsid w:val="00242D2A"/>
    <w:rsid w:val="00242D54"/>
    <w:rsid w:val="00242D70"/>
    <w:rsid w:val="00243244"/>
    <w:rsid w:val="00243251"/>
    <w:rsid w:val="0024326C"/>
    <w:rsid w:val="00243353"/>
    <w:rsid w:val="0024338B"/>
    <w:rsid w:val="00243401"/>
    <w:rsid w:val="002434FB"/>
    <w:rsid w:val="002435F6"/>
    <w:rsid w:val="002439D2"/>
    <w:rsid w:val="00243A96"/>
    <w:rsid w:val="00243BC9"/>
    <w:rsid w:val="00243F04"/>
    <w:rsid w:val="00243FC2"/>
    <w:rsid w:val="00243FF0"/>
    <w:rsid w:val="00244054"/>
    <w:rsid w:val="00244158"/>
    <w:rsid w:val="00244177"/>
    <w:rsid w:val="002441C0"/>
    <w:rsid w:val="002441C7"/>
    <w:rsid w:val="0024455C"/>
    <w:rsid w:val="00244564"/>
    <w:rsid w:val="00244651"/>
    <w:rsid w:val="002446A7"/>
    <w:rsid w:val="002448E6"/>
    <w:rsid w:val="00244904"/>
    <w:rsid w:val="00244B74"/>
    <w:rsid w:val="00244CE0"/>
    <w:rsid w:val="00245126"/>
    <w:rsid w:val="00245183"/>
    <w:rsid w:val="002452F7"/>
    <w:rsid w:val="0024533D"/>
    <w:rsid w:val="00245517"/>
    <w:rsid w:val="0024559A"/>
    <w:rsid w:val="002455DB"/>
    <w:rsid w:val="002455FD"/>
    <w:rsid w:val="002456A2"/>
    <w:rsid w:val="00245711"/>
    <w:rsid w:val="00245725"/>
    <w:rsid w:val="0024594B"/>
    <w:rsid w:val="002459AF"/>
    <w:rsid w:val="00245A98"/>
    <w:rsid w:val="00245BF0"/>
    <w:rsid w:val="00245D6F"/>
    <w:rsid w:val="00245D9C"/>
    <w:rsid w:val="00245DB5"/>
    <w:rsid w:val="00245DE9"/>
    <w:rsid w:val="00245E0D"/>
    <w:rsid w:val="00245EFC"/>
    <w:rsid w:val="0024605A"/>
    <w:rsid w:val="002461BA"/>
    <w:rsid w:val="0024622A"/>
    <w:rsid w:val="002462C6"/>
    <w:rsid w:val="002463DB"/>
    <w:rsid w:val="00246431"/>
    <w:rsid w:val="00246455"/>
    <w:rsid w:val="002465C4"/>
    <w:rsid w:val="002466C1"/>
    <w:rsid w:val="002466FE"/>
    <w:rsid w:val="0024674B"/>
    <w:rsid w:val="00246756"/>
    <w:rsid w:val="00246801"/>
    <w:rsid w:val="00246823"/>
    <w:rsid w:val="002468AA"/>
    <w:rsid w:val="00246900"/>
    <w:rsid w:val="002469AC"/>
    <w:rsid w:val="00246B55"/>
    <w:rsid w:val="00246BDE"/>
    <w:rsid w:val="00246BE4"/>
    <w:rsid w:val="00246C63"/>
    <w:rsid w:val="00246C81"/>
    <w:rsid w:val="00246DDC"/>
    <w:rsid w:val="00246E5F"/>
    <w:rsid w:val="00246E73"/>
    <w:rsid w:val="00246EF1"/>
    <w:rsid w:val="00246F8E"/>
    <w:rsid w:val="00246FB6"/>
    <w:rsid w:val="00247026"/>
    <w:rsid w:val="0024704D"/>
    <w:rsid w:val="00247078"/>
    <w:rsid w:val="002470BB"/>
    <w:rsid w:val="00247361"/>
    <w:rsid w:val="00247442"/>
    <w:rsid w:val="0024744E"/>
    <w:rsid w:val="002477B1"/>
    <w:rsid w:val="002477DA"/>
    <w:rsid w:val="002478B0"/>
    <w:rsid w:val="00247AE4"/>
    <w:rsid w:val="00247C3F"/>
    <w:rsid w:val="00247CA6"/>
    <w:rsid w:val="00247D9B"/>
    <w:rsid w:val="00247E43"/>
    <w:rsid w:val="00247E54"/>
    <w:rsid w:val="0025003B"/>
    <w:rsid w:val="002505EE"/>
    <w:rsid w:val="00250629"/>
    <w:rsid w:val="0025067E"/>
    <w:rsid w:val="0025075B"/>
    <w:rsid w:val="00250888"/>
    <w:rsid w:val="002508A5"/>
    <w:rsid w:val="002508B4"/>
    <w:rsid w:val="002509E5"/>
    <w:rsid w:val="00250A29"/>
    <w:rsid w:val="00250A44"/>
    <w:rsid w:val="00250C5A"/>
    <w:rsid w:val="00250CCF"/>
    <w:rsid w:val="00250D4E"/>
    <w:rsid w:val="00250DBA"/>
    <w:rsid w:val="00250DE0"/>
    <w:rsid w:val="00250E13"/>
    <w:rsid w:val="00250EFF"/>
    <w:rsid w:val="00250F34"/>
    <w:rsid w:val="00251050"/>
    <w:rsid w:val="002510B6"/>
    <w:rsid w:val="002510E1"/>
    <w:rsid w:val="002511D2"/>
    <w:rsid w:val="0025139F"/>
    <w:rsid w:val="002514AF"/>
    <w:rsid w:val="0025153C"/>
    <w:rsid w:val="00251555"/>
    <w:rsid w:val="002516D0"/>
    <w:rsid w:val="0025177E"/>
    <w:rsid w:val="00251858"/>
    <w:rsid w:val="00251880"/>
    <w:rsid w:val="002518ED"/>
    <w:rsid w:val="002518FD"/>
    <w:rsid w:val="0025190E"/>
    <w:rsid w:val="002519E2"/>
    <w:rsid w:val="00251CA5"/>
    <w:rsid w:val="00251E91"/>
    <w:rsid w:val="00251F33"/>
    <w:rsid w:val="00251FCE"/>
    <w:rsid w:val="002520E0"/>
    <w:rsid w:val="00252326"/>
    <w:rsid w:val="002523AB"/>
    <w:rsid w:val="002525CC"/>
    <w:rsid w:val="002526A3"/>
    <w:rsid w:val="00252751"/>
    <w:rsid w:val="0025281F"/>
    <w:rsid w:val="00252850"/>
    <w:rsid w:val="0025292D"/>
    <w:rsid w:val="002529C8"/>
    <w:rsid w:val="00252A44"/>
    <w:rsid w:val="00252BC4"/>
    <w:rsid w:val="00252C8E"/>
    <w:rsid w:val="00252D4A"/>
    <w:rsid w:val="00252F09"/>
    <w:rsid w:val="00253074"/>
    <w:rsid w:val="00253176"/>
    <w:rsid w:val="00253229"/>
    <w:rsid w:val="002533F2"/>
    <w:rsid w:val="00253454"/>
    <w:rsid w:val="00253520"/>
    <w:rsid w:val="00253526"/>
    <w:rsid w:val="002535DC"/>
    <w:rsid w:val="00253616"/>
    <w:rsid w:val="0025368F"/>
    <w:rsid w:val="002537DF"/>
    <w:rsid w:val="00253853"/>
    <w:rsid w:val="00253972"/>
    <w:rsid w:val="00253B71"/>
    <w:rsid w:val="00253C53"/>
    <w:rsid w:val="00253C67"/>
    <w:rsid w:val="00253E13"/>
    <w:rsid w:val="00253E27"/>
    <w:rsid w:val="00253EF8"/>
    <w:rsid w:val="00254074"/>
    <w:rsid w:val="0025408B"/>
    <w:rsid w:val="00254126"/>
    <w:rsid w:val="002541B6"/>
    <w:rsid w:val="00254312"/>
    <w:rsid w:val="00254385"/>
    <w:rsid w:val="002543D8"/>
    <w:rsid w:val="00254534"/>
    <w:rsid w:val="0025460C"/>
    <w:rsid w:val="00254615"/>
    <w:rsid w:val="00254682"/>
    <w:rsid w:val="00254725"/>
    <w:rsid w:val="00254902"/>
    <w:rsid w:val="00254B51"/>
    <w:rsid w:val="00254C61"/>
    <w:rsid w:val="00254C91"/>
    <w:rsid w:val="00254DAE"/>
    <w:rsid w:val="00254FB1"/>
    <w:rsid w:val="0025521E"/>
    <w:rsid w:val="0025527B"/>
    <w:rsid w:val="002553E0"/>
    <w:rsid w:val="002553F4"/>
    <w:rsid w:val="00255507"/>
    <w:rsid w:val="00255517"/>
    <w:rsid w:val="002555F4"/>
    <w:rsid w:val="0025561D"/>
    <w:rsid w:val="00255672"/>
    <w:rsid w:val="002556D9"/>
    <w:rsid w:val="002557A3"/>
    <w:rsid w:val="002557C5"/>
    <w:rsid w:val="002558AA"/>
    <w:rsid w:val="00255977"/>
    <w:rsid w:val="002559A2"/>
    <w:rsid w:val="002559F5"/>
    <w:rsid w:val="00255A03"/>
    <w:rsid w:val="00255A40"/>
    <w:rsid w:val="00255B40"/>
    <w:rsid w:val="00255C9D"/>
    <w:rsid w:val="00255CC9"/>
    <w:rsid w:val="00255D95"/>
    <w:rsid w:val="00255E90"/>
    <w:rsid w:val="00255F4F"/>
    <w:rsid w:val="00255FF2"/>
    <w:rsid w:val="002560B9"/>
    <w:rsid w:val="002561E3"/>
    <w:rsid w:val="002561F9"/>
    <w:rsid w:val="00256259"/>
    <w:rsid w:val="00256350"/>
    <w:rsid w:val="00256473"/>
    <w:rsid w:val="002564D4"/>
    <w:rsid w:val="0025652F"/>
    <w:rsid w:val="002565AC"/>
    <w:rsid w:val="00256632"/>
    <w:rsid w:val="00256752"/>
    <w:rsid w:val="002567C5"/>
    <w:rsid w:val="002567FA"/>
    <w:rsid w:val="0025688C"/>
    <w:rsid w:val="00256B0B"/>
    <w:rsid w:val="00256C2E"/>
    <w:rsid w:val="00256CE1"/>
    <w:rsid w:val="00256D14"/>
    <w:rsid w:val="00256D7B"/>
    <w:rsid w:val="00256F01"/>
    <w:rsid w:val="00257150"/>
    <w:rsid w:val="00257163"/>
    <w:rsid w:val="00257237"/>
    <w:rsid w:val="0025739D"/>
    <w:rsid w:val="0025742B"/>
    <w:rsid w:val="0025748A"/>
    <w:rsid w:val="0025760A"/>
    <w:rsid w:val="0025764E"/>
    <w:rsid w:val="0025765D"/>
    <w:rsid w:val="002577F5"/>
    <w:rsid w:val="00257890"/>
    <w:rsid w:val="002578C1"/>
    <w:rsid w:val="00257AE1"/>
    <w:rsid w:val="00257CC2"/>
    <w:rsid w:val="00257CCD"/>
    <w:rsid w:val="00257D69"/>
    <w:rsid w:val="00257EED"/>
    <w:rsid w:val="00257F49"/>
    <w:rsid w:val="002600EA"/>
    <w:rsid w:val="00260287"/>
    <w:rsid w:val="002603C0"/>
    <w:rsid w:val="0026050B"/>
    <w:rsid w:val="0026081B"/>
    <w:rsid w:val="002608AC"/>
    <w:rsid w:val="00260A01"/>
    <w:rsid w:val="00260A89"/>
    <w:rsid w:val="00260B8F"/>
    <w:rsid w:val="00260B93"/>
    <w:rsid w:val="00260BE0"/>
    <w:rsid w:val="00260D2B"/>
    <w:rsid w:val="00260D67"/>
    <w:rsid w:val="00260DE0"/>
    <w:rsid w:val="00260EC2"/>
    <w:rsid w:val="00260F88"/>
    <w:rsid w:val="00260F98"/>
    <w:rsid w:val="00261135"/>
    <w:rsid w:val="002611B2"/>
    <w:rsid w:val="002611DB"/>
    <w:rsid w:val="0026128F"/>
    <w:rsid w:val="00261315"/>
    <w:rsid w:val="002615D4"/>
    <w:rsid w:val="0026160F"/>
    <w:rsid w:val="00261646"/>
    <w:rsid w:val="00261702"/>
    <w:rsid w:val="002617C7"/>
    <w:rsid w:val="00261804"/>
    <w:rsid w:val="0026189A"/>
    <w:rsid w:val="00261DFA"/>
    <w:rsid w:val="00261E19"/>
    <w:rsid w:val="00261E8F"/>
    <w:rsid w:val="0026209C"/>
    <w:rsid w:val="0026221E"/>
    <w:rsid w:val="00262319"/>
    <w:rsid w:val="00262322"/>
    <w:rsid w:val="00262427"/>
    <w:rsid w:val="00262452"/>
    <w:rsid w:val="0026248C"/>
    <w:rsid w:val="002624F2"/>
    <w:rsid w:val="00262537"/>
    <w:rsid w:val="002625A3"/>
    <w:rsid w:val="00262634"/>
    <w:rsid w:val="002626DA"/>
    <w:rsid w:val="002627F1"/>
    <w:rsid w:val="002627F6"/>
    <w:rsid w:val="00262807"/>
    <w:rsid w:val="00262831"/>
    <w:rsid w:val="00262887"/>
    <w:rsid w:val="002628F5"/>
    <w:rsid w:val="00262B5F"/>
    <w:rsid w:val="00262BE2"/>
    <w:rsid w:val="00262C2E"/>
    <w:rsid w:val="00262C55"/>
    <w:rsid w:val="00262CB0"/>
    <w:rsid w:val="00262D83"/>
    <w:rsid w:val="00262D9E"/>
    <w:rsid w:val="00262DA8"/>
    <w:rsid w:val="00262DCF"/>
    <w:rsid w:val="00262DDF"/>
    <w:rsid w:val="00262EE0"/>
    <w:rsid w:val="00263019"/>
    <w:rsid w:val="00263024"/>
    <w:rsid w:val="0026325A"/>
    <w:rsid w:val="002632ED"/>
    <w:rsid w:val="002634B1"/>
    <w:rsid w:val="00263743"/>
    <w:rsid w:val="002637F5"/>
    <w:rsid w:val="00263820"/>
    <w:rsid w:val="0026386E"/>
    <w:rsid w:val="002639BC"/>
    <w:rsid w:val="00263AEF"/>
    <w:rsid w:val="00263B62"/>
    <w:rsid w:val="00263B6C"/>
    <w:rsid w:val="00263C04"/>
    <w:rsid w:val="00263C84"/>
    <w:rsid w:val="00263CD6"/>
    <w:rsid w:val="00263D1A"/>
    <w:rsid w:val="00263E74"/>
    <w:rsid w:val="00263F25"/>
    <w:rsid w:val="00263FA3"/>
    <w:rsid w:val="0026406B"/>
    <w:rsid w:val="0026410D"/>
    <w:rsid w:val="002641F1"/>
    <w:rsid w:val="0026426E"/>
    <w:rsid w:val="002642FA"/>
    <w:rsid w:val="0026443E"/>
    <w:rsid w:val="00264441"/>
    <w:rsid w:val="00264458"/>
    <w:rsid w:val="0026445A"/>
    <w:rsid w:val="002644C8"/>
    <w:rsid w:val="00264521"/>
    <w:rsid w:val="00264577"/>
    <w:rsid w:val="0026458F"/>
    <w:rsid w:val="002645B6"/>
    <w:rsid w:val="0026461B"/>
    <w:rsid w:val="002646DB"/>
    <w:rsid w:val="00264705"/>
    <w:rsid w:val="002649F8"/>
    <w:rsid w:val="00264C32"/>
    <w:rsid w:val="00264CD9"/>
    <w:rsid w:val="00264CE2"/>
    <w:rsid w:val="00264E1F"/>
    <w:rsid w:val="002651D1"/>
    <w:rsid w:val="00265262"/>
    <w:rsid w:val="00265478"/>
    <w:rsid w:val="002654CC"/>
    <w:rsid w:val="002654FA"/>
    <w:rsid w:val="00265587"/>
    <w:rsid w:val="002655CF"/>
    <w:rsid w:val="002656A6"/>
    <w:rsid w:val="002656B0"/>
    <w:rsid w:val="0026570E"/>
    <w:rsid w:val="002657A4"/>
    <w:rsid w:val="00265940"/>
    <w:rsid w:val="002659BE"/>
    <w:rsid w:val="00265A07"/>
    <w:rsid w:val="00265ADC"/>
    <w:rsid w:val="00265BA2"/>
    <w:rsid w:val="00265C5C"/>
    <w:rsid w:val="00265CD5"/>
    <w:rsid w:val="00265DB7"/>
    <w:rsid w:val="00265DDC"/>
    <w:rsid w:val="00265E11"/>
    <w:rsid w:val="002660FA"/>
    <w:rsid w:val="002662EC"/>
    <w:rsid w:val="0026654E"/>
    <w:rsid w:val="0026657F"/>
    <w:rsid w:val="002665BC"/>
    <w:rsid w:val="002665D4"/>
    <w:rsid w:val="00266677"/>
    <w:rsid w:val="0026669E"/>
    <w:rsid w:val="00266850"/>
    <w:rsid w:val="0026685B"/>
    <w:rsid w:val="00266B0D"/>
    <w:rsid w:val="00266BEB"/>
    <w:rsid w:val="00266E1E"/>
    <w:rsid w:val="00266F73"/>
    <w:rsid w:val="002670F7"/>
    <w:rsid w:val="00267127"/>
    <w:rsid w:val="002671B3"/>
    <w:rsid w:val="002671DE"/>
    <w:rsid w:val="0026720A"/>
    <w:rsid w:val="0026758D"/>
    <w:rsid w:val="0026763D"/>
    <w:rsid w:val="00267665"/>
    <w:rsid w:val="00267691"/>
    <w:rsid w:val="002679D0"/>
    <w:rsid w:val="002679D7"/>
    <w:rsid w:val="00267AC8"/>
    <w:rsid w:val="00267B8E"/>
    <w:rsid w:val="00267BD0"/>
    <w:rsid w:val="00267E4F"/>
    <w:rsid w:val="00267FB8"/>
    <w:rsid w:val="00270074"/>
    <w:rsid w:val="00270403"/>
    <w:rsid w:val="002704C8"/>
    <w:rsid w:val="0027050C"/>
    <w:rsid w:val="00270656"/>
    <w:rsid w:val="0027073E"/>
    <w:rsid w:val="00270896"/>
    <w:rsid w:val="00270A2D"/>
    <w:rsid w:val="00270A6F"/>
    <w:rsid w:val="00270AE9"/>
    <w:rsid w:val="00270AED"/>
    <w:rsid w:val="00270EDE"/>
    <w:rsid w:val="00270F5B"/>
    <w:rsid w:val="00271065"/>
    <w:rsid w:val="00271087"/>
    <w:rsid w:val="00271127"/>
    <w:rsid w:val="002713B8"/>
    <w:rsid w:val="002713F7"/>
    <w:rsid w:val="0027149B"/>
    <w:rsid w:val="002714DE"/>
    <w:rsid w:val="0027156D"/>
    <w:rsid w:val="0027172C"/>
    <w:rsid w:val="00271778"/>
    <w:rsid w:val="002719C7"/>
    <w:rsid w:val="002719DE"/>
    <w:rsid w:val="00271AAA"/>
    <w:rsid w:val="00271B60"/>
    <w:rsid w:val="00271B6F"/>
    <w:rsid w:val="00271C24"/>
    <w:rsid w:val="00271DB3"/>
    <w:rsid w:val="00271E1F"/>
    <w:rsid w:val="00271E54"/>
    <w:rsid w:val="00271FD0"/>
    <w:rsid w:val="0027224D"/>
    <w:rsid w:val="002726B6"/>
    <w:rsid w:val="00272893"/>
    <w:rsid w:val="002728F9"/>
    <w:rsid w:val="00272939"/>
    <w:rsid w:val="00272A87"/>
    <w:rsid w:val="00272B4C"/>
    <w:rsid w:val="00272D54"/>
    <w:rsid w:val="00272D75"/>
    <w:rsid w:val="00272E4F"/>
    <w:rsid w:val="00272E57"/>
    <w:rsid w:val="00272F2F"/>
    <w:rsid w:val="00272F9A"/>
    <w:rsid w:val="002731C3"/>
    <w:rsid w:val="002732A9"/>
    <w:rsid w:val="002732B5"/>
    <w:rsid w:val="0027334D"/>
    <w:rsid w:val="002733B2"/>
    <w:rsid w:val="0027340D"/>
    <w:rsid w:val="0027347C"/>
    <w:rsid w:val="002734DC"/>
    <w:rsid w:val="002735EE"/>
    <w:rsid w:val="00273635"/>
    <w:rsid w:val="002737E8"/>
    <w:rsid w:val="002738A1"/>
    <w:rsid w:val="002738F2"/>
    <w:rsid w:val="002739BA"/>
    <w:rsid w:val="00273B81"/>
    <w:rsid w:val="00273BC1"/>
    <w:rsid w:val="00273C07"/>
    <w:rsid w:val="00273CAB"/>
    <w:rsid w:val="00273D1F"/>
    <w:rsid w:val="00273E22"/>
    <w:rsid w:val="002741B2"/>
    <w:rsid w:val="0027426B"/>
    <w:rsid w:val="00274423"/>
    <w:rsid w:val="0027442A"/>
    <w:rsid w:val="00274726"/>
    <w:rsid w:val="0027473D"/>
    <w:rsid w:val="00274743"/>
    <w:rsid w:val="0027480D"/>
    <w:rsid w:val="00274887"/>
    <w:rsid w:val="00274A68"/>
    <w:rsid w:val="00274C41"/>
    <w:rsid w:val="00274D3F"/>
    <w:rsid w:val="00274D60"/>
    <w:rsid w:val="00274F17"/>
    <w:rsid w:val="00274F3B"/>
    <w:rsid w:val="0027501E"/>
    <w:rsid w:val="00275021"/>
    <w:rsid w:val="002750CF"/>
    <w:rsid w:val="00275167"/>
    <w:rsid w:val="002751BC"/>
    <w:rsid w:val="00275408"/>
    <w:rsid w:val="00275440"/>
    <w:rsid w:val="0027546E"/>
    <w:rsid w:val="0027568A"/>
    <w:rsid w:val="002756D2"/>
    <w:rsid w:val="002756DB"/>
    <w:rsid w:val="00275709"/>
    <w:rsid w:val="00275759"/>
    <w:rsid w:val="002758B8"/>
    <w:rsid w:val="0027590B"/>
    <w:rsid w:val="002759DB"/>
    <w:rsid w:val="00275A2A"/>
    <w:rsid w:val="00275B12"/>
    <w:rsid w:val="00275BD3"/>
    <w:rsid w:val="00275CC6"/>
    <w:rsid w:val="00275CFD"/>
    <w:rsid w:val="00275DA0"/>
    <w:rsid w:val="00275EFC"/>
    <w:rsid w:val="00276108"/>
    <w:rsid w:val="002763C1"/>
    <w:rsid w:val="00276422"/>
    <w:rsid w:val="00276444"/>
    <w:rsid w:val="0027647D"/>
    <w:rsid w:val="002765FA"/>
    <w:rsid w:val="002766E4"/>
    <w:rsid w:val="002767A5"/>
    <w:rsid w:val="002767F1"/>
    <w:rsid w:val="002768B2"/>
    <w:rsid w:val="002769DF"/>
    <w:rsid w:val="00276A80"/>
    <w:rsid w:val="00276B67"/>
    <w:rsid w:val="00276B90"/>
    <w:rsid w:val="00276D07"/>
    <w:rsid w:val="00276E5F"/>
    <w:rsid w:val="002771B2"/>
    <w:rsid w:val="002771D8"/>
    <w:rsid w:val="002773A3"/>
    <w:rsid w:val="002775F9"/>
    <w:rsid w:val="002777D4"/>
    <w:rsid w:val="0027790C"/>
    <w:rsid w:val="00277922"/>
    <w:rsid w:val="0027793B"/>
    <w:rsid w:val="002779A4"/>
    <w:rsid w:val="00277BDE"/>
    <w:rsid w:val="00277CBB"/>
    <w:rsid w:val="00277DBB"/>
    <w:rsid w:val="00277DFC"/>
    <w:rsid w:val="00277E88"/>
    <w:rsid w:val="002800C1"/>
    <w:rsid w:val="002804AA"/>
    <w:rsid w:val="00280566"/>
    <w:rsid w:val="002807C3"/>
    <w:rsid w:val="002807FD"/>
    <w:rsid w:val="00280AF1"/>
    <w:rsid w:val="00280C2D"/>
    <w:rsid w:val="00280CB1"/>
    <w:rsid w:val="00280ED8"/>
    <w:rsid w:val="00280EDE"/>
    <w:rsid w:val="00280F85"/>
    <w:rsid w:val="00280FC8"/>
    <w:rsid w:val="00280FE3"/>
    <w:rsid w:val="00281008"/>
    <w:rsid w:val="002810AD"/>
    <w:rsid w:val="002810E0"/>
    <w:rsid w:val="002810F8"/>
    <w:rsid w:val="0028115B"/>
    <w:rsid w:val="0028116B"/>
    <w:rsid w:val="00281275"/>
    <w:rsid w:val="002812EA"/>
    <w:rsid w:val="00281450"/>
    <w:rsid w:val="00281478"/>
    <w:rsid w:val="002814E9"/>
    <w:rsid w:val="002815C1"/>
    <w:rsid w:val="00281677"/>
    <w:rsid w:val="0028168A"/>
    <w:rsid w:val="0028169F"/>
    <w:rsid w:val="002818F5"/>
    <w:rsid w:val="002819CD"/>
    <w:rsid w:val="00281A3E"/>
    <w:rsid w:val="00281AB0"/>
    <w:rsid w:val="00281B87"/>
    <w:rsid w:val="00281D29"/>
    <w:rsid w:val="00281E19"/>
    <w:rsid w:val="00281EF2"/>
    <w:rsid w:val="00282483"/>
    <w:rsid w:val="00282505"/>
    <w:rsid w:val="0028265F"/>
    <w:rsid w:val="002826C2"/>
    <w:rsid w:val="00282844"/>
    <w:rsid w:val="002828CF"/>
    <w:rsid w:val="00282A06"/>
    <w:rsid w:val="00282A2D"/>
    <w:rsid w:val="00282AAA"/>
    <w:rsid w:val="00282AEE"/>
    <w:rsid w:val="00282BB3"/>
    <w:rsid w:val="00282EB1"/>
    <w:rsid w:val="00283114"/>
    <w:rsid w:val="00283164"/>
    <w:rsid w:val="0028334C"/>
    <w:rsid w:val="002833A2"/>
    <w:rsid w:val="002835D5"/>
    <w:rsid w:val="002835F5"/>
    <w:rsid w:val="00283747"/>
    <w:rsid w:val="0028374A"/>
    <w:rsid w:val="00283753"/>
    <w:rsid w:val="00283971"/>
    <w:rsid w:val="00283A3F"/>
    <w:rsid w:val="00283B5D"/>
    <w:rsid w:val="00283D6F"/>
    <w:rsid w:val="00283EB1"/>
    <w:rsid w:val="00283F35"/>
    <w:rsid w:val="00283FAB"/>
    <w:rsid w:val="00283FF0"/>
    <w:rsid w:val="00284289"/>
    <w:rsid w:val="002843BA"/>
    <w:rsid w:val="002843CE"/>
    <w:rsid w:val="00284634"/>
    <w:rsid w:val="00284682"/>
    <w:rsid w:val="00284699"/>
    <w:rsid w:val="002846E7"/>
    <w:rsid w:val="0028483F"/>
    <w:rsid w:val="00284850"/>
    <w:rsid w:val="00284989"/>
    <w:rsid w:val="00284C80"/>
    <w:rsid w:val="00284DA3"/>
    <w:rsid w:val="00284DA7"/>
    <w:rsid w:val="00284E00"/>
    <w:rsid w:val="00284E67"/>
    <w:rsid w:val="00284EE8"/>
    <w:rsid w:val="00284EF6"/>
    <w:rsid w:val="00284F55"/>
    <w:rsid w:val="00284F8A"/>
    <w:rsid w:val="00284FD2"/>
    <w:rsid w:val="00285045"/>
    <w:rsid w:val="00285087"/>
    <w:rsid w:val="0028518F"/>
    <w:rsid w:val="002851A2"/>
    <w:rsid w:val="00285274"/>
    <w:rsid w:val="00285446"/>
    <w:rsid w:val="00285463"/>
    <w:rsid w:val="0028562B"/>
    <w:rsid w:val="0028575F"/>
    <w:rsid w:val="00285850"/>
    <w:rsid w:val="00285969"/>
    <w:rsid w:val="002859D1"/>
    <w:rsid w:val="00285B92"/>
    <w:rsid w:val="00285C8A"/>
    <w:rsid w:val="00285CF5"/>
    <w:rsid w:val="00285EA1"/>
    <w:rsid w:val="00285FCF"/>
    <w:rsid w:val="0028606B"/>
    <w:rsid w:val="00286444"/>
    <w:rsid w:val="002864D1"/>
    <w:rsid w:val="002864F4"/>
    <w:rsid w:val="00286584"/>
    <w:rsid w:val="002865EE"/>
    <w:rsid w:val="002866C2"/>
    <w:rsid w:val="00286883"/>
    <w:rsid w:val="002868B5"/>
    <w:rsid w:val="00286918"/>
    <w:rsid w:val="00286955"/>
    <w:rsid w:val="00286A23"/>
    <w:rsid w:val="00286AB6"/>
    <w:rsid w:val="00286BB5"/>
    <w:rsid w:val="00286BDF"/>
    <w:rsid w:val="00286CAE"/>
    <w:rsid w:val="00286CC7"/>
    <w:rsid w:val="00286D46"/>
    <w:rsid w:val="00286E18"/>
    <w:rsid w:val="00286EBC"/>
    <w:rsid w:val="00286FD4"/>
    <w:rsid w:val="0028720A"/>
    <w:rsid w:val="00287640"/>
    <w:rsid w:val="00287678"/>
    <w:rsid w:val="002879D0"/>
    <w:rsid w:val="00287BA3"/>
    <w:rsid w:val="00287C0F"/>
    <w:rsid w:val="00287CE4"/>
    <w:rsid w:val="00287D2B"/>
    <w:rsid w:val="00287DD1"/>
    <w:rsid w:val="00287F56"/>
    <w:rsid w:val="00290037"/>
    <w:rsid w:val="00290112"/>
    <w:rsid w:val="002902E6"/>
    <w:rsid w:val="00290354"/>
    <w:rsid w:val="0029067D"/>
    <w:rsid w:val="002906AA"/>
    <w:rsid w:val="002907C9"/>
    <w:rsid w:val="0029089B"/>
    <w:rsid w:val="00290921"/>
    <w:rsid w:val="00290988"/>
    <w:rsid w:val="00290C68"/>
    <w:rsid w:val="00290E4B"/>
    <w:rsid w:val="00290F39"/>
    <w:rsid w:val="00290FAC"/>
    <w:rsid w:val="0029100A"/>
    <w:rsid w:val="0029104B"/>
    <w:rsid w:val="00291140"/>
    <w:rsid w:val="00291211"/>
    <w:rsid w:val="002912E1"/>
    <w:rsid w:val="002913C7"/>
    <w:rsid w:val="002913CA"/>
    <w:rsid w:val="00291451"/>
    <w:rsid w:val="00291873"/>
    <w:rsid w:val="002918B3"/>
    <w:rsid w:val="002919D9"/>
    <w:rsid w:val="00291A5E"/>
    <w:rsid w:val="00291A95"/>
    <w:rsid w:val="00291B2C"/>
    <w:rsid w:val="00291BCD"/>
    <w:rsid w:val="00291C1F"/>
    <w:rsid w:val="00291D33"/>
    <w:rsid w:val="00291DC2"/>
    <w:rsid w:val="00291DD2"/>
    <w:rsid w:val="00291E2C"/>
    <w:rsid w:val="002920C4"/>
    <w:rsid w:val="0029215B"/>
    <w:rsid w:val="0029235E"/>
    <w:rsid w:val="00292390"/>
    <w:rsid w:val="00292419"/>
    <w:rsid w:val="002924F8"/>
    <w:rsid w:val="002925AC"/>
    <w:rsid w:val="002926A2"/>
    <w:rsid w:val="002928DF"/>
    <w:rsid w:val="00292946"/>
    <w:rsid w:val="002929A6"/>
    <w:rsid w:val="002929EA"/>
    <w:rsid w:val="00292A65"/>
    <w:rsid w:val="00292B6D"/>
    <w:rsid w:val="00292C3A"/>
    <w:rsid w:val="00292C5E"/>
    <w:rsid w:val="00292C90"/>
    <w:rsid w:val="00292D2C"/>
    <w:rsid w:val="00292F56"/>
    <w:rsid w:val="00292FDD"/>
    <w:rsid w:val="00293027"/>
    <w:rsid w:val="0029316B"/>
    <w:rsid w:val="002931AD"/>
    <w:rsid w:val="00293221"/>
    <w:rsid w:val="002932A5"/>
    <w:rsid w:val="002932B6"/>
    <w:rsid w:val="002932CA"/>
    <w:rsid w:val="002932F2"/>
    <w:rsid w:val="0029337B"/>
    <w:rsid w:val="00293560"/>
    <w:rsid w:val="002935B3"/>
    <w:rsid w:val="002936A7"/>
    <w:rsid w:val="0029374A"/>
    <w:rsid w:val="00293916"/>
    <w:rsid w:val="002939D3"/>
    <w:rsid w:val="00293A1A"/>
    <w:rsid w:val="00293A96"/>
    <w:rsid w:val="00293ACC"/>
    <w:rsid w:val="00293C06"/>
    <w:rsid w:val="00293C41"/>
    <w:rsid w:val="00293DE4"/>
    <w:rsid w:val="00293E1E"/>
    <w:rsid w:val="00293E34"/>
    <w:rsid w:val="00293E95"/>
    <w:rsid w:val="00293ED9"/>
    <w:rsid w:val="00293F46"/>
    <w:rsid w:val="00293FE7"/>
    <w:rsid w:val="00293FEF"/>
    <w:rsid w:val="002941B2"/>
    <w:rsid w:val="002941E0"/>
    <w:rsid w:val="002941FD"/>
    <w:rsid w:val="00294229"/>
    <w:rsid w:val="002944AF"/>
    <w:rsid w:val="0029451B"/>
    <w:rsid w:val="0029464C"/>
    <w:rsid w:val="002946A0"/>
    <w:rsid w:val="002946BF"/>
    <w:rsid w:val="00294863"/>
    <w:rsid w:val="002948AC"/>
    <w:rsid w:val="0029490B"/>
    <w:rsid w:val="00294989"/>
    <w:rsid w:val="00294A31"/>
    <w:rsid w:val="00294A5D"/>
    <w:rsid w:val="00294AF1"/>
    <w:rsid w:val="00294BF2"/>
    <w:rsid w:val="00294D2A"/>
    <w:rsid w:val="00294D9E"/>
    <w:rsid w:val="00294DBC"/>
    <w:rsid w:val="00294E62"/>
    <w:rsid w:val="00294F5A"/>
    <w:rsid w:val="0029503B"/>
    <w:rsid w:val="0029503D"/>
    <w:rsid w:val="0029514D"/>
    <w:rsid w:val="00295191"/>
    <w:rsid w:val="002951A7"/>
    <w:rsid w:val="0029524B"/>
    <w:rsid w:val="0029536F"/>
    <w:rsid w:val="00295379"/>
    <w:rsid w:val="002953A3"/>
    <w:rsid w:val="002953BB"/>
    <w:rsid w:val="0029541E"/>
    <w:rsid w:val="0029547B"/>
    <w:rsid w:val="00295520"/>
    <w:rsid w:val="00295586"/>
    <w:rsid w:val="002955B0"/>
    <w:rsid w:val="00295643"/>
    <w:rsid w:val="002956BE"/>
    <w:rsid w:val="0029590C"/>
    <w:rsid w:val="00295937"/>
    <w:rsid w:val="00295A47"/>
    <w:rsid w:val="00295A49"/>
    <w:rsid w:val="00295A6C"/>
    <w:rsid w:val="00295AC8"/>
    <w:rsid w:val="00295B30"/>
    <w:rsid w:val="00295B38"/>
    <w:rsid w:val="00295C15"/>
    <w:rsid w:val="00295F4D"/>
    <w:rsid w:val="00295F66"/>
    <w:rsid w:val="00295F9F"/>
    <w:rsid w:val="00296191"/>
    <w:rsid w:val="00296355"/>
    <w:rsid w:val="0029636F"/>
    <w:rsid w:val="002963ED"/>
    <w:rsid w:val="002964F8"/>
    <w:rsid w:val="00296592"/>
    <w:rsid w:val="0029659C"/>
    <w:rsid w:val="002965BF"/>
    <w:rsid w:val="00296700"/>
    <w:rsid w:val="00296732"/>
    <w:rsid w:val="0029682A"/>
    <w:rsid w:val="00296861"/>
    <w:rsid w:val="002969CD"/>
    <w:rsid w:val="00296B36"/>
    <w:rsid w:val="00296B5D"/>
    <w:rsid w:val="00296C5D"/>
    <w:rsid w:val="00296CA5"/>
    <w:rsid w:val="00296CDB"/>
    <w:rsid w:val="00296DD4"/>
    <w:rsid w:val="00296F5B"/>
    <w:rsid w:val="00296F68"/>
    <w:rsid w:val="00297019"/>
    <w:rsid w:val="002970A2"/>
    <w:rsid w:val="00297141"/>
    <w:rsid w:val="00297170"/>
    <w:rsid w:val="002972F3"/>
    <w:rsid w:val="0029748E"/>
    <w:rsid w:val="002974CC"/>
    <w:rsid w:val="00297555"/>
    <w:rsid w:val="002975B3"/>
    <w:rsid w:val="002975DC"/>
    <w:rsid w:val="002976D1"/>
    <w:rsid w:val="00297771"/>
    <w:rsid w:val="002979B0"/>
    <w:rsid w:val="00297E1E"/>
    <w:rsid w:val="00297F64"/>
    <w:rsid w:val="002A021C"/>
    <w:rsid w:val="002A0296"/>
    <w:rsid w:val="002A0311"/>
    <w:rsid w:val="002A03B1"/>
    <w:rsid w:val="002A03F6"/>
    <w:rsid w:val="002A0425"/>
    <w:rsid w:val="002A0429"/>
    <w:rsid w:val="002A047B"/>
    <w:rsid w:val="002A05B5"/>
    <w:rsid w:val="002A0689"/>
    <w:rsid w:val="002A078E"/>
    <w:rsid w:val="002A07B1"/>
    <w:rsid w:val="002A0807"/>
    <w:rsid w:val="002A087F"/>
    <w:rsid w:val="002A0A31"/>
    <w:rsid w:val="002A0A93"/>
    <w:rsid w:val="002A0B13"/>
    <w:rsid w:val="002A0BE1"/>
    <w:rsid w:val="002A0CEF"/>
    <w:rsid w:val="002A0D9D"/>
    <w:rsid w:val="002A0DC8"/>
    <w:rsid w:val="002A0DD8"/>
    <w:rsid w:val="002A0EB4"/>
    <w:rsid w:val="002A0F04"/>
    <w:rsid w:val="002A1016"/>
    <w:rsid w:val="002A1031"/>
    <w:rsid w:val="002A1033"/>
    <w:rsid w:val="002A1045"/>
    <w:rsid w:val="002A1114"/>
    <w:rsid w:val="002A1147"/>
    <w:rsid w:val="002A1352"/>
    <w:rsid w:val="002A13B7"/>
    <w:rsid w:val="002A13CA"/>
    <w:rsid w:val="002A144C"/>
    <w:rsid w:val="002A1477"/>
    <w:rsid w:val="002A14FF"/>
    <w:rsid w:val="002A15DC"/>
    <w:rsid w:val="002A17B3"/>
    <w:rsid w:val="002A18A9"/>
    <w:rsid w:val="002A196B"/>
    <w:rsid w:val="002A19E3"/>
    <w:rsid w:val="002A1A22"/>
    <w:rsid w:val="002A1C17"/>
    <w:rsid w:val="002A1CB9"/>
    <w:rsid w:val="002A1D69"/>
    <w:rsid w:val="002A1F34"/>
    <w:rsid w:val="002A2017"/>
    <w:rsid w:val="002A204F"/>
    <w:rsid w:val="002A20CC"/>
    <w:rsid w:val="002A20D6"/>
    <w:rsid w:val="002A2215"/>
    <w:rsid w:val="002A2225"/>
    <w:rsid w:val="002A22B3"/>
    <w:rsid w:val="002A2349"/>
    <w:rsid w:val="002A2466"/>
    <w:rsid w:val="002A2479"/>
    <w:rsid w:val="002A2672"/>
    <w:rsid w:val="002A26FD"/>
    <w:rsid w:val="002A273A"/>
    <w:rsid w:val="002A2791"/>
    <w:rsid w:val="002A27AA"/>
    <w:rsid w:val="002A2882"/>
    <w:rsid w:val="002A294C"/>
    <w:rsid w:val="002A2B33"/>
    <w:rsid w:val="002A2D0A"/>
    <w:rsid w:val="002A2D23"/>
    <w:rsid w:val="002A2DF7"/>
    <w:rsid w:val="002A2EA6"/>
    <w:rsid w:val="002A3165"/>
    <w:rsid w:val="002A3219"/>
    <w:rsid w:val="002A3244"/>
    <w:rsid w:val="002A32F0"/>
    <w:rsid w:val="002A3474"/>
    <w:rsid w:val="002A34C6"/>
    <w:rsid w:val="002A35B6"/>
    <w:rsid w:val="002A389A"/>
    <w:rsid w:val="002A39CF"/>
    <w:rsid w:val="002A3AC3"/>
    <w:rsid w:val="002A3AEC"/>
    <w:rsid w:val="002A3CFD"/>
    <w:rsid w:val="002A3D18"/>
    <w:rsid w:val="002A3D31"/>
    <w:rsid w:val="002A3D86"/>
    <w:rsid w:val="002A3DE1"/>
    <w:rsid w:val="002A3F39"/>
    <w:rsid w:val="002A4134"/>
    <w:rsid w:val="002A418B"/>
    <w:rsid w:val="002A42CA"/>
    <w:rsid w:val="002A4487"/>
    <w:rsid w:val="002A44C7"/>
    <w:rsid w:val="002A48F9"/>
    <w:rsid w:val="002A49FF"/>
    <w:rsid w:val="002A4A0F"/>
    <w:rsid w:val="002A4B56"/>
    <w:rsid w:val="002A4C9B"/>
    <w:rsid w:val="002A4D79"/>
    <w:rsid w:val="002A4EFC"/>
    <w:rsid w:val="002A4FB7"/>
    <w:rsid w:val="002A5034"/>
    <w:rsid w:val="002A510D"/>
    <w:rsid w:val="002A5293"/>
    <w:rsid w:val="002A52CD"/>
    <w:rsid w:val="002A53CA"/>
    <w:rsid w:val="002A545B"/>
    <w:rsid w:val="002A5470"/>
    <w:rsid w:val="002A548D"/>
    <w:rsid w:val="002A553A"/>
    <w:rsid w:val="002A571E"/>
    <w:rsid w:val="002A5A69"/>
    <w:rsid w:val="002A5B1A"/>
    <w:rsid w:val="002A5C8B"/>
    <w:rsid w:val="002A5CE4"/>
    <w:rsid w:val="002A5F2B"/>
    <w:rsid w:val="002A6259"/>
    <w:rsid w:val="002A6286"/>
    <w:rsid w:val="002A63B4"/>
    <w:rsid w:val="002A63D1"/>
    <w:rsid w:val="002A6471"/>
    <w:rsid w:val="002A64B0"/>
    <w:rsid w:val="002A652A"/>
    <w:rsid w:val="002A6633"/>
    <w:rsid w:val="002A6651"/>
    <w:rsid w:val="002A6883"/>
    <w:rsid w:val="002A6B3C"/>
    <w:rsid w:val="002A6B6F"/>
    <w:rsid w:val="002A6B82"/>
    <w:rsid w:val="002A6EC2"/>
    <w:rsid w:val="002A6EDD"/>
    <w:rsid w:val="002A6EFA"/>
    <w:rsid w:val="002A72CA"/>
    <w:rsid w:val="002A74B3"/>
    <w:rsid w:val="002A74D4"/>
    <w:rsid w:val="002A74EF"/>
    <w:rsid w:val="002A7504"/>
    <w:rsid w:val="002A771A"/>
    <w:rsid w:val="002A78B6"/>
    <w:rsid w:val="002A790D"/>
    <w:rsid w:val="002A7A31"/>
    <w:rsid w:val="002A7BB9"/>
    <w:rsid w:val="002A7C00"/>
    <w:rsid w:val="002A7E42"/>
    <w:rsid w:val="002A7E9C"/>
    <w:rsid w:val="002A7EC3"/>
    <w:rsid w:val="002A7F06"/>
    <w:rsid w:val="002B0068"/>
    <w:rsid w:val="002B02F4"/>
    <w:rsid w:val="002B0338"/>
    <w:rsid w:val="002B036D"/>
    <w:rsid w:val="002B03C9"/>
    <w:rsid w:val="002B048C"/>
    <w:rsid w:val="002B0507"/>
    <w:rsid w:val="002B05E1"/>
    <w:rsid w:val="002B0615"/>
    <w:rsid w:val="002B061C"/>
    <w:rsid w:val="002B068A"/>
    <w:rsid w:val="002B07AF"/>
    <w:rsid w:val="002B07B0"/>
    <w:rsid w:val="002B0888"/>
    <w:rsid w:val="002B08A3"/>
    <w:rsid w:val="002B099E"/>
    <w:rsid w:val="002B0CA1"/>
    <w:rsid w:val="002B0CB3"/>
    <w:rsid w:val="002B0E8E"/>
    <w:rsid w:val="002B0EAC"/>
    <w:rsid w:val="002B1168"/>
    <w:rsid w:val="002B1211"/>
    <w:rsid w:val="002B1591"/>
    <w:rsid w:val="002B1742"/>
    <w:rsid w:val="002B1B04"/>
    <w:rsid w:val="002B1B97"/>
    <w:rsid w:val="002B1BD1"/>
    <w:rsid w:val="002B1C31"/>
    <w:rsid w:val="002B1CAB"/>
    <w:rsid w:val="002B1F1A"/>
    <w:rsid w:val="002B1F7E"/>
    <w:rsid w:val="002B2008"/>
    <w:rsid w:val="002B2142"/>
    <w:rsid w:val="002B21A0"/>
    <w:rsid w:val="002B2212"/>
    <w:rsid w:val="002B22DD"/>
    <w:rsid w:val="002B22FB"/>
    <w:rsid w:val="002B2368"/>
    <w:rsid w:val="002B23B0"/>
    <w:rsid w:val="002B246D"/>
    <w:rsid w:val="002B25E5"/>
    <w:rsid w:val="002B2664"/>
    <w:rsid w:val="002B26FC"/>
    <w:rsid w:val="002B297E"/>
    <w:rsid w:val="002B299C"/>
    <w:rsid w:val="002B29EB"/>
    <w:rsid w:val="002B2A87"/>
    <w:rsid w:val="002B2AB7"/>
    <w:rsid w:val="002B2B12"/>
    <w:rsid w:val="002B2C57"/>
    <w:rsid w:val="002B2D30"/>
    <w:rsid w:val="002B2E69"/>
    <w:rsid w:val="002B2F79"/>
    <w:rsid w:val="002B2F97"/>
    <w:rsid w:val="002B304E"/>
    <w:rsid w:val="002B30EE"/>
    <w:rsid w:val="002B3208"/>
    <w:rsid w:val="002B3486"/>
    <w:rsid w:val="002B34D0"/>
    <w:rsid w:val="002B34E8"/>
    <w:rsid w:val="002B3726"/>
    <w:rsid w:val="002B3829"/>
    <w:rsid w:val="002B38F9"/>
    <w:rsid w:val="002B3915"/>
    <w:rsid w:val="002B3974"/>
    <w:rsid w:val="002B3AB0"/>
    <w:rsid w:val="002B3B92"/>
    <w:rsid w:val="002B3BD6"/>
    <w:rsid w:val="002B3D4C"/>
    <w:rsid w:val="002B3D60"/>
    <w:rsid w:val="002B3D92"/>
    <w:rsid w:val="002B3DB4"/>
    <w:rsid w:val="002B3E62"/>
    <w:rsid w:val="002B3F6D"/>
    <w:rsid w:val="002B3FD7"/>
    <w:rsid w:val="002B402E"/>
    <w:rsid w:val="002B4189"/>
    <w:rsid w:val="002B41AA"/>
    <w:rsid w:val="002B4202"/>
    <w:rsid w:val="002B430D"/>
    <w:rsid w:val="002B449A"/>
    <w:rsid w:val="002B44FA"/>
    <w:rsid w:val="002B4558"/>
    <w:rsid w:val="002B47C4"/>
    <w:rsid w:val="002B47C9"/>
    <w:rsid w:val="002B4886"/>
    <w:rsid w:val="002B48C4"/>
    <w:rsid w:val="002B48C8"/>
    <w:rsid w:val="002B48E5"/>
    <w:rsid w:val="002B4C31"/>
    <w:rsid w:val="002B4C3B"/>
    <w:rsid w:val="002B4D3D"/>
    <w:rsid w:val="002B4E0D"/>
    <w:rsid w:val="002B4EA6"/>
    <w:rsid w:val="002B5036"/>
    <w:rsid w:val="002B5086"/>
    <w:rsid w:val="002B5087"/>
    <w:rsid w:val="002B50CD"/>
    <w:rsid w:val="002B5161"/>
    <w:rsid w:val="002B5168"/>
    <w:rsid w:val="002B53FF"/>
    <w:rsid w:val="002B5456"/>
    <w:rsid w:val="002B54E2"/>
    <w:rsid w:val="002B5584"/>
    <w:rsid w:val="002B5666"/>
    <w:rsid w:val="002B5742"/>
    <w:rsid w:val="002B5743"/>
    <w:rsid w:val="002B57C5"/>
    <w:rsid w:val="002B5844"/>
    <w:rsid w:val="002B5CCA"/>
    <w:rsid w:val="002B5CE1"/>
    <w:rsid w:val="002B5DA6"/>
    <w:rsid w:val="002B5DFD"/>
    <w:rsid w:val="002B5E32"/>
    <w:rsid w:val="002B5EEB"/>
    <w:rsid w:val="002B5F15"/>
    <w:rsid w:val="002B635B"/>
    <w:rsid w:val="002B6591"/>
    <w:rsid w:val="002B65D2"/>
    <w:rsid w:val="002B669A"/>
    <w:rsid w:val="002B673D"/>
    <w:rsid w:val="002B67BF"/>
    <w:rsid w:val="002B69CF"/>
    <w:rsid w:val="002B6A74"/>
    <w:rsid w:val="002B6F0D"/>
    <w:rsid w:val="002B70BC"/>
    <w:rsid w:val="002B7238"/>
    <w:rsid w:val="002B7372"/>
    <w:rsid w:val="002B77B5"/>
    <w:rsid w:val="002B7861"/>
    <w:rsid w:val="002B7940"/>
    <w:rsid w:val="002B7A10"/>
    <w:rsid w:val="002B7B0A"/>
    <w:rsid w:val="002B7B54"/>
    <w:rsid w:val="002B7C49"/>
    <w:rsid w:val="002B7C5A"/>
    <w:rsid w:val="002B7DC6"/>
    <w:rsid w:val="002C007B"/>
    <w:rsid w:val="002C0238"/>
    <w:rsid w:val="002C0337"/>
    <w:rsid w:val="002C0369"/>
    <w:rsid w:val="002C0600"/>
    <w:rsid w:val="002C060E"/>
    <w:rsid w:val="002C0669"/>
    <w:rsid w:val="002C06D2"/>
    <w:rsid w:val="002C0731"/>
    <w:rsid w:val="002C084B"/>
    <w:rsid w:val="002C087C"/>
    <w:rsid w:val="002C08DE"/>
    <w:rsid w:val="002C0962"/>
    <w:rsid w:val="002C0996"/>
    <w:rsid w:val="002C0AFA"/>
    <w:rsid w:val="002C0B9C"/>
    <w:rsid w:val="002C0E65"/>
    <w:rsid w:val="002C0E94"/>
    <w:rsid w:val="002C0F8C"/>
    <w:rsid w:val="002C103E"/>
    <w:rsid w:val="002C1332"/>
    <w:rsid w:val="002C1335"/>
    <w:rsid w:val="002C13F6"/>
    <w:rsid w:val="002C14C3"/>
    <w:rsid w:val="002C15DC"/>
    <w:rsid w:val="002C1627"/>
    <w:rsid w:val="002C1676"/>
    <w:rsid w:val="002C1744"/>
    <w:rsid w:val="002C180B"/>
    <w:rsid w:val="002C1832"/>
    <w:rsid w:val="002C1985"/>
    <w:rsid w:val="002C19F7"/>
    <w:rsid w:val="002C1AAD"/>
    <w:rsid w:val="002C1AC2"/>
    <w:rsid w:val="002C1B16"/>
    <w:rsid w:val="002C1BA2"/>
    <w:rsid w:val="002C1BA9"/>
    <w:rsid w:val="002C1BD7"/>
    <w:rsid w:val="002C1CB5"/>
    <w:rsid w:val="002C1F3D"/>
    <w:rsid w:val="002C202C"/>
    <w:rsid w:val="002C2169"/>
    <w:rsid w:val="002C21E3"/>
    <w:rsid w:val="002C22C9"/>
    <w:rsid w:val="002C22EF"/>
    <w:rsid w:val="002C2422"/>
    <w:rsid w:val="002C2475"/>
    <w:rsid w:val="002C25DF"/>
    <w:rsid w:val="002C262A"/>
    <w:rsid w:val="002C267D"/>
    <w:rsid w:val="002C26A3"/>
    <w:rsid w:val="002C27F3"/>
    <w:rsid w:val="002C2809"/>
    <w:rsid w:val="002C28A4"/>
    <w:rsid w:val="002C2933"/>
    <w:rsid w:val="002C2B1F"/>
    <w:rsid w:val="002C2B49"/>
    <w:rsid w:val="002C2B5C"/>
    <w:rsid w:val="002C2BD9"/>
    <w:rsid w:val="002C2BDB"/>
    <w:rsid w:val="002C2C59"/>
    <w:rsid w:val="002C2C9C"/>
    <w:rsid w:val="002C2CDC"/>
    <w:rsid w:val="002C2D48"/>
    <w:rsid w:val="002C2D67"/>
    <w:rsid w:val="002C2E82"/>
    <w:rsid w:val="002C2EA4"/>
    <w:rsid w:val="002C2EB6"/>
    <w:rsid w:val="002C302D"/>
    <w:rsid w:val="002C31AA"/>
    <w:rsid w:val="002C371E"/>
    <w:rsid w:val="002C373C"/>
    <w:rsid w:val="002C3743"/>
    <w:rsid w:val="002C39A7"/>
    <w:rsid w:val="002C3AD9"/>
    <w:rsid w:val="002C3CAC"/>
    <w:rsid w:val="002C3D92"/>
    <w:rsid w:val="002C3DA9"/>
    <w:rsid w:val="002C3F45"/>
    <w:rsid w:val="002C3F87"/>
    <w:rsid w:val="002C3FCE"/>
    <w:rsid w:val="002C4050"/>
    <w:rsid w:val="002C40D0"/>
    <w:rsid w:val="002C4245"/>
    <w:rsid w:val="002C4249"/>
    <w:rsid w:val="002C43D6"/>
    <w:rsid w:val="002C4455"/>
    <w:rsid w:val="002C4472"/>
    <w:rsid w:val="002C456A"/>
    <w:rsid w:val="002C4606"/>
    <w:rsid w:val="002C4618"/>
    <w:rsid w:val="002C465D"/>
    <w:rsid w:val="002C475D"/>
    <w:rsid w:val="002C4763"/>
    <w:rsid w:val="002C47AA"/>
    <w:rsid w:val="002C47C8"/>
    <w:rsid w:val="002C481C"/>
    <w:rsid w:val="002C4886"/>
    <w:rsid w:val="002C4927"/>
    <w:rsid w:val="002C4AFE"/>
    <w:rsid w:val="002C4BD3"/>
    <w:rsid w:val="002C4DB9"/>
    <w:rsid w:val="002C4F5F"/>
    <w:rsid w:val="002C507B"/>
    <w:rsid w:val="002C5344"/>
    <w:rsid w:val="002C5614"/>
    <w:rsid w:val="002C566D"/>
    <w:rsid w:val="002C58E2"/>
    <w:rsid w:val="002C597D"/>
    <w:rsid w:val="002C5A56"/>
    <w:rsid w:val="002C5A93"/>
    <w:rsid w:val="002C5BED"/>
    <w:rsid w:val="002C5CD6"/>
    <w:rsid w:val="002C5D5A"/>
    <w:rsid w:val="002C5D8A"/>
    <w:rsid w:val="002C5E23"/>
    <w:rsid w:val="002C5F7F"/>
    <w:rsid w:val="002C5FCA"/>
    <w:rsid w:val="002C61CD"/>
    <w:rsid w:val="002C63BF"/>
    <w:rsid w:val="002C645C"/>
    <w:rsid w:val="002C6523"/>
    <w:rsid w:val="002C656E"/>
    <w:rsid w:val="002C6755"/>
    <w:rsid w:val="002C67BB"/>
    <w:rsid w:val="002C6987"/>
    <w:rsid w:val="002C6A04"/>
    <w:rsid w:val="002C6ACC"/>
    <w:rsid w:val="002C6D12"/>
    <w:rsid w:val="002C6D6F"/>
    <w:rsid w:val="002C6E91"/>
    <w:rsid w:val="002C6FA6"/>
    <w:rsid w:val="002C6FBF"/>
    <w:rsid w:val="002C6FEF"/>
    <w:rsid w:val="002C6FF6"/>
    <w:rsid w:val="002C70FD"/>
    <w:rsid w:val="002C7171"/>
    <w:rsid w:val="002C71B3"/>
    <w:rsid w:val="002C71E1"/>
    <w:rsid w:val="002C72E8"/>
    <w:rsid w:val="002C730E"/>
    <w:rsid w:val="002C7316"/>
    <w:rsid w:val="002C739B"/>
    <w:rsid w:val="002C7431"/>
    <w:rsid w:val="002C74F2"/>
    <w:rsid w:val="002C751E"/>
    <w:rsid w:val="002C7682"/>
    <w:rsid w:val="002C7784"/>
    <w:rsid w:val="002C78BE"/>
    <w:rsid w:val="002C78F9"/>
    <w:rsid w:val="002C7A32"/>
    <w:rsid w:val="002C7C2C"/>
    <w:rsid w:val="002C7C35"/>
    <w:rsid w:val="002C7C50"/>
    <w:rsid w:val="002C7CF9"/>
    <w:rsid w:val="002C7EC9"/>
    <w:rsid w:val="002C7F36"/>
    <w:rsid w:val="002C7F50"/>
    <w:rsid w:val="002C7FE6"/>
    <w:rsid w:val="002D0030"/>
    <w:rsid w:val="002D0120"/>
    <w:rsid w:val="002D0235"/>
    <w:rsid w:val="002D0236"/>
    <w:rsid w:val="002D02AA"/>
    <w:rsid w:val="002D03D5"/>
    <w:rsid w:val="002D0407"/>
    <w:rsid w:val="002D065E"/>
    <w:rsid w:val="002D0965"/>
    <w:rsid w:val="002D097B"/>
    <w:rsid w:val="002D0A3E"/>
    <w:rsid w:val="002D0A78"/>
    <w:rsid w:val="002D0DA1"/>
    <w:rsid w:val="002D0E1A"/>
    <w:rsid w:val="002D0F49"/>
    <w:rsid w:val="002D1051"/>
    <w:rsid w:val="002D10AB"/>
    <w:rsid w:val="002D13B5"/>
    <w:rsid w:val="002D141E"/>
    <w:rsid w:val="002D145A"/>
    <w:rsid w:val="002D14D6"/>
    <w:rsid w:val="002D155A"/>
    <w:rsid w:val="002D1560"/>
    <w:rsid w:val="002D16A1"/>
    <w:rsid w:val="002D16AE"/>
    <w:rsid w:val="002D1B70"/>
    <w:rsid w:val="002D1BB8"/>
    <w:rsid w:val="002D1C42"/>
    <w:rsid w:val="002D1C56"/>
    <w:rsid w:val="002D1D30"/>
    <w:rsid w:val="002D1DEC"/>
    <w:rsid w:val="002D1E84"/>
    <w:rsid w:val="002D1EB3"/>
    <w:rsid w:val="002D201F"/>
    <w:rsid w:val="002D2173"/>
    <w:rsid w:val="002D240C"/>
    <w:rsid w:val="002D25DC"/>
    <w:rsid w:val="002D266D"/>
    <w:rsid w:val="002D273D"/>
    <w:rsid w:val="002D281F"/>
    <w:rsid w:val="002D290D"/>
    <w:rsid w:val="002D2922"/>
    <w:rsid w:val="002D2A19"/>
    <w:rsid w:val="002D2A40"/>
    <w:rsid w:val="002D2BE0"/>
    <w:rsid w:val="002D2D98"/>
    <w:rsid w:val="002D2DC9"/>
    <w:rsid w:val="002D2EAB"/>
    <w:rsid w:val="002D3055"/>
    <w:rsid w:val="002D30C1"/>
    <w:rsid w:val="002D315B"/>
    <w:rsid w:val="002D3298"/>
    <w:rsid w:val="002D32E2"/>
    <w:rsid w:val="002D32E3"/>
    <w:rsid w:val="002D33C4"/>
    <w:rsid w:val="002D34E9"/>
    <w:rsid w:val="002D35E4"/>
    <w:rsid w:val="002D37D6"/>
    <w:rsid w:val="002D3817"/>
    <w:rsid w:val="002D38CD"/>
    <w:rsid w:val="002D3957"/>
    <w:rsid w:val="002D39C4"/>
    <w:rsid w:val="002D3AD2"/>
    <w:rsid w:val="002D3B06"/>
    <w:rsid w:val="002D3CCB"/>
    <w:rsid w:val="002D3EAB"/>
    <w:rsid w:val="002D3F36"/>
    <w:rsid w:val="002D3F6B"/>
    <w:rsid w:val="002D41D6"/>
    <w:rsid w:val="002D422F"/>
    <w:rsid w:val="002D42E7"/>
    <w:rsid w:val="002D42FE"/>
    <w:rsid w:val="002D437C"/>
    <w:rsid w:val="002D438B"/>
    <w:rsid w:val="002D43C3"/>
    <w:rsid w:val="002D44E5"/>
    <w:rsid w:val="002D4570"/>
    <w:rsid w:val="002D45BF"/>
    <w:rsid w:val="002D45F2"/>
    <w:rsid w:val="002D4664"/>
    <w:rsid w:val="002D4756"/>
    <w:rsid w:val="002D47D5"/>
    <w:rsid w:val="002D486B"/>
    <w:rsid w:val="002D494D"/>
    <w:rsid w:val="002D4986"/>
    <w:rsid w:val="002D49B5"/>
    <w:rsid w:val="002D4A67"/>
    <w:rsid w:val="002D4A9E"/>
    <w:rsid w:val="002D4BB7"/>
    <w:rsid w:val="002D4C92"/>
    <w:rsid w:val="002D4CB0"/>
    <w:rsid w:val="002D4DD9"/>
    <w:rsid w:val="002D4E45"/>
    <w:rsid w:val="002D4E4A"/>
    <w:rsid w:val="002D4EBE"/>
    <w:rsid w:val="002D4EF5"/>
    <w:rsid w:val="002D4F40"/>
    <w:rsid w:val="002D50F3"/>
    <w:rsid w:val="002D527C"/>
    <w:rsid w:val="002D52BC"/>
    <w:rsid w:val="002D5410"/>
    <w:rsid w:val="002D543F"/>
    <w:rsid w:val="002D57D7"/>
    <w:rsid w:val="002D590F"/>
    <w:rsid w:val="002D5989"/>
    <w:rsid w:val="002D59F8"/>
    <w:rsid w:val="002D5AB5"/>
    <w:rsid w:val="002D5C41"/>
    <w:rsid w:val="002D5D57"/>
    <w:rsid w:val="002D5DCA"/>
    <w:rsid w:val="002D5DD4"/>
    <w:rsid w:val="002D5E8A"/>
    <w:rsid w:val="002D5EB2"/>
    <w:rsid w:val="002D655A"/>
    <w:rsid w:val="002D65EB"/>
    <w:rsid w:val="002D672E"/>
    <w:rsid w:val="002D678E"/>
    <w:rsid w:val="002D6937"/>
    <w:rsid w:val="002D6BFD"/>
    <w:rsid w:val="002D6C02"/>
    <w:rsid w:val="002D6C23"/>
    <w:rsid w:val="002D6C75"/>
    <w:rsid w:val="002D6DEA"/>
    <w:rsid w:val="002D6EC5"/>
    <w:rsid w:val="002D6F7E"/>
    <w:rsid w:val="002D6FDB"/>
    <w:rsid w:val="002D7006"/>
    <w:rsid w:val="002D71E4"/>
    <w:rsid w:val="002D7214"/>
    <w:rsid w:val="002D7328"/>
    <w:rsid w:val="002D732E"/>
    <w:rsid w:val="002D7390"/>
    <w:rsid w:val="002D7572"/>
    <w:rsid w:val="002D7578"/>
    <w:rsid w:val="002D76A4"/>
    <w:rsid w:val="002D771E"/>
    <w:rsid w:val="002D776A"/>
    <w:rsid w:val="002D7829"/>
    <w:rsid w:val="002D783E"/>
    <w:rsid w:val="002D7885"/>
    <w:rsid w:val="002D791E"/>
    <w:rsid w:val="002D7985"/>
    <w:rsid w:val="002D7A8A"/>
    <w:rsid w:val="002D7AF2"/>
    <w:rsid w:val="002D7BA1"/>
    <w:rsid w:val="002D7BCD"/>
    <w:rsid w:val="002D7C31"/>
    <w:rsid w:val="002D7DDC"/>
    <w:rsid w:val="002D7FD3"/>
    <w:rsid w:val="002D7FDF"/>
    <w:rsid w:val="002E0004"/>
    <w:rsid w:val="002E006E"/>
    <w:rsid w:val="002E00A5"/>
    <w:rsid w:val="002E0119"/>
    <w:rsid w:val="002E01B8"/>
    <w:rsid w:val="002E0242"/>
    <w:rsid w:val="002E04AC"/>
    <w:rsid w:val="002E0541"/>
    <w:rsid w:val="002E0720"/>
    <w:rsid w:val="002E0847"/>
    <w:rsid w:val="002E0848"/>
    <w:rsid w:val="002E08E4"/>
    <w:rsid w:val="002E095E"/>
    <w:rsid w:val="002E09B9"/>
    <w:rsid w:val="002E09FD"/>
    <w:rsid w:val="002E0AD7"/>
    <w:rsid w:val="002E0B00"/>
    <w:rsid w:val="002E0B4F"/>
    <w:rsid w:val="002E0B8E"/>
    <w:rsid w:val="002E0BF5"/>
    <w:rsid w:val="002E0CC9"/>
    <w:rsid w:val="002E0CF8"/>
    <w:rsid w:val="002E0D5F"/>
    <w:rsid w:val="002E0D63"/>
    <w:rsid w:val="002E0DDD"/>
    <w:rsid w:val="002E0E2A"/>
    <w:rsid w:val="002E0FA4"/>
    <w:rsid w:val="002E1078"/>
    <w:rsid w:val="002E10C8"/>
    <w:rsid w:val="002E12DA"/>
    <w:rsid w:val="002E1316"/>
    <w:rsid w:val="002E13BA"/>
    <w:rsid w:val="002E17AE"/>
    <w:rsid w:val="002E181C"/>
    <w:rsid w:val="002E1844"/>
    <w:rsid w:val="002E18C3"/>
    <w:rsid w:val="002E1A67"/>
    <w:rsid w:val="002E1BA4"/>
    <w:rsid w:val="002E1BBC"/>
    <w:rsid w:val="002E1BF7"/>
    <w:rsid w:val="002E1D84"/>
    <w:rsid w:val="002E1F79"/>
    <w:rsid w:val="002E1F90"/>
    <w:rsid w:val="002E1FB0"/>
    <w:rsid w:val="002E1FB6"/>
    <w:rsid w:val="002E1FCC"/>
    <w:rsid w:val="002E222C"/>
    <w:rsid w:val="002E2327"/>
    <w:rsid w:val="002E2370"/>
    <w:rsid w:val="002E23D5"/>
    <w:rsid w:val="002E24AD"/>
    <w:rsid w:val="002E2640"/>
    <w:rsid w:val="002E280F"/>
    <w:rsid w:val="002E2B0B"/>
    <w:rsid w:val="002E2ED9"/>
    <w:rsid w:val="002E2F3E"/>
    <w:rsid w:val="002E2F43"/>
    <w:rsid w:val="002E30CC"/>
    <w:rsid w:val="002E30E0"/>
    <w:rsid w:val="002E3451"/>
    <w:rsid w:val="002E3559"/>
    <w:rsid w:val="002E35EE"/>
    <w:rsid w:val="002E368D"/>
    <w:rsid w:val="002E369E"/>
    <w:rsid w:val="002E3899"/>
    <w:rsid w:val="002E3B82"/>
    <w:rsid w:val="002E3C03"/>
    <w:rsid w:val="002E3D06"/>
    <w:rsid w:val="002E3D9E"/>
    <w:rsid w:val="002E3E6D"/>
    <w:rsid w:val="002E3ECE"/>
    <w:rsid w:val="002E3F4B"/>
    <w:rsid w:val="002E4014"/>
    <w:rsid w:val="002E4070"/>
    <w:rsid w:val="002E4084"/>
    <w:rsid w:val="002E408F"/>
    <w:rsid w:val="002E4133"/>
    <w:rsid w:val="002E4150"/>
    <w:rsid w:val="002E420F"/>
    <w:rsid w:val="002E454C"/>
    <w:rsid w:val="002E4653"/>
    <w:rsid w:val="002E4711"/>
    <w:rsid w:val="002E471F"/>
    <w:rsid w:val="002E482A"/>
    <w:rsid w:val="002E491E"/>
    <w:rsid w:val="002E4949"/>
    <w:rsid w:val="002E4983"/>
    <w:rsid w:val="002E49F9"/>
    <w:rsid w:val="002E4B25"/>
    <w:rsid w:val="002E4B37"/>
    <w:rsid w:val="002E4DDD"/>
    <w:rsid w:val="002E4DE0"/>
    <w:rsid w:val="002E4E58"/>
    <w:rsid w:val="002E520A"/>
    <w:rsid w:val="002E5472"/>
    <w:rsid w:val="002E5589"/>
    <w:rsid w:val="002E5931"/>
    <w:rsid w:val="002E5B5B"/>
    <w:rsid w:val="002E5C49"/>
    <w:rsid w:val="002E5C72"/>
    <w:rsid w:val="002E5D6B"/>
    <w:rsid w:val="002E6134"/>
    <w:rsid w:val="002E61B1"/>
    <w:rsid w:val="002E61D3"/>
    <w:rsid w:val="002E6262"/>
    <w:rsid w:val="002E62AD"/>
    <w:rsid w:val="002E63FF"/>
    <w:rsid w:val="002E6486"/>
    <w:rsid w:val="002E64CA"/>
    <w:rsid w:val="002E65BF"/>
    <w:rsid w:val="002E65D5"/>
    <w:rsid w:val="002E667F"/>
    <w:rsid w:val="002E6878"/>
    <w:rsid w:val="002E69E8"/>
    <w:rsid w:val="002E6A75"/>
    <w:rsid w:val="002E6D61"/>
    <w:rsid w:val="002E6D95"/>
    <w:rsid w:val="002E6F3C"/>
    <w:rsid w:val="002E6F8A"/>
    <w:rsid w:val="002E70D7"/>
    <w:rsid w:val="002E719D"/>
    <w:rsid w:val="002E71A7"/>
    <w:rsid w:val="002E724C"/>
    <w:rsid w:val="002E728A"/>
    <w:rsid w:val="002E728E"/>
    <w:rsid w:val="002E7313"/>
    <w:rsid w:val="002E7320"/>
    <w:rsid w:val="002E7447"/>
    <w:rsid w:val="002E74F7"/>
    <w:rsid w:val="002E770E"/>
    <w:rsid w:val="002E77D3"/>
    <w:rsid w:val="002E7870"/>
    <w:rsid w:val="002E7B6F"/>
    <w:rsid w:val="002E7BB4"/>
    <w:rsid w:val="002E7CCE"/>
    <w:rsid w:val="002E7DEF"/>
    <w:rsid w:val="002E7E2A"/>
    <w:rsid w:val="002E7F2B"/>
    <w:rsid w:val="002E7F55"/>
    <w:rsid w:val="002F0038"/>
    <w:rsid w:val="002F00D6"/>
    <w:rsid w:val="002F013D"/>
    <w:rsid w:val="002F01AF"/>
    <w:rsid w:val="002F021C"/>
    <w:rsid w:val="002F023C"/>
    <w:rsid w:val="002F039D"/>
    <w:rsid w:val="002F03EA"/>
    <w:rsid w:val="002F0430"/>
    <w:rsid w:val="002F0447"/>
    <w:rsid w:val="002F04D4"/>
    <w:rsid w:val="002F04E3"/>
    <w:rsid w:val="002F060C"/>
    <w:rsid w:val="002F06AA"/>
    <w:rsid w:val="002F07D7"/>
    <w:rsid w:val="002F08DA"/>
    <w:rsid w:val="002F094D"/>
    <w:rsid w:val="002F0987"/>
    <w:rsid w:val="002F0994"/>
    <w:rsid w:val="002F0A7B"/>
    <w:rsid w:val="002F0C3C"/>
    <w:rsid w:val="002F0C96"/>
    <w:rsid w:val="002F0D7F"/>
    <w:rsid w:val="002F0FB1"/>
    <w:rsid w:val="002F102C"/>
    <w:rsid w:val="002F1053"/>
    <w:rsid w:val="002F10CA"/>
    <w:rsid w:val="002F1186"/>
    <w:rsid w:val="002F13B2"/>
    <w:rsid w:val="002F14BA"/>
    <w:rsid w:val="002F14EE"/>
    <w:rsid w:val="002F151C"/>
    <w:rsid w:val="002F1715"/>
    <w:rsid w:val="002F180D"/>
    <w:rsid w:val="002F1915"/>
    <w:rsid w:val="002F1995"/>
    <w:rsid w:val="002F1A71"/>
    <w:rsid w:val="002F1B08"/>
    <w:rsid w:val="002F1B2E"/>
    <w:rsid w:val="002F1BDB"/>
    <w:rsid w:val="002F1C00"/>
    <w:rsid w:val="002F1C4E"/>
    <w:rsid w:val="002F1C7D"/>
    <w:rsid w:val="002F1CEE"/>
    <w:rsid w:val="002F1DB3"/>
    <w:rsid w:val="002F1E6F"/>
    <w:rsid w:val="002F1FCB"/>
    <w:rsid w:val="002F2047"/>
    <w:rsid w:val="002F2273"/>
    <w:rsid w:val="002F22C4"/>
    <w:rsid w:val="002F23FA"/>
    <w:rsid w:val="002F25C1"/>
    <w:rsid w:val="002F26BF"/>
    <w:rsid w:val="002F270D"/>
    <w:rsid w:val="002F27C2"/>
    <w:rsid w:val="002F2963"/>
    <w:rsid w:val="002F2A3E"/>
    <w:rsid w:val="002F2BB9"/>
    <w:rsid w:val="002F2BEA"/>
    <w:rsid w:val="002F2DDD"/>
    <w:rsid w:val="002F2DE1"/>
    <w:rsid w:val="002F2EBE"/>
    <w:rsid w:val="002F2FA0"/>
    <w:rsid w:val="002F308B"/>
    <w:rsid w:val="002F3109"/>
    <w:rsid w:val="002F315E"/>
    <w:rsid w:val="002F31C6"/>
    <w:rsid w:val="002F322C"/>
    <w:rsid w:val="002F3250"/>
    <w:rsid w:val="002F3329"/>
    <w:rsid w:val="002F3336"/>
    <w:rsid w:val="002F3580"/>
    <w:rsid w:val="002F35D1"/>
    <w:rsid w:val="002F363D"/>
    <w:rsid w:val="002F36BC"/>
    <w:rsid w:val="002F3700"/>
    <w:rsid w:val="002F38B4"/>
    <w:rsid w:val="002F392C"/>
    <w:rsid w:val="002F3A07"/>
    <w:rsid w:val="002F3A32"/>
    <w:rsid w:val="002F3AA2"/>
    <w:rsid w:val="002F3BE4"/>
    <w:rsid w:val="002F3CC8"/>
    <w:rsid w:val="002F3E1D"/>
    <w:rsid w:val="002F3E92"/>
    <w:rsid w:val="002F3ECA"/>
    <w:rsid w:val="002F3F28"/>
    <w:rsid w:val="002F4119"/>
    <w:rsid w:val="002F418B"/>
    <w:rsid w:val="002F424B"/>
    <w:rsid w:val="002F439F"/>
    <w:rsid w:val="002F43AF"/>
    <w:rsid w:val="002F43ED"/>
    <w:rsid w:val="002F4407"/>
    <w:rsid w:val="002F44A0"/>
    <w:rsid w:val="002F452F"/>
    <w:rsid w:val="002F45EC"/>
    <w:rsid w:val="002F46F9"/>
    <w:rsid w:val="002F477E"/>
    <w:rsid w:val="002F484E"/>
    <w:rsid w:val="002F4958"/>
    <w:rsid w:val="002F4C5C"/>
    <w:rsid w:val="002F4CB7"/>
    <w:rsid w:val="002F50D7"/>
    <w:rsid w:val="002F515B"/>
    <w:rsid w:val="002F51D0"/>
    <w:rsid w:val="002F5277"/>
    <w:rsid w:val="002F52BD"/>
    <w:rsid w:val="002F551F"/>
    <w:rsid w:val="002F560B"/>
    <w:rsid w:val="002F577E"/>
    <w:rsid w:val="002F582D"/>
    <w:rsid w:val="002F5B5B"/>
    <w:rsid w:val="002F5B5E"/>
    <w:rsid w:val="002F5D65"/>
    <w:rsid w:val="002F5E0D"/>
    <w:rsid w:val="002F5F6C"/>
    <w:rsid w:val="002F617F"/>
    <w:rsid w:val="002F6247"/>
    <w:rsid w:val="002F62A3"/>
    <w:rsid w:val="002F63BD"/>
    <w:rsid w:val="002F64E7"/>
    <w:rsid w:val="002F6506"/>
    <w:rsid w:val="002F6576"/>
    <w:rsid w:val="002F659C"/>
    <w:rsid w:val="002F65B6"/>
    <w:rsid w:val="002F6940"/>
    <w:rsid w:val="002F6B47"/>
    <w:rsid w:val="002F6C6D"/>
    <w:rsid w:val="002F6D61"/>
    <w:rsid w:val="002F6DAB"/>
    <w:rsid w:val="002F6DAF"/>
    <w:rsid w:val="002F6EE9"/>
    <w:rsid w:val="002F6F5E"/>
    <w:rsid w:val="002F6F90"/>
    <w:rsid w:val="002F7108"/>
    <w:rsid w:val="002F713C"/>
    <w:rsid w:val="002F7197"/>
    <w:rsid w:val="002F7384"/>
    <w:rsid w:val="002F73C5"/>
    <w:rsid w:val="002F7550"/>
    <w:rsid w:val="002F7701"/>
    <w:rsid w:val="002F77FC"/>
    <w:rsid w:val="002F783E"/>
    <w:rsid w:val="002F786A"/>
    <w:rsid w:val="002F78DA"/>
    <w:rsid w:val="002F7924"/>
    <w:rsid w:val="002F7937"/>
    <w:rsid w:val="002F7B7D"/>
    <w:rsid w:val="002F7DC6"/>
    <w:rsid w:val="002F7F12"/>
    <w:rsid w:val="0030004C"/>
    <w:rsid w:val="00300109"/>
    <w:rsid w:val="0030027E"/>
    <w:rsid w:val="003002FD"/>
    <w:rsid w:val="003002FE"/>
    <w:rsid w:val="0030033D"/>
    <w:rsid w:val="00300371"/>
    <w:rsid w:val="0030047F"/>
    <w:rsid w:val="0030048C"/>
    <w:rsid w:val="00300676"/>
    <w:rsid w:val="003006F0"/>
    <w:rsid w:val="003007D9"/>
    <w:rsid w:val="003007EF"/>
    <w:rsid w:val="0030081D"/>
    <w:rsid w:val="003009FA"/>
    <w:rsid w:val="00300A17"/>
    <w:rsid w:val="00300BA9"/>
    <w:rsid w:val="00300C67"/>
    <w:rsid w:val="00300CCD"/>
    <w:rsid w:val="00300D7B"/>
    <w:rsid w:val="00300EC8"/>
    <w:rsid w:val="00300F1E"/>
    <w:rsid w:val="003011EB"/>
    <w:rsid w:val="003011EC"/>
    <w:rsid w:val="003012C8"/>
    <w:rsid w:val="0030138A"/>
    <w:rsid w:val="00301435"/>
    <w:rsid w:val="00301456"/>
    <w:rsid w:val="003014D3"/>
    <w:rsid w:val="003016F6"/>
    <w:rsid w:val="00301755"/>
    <w:rsid w:val="003018D7"/>
    <w:rsid w:val="0030190F"/>
    <w:rsid w:val="00301934"/>
    <w:rsid w:val="0030199C"/>
    <w:rsid w:val="00301B63"/>
    <w:rsid w:val="00301BD5"/>
    <w:rsid w:val="00301C25"/>
    <w:rsid w:val="00301D0E"/>
    <w:rsid w:val="00301DC3"/>
    <w:rsid w:val="00301DD8"/>
    <w:rsid w:val="00301E9D"/>
    <w:rsid w:val="00301F93"/>
    <w:rsid w:val="00301FDB"/>
    <w:rsid w:val="003020E1"/>
    <w:rsid w:val="003020EB"/>
    <w:rsid w:val="0030215D"/>
    <w:rsid w:val="003021A1"/>
    <w:rsid w:val="0030220C"/>
    <w:rsid w:val="00302370"/>
    <w:rsid w:val="003023A6"/>
    <w:rsid w:val="0030247D"/>
    <w:rsid w:val="00302480"/>
    <w:rsid w:val="0030248B"/>
    <w:rsid w:val="00302552"/>
    <w:rsid w:val="003025B2"/>
    <w:rsid w:val="003025BE"/>
    <w:rsid w:val="0030266E"/>
    <w:rsid w:val="00302752"/>
    <w:rsid w:val="003027A4"/>
    <w:rsid w:val="003028CB"/>
    <w:rsid w:val="003028D7"/>
    <w:rsid w:val="003028E1"/>
    <w:rsid w:val="00302A74"/>
    <w:rsid w:val="00302B5D"/>
    <w:rsid w:val="00302C97"/>
    <w:rsid w:val="00302D25"/>
    <w:rsid w:val="00302E61"/>
    <w:rsid w:val="00302EEF"/>
    <w:rsid w:val="00303074"/>
    <w:rsid w:val="00303081"/>
    <w:rsid w:val="0030336D"/>
    <w:rsid w:val="00303496"/>
    <w:rsid w:val="0030350E"/>
    <w:rsid w:val="003036BF"/>
    <w:rsid w:val="003036F1"/>
    <w:rsid w:val="003037C2"/>
    <w:rsid w:val="003038B8"/>
    <w:rsid w:val="00303AE5"/>
    <w:rsid w:val="00303AEA"/>
    <w:rsid w:val="00303BBA"/>
    <w:rsid w:val="00303CA0"/>
    <w:rsid w:val="00303E55"/>
    <w:rsid w:val="00303F39"/>
    <w:rsid w:val="00304047"/>
    <w:rsid w:val="003040CE"/>
    <w:rsid w:val="0030413A"/>
    <w:rsid w:val="00304140"/>
    <w:rsid w:val="00304440"/>
    <w:rsid w:val="0030444F"/>
    <w:rsid w:val="00304498"/>
    <w:rsid w:val="003044BD"/>
    <w:rsid w:val="00304704"/>
    <w:rsid w:val="003047EE"/>
    <w:rsid w:val="00304911"/>
    <w:rsid w:val="003049A2"/>
    <w:rsid w:val="00304C2E"/>
    <w:rsid w:val="00304C4F"/>
    <w:rsid w:val="00304C6D"/>
    <w:rsid w:val="00304CD1"/>
    <w:rsid w:val="00304DA1"/>
    <w:rsid w:val="00304F2F"/>
    <w:rsid w:val="00304F5B"/>
    <w:rsid w:val="0030501B"/>
    <w:rsid w:val="00305078"/>
    <w:rsid w:val="003050C2"/>
    <w:rsid w:val="00305100"/>
    <w:rsid w:val="0030511D"/>
    <w:rsid w:val="003051A0"/>
    <w:rsid w:val="00305459"/>
    <w:rsid w:val="003054BE"/>
    <w:rsid w:val="003054D7"/>
    <w:rsid w:val="0030563E"/>
    <w:rsid w:val="00305659"/>
    <w:rsid w:val="0030566C"/>
    <w:rsid w:val="00305A23"/>
    <w:rsid w:val="00305A45"/>
    <w:rsid w:val="00305A8A"/>
    <w:rsid w:val="00305B18"/>
    <w:rsid w:val="00305BA9"/>
    <w:rsid w:val="00305DAF"/>
    <w:rsid w:val="00305DD2"/>
    <w:rsid w:val="00305E78"/>
    <w:rsid w:val="00305F2B"/>
    <w:rsid w:val="00306035"/>
    <w:rsid w:val="00306096"/>
    <w:rsid w:val="003061C4"/>
    <w:rsid w:val="0030623E"/>
    <w:rsid w:val="003062C9"/>
    <w:rsid w:val="0030632A"/>
    <w:rsid w:val="003064A2"/>
    <w:rsid w:val="003065F2"/>
    <w:rsid w:val="0030665E"/>
    <w:rsid w:val="0030671F"/>
    <w:rsid w:val="00306772"/>
    <w:rsid w:val="00306894"/>
    <w:rsid w:val="003068B1"/>
    <w:rsid w:val="003068F9"/>
    <w:rsid w:val="00306920"/>
    <w:rsid w:val="003069ED"/>
    <w:rsid w:val="00306C2A"/>
    <w:rsid w:val="00306CF1"/>
    <w:rsid w:val="00306D85"/>
    <w:rsid w:val="00307155"/>
    <w:rsid w:val="00307181"/>
    <w:rsid w:val="00307242"/>
    <w:rsid w:val="0030729E"/>
    <w:rsid w:val="003072B2"/>
    <w:rsid w:val="003072E1"/>
    <w:rsid w:val="0030734F"/>
    <w:rsid w:val="003075B1"/>
    <w:rsid w:val="00307733"/>
    <w:rsid w:val="00307744"/>
    <w:rsid w:val="0030774A"/>
    <w:rsid w:val="003077D5"/>
    <w:rsid w:val="0030785C"/>
    <w:rsid w:val="003078AB"/>
    <w:rsid w:val="00307956"/>
    <w:rsid w:val="00307D25"/>
    <w:rsid w:val="00307E11"/>
    <w:rsid w:val="00307E82"/>
    <w:rsid w:val="00307F34"/>
    <w:rsid w:val="00307FBE"/>
    <w:rsid w:val="00310220"/>
    <w:rsid w:val="00310311"/>
    <w:rsid w:val="003103EE"/>
    <w:rsid w:val="00310708"/>
    <w:rsid w:val="003108ED"/>
    <w:rsid w:val="00310B6D"/>
    <w:rsid w:val="00310BFC"/>
    <w:rsid w:val="00310C7A"/>
    <w:rsid w:val="00310D70"/>
    <w:rsid w:val="00311002"/>
    <w:rsid w:val="0031108C"/>
    <w:rsid w:val="003110AF"/>
    <w:rsid w:val="00311109"/>
    <w:rsid w:val="003111CD"/>
    <w:rsid w:val="003112B0"/>
    <w:rsid w:val="003112B8"/>
    <w:rsid w:val="0031134F"/>
    <w:rsid w:val="00311421"/>
    <w:rsid w:val="00311470"/>
    <w:rsid w:val="0031156E"/>
    <w:rsid w:val="003115A1"/>
    <w:rsid w:val="00311618"/>
    <w:rsid w:val="0031161A"/>
    <w:rsid w:val="003118DC"/>
    <w:rsid w:val="00311A2B"/>
    <w:rsid w:val="00311BC0"/>
    <w:rsid w:val="00311C17"/>
    <w:rsid w:val="00311C25"/>
    <w:rsid w:val="003120B1"/>
    <w:rsid w:val="0031220D"/>
    <w:rsid w:val="0031221B"/>
    <w:rsid w:val="003122F4"/>
    <w:rsid w:val="003123BA"/>
    <w:rsid w:val="00312502"/>
    <w:rsid w:val="00312690"/>
    <w:rsid w:val="003126B5"/>
    <w:rsid w:val="00312707"/>
    <w:rsid w:val="00312715"/>
    <w:rsid w:val="0031272E"/>
    <w:rsid w:val="00312735"/>
    <w:rsid w:val="0031274F"/>
    <w:rsid w:val="00312801"/>
    <w:rsid w:val="00312870"/>
    <w:rsid w:val="003128EE"/>
    <w:rsid w:val="00312AB5"/>
    <w:rsid w:val="00312D8F"/>
    <w:rsid w:val="00312DA8"/>
    <w:rsid w:val="00312E60"/>
    <w:rsid w:val="00312EC7"/>
    <w:rsid w:val="00313070"/>
    <w:rsid w:val="0031314C"/>
    <w:rsid w:val="003131CC"/>
    <w:rsid w:val="00313210"/>
    <w:rsid w:val="003132D4"/>
    <w:rsid w:val="00313300"/>
    <w:rsid w:val="003133FE"/>
    <w:rsid w:val="0031342A"/>
    <w:rsid w:val="00313434"/>
    <w:rsid w:val="0031357F"/>
    <w:rsid w:val="00313610"/>
    <w:rsid w:val="003136E7"/>
    <w:rsid w:val="00313840"/>
    <w:rsid w:val="003138EB"/>
    <w:rsid w:val="003139FD"/>
    <w:rsid w:val="00313BE7"/>
    <w:rsid w:val="00313C6D"/>
    <w:rsid w:val="00313D2B"/>
    <w:rsid w:val="00313DD4"/>
    <w:rsid w:val="00313E37"/>
    <w:rsid w:val="00313E93"/>
    <w:rsid w:val="00313EF8"/>
    <w:rsid w:val="003140C2"/>
    <w:rsid w:val="00314169"/>
    <w:rsid w:val="003141AE"/>
    <w:rsid w:val="003141C5"/>
    <w:rsid w:val="00314287"/>
    <w:rsid w:val="00314378"/>
    <w:rsid w:val="003143A2"/>
    <w:rsid w:val="00314439"/>
    <w:rsid w:val="00314478"/>
    <w:rsid w:val="0031456E"/>
    <w:rsid w:val="003145A9"/>
    <w:rsid w:val="003146C3"/>
    <w:rsid w:val="003149F0"/>
    <w:rsid w:val="00314A9E"/>
    <w:rsid w:val="00314D01"/>
    <w:rsid w:val="00314D2C"/>
    <w:rsid w:val="00314D4E"/>
    <w:rsid w:val="00314E86"/>
    <w:rsid w:val="003150F8"/>
    <w:rsid w:val="0031517E"/>
    <w:rsid w:val="003151E8"/>
    <w:rsid w:val="00315215"/>
    <w:rsid w:val="003154B3"/>
    <w:rsid w:val="0031569F"/>
    <w:rsid w:val="003158B4"/>
    <w:rsid w:val="0031591F"/>
    <w:rsid w:val="00315D2B"/>
    <w:rsid w:val="00315D91"/>
    <w:rsid w:val="00315DFA"/>
    <w:rsid w:val="00315E86"/>
    <w:rsid w:val="00315F60"/>
    <w:rsid w:val="00315F85"/>
    <w:rsid w:val="00316037"/>
    <w:rsid w:val="003162C2"/>
    <w:rsid w:val="003163CB"/>
    <w:rsid w:val="00316423"/>
    <w:rsid w:val="0031644A"/>
    <w:rsid w:val="00316684"/>
    <w:rsid w:val="0031683C"/>
    <w:rsid w:val="0031696C"/>
    <w:rsid w:val="003169F2"/>
    <w:rsid w:val="00316B96"/>
    <w:rsid w:val="00316BE9"/>
    <w:rsid w:val="00316CB0"/>
    <w:rsid w:val="00316D7A"/>
    <w:rsid w:val="00316F77"/>
    <w:rsid w:val="00317057"/>
    <w:rsid w:val="0031717A"/>
    <w:rsid w:val="003171B1"/>
    <w:rsid w:val="00317278"/>
    <w:rsid w:val="0031736D"/>
    <w:rsid w:val="0031739B"/>
    <w:rsid w:val="003174A4"/>
    <w:rsid w:val="0031750D"/>
    <w:rsid w:val="003175B2"/>
    <w:rsid w:val="003175CF"/>
    <w:rsid w:val="003179E6"/>
    <w:rsid w:val="00317B35"/>
    <w:rsid w:val="00317B9C"/>
    <w:rsid w:val="00317BEC"/>
    <w:rsid w:val="00317C64"/>
    <w:rsid w:val="00317DB5"/>
    <w:rsid w:val="00317DC0"/>
    <w:rsid w:val="00317F28"/>
    <w:rsid w:val="00317FC8"/>
    <w:rsid w:val="00320012"/>
    <w:rsid w:val="003200E2"/>
    <w:rsid w:val="003202D0"/>
    <w:rsid w:val="0032059D"/>
    <w:rsid w:val="00320655"/>
    <w:rsid w:val="00320695"/>
    <w:rsid w:val="003206F8"/>
    <w:rsid w:val="00320808"/>
    <w:rsid w:val="00320ACC"/>
    <w:rsid w:val="00320AF5"/>
    <w:rsid w:val="00320AF8"/>
    <w:rsid w:val="00320BE5"/>
    <w:rsid w:val="00320D67"/>
    <w:rsid w:val="00321091"/>
    <w:rsid w:val="00321110"/>
    <w:rsid w:val="00321118"/>
    <w:rsid w:val="0032112D"/>
    <w:rsid w:val="003211B3"/>
    <w:rsid w:val="003211CD"/>
    <w:rsid w:val="0032123F"/>
    <w:rsid w:val="003212D8"/>
    <w:rsid w:val="00321339"/>
    <w:rsid w:val="0032138A"/>
    <w:rsid w:val="0032141B"/>
    <w:rsid w:val="003215AA"/>
    <w:rsid w:val="0032161C"/>
    <w:rsid w:val="00321688"/>
    <w:rsid w:val="003216C0"/>
    <w:rsid w:val="0032175C"/>
    <w:rsid w:val="0032179E"/>
    <w:rsid w:val="00321892"/>
    <w:rsid w:val="00321BF1"/>
    <w:rsid w:val="00321CD6"/>
    <w:rsid w:val="00321CE6"/>
    <w:rsid w:val="00321DB1"/>
    <w:rsid w:val="00321E8C"/>
    <w:rsid w:val="00322080"/>
    <w:rsid w:val="003221CB"/>
    <w:rsid w:val="00322245"/>
    <w:rsid w:val="003222A1"/>
    <w:rsid w:val="00322325"/>
    <w:rsid w:val="00322462"/>
    <w:rsid w:val="00322623"/>
    <w:rsid w:val="00322857"/>
    <w:rsid w:val="0032289D"/>
    <w:rsid w:val="00322936"/>
    <w:rsid w:val="00322C88"/>
    <w:rsid w:val="00322C92"/>
    <w:rsid w:val="00322DCE"/>
    <w:rsid w:val="00322FFE"/>
    <w:rsid w:val="00323132"/>
    <w:rsid w:val="00323415"/>
    <w:rsid w:val="0032344F"/>
    <w:rsid w:val="00323645"/>
    <w:rsid w:val="0032399C"/>
    <w:rsid w:val="003239E4"/>
    <w:rsid w:val="00323A54"/>
    <w:rsid w:val="00323AA6"/>
    <w:rsid w:val="00323B99"/>
    <w:rsid w:val="00323C03"/>
    <w:rsid w:val="00324018"/>
    <w:rsid w:val="0032428A"/>
    <w:rsid w:val="003244A0"/>
    <w:rsid w:val="003245D0"/>
    <w:rsid w:val="0032465D"/>
    <w:rsid w:val="0032477E"/>
    <w:rsid w:val="00324780"/>
    <w:rsid w:val="00324863"/>
    <w:rsid w:val="0032486E"/>
    <w:rsid w:val="00324A9F"/>
    <w:rsid w:val="00324C51"/>
    <w:rsid w:val="00324E6C"/>
    <w:rsid w:val="00324ECC"/>
    <w:rsid w:val="00324EDF"/>
    <w:rsid w:val="00324EE2"/>
    <w:rsid w:val="00324F53"/>
    <w:rsid w:val="003250C0"/>
    <w:rsid w:val="00325125"/>
    <w:rsid w:val="0032524F"/>
    <w:rsid w:val="003252AA"/>
    <w:rsid w:val="0032569B"/>
    <w:rsid w:val="00325760"/>
    <w:rsid w:val="0032578A"/>
    <w:rsid w:val="003259C9"/>
    <w:rsid w:val="00325C11"/>
    <w:rsid w:val="00325C1F"/>
    <w:rsid w:val="00325C4F"/>
    <w:rsid w:val="00325C6D"/>
    <w:rsid w:val="00325D9B"/>
    <w:rsid w:val="00325E50"/>
    <w:rsid w:val="00325F8D"/>
    <w:rsid w:val="00326008"/>
    <w:rsid w:val="00326010"/>
    <w:rsid w:val="00326140"/>
    <w:rsid w:val="003261E1"/>
    <w:rsid w:val="00326312"/>
    <w:rsid w:val="00326884"/>
    <w:rsid w:val="003268D5"/>
    <w:rsid w:val="00326A29"/>
    <w:rsid w:val="00326B3D"/>
    <w:rsid w:val="00326CB9"/>
    <w:rsid w:val="00326D02"/>
    <w:rsid w:val="00326D92"/>
    <w:rsid w:val="00326E2D"/>
    <w:rsid w:val="00326E34"/>
    <w:rsid w:val="00327199"/>
    <w:rsid w:val="0032741A"/>
    <w:rsid w:val="00327498"/>
    <w:rsid w:val="0032751D"/>
    <w:rsid w:val="0032777A"/>
    <w:rsid w:val="00327838"/>
    <w:rsid w:val="003278D3"/>
    <w:rsid w:val="00327A2D"/>
    <w:rsid w:val="00327A56"/>
    <w:rsid w:val="00327B0F"/>
    <w:rsid w:val="00327BA2"/>
    <w:rsid w:val="00327C15"/>
    <w:rsid w:val="00327C28"/>
    <w:rsid w:val="00327C2A"/>
    <w:rsid w:val="00327D12"/>
    <w:rsid w:val="00327DEE"/>
    <w:rsid w:val="00327E0E"/>
    <w:rsid w:val="00327E16"/>
    <w:rsid w:val="00330285"/>
    <w:rsid w:val="0033037A"/>
    <w:rsid w:val="00330670"/>
    <w:rsid w:val="00330689"/>
    <w:rsid w:val="0033071F"/>
    <w:rsid w:val="0033073E"/>
    <w:rsid w:val="00330740"/>
    <w:rsid w:val="003307F8"/>
    <w:rsid w:val="003308C6"/>
    <w:rsid w:val="00330A30"/>
    <w:rsid w:val="00330B84"/>
    <w:rsid w:val="00330DF2"/>
    <w:rsid w:val="00330EF4"/>
    <w:rsid w:val="003310ED"/>
    <w:rsid w:val="0033118B"/>
    <w:rsid w:val="0033122E"/>
    <w:rsid w:val="0033129D"/>
    <w:rsid w:val="003312F7"/>
    <w:rsid w:val="00331300"/>
    <w:rsid w:val="00331512"/>
    <w:rsid w:val="0033152E"/>
    <w:rsid w:val="00331535"/>
    <w:rsid w:val="00331550"/>
    <w:rsid w:val="003315EE"/>
    <w:rsid w:val="00331606"/>
    <w:rsid w:val="00331613"/>
    <w:rsid w:val="0033164F"/>
    <w:rsid w:val="003316AF"/>
    <w:rsid w:val="003318D0"/>
    <w:rsid w:val="003318DB"/>
    <w:rsid w:val="003318E4"/>
    <w:rsid w:val="003319BF"/>
    <w:rsid w:val="003319CC"/>
    <w:rsid w:val="00331A98"/>
    <w:rsid w:val="00331B61"/>
    <w:rsid w:val="00331C1A"/>
    <w:rsid w:val="00331D65"/>
    <w:rsid w:val="00331DB7"/>
    <w:rsid w:val="00331DE3"/>
    <w:rsid w:val="00331EF2"/>
    <w:rsid w:val="00331FDD"/>
    <w:rsid w:val="00332108"/>
    <w:rsid w:val="003321B4"/>
    <w:rsid w:val="003322CF"/>
    <w:rsid w:val="00332318"/>
    <w:rsid w:val="0033241C"/>
    <w:rsid w:val="00332515"/>
    <w:rsid w:val="003326D7"/>
    <w:rsid w:val="0033273F"/>
    <w:rsid w:val="003327AD"/>
    <w:rsid w:val="003329CB"/>
    <w:rsid w:val="00332B9D"/>
    <w:rsid w:val="00332D7C"/>
    <w:rsid w:val="00332DF4"/>
    <w:rsid w:val="0033312E"/>
    <w:rsid w:val="00333269"/>
    <w:rsid w:val="00333302"/>
    <w:rsid w:val="00333321"/>
    <w:rsid w:val="003333B0"/>
    <w:rsid w:val="003334A6"/>
    <w:rsid w:val="003334D7"/>
    <w:rsid w:val="0033379C"/>
    <w:rsid w:val="003339DA"/>
    <w:rsid w:val="00333C0A"/>
    <w:rsid w:val="00333DC3"/>
    <w:rsid w:val="00333EAD"/>
    <w:rsid w:val="00333F52"/>
    <w:rsid w:val="00333FFF"/>
    <w:rsid w:val="00334182"/>
    <w:rsid w:val="003342C7"/>
    <w:rsid w:val="00334380"/>
    <w:rsid w:val="003343FE"/>
    <w:rsid w:val="0033446F"/>
    <w:rsid w:val="00334512"/>
    <w:rsid w:val="00334930"/>
    <w:rsid w:val="003349B5"/>
    <w:rsid w:val="00334B55"/>
    <w:rsid w:val="00334C2D"/>
    <w:rsid w:val="00334DA4"/>
    <w:rsid w:val="00334E05"/>
    <w:rsid w:val="00334FF4"/>
    <w:rsid w:val="00334FF9"/>
    <w:rsid w:val="00335029"/>
    <w:rsid w:val="0033503D"/>
    <w:rsid w:val="00335051"/>
    <w:rsid w:val="00335175"/>
    <w:rsid w:val="003351FC"/>
    <w:rsid w:val="00335265"/>
    <w:rsid w:val="003352D7"/>
    <w:rsid w:val="00335351"/>
    <w:rsid w:val="003354D4"/>
    <w:rsid w:val="00335542"/>
    <w:rsid w:val="00335550"/>
    <w:rsid w:val="003357B7"/>
    <w:rsid w:val="00335AEC"/>
    <w:rsid w:val="00335D14"/>
    <w:rsid w:val="00335DD4"/>
    <w:rsid w:val="00335F44"/>
    <w:rsid w:val="00335F48"/>
    <w:rsid w:val="0033604E"/>
    <w:rsid w:val="0033619A"/>
    <w:rsid w:val="003363F0"/>
    <w:rsid w:val="00336462"/>
    <w:rsid w:val="0033656A"/>
    <w:rsid w:val="003365B7"/>
    <w:rsid w:val="00336733"/>
    <w:rsid w:val="0033674B"/>
    <w:rsid w:val="00336839"/>
    <w:rsid w:val="00336848"/>
    <w:rsid w:val="00336956"/>
    <w:rsid w:val="00336AE8"/>
    <w:rsid w:val="00336B17"/>
    <w:rsid w:val="00336B49"/>
    <w:rsid w:val="00336C36"/>
    <w:rsid w:val="00336E4B"/>
    <w:rsid w:val="00336E66"/>
    <w:rsid w:val="00336EA8"/>
    <w:rsid w:val="003370C0"/>
    <w:rsid w:val="003371DA"/>
    <w:rsid w:val="003371EC"/>
    <w:rsid w:val="00337440"/>
    <w:rsid w:val="00337454"/>
    <w:rsid w:val="003374B7"/>
    <w:rsid w:val="0033755F"/>
    <w:rsid w:val="00337582"/>
    <w:rsid w:val="003375AE"/>
    <w:rsid w:val="00337634"/>
    <w:rsid w:val="00337648"/>
    <w:rsid w:val="00337862"/>
    <w:rsid w:val="003378A6"/>
    <w:rsid w:val="003379A4"/>
    <w:rsid w:val="003379DC"/>
    <w:rsid w:val="00337A33"/>
    <w:rsid w:val="00337B58"/>
    <w:rsid w:val="00337BFA"/>
    <w:rsid w:val="00337E47"/>
    <w:rsid w:val="00337F3E"/>
    <w:rsid w:val="00337F6A"/>
    <w:rsid w:val="00337F7B"/>
    <w:rsid w:val="00337FF8"/>
    <w:rsid w:val="00340093"/>
    <w:rsid w:val="00340393"/>
    <w:rsid w:val="0034039A"/>
    <w:rsid w:val="00340547"/>
    <w:rsid w:val="0034060C"/>
    <w:rsid w:val="00340632"/>
    <w:rsid w:val="0034070E"/>
    <w:rsid w:val="003407B3"/>
    <w:rsid w:val="003408C0"/>
    <w:rsid w:val="003408F2"/>
    <w:rsid w:val="003409C0"/>
    <w:rsid w:val="00340AA9"/>
    <w:rsid w:val="00340CC8"/>
    <w:rsid w:val="00340CE3"/>
    <w:rsid w:val="00340E42"/>
    <w:rsid w:val="00340E54"/>
    <w:rsid w:val="00340E8E"/>
    <w:rsid w:val="00340FBD"/>
    <w:rsid w:val="003412B2"/>
    <w:rsid w:val="00341429"/>
    <w:rsid w:val="0034145D"/>
    <w:rsid w:val="003416A9"/>
    <w:rsid w:val="00341818"/>
    <w:rsid w:val="00341943"/>
    <w:rsid w:val="00341A0D"/>
    <w:rsid w:val="00341DB6"/>
    <w:rsid w:val="00341F01"/>
    <w:rsid w:val="00341F06"/>
    <w:rsid w:val="00341F71"/>
    <w:rsid w:val="00341FC5"/>
    <w:rsid w:val="003420B1"/>
    <w:rsid w:val="00342128"/>
    <w:rsid w:val="0034213B"/>
    <w:rsid w:val="0034227F"/>
    <w:rsid w:val="003422DF"/>
    <w:rsid w:val="00342326"/>
    <w:rsid w:val="00342517"/>
    <w:rsid w:val="0034279E"/>
    <w:rsid w:val="003427B9"/>
    <w:rsid w:val="00342852"/>
    <w:rsid w:val="0034299D"/>
    <w:rsid w:val="00342A29"/>
    <w:rsid w:val="00342A4C"/>
    <w:rsid w:val="00342AB2"/>
    <w:rsid w:val="00342CCC"/>
    <w:rsid w:val="00342CF8"/>
    <w:rsid w:val="00342D50"/>
    <w:rsid w:val="00342DFD"/>
    <w:rsid w:val="00342EF2"/>
    <w:rsid w:val="00342F33"/>
    <w:rsid w:val="00342FD6"/>
    <w:rsid w:val="00343091"/>
    <w:rsid w:val="003433D9"/>
    <w:rsid w:val="00343526"/>
    <w:rsid w:val="0034354C"/>
    <w:rsid w:val="003436B2"/>
    <w:rsid w:val="003436E7"/>
    <w:rsid w:val="0034386D"/>
    <w:rsid w:val="0034389E"/>
    <w:rsid w:val="00343AC7"/>
    <w:rsid w:val="00343B54"/>
    <w:rsid w:val="00343B7D"/>
    <w:rsid w:val="00343BF4"/>
    <w:rsid w:val="00343C4C"/>
    <w:rsid w:val="00343CFD"/>
    <w:rsid w:val="00343D10"/>
    <w:rsid w:val="00343F10"/>
    <w:rsid w:val="00343F2C"/>
    <w:rsid w:val="00344034"/>
    <w:rsid w:val="00344102"/>
    <w:rsid w:val="0034416A"/>
    <w:rsid w:val="003442AB"/>
    <w:rsid w:val="003442C4"/>
    <w:rsid w:val="0034435E"/>
    <w:rsid w:val="0034440F"/>
    <w:rsid w:val="003444C1"/>
    <w:rsid w:val="0034463B"/>
    <w:rsid w:val="003446CD"/>
    <w:rsid w:val="0034475C"/>
    <w:rsid w:val="00344779"/>
    <w:rsid w:val="003447A2"/>
    <w:rsid w:val="003448CA"/>
    <w:rsid w:val="003448E5"/>
    <w:rsid w:val="003448F6"/>
    <w:rsid w:val="00344962"/>
    <w:rsid w:val="00344A91"/>
    <w:rsid w:val="00344B79"/>
    <w:rsid w:val="00344BB0"/>
    <w:rsid w:val="00344C17"/>
    <w:rsid w:val="00344C6F"/>
    <w:rsid w:val="00344C72"/>
    <w:rsid w:val="00344C73"/>
    <w:rsid w:val="00344F2E"/>
    <w:rsid w:val="00344F3C"/>
    <w:rsid w:val="00344F99"/>
    <w:rsid w:val="00344FD7"/>
    <w:rsid w:val="003450B3"/>
    <w:rsid w:val="00345190"/>
    <w:rsid w:val="0034522B"/>
    <w:rsid w:val="0034525C"/>
    <w:rsid w:val="0034534C"/>
    <w:rsid w:val="003453F0"/>
    <w:rsid w:val="00345428"/>
    <w:rsid w:val="003454A6"/>
    <w:rsid w:val="003454B0"/>
    <w:rsid w:val="0034554E"/>
    <w:rsid w:val="00345557"/>
    <w:rsid w:val="00345566"/>
    <w:rsid w:val="003457A7"/>
    <w:rsid w:val="003457C9"/>
    <w:rsid w:val="00345A2D"/>
    <w:rsid w:val="00345AD5"/>
    <w:rsid w:val="00345B29"/>
    <w:rsid w:val="00345BB8"/>
    <w:rsid w:val="00345E39"/>
    <w:rsid w:val="00345EBA"/>
    <w:rsid w:val="00345F1F"/>
    <w:rsid w:val="003462B0"/>
    <w:rsid w:val="0034658C"/>
    <w:rsid w:val="00346621"/>
    <w:rsid w:val="003466FA"/>
    <w:rsid w:val="003467E7"/>
    <w:rsid w:val="0034682C"/>
    <w:rsid w:val="003468AA"/>
    <w:rsid w:val="00346934"/>
    <w:rsid w:val="00346D40"/>
    <w:rsid w:val="00346D57"/>
    <w:rsid w:val="00346E6E"/>
    <w:rsid w:val="00346E8C"/>
    <w:rsid w:val="00346F0A"/>
    <w:rsid w:val="00346FFF"/>
    <w:rsid w:val="003471AD"/>
    <w:rsid w:val="003472ED"/>
    <w:rsid w:val="00347446"/>
    <w:rsid w:val="00347488"/>
    <w:rsid w:val="00347580"/>
    <w:rsid w:val="003475D8"/>
    <w:rsid w:val="003475E0"/>
    <w:rsid w:val="00347782"/>
    <w:rsid w:val="003477AC"/>
    <w:rsid w:val="00347801"/>
    <w:rsid w:val="00347941"/>
    <w:rsid w:val="00347B02"/>
    <w:rsid w:val="00347C85"/>
    <w:rsid w:val="00347E3A"/>
    <w:rsid w:val="00347EC9"/>
    <w:rsid w:val="00347EE2"/>
    <w:rsid w:val="0035000F"/>
    <w:rsid w:val="00350104"/>
    <w:rsid w:val="003502DE"/>
    <w:rsid w:val="0035036F"/>
    <w:rsid w:val="00350393"/>
    <w:rsid w:val="00350431"/>
    <w:rsid w:val="003504AC"/>
    <w:rsid w:val="003506FA"/>
    <w:rsid w:val="00350759"/>
    <w:rsid w:val="0035077B"/>
    <w:rsid w:val="0035089E"/>
    <w:rsid w:val="003508B3"/>
    <w:rsid w:val="003509F8"/>
    <w:rsid w:val="00350A9C"/>
    <w:rsid w:val="00350AC8"/>
    <w:rsid w:val="00350BDE"/>
    <w:rsid w:val="00350C07"/>
    <w:rsid w:val="00350DB9"/>
    <w:rsid w:val="00350DE0"/>
    <w:rsid w:val="00350E0D"/>
    <w:rsid w:val="00350EB0"/>
    <w:rsid w:val="00350FC6"/>
    <w:rsid w:val="00351013"/>
    <w:rsid w:val="00351040"/>
    <w:rsid w:val="00351175"/>
    <w:rsid w:val="003511FB"/>
    <w:rsid w:val="00351224"/>
    <w:rsid w:val="003514BC"/>
    <w:rsid w:val="003515F2"/>
    <w:rsid w:val="00351605"/>
    <w:rsid w:val="0035170A"/>
    <w:rsid w:val="0035195A"/>
    <w:rsid w:val="0035197B"/>
    <w:rsid w:val="003519DC"/>
    <w:rsid w:val="00351AD5"/>
    <w:rsid w:val="00351B3C"/>
    <w:rsid w:val="00351B7D"/>
    <w:rsid w:val="00351BAE"/>
    <w:rsid w:val="00351C8E"/>
    <w:rsid w:val="00351C94"/>
    <w:rsid w:val="00351DBC"/>
    <w:rsid w:val="00351F0C"/>
    <w:rsid w:val="00351F4B"/>
    <w:rsid w:val="00351F93"/>
    <w:rsid w:val="00352003"/>
    <w:rsid w:val="00352009"/>
    <w:rsid w:val="003520A2"/>
    <w:rsid w:val="00352121"/>
    <w:rsid w:val="00352139"/>
    <w:rsid w:val="00352153"/>
    <w:rsid w:val="003522E7"/>
    <w:rsid w:val="00352380"/>
    <w:rsid w:val="003523A1"/>
    <w:rsid w:val="003523BB"/>
    <w:rsid w:val="00352493"/>
    <w:rsid w:val="00352510"/>
    <w:rsid w:val="0035272C"/>
    <w:rsid w:val="0035276C"/>
    <w:rsid w:val="003527F1"/>
    <w:rsid w:val="00352845"/>
    <w:rsid w:val="00352BF7"/>
    <w:rsid w:val="00352C60"/>
    <w:rsid w:val="00352CFA"/>
    <w:rsid w:val="00352D76"/>
    <w:rsid w:val="00352E4E"/>
    <w:rsid w:val="00352F31"/>
    <w:rsid w:val="003530A2"/>
    <w:rsid w:val="003530E4"/>
    <w:rsid w:val="0035327D"/>
    <w:rsid w:val="0035329B"/>
    <w:rsid w:val="003532A8"/>
    <w:rsid w:val="0035332E"/>
    <w:rsid w:val="0035333B"/>
    <w:rsid w:val="00353496"/>
    <w:rsid w:val="00353592"/>
    <w:rsid w:val="003535DC"/>
    <w:rsid w:val="00353668"/>
    <w:rsid w:val="0035368E"/>
    <w:rsid w:val="003536ED"/>
    <w:rsid w:val="00353912"/>
    <w:rsid w:val="003539AE"/>
    <w:rsid w:val="00353A5A"/>
    <w:rsid w:val="00353AB6"/>
    <w:rsid w:val="00353AED"/>
    <w:rsid w:val="00353D7F"/>
    <w:rsid w:val="00353E0D"/>
    <w:rsid w:val="00353E86"/>
    <w:rsid w:val="00353EE6"/>
    <w:rsid w:val="00353FA6"/>
    <w:rsid w:val="00353FC2"/>
    <w:rsid w:val="003540F9"/>
    <w:rsid w:val="0035424D"/>
    <w:rsid w:val="0035426C"/>
    <w:rsid w:val="003542B6"/>
    <w:rsid w:val="00354301"/>
    <w:rsid w:val="0035445C"/>
    <w:rsid w:val="00354461"/>
    <w:rsid w:val="00354471"/>
    <w:rsid w:val="00354484"/>
    <w:rsid w:val="00354568"/>
    <w:rsid w:val="0035458C"/>
    <w:rsid w:val="003545A5"/>
    <w:rsid w:val="0035470E"/>
    <w:rsid w:val="0035474B"/>
    <w:rsid w:val="00354972"/>
    <w:rsid w:val="003549E0"/>
    <w:rsid w:val="00354A03"/>
    <w:rsid w:val="00354BAD"/>
    <w:rsid w:val="00354C0B"/>
    <w:rsid w:val="00354C5F"/>
    <w:rsid w:val="00354D27"/>
    <w:rsid w:val="00354E69"/>
    <w:rsid w:val="00354E6A"/>
    <w:rsid w:val="00354ECD"/>
    <w:rsid w:val="00354F19"/>
    <w:rsid w:val="00355029"/>
    <w:rsid w:val="0035516E"/>
    <w:rsid w:val="0035518D"/>
    <w:rsid w:val="003551BA"/>
    <w:rsid w:val="0035529A"/>
    <w:rsid w:val="003552C6"/>
    <w:rsid w:val="00355323"/>
    <w:rsid w:val="0035547F"/>
    <w:rsid w:val="00355556"/>
    <w:rsid w:val="003555BE"/>
    <w:rsid w:val="0035562A"/>
    <w:rsid w:val="003556CB"/>
    <w:rsid w:val="00355713"/>
    <w:rsid w:val="0035576C"/>
    <w:rsid w:val="0035577F"/>
    <w:rsid w:val="00355784"/>
    <w:rsid w:val="003558ED"/>
    <w:rsid w:val="0035593C"/>
    <w:rsid w:val="00355A29"/>
    <w:rsid w:val="00355C12"/>
    <w:rsid w:val="00355D70"/>
    <w:rsid w:val="00355D7A"/>
    <w:rsid w:val="00355E0E"/>
    <w:rsid w:val="00355F43"/>
    <w:rsid w:val="00355FEF"/>
    <w:rsid w:val="00356089"/>
    <w:rsid w:val="00356245"/>
    <w:rsid w:val="003563F7"/>
    <w:rsid w:val="00356556"/>
    <w:rsid w:val="003565AC"/>
    <w:rsid w:val="00356624"/>
    <w:rsid w:val="0035675F"/>
    <w:rsid w:val="003567E2"/>
    <w:rsid w:val="00356890"/>
    <w:rsid w:val="00356B40"/>
    <w:rsid w:val="00356B54"/>
    <w:rsid w:val="00356BF8"/>
    <w:rsid w:val="00356C1F"/>
    <w:rsid w:val="00356C44"/>
    <w:rsid w:val="00356CB3"/>
    <w:rsid w:val="00356D7D"/>
    <w:rsid w:val="00356DA2"/>
    <w:rsid w:val="00356F5E"/>
    <w:rsid w:val="00356F98"/>
    <w:rsid w:val="00356FCC"/>
    <w:rsid w:val="0035708A"/>
    <w:rsid w:val="00357120"/>
    <w:rsid w:val="003572CB"/>
    <w:rsid w:val="003572E0"/>
    <w:rsid w:val="0035738A"/>
    <w:rsid w:val="0035743B"/>
    <w:rsid w:val="00357457"/>
    <w:rsid w:val="0035746D"/>
    <w:rsid w:val="003576D4"/>
    <w:rsid w:val="003577D1"/>
    <w:rsid w:val="00357817"/>
    <w:rsid w:val="003578D6"/>
    <w:rsid w:val="00357B02"/>
    <w:rsid w:val="00357C78"/>
    <w:rsid w:val="00357C79"/>
    <w:rsid w:val="00357D9F"/>
    <w:rsid w:val="00357E35"/>
    <w:rsid w:val="00357E78"/>
    <w:rsid w:val="00360187"/>
    <w:rsid w:val="00360287"/>
    <w:rsid w:val="00360295"/>
    <w:rsid w:val="0036043C"/>
    <w:rsid w:val="0036044C"/>
    <w:rsid w:val="00360581"/>
    <w:rsid w:val="00360603"/>
    <w:rsid w:val="0036076C"/>
    <w:rsid w:val="00360792"/>
    <w:rsid w:val="0036089C"/>
    <w:rsid w:val="003608D4"/>
    <w:rsid w:val="00360BD1"/>
    <w:rsid w:val="00360CBE"/>
    <w:rsid w:val="00360E3D"/>
    <w:rsid w:val="00360E90"/>
    <w:rsid w:val="00361040"/>
    <w:rsid w:val="00361072"/>
    <w:rsid w:val="003611EB"/>
    <w:rsid w:val="003612BE"/>
    <w:rsid w:val="003612E9"/>
    <w:rsid w:val="00361598"/>
    <w:rsid w:val="00361658"/>
    <w:rsid w:val="003616C9"/>
    <w:rsid w:val="00361915"/>
    <w:rsid w:val="003619DC"/>
    <w:rsid w:val="00361A1B"/>
    <w:rsid w:val="00361B06"/>
    <w:rsid w:val="00361B96"/>
    <w:rsid w:val="00361BDE"/>
    <w:rsid w:val="00361C9D"/>
    <w:rsid w:val="00361CDB"/>
    <w:rsid w:val="00361D14"/>
    <w:rsid w:val="00361DF4"/>
    <w:rsid w:val="00361E4F"/>
    <w:rsid w:val="00361EBB"/>
    <w:rsid w:val="00361ECE"/>
    <w:rsid w:val="00361FD9"/>
    <w:rsid w:val="00362068"/>
    <w:rsid w:val="00362160"/>
    <w:rsid w:val="00362189"/>
    <w:rsid w:val="00362544"/>
    <w:rsid w:val="0036266E"/>
    <w:rsid w:val="003628EA"/>
    <w:rsid w:val="003629DC"/>
    <w:rsid w:val="00362A63"/>
    <w:rsid w:val="00362ABC"/>
    <w:rsid w:val="00362C68"/>
    <w:rsid w:val="00362CC9"/>
    <w:rsid w:val="00362D34"/>
    <w:rsid w:val="00362DAF"/>
    <w:rsid w:val="00362FF3"/>
    <w:rsid w:val="003630C6"/>
    <w:rsid w:val="003630FF"/>
    <w:rsid w:val="0036322B"/>
    <w:rsid w:val="00363597"/>
    <w:rsid w:val="00363803"/>
    <w:rsid w:val="00363A2B"/>
    <w:rsid w:val="00363B10"/>
    <w:rsid w:val="00363B53"/>
    <w:rsid w:val="003640EC"/>
    <w:rsid w:val="003640F8"/>
    <w:rsid w:val="00364132"/>
    <w:rsid w:val="00364175"/>
    <w:rsid w:val="00364392"/>
    <w:rsid w:val="00364464"/>
    <w:rsid w:val="0036478A"/>
    <w:rsid w:val="00364817"/>
    <w:rsid w:val="00364821"/>
    <w:rsid w:val="00364837"/>
    <w:rsid w:val="003649F0"/>
    <w:rsid w:val="00364D1A"/>
    <w:rsid w:val="00364E64"/>
    <w:rsid w:val="00364E88"/>
    <w:rsid w:val="00364F98"/>
    <w:rsid w:val="0036518B"/>
    <w:rsid w:val="003651D9"/>
    <w:rsid w:val="00365214"/>
    <w:rsid w:val="003652A7"/>
    <w:rsid w:val="003652D0"/>
    <w:rsid w:val="003657D6"/>
    <w:rsid w:val="00365A6B"/>
    <w:rsid w:val="00365B6A"/>
    <w:rsid w:val="00365DF7"/>
    <w:rsid w:val="00365F89"/>
    <w:rsid w:val="00365F92"/>
    <w:rsid w:val="00366007"/>
    <w:rsid w:val="00366009"/>
    <w:rsid w:val="0036603C"/>
    <w:rsid w:val="00366052"/>
    <w:rsid w:val="00366129"/>
    <w:rsid w:val="003661B6"/>
    <w:rsid w:val="00366292"/>
    <w:rsid w:val="003662AA"/>
    <w:rsid w:val="003662CD"/>
    <w:rsid w:val="00366352"/>
    <w:rsid w:val="00366598"/>
    <w:rsid w:val="003665B5"/>
    <w:rsid w:val="003667E1"/>
    <w:rsid w:val="003668B6"/>
    <w:rsid w:val="003668CC"/>
    <w:rsid w:val="0036693B"/>
    <w:rsid w:val="00366BD1"/>
    <w:rsid w:val="00366CA6"/>
    <w:rsid w:val="00366FD2"/>
    <w:rsid w:val="00367045"/>
    <w:rsid w:val="0036714E"/>
    <w:rsid w:val="003671A0"/>
    <w:rsid w:val="00367219"/>
    <w:rsid w:val="00367292"/>
    <w:rsid w:val="003672CF"/>
    <w:rsid w:val="003672FD"/>
    <w:rsid w:val="0036730C"/>
    <w:rsid w:val="00367531"/>
    <w:rsid w:val="0036756B"/>
    <w:rsid w:val="0036757B"/>
    <w:rsid w:val="003675AC"/>
    <w:rsid w:val="003676C1"/>
    <w:rsid w:val="0036771E"/>
    <w:rsid w:val="003678FC"/>
    <w:rsid w:val="00367926"/>
    <w:rsid w:val="00367A52"/>
    <w:rsid w:val="00367B2D"/>
    <w:rsid w:val="00367BE9"/>
    <w:rsid w:val="00367BFE"/>
    <w:rsid w:val="00367C77"/>
    <w:rsid w:val="00367CC3"/>
    <w:rsid w:val="00367DA2"/>
    <w:rsid w:val="00367DD7"/>
    <w:rsid w:val="00367F16"/>
    <w:rsid w:val="00367F76"/>
    <w:rsid w:val="003700DE"/>
    <w:rsid w:val="003701D3"/>
    <w:rsid w:val="00370420"/>
    <w:rsid w:val="003704F4"/>
    <w:rsid w:val="0037062F"/>
    <w:rsid w:val="0037065B"/>
    <w:rsid w:val="003706DC"/>
    <w:rsid w:val="00370764"/>
    <w:rsid w:val="003707D0"/>
    <w:rsid w:val="00370822"/>
    <w:rsid w:val="003708AB"/>
    <w:rsid w:val="003708AF"/>
    <w:rsid w:val="003708F3"/>
    <w:rsid w:val="00370B28"/>
    <w:rsid w:val="00370D08"/>
    <w:rsid w:val="00370D86"/>
    <w:rsid w:val="00370EDC"/>
    <w:rsid w:val="00370F8B"/>
    <w:rsid w:val="00371084"/>
    <w:rsid w:val="003710E8"/>
    <w:rsid w:val="00371234"/>
    <w:rsid w:val="003714BA"/>
    <w:rsid w:val="003714E9"/>
    <w:rsid w:val="003715FB"/>
    <w:rsid w:val="00371763"/>
    <w:rsid w:val="00371832"/>
    <w:rsid w:val="003719D3"/>
    <w:rsid w:val="00371B8A"/>
    <w:rsid w:val="00371BFC"/>
    <w:rsid w:val="00371F69"/>
    <w:rsid w:val="00372012"/>
    <w:rsid w:val="00372072"/>
    <w:rsid w:val="0037209C"/>
    <w:rsid w:val="00372125"/>
    <w:rsid w:val="0037220B"/>
    <w:rsid w:val="0037221F"/>
    <w:rsid w:val="00372260"/>
    <w:rsid w:val="0037228E"/>
    <w:rsid w:val="00372699"/>
    <w:rsid w:val="003727EE"/>
    <w:rsid w:val="003728AE"/>
    <w:rsid w:val="003728E4"/>
    <w:rsid w:val="00372A53"/>
    <w:rsid w:val="00372A67"/>
    <w:rsid w:val="00372E02"/>
    <w:rsid w:val="00372F19"/>
    <w:rsid w:val="00372F5E"/>
    <w:rsid w:val="003730A7"/>
    <w:rsid w:val="0037329F"/>
    <w:rsid w:val="00373585"/>
    <w:rsid w:val="0037366B"/>
    <w:rsid w:val="0037379F"/>
    <w:rsid w:val="003737BD"/>
    <w:rsid w:val="003737ED"/>
    <w:rsid w:val="00373837"/>
    <w:rsid w:val="00373887"/>
    <w:rsid w:val="00373919"/>
    <w:rsid w:val="00373930"/>
    <w:rsid w:val="003739F0"/>
    <w:rsid w:val="00373B6F"/>
    <w:rsid w:val="00373D51"/>
    <w:rsid w:val="00373D62"/>
    <w:rsid w:val="00373DC5"/>
    <w:rsid w:val="00373DFE"/>
    <w:rsid w:val="00373E3C"/>
    <w:rsid w:val="00373E60"/>
    <w:rsid w:val="00373FCF"/>
    <w:rsid w:val="00374023"/>
    <w:rsid w:val="00374198"/>
    <w:rsid w:val="00374209"/>
    <w:rsid w:val="0037421F"/>
    <w:rsid w:val="00374279"/>
    <w:rsid w:val="00374387"/>
    <w:rsid w:val="0037441B"/>
    <w:rsid w:val="003744CA"/>
    <w:rsid w:val="00374536"/>
    <w:rsid w:val="00374688"/>
    <w:rsid w:val="00374828"/>
    <w:rsid w:val="00374980"/>
    <w:rsid w:val="00374B9D"/>
    <w:rsid w:val="00374DD1"/>
    <w:rsid w:val="00374DFC"/>
    <w:rsid w:val="00374FB4"/>
    <w:rsid w:val="003750A3"/>
    <w:rsid w:val="003751E9"/>
    <w:rsid w:val="00375423"/>
    <w:rsid w:val="003754EB"/>
    <w:rsid w:val="003754EE"/>
    <w:rsid w:val="00375506"/>
    <w:rsid w:val="0037551A"/>
    <w:rsid w:val="00375655"/>
    <w:rsid w:val="00375689"/>
    <w:rsid w:val="003756AD"/>
    <w:rsid w:val="00375886"/>
    <w:rsid w:val="00375BB3"/>
    <w:rsid w:val="00375C1C"/>
    <w:rsid w:val="00375CD3"/>
    <w:rsid w:val="00375D2C"/>
    <w:rsid w:val="00375DEE"/>
    <w:rsid w:val="00375E72"/>
    <w:rsid w:val="00375E7F"/>
    <w:rsid w:val="00376064"/>
    <w:rsid w:val="0037612C"/>
    <w:rsid w:val="003761C0"/>
    <w:rsid w:val="00376267"/>
    <w:rsid w:val="003766EC"/>
    <w:rsid w:val="0037674D"/>
    <w:rsid w:val="00376794"/>
    <w:rsid w:val="003767EA"/>
    <w:rsid w:val="0037680D"/>
    <w:rsid w:val="0037684F"/>
    <w:rsid w:val="00376865"/>
    <w:rsid w:val="0037687C"/>
    <w:rsid w:val="003768BF"/>
    <w:rsid w:val="00376A51"/>
    <w:rsid w:val="00376BAE"/>
    <w:rsid w:val="00376D13"/>
    <w:rsid w:val="00376DA1"/>
    <w:rsid w:val="003770A8"/>
    <w:rsid w:val="00377158"/>
    <w:rsid w:val="00377472"/>
    <w:rsid w:val="003774D8"/>
    <w:rsid w:val="003777FE"/>
    <w:rsid w:val="0037789C"/>
    <w:rsid w:val="003779AC"/>
    <w:rsid w:val="003779BF"/>
    <w:rsid w:val="00377AD2"/>
    <w:rsid w:val="00377AD7"/>
    <w:rsid w:val="00377AE1"/>
    <w:rsid w:val="00377B09"/>
    <w:rsid w:val="00377BD2"/>
    <w:rsid w:val="00377D1A"/>
    <w:rsid w:val="00377DC9"/>
    <w:rsid w:val="00377DCC"/>
    <w:rsid w:val="00377EF7"/>
    <w:rsid w:val="003802D9"/>
    <w:rsid w:val="00380305"/>
    <w:rsid w:val="00380471"/>
    <w:rsid w:val="003804B1"/>
    <w:rsid w:val="003805DE"/>
    <w:rsid w:val="0038065F"/>
    <w:rsid w:val="00380688"/>
    <w:rsid w:val="003806A1"/>
    <w:rsid w:val="003806BD"/>
    <w:rsid w:val="00380734"/>
    <w:rsid w:val="0038077D"/>
    <w:rsid w:val="00380817"/>
    <w:rsid w:val="003808E7"/>
    <w:rsid w:val="003808F0"/>
    <w:rsid w:val="0038094E"/>
    <w:rsid w:val="0038098E"/>
    <w:rsid w:val="003809DE"/>
    <w:rsid w:val="003809FF"/>
    <w:rsid w:val="00380AE5"/>
    <w:rsid w:val="00380C3A"/>
    <w:rsid w:val="00380C89"/>
    <w:rsid w:val="00380D5B"/>
    <w:rsid w:val="00380D8B"/>
    <w:rsid w:val="00380E41"/>
    <w:rsid w:val="00380FDA"/>
    <w:rsid w:val="0038108F"/>
    <w:rsid w:val="003810CA"/>
    <w:rsid w:val="003810EF"/>
    <w:rsid w:val="00381192"/>
    <w:rsid w:val="003813C8"/>
    <w:rsid w:val="003813F8"/>
    <w:rsid w:val="003816ED"/>
    <w:rsid w:val="003817EC"/>
    <w:rsid w:val="003818A9"/>
    <w:rsid w:val="00381958"/>
    <w:rsid w:val="00381980"/>
    <w:rsid w:val="003819A4"/>
    <w:rsid w:val="00381AE3"/>
    <w:rsid w:val="00381AE9"/>
    <w:rsid w:val="00381B52"/>
    <w:rsid w:val="00381C7B"/>
    <w:rsid w:val="00381D0A"/>
    <w:rsid w:val="00381DE7"/>
    <w:rsid w:val="00381F0E"/>
    <w:rsid w:val="00381F18"/>
    <w:rsid w:val="00381F66"/>
    <w:rsid w:val="0038201D"/>
    <w:rsid w:val="00382126"/>
    <w:rsid w:val="003821B4"/>
    <w:rsid w:val="003821CA"/>
    <w:rsid w:val="003824AE"/>
    <w:rsid w:val="00382538"/>
    <w:rsid w:val="00382742"/>
    <w:rsid w:val="00382A3B"/>
    <w:rsid w:val="00382B0D"/>
    <w:rsid w:val="00382D2E"/>
    <w:rsid w:val="00382D7B"/>
    <w:rsid w:val="00382DB5"/>
    <w:rsid w:val="00382DBE"/>
    <w:rsid w:val="00382DCA"/>
    <w:rsid w:val="00382EAE"/>
    <w:rsid w:val="00382EF5"/>
    <w:rsid w:val="00382F6D"/>
    <w:rsid w:val="00382FFD"/>
    <w:rsid w:val="003830BB"/>
    <w:rsid w:val="003832AD"/>
    <w:rsid w:val="0038340F"/>
    <w:rsid w:val="00383613"/>
    <w:rsid w:val="00383686"/>
    <w:rsid w:val="0038378B"/>
    <w:rsid w:val="0038378D"/>
    <w:rsid w:val="00383881"/>
    <w:rsid w:val="00383AD2"/>
    <w:rsid w:val="00383AF1"/>
    <w:rsid w:val="00383C98"/>
    <w:rsid w:val="00383F14"/>
    <w:rsid w:val="003843DF"/>
    <w:rsid w:val="003845CF"/>
    <w:rsid w:val="003846BC"/>
    <w:rsid w:val="003846E1"/>
    <w:rsid w:val="00384714"/>
    <w:rsid w:val="00384803"/>
    <w:rsid w:val="0038486B"/>
    <w:rsid w:val="003848F2"/>
    <w:rsid w:val="00384B77"/>
    <w:rsid w:val="00384BF7"/>
    <w:rsid w:val="00384DB9"/>
    <w:rsid w:val="00384E1B"/>
    <w:rsid w:val="00384E3E"/>
    <w:rsid w:val="00385049"/>
    <w:rsid w:val="0038513A"/>
    <w:rsid w:val="003852E6"/>
    <w:rsid w:val="00385323"/>
    <w:rsid w:val="003853AC"/>
    <w:rsid w:val="00385478"/>
    <w:rsid w:val="00385490"/>
    <w:rsid w:val="00385498"/>
    <w:rsid w:val="003855FB"/>
    <w:rsid w:val="00385623"/>
    <w:rsid w:val="0038575D"/>
    <w:rsid w:val="003858A6"/>
    <w:rsid w:val="003858FA"/>
    <w:rsid w:val="00385A06"/>
    <w:rsid w:val="00385A1E"/>
    <w:rsid w:val="00385AB4"/>
    <w:rsid w:val="00385AE8"/>
    <w:rsid w:val="00385DE0"/>
    <w:rsid w:val="00385F34"/>
    <w:rsid w:val="00385FE3"/>
    <w:rsid w:val="00386000"/>
    <w:rsid w:val="003860C2"/>
    <w:rsid w:val="0038622D"/>
    <w:rsid w:val="00386297"/>
    <w:rsid w:val="003862B5"/>
    <w:rsid w:val="003863C1"/>
    <w:rsid w:val="00386490"/>
    <w:rsid w:val="00386619"/>
    <w:rsid w:val="0038662E"/>
    <w:rsid w:val="003866AD"/>
    <w:rsid w:val="00386735"/>
    <w:rsid w:val="0038674A"/>
    <w:rsid w:val="00386763"/>
    <w:rsid w:val="0038677F"/>
    <w:rsid w:val="00386858"/>
    <w:rsid w:val="0038686C"/>
    <w:rsid w:val="00386895"/>
    <w:rsid w:val="003868D7"/>
    <w:rsid w:val="003869E6"/>
    <w:rsid w:val="003869F4"/>
    <w:rsid w:val="00386B81"/>
    <w:rsid w:val="00386BE0"/>
    <w:rsid w:val="00386C50"/>
    <w:rsid w:val="00386DC9"/>
    <w:rsid w:val="00386E06"/>
    <w:rsid w:val="0038704D"/>
    <w:rsid w:val="003870A2"/>
    <w:rsid w:val="003870CC"/>
    <w:rsid w:val="00387180"/>
    <w:rsid w:val="00387182"/>
    <w:rsid w:val="003871C0"/>
    <w:rsid w:val="003872B3"/>
    <w:rsid w:val="0038740E"/>
    <w:rsid w:val="0038772F"/>
    <w:rsid w:val="00387877"/>
    <w:rsid w:val="003878E1"/>
    <w:rsid w:val="003878F6"/>
    <w:rsid w:val="00387D08"/>
    <w:rsid w:val="00387D0F"/>
    <w:rsid w:val="00387F1A"/>
    <w:rsid w:val="00387F56"/>
    <w:rsid w:val="003900D8"/>
    <w:rsid w:val="00390149"/>
    <w:rsid w:val="003901D5"/>
    <w:rsid w:val="003903AE"/>
    <w:rsid w:val="00390642"/>
    <w:rsid w:val="003908B8"/>
    <w:rsid w:val="00390938"/>
    <w:rsid w:val="00390956"/>
    <w:rsid w:val="00390B55"/>
    <w:rsid w:val="00390BDB"/>
    <w:rsid w:val="00390C0F"/>
    <w:rsid w:val="00390C24"/>
    <w:rsid w:val="00390CCF"/>
    <w:rsid w:val="00390E29"/>
    <w:rsid w:val="003910ED"/>
    <w:rsid w:val="00391112"/>
    <w:rsid w:val="003911AF"/>
    <w:rsid w:val="00391245"/>
    <w:rsid w:val="003913FD"/>
    <w:rsid w:val="003914B2"/>
    <w:rsid w:val="00391563"/>
    <w:rsid w:val="00391753"/>
    <w:rsid w:val="00391776"/>
    <w:rsid w:val="0039180D"/>
    <w:rsid w:val="00391851"/>
    <w:rsid w:val="003919D9"/>
    <w:rsid w:val="00391A04"/>
    <w:rsid w:val="00391A75"/>
    <w:rsid w:val="00391AAF"/>
    <w:rsid w:val="00391AC3"/>
    <w:rsid w:val="00391B78"/>
    <w:rsid w:val="00391C37"/>
    <w:rsid w:val="00391CEC"/>
    <w:rsid w:val="00391D94"/>
    <w:rsid w:val="00391E6D"/>
    <w:rsid w:val="00392182"/>
    <w:rsid w:val="00392237"/>
    <w:rsid w:val="00392349"/>
    <w:rsid w:val="0039235A"/>
    <w:rsid w:val="00392504"/>
    <w:rsid w:val="00392523"/>
    <w:rsid w:val="003927D3"/>
    <w:rsid w:val="0039282F"/>
    <w:rsid w:val="003929C8"/>
    <w:rsid w:val="00392A1D"/>
    <w:rsid w:val="00392AF4"/>
    <w:rsid w:val="00392B06"/>
    <w:rsid w:val="00392BD2"/>
    <w:rsid w:val="00392BD8"/>
    <w:rsid w:val="00392C96"/>
    <w:rsid w:val="00392CA6"/>
    <w:rsid w:val="00392DC8"/>
    <w:rsid w:val="00392DCC"/>
    <w:rsid w:val="00392E29"/>
    <w:rsid w:val="00392F2F"/>
    <w:rsid w:val="003930E8"/>
    <w:rsid w:val="003931B9"/>
    <w:rsid w:val="0039325B"/>
    <w:rsid w:val="0039337A"/>
    <w:rsid w:val="0039353F"/>
    <w:rsid w:val="00393694"/>
    <w:rsid w:val="00393B7C"/>
    <w:rsid w:val="00393CD6"/>
    <w:rsid w:val="00393D62"/>
    <w:rsid w:val="00393DF3"/>
    <w:rsid w:val="00393F5A"/>
    <w:rsid w:val="00394059"/>
    <w:rsid w:val="003940D3"/>
    <w:rsid w:val="00394129"/>
    <w:rsid w:val="003941BB"/>
    <w:rsid w:val="00394576"/>
    <w:rsid w:val="00394669"/>
    <w:rsid w:val="00394806"/>
    <w:rsid w:val="00394970"/>
    <w:rsid w:val="003949A8"/>
    <w:rsid w:val="00394B58"/>
    <w:rsid w:val="00394C74"/>
    <w:rsid w:val="00394FD7"/>
    <w:rsid w:val="00394FF7"/>
    <w:rsid w:val="003951F1"/>
    <w:rsid w:val="00395484"/>
    <w:rsid w:val="00395588"/>
    <w:rsid w:val="003957D4"/>
    <w:rsid w:val="0039584E"/>
    <w:rsid w:val="00395A93"/>
    <w:rsid w:val="00395A9D"/>
    <w:rsid w:val="00395BF0"/>
    <w:rsid w:val="00395C3B"/>
    <w:rsid w:val="00395C7B"/>
    <w:rsid w:val="00395E0E"/>
    <w:rsid w:val="00395EFF"/>
    <w:rsid w:val="00395F0C"/>
    <w:rsid w:val="00395F25"/>
    <w:rsid w:val="0039609A"/>
    <w:rsid w:val="003961B6"/>
    <w:rsid w:val="00396200"/>
    <w:rsid w:val="00396690"/>
    <w:rsid w:val="003966AE"/>
    <w:rsid w:val="003966CC"/>
    <w:rsid w:val="003966E7"/>
    <w:rsid w:val="00396820"/>
    <w:rsid w:val="003969DC"/>
    <w:rsid w:val="00396A10"/>
    <w:rsid w:val="00396A77"/>
    <w:rsid w:val="00396AEE"/>
    <w:rsid w:val="00396BA4"/>
    <w:rsid w:val="00396BCA"/>
    <w:rsid w:val="00396D9A"/>
    <w:rsid w:val="00396DB5"/>
    <w:rsid w:val="00396DB8"/>
    <w:rsid w:val="00396E13"/>
    <w:rsid w:val="00396F01"/>
    <w:rsid w:val="00396F04"/>
    <w:rsid w:val="00396F4C"/>
    <w:rsid w:val="00396FC2"/>
    <w:rsid w:val="00397043"/>
    <w:rsid w:val="0039709E"/>
    <w:rsid w:val="003971A4"/>
    <w:rsid w:val="003971A8"/>
    <w:rsid w:val="00397249"/>
    <w:rsid w:val="003973AD"/>
    <w:rsid w:val="003973E2"/>
    <w:rsid w:val="003975C0"/>
    <w:rsid w:val="0039770F"/>
    <w:rsid w:val="00397765"/>
    <w:rsid w:val="00397797"/>
    <w:rsid w:val="0039785F"/>
    <w:rsid w:val="003978BD"/>
    <w:rsid w:val="003979D6"/>
    <w:rsid w:val="00397B23"/>
    <w:rsid w:val="00397B3A"/>
    <w:rsid w:val="00397B7E"/>
    <w:rsid w:val="00397BB0"/>
    <w:rsid w:val="00397BB5"/>
    <w:rsid w:val="00397F59"/>
    <w:rsid w:val="003A004F"/>
    <w:rsid w:val="003A0089"/>
    <w:rsid w:val="003A00E3"/>
    <w:rsid w:val="003A0141"/>
    <w:rsid w:val="003A014C"/>
    <w:rsid w:val="003A0192"/>
    <w:rsid w:val="003A01AD"/>
    <w:rsid w:val="003A026D"/>
    <w:rsid w:val="003A0272"/>
    <w:rsid w:val="003A03E7"/>
    <w:rsid w:val="003A057E"/>
    <w:rsid w:val="003A0743"/>
    <w:rsid w:val="003A0750"/>
    <w:rsid w:val="003A085A"/>
    <w:rsid w:val="003A0A32"/>
    <w:rsid w:val="003A0A81"/>
    <w:rsid w:val="003A0AAD"/>
    <w:rsid w:val="003A0C48"/>
    <w:rsid w:val="003A0D7A"/>
    <w:rsid w:val="003A0E58"/>
    <w:rsid w:val="003A10A8"/>
    <w:rsid w:val="003A115B"/>
    <w:rsid w:val="003A128F"/>
    <w:rsid w:val="003A12CE"/>
    <w:rsid w:val="003A1306"/>
    <w:rsid w:val="003A1336"/>
    <w:rsid w:val="003A13E8"/>
    <w:rsid w:val="003A14C8"/>
    <w:rsid w:val="003A14C9"/>
    <w:rsid w:val="003A1510"/>
    <w:rsid w:val="003A1572"/>
    <w:rsid w:val="003A16F4"/>
    <w:rsid w:val="003A171D"/>
    <w:rsid w:val="003A19BC"/>
    <w:rsid w:val="003A1C57"/>
    <w:rsid w:val="003A1CEC"/>
    <w:rsid w:val="003A1E1D"/>
    <w:rsid w:val="003A1ED5"/>
    <w:rsid w:val="003A1FB6"/>
    <w:rsid w:val="003A1FF1"/>
    <w:rsid w:val="003A20D5"/>
    <w:rsid w:val="003A215C"/>
    <w:rsid w:val="003A21C1"/>
    <w:rsid w:val="003A22E8"/>
    <w:rsid w:val="003A2368"/>
    <w:rsid w:val="003A23AD"/>
    <w:rsid w:val="003A23D9"/>
    <w:rsid w:val="003A240A"/>
    <w:rsid w:val="003A24C5"/>
    <w:rsid w:val="003A2736"/>
    <w:rsid w:val="003A2880"/>
    <w:rsid w:val="003A2896"/>
    <w:rsid w:val="003A28AD"/>
    <w:rsid w:val="003A2A4F"/>
    <w:rsid w:val="003A2A78"/>
    <w:rsid w:val="003A2CCD"/>
    <w:rsid w:val="003A2D59"/>
    <w:rsid w:val="003A2EA8"/>
    <w:rsid w:val="003A2F55"/>
    <w:rsid w:val="003A2F83"/>
    <w:rsid w:val="003A2FED"/>
    <w:rsid w:val="003A2FF0"/>
    <w:rsid w:val="003A313D"/>
    <w:rsid w:val="003A3186"/>
    <w:rsid w:val="003A3418"/>
    <w:rsid w:val="003A34FF"/>
    <w:rsid w:val="003A35E2"/>
    <w:rsid w:val="003A37D6"/>
    <w:rsid w:val="003A393B"/>
    <w:rsid w:val="003A3A1F"/>
    <w:rsid w:val="003A3A3A"/>
    <w:rsid w:val="003A3A6D"/>
    <w:rsid w:val="003A3AAA"/>
    <w:rsid w:val="003A3B77"/>
    <w:rsid w:val="003A3BBE"/>
    <w:rsid w:val="003A3C87"/>
    <w:rsid w:val="003A4072"/>
    <w:rsid w:val="003A4108"/>
    <w:rsid w:val="003A41CC"/>
    <w:rsid w:val="003A4239"/>
    <w:rsid w:val="003A4273"/>
    <w:rsid w:val="003A42A3"/>
    <w:rsid w:val="003A4368"/>
    <w:rsid w:val="003A45FF"/>
    <w:rsid w:val="003A4609"/>
    <w:rsid w:val="003A470E"/>
    <w:rsid w:val="003A477E"/>
    <w:rsid w:val="003A47AB"/>
    <w:rsid w:val="003A4A01"/>
    <w:rsid w:val="003A4A99"/>
    <w:rsid w:val="003A4CE8"/>
    <w:rsid w:val="003A4D6B"/>
    <w:rsid w:val="003A4DAE"/>
    <w:rsid w:val="003A4E1B"/>
    <w:rsid w:val="003A4E40"/>
    <w:rsid w:val="003A4E4D"/>
    <w:rsid w:val="003A4EA3"/>
    <w:rsid w:val="003A4ED9"/>
    <w:rsid w:val="003A4F36"/>
    <w:rsid w:val="003A4F6D"/>
    <w:rsid w:val="003A507C"/>
    <w:rsid w:val="003A508A"/>
    <w:rsid w:val="003A5172"/>
    <w:rsid w:val="003A5466"/>
    <w:rsid w:val="003A5488"/>
    <w:rsid w:val="003A54BD"/>
    <w:rsid w:val="003A55FF"/>
    <w:rsid w:val="003A570E"/>
    <w:rsid w:val="003A5852"/>
    <w:rsid w:val="003A58ED"/>
    <w:rsid w:val="003A5B36"/>
    <w:rsid w:val="003A5B5B"/>
    <w:rsid w:val="003A5B86"/>
    <w:rsid w:val="003A5C9F"/>
    <w:rsid w:val="003A5D8C"/>
    <w:rsid w:val="003A5EF0"/>
    <w:rsid w:val="003A5F79"/>
    <w:rsid w:val="003A6168"/>
    <w:rsid w:val="003A636B"/>
    <w:rsid w:val="003A647F"/>
    <w:rsid w:val="003A64ED"/>
    <w:rsid w:val="003A6577"/>
    <w:rsid w:val="003A6593"/>
    <w:rsid w:val="003A67AA"/>
    <w:rsid w:val="003A681F"/>
    <w:rsid w:val="003A69DD"/>
    <w:rsid w:val="003A6A89"/>
    <w:rsid w:val="003A6C31"/>
    <w:rsid w:val="003A6C7A"/>
    <w:rsid w:val="003A6CB8"/>
    <w:rsid w:val="003A6FC1"/>
    <w:rsid w:val="003A70EB"/>
    <w:rsid w:val="003A7138"/>
    <w:rsid w:val="003A723C"/>
    <w:rsid w:val="003A7270"/>
    <w:rsid w:val="003A72CA"/>
    <w:rsid w:val="003A7505"/>
    <w:rsid w:val="003A750A"/>
    <w:rsid w:val="003A757D"/>
    <w:rsid w:val="003A765F"/>
    <w:rsid w:val="003A780E"/>
    <w:rsid w:val="003A7871"/>
    <w:rsid w:val="003A79B1"/>
    <w:rsid w:val="003A7B6A"/>
    <w:rsid w:val="003A7C0B"/>
    <w:rsid w:val="003A7CFD"/>
    <w:rsid w:val="003A7E0C"/>
    <w:rsid w:val="003A7E67"/>
    <w:rsid w:val="003A7F2B"/>
    <w:rsid w:val="003B0036"/>
    <w:rsid w:val="003B0037"/>
    <w:rsid w:val="003B005B"/>
    <w:rsid w:val="003B0199"/>
    <w:rsid w:val="003B024C"/>
    <w:rsid w:val="003B0370"/>
    <w:rsid w:val="003B0424"/>
    <w:rsid w:val="003B0620"/>
    <w:rsid w:val="003B071A"/>
    <w:rsid w:val="003B0812"/>
    <w:rsid w:val="003B0899"/>
    <w:rsid w:val="003B092D"/>
    <w:rsid w:val="003B09BA"/>
    <w:rsid w:val="003B0A4E"/>
    <w:rsid w:val="003B0CCD"/>
    <w:rsid w:val="003B0EB2"/>
    <w:rsid w:val="003B0F6E"/>
    <w:rsid w:val="003B1008"/>
    <w:rsid w:val="003B1211"/>
    <w:rsid w:val="003B126B"/>
    <w:rsid w:val="003B126C"/>
    <w:rsid w:val="003B1351"/>
    <w:rsid w:val="003B13D8"/>
    <w:rsid w:val="003B1425"/>
    <w:rsid w:val="003B17C2"/>
    <w:rsid w:val="003B1868"/>
    <w:rsid w:val="003B1963"/>
    <w:rsid w:val="003B1ADF"/>
    <w:rsid w:val="003B1AED"/>
    <w:rsid w:val="003B1BA2"/>
    <w:rsid w:val="003B1C35"/>
    <w:rsid w:val="003B1E2C"/>
    <w:rsid w:val="003B1E5E"/>
    <w:rsid w:val="003B209F"/>
    <w:rsid w:val="003B21A5"/>
    <w:rsid w:val="003B24BE"/>
    <w:rsid w:val="003B265F"/>
    <w:rsid w:val="003B26A2"/>
    <w:rsid w:val="003B2781"/>
    <w:rsid w:val="003B27DB"/>
    <w:rsid w:val="003B2863"/>
    <w:rsid w:val="003B29D7"/>
    <w:rsid w:val="003B2B21"/>
    <w:rsid w:val="003B2CBB"/>
    <w:rsid w:val="003B2D26"/>
    <w:rsid w:val="003B2FC3"/>
    <w:rsid w:val="003B3087"/>
    <w:rsid w:val="003B32B9"/>
    <w:rsid w:val="003B33D0"/>
    <w:rsid w:val="003B33EE"/>
    <w:rsid w:val="003B33F0"/>
    <w:rsid w:val="003B3413"/>
    <w:rsid w:val="003B3631"/>
    <w:rsid w:val="003B3700"/>
    <w:rsid w:val="003B37C2"/>
    <w:rsid w:val="003B3803"/>
    <w:rsid w:val="003B3919"/>
    <w:rsid w:val="003B395A"/>
    <w:rsid w:val="003B3980"/>
    <w:rsid w:val="003B3A3A"/>
    <w:rsid w:val="003B3A60"/>
    <w:rsid w:val="003B3B41"/>
    <w:rsid w:val="003B3F0B"/>
    <w:rsid w:val="003B40A2"/>
    <w:rsid w:val="003B41B1"/>
    <w:rsid w:val="003B4219"/>
    <w:rsid w:val="003B42C8"/>
    <w:rsid w:val="003B438B"/>
    <w:rsid w:val="003B4451"/>
    <w:rsid w:val="003B4467"/>
    <w:rsid w:val="003B44B1"/>
    <w:rsid w:val="003B44BB"/>
    <w:rsid w:val="003B44FB"/>
    <w:rsid w:val="003B4514"/>
    <w:rsid w:val="003B451A"/>
    <w:rsid w:val="003B4615"/>
    <w:rsid w:val="003B466D"/>
    <w:rsid w:val="003B47C2"/>
    <w:rsid w:val="003B4813"/>
    <w:rsid w:val="003B489A"/>
    <w:rsid w:val="003B4B55"/>
    <w:rsid w:val="003B4B78"/>
    <w:rsid w:val="003B4CFF"/>
    <w:rsid w:val="003B4DB6"/>
    <w:rsid w:val="003B4E3B"/>
    <w:rsid w:val="003B4FE7"/>
    <w:rsid w:val="003B4FEC"/>
    <w:rsid w:val="003B5248"/>
    <w:rsid w:val="003B5409"/>
    <w:rsid w:val="003B5452"/>
    <w:rsid w:val="003B5500"/>
    <w:rsid w:val="003B5548"/>
    <w:rsid w:val="003B55D4"/>
    <w:rsid w:val="003B55F4"/>
    <w:rsid w:val="003B561F"/>
    <w:rsid w:val="003B57CA"/>
    <w:rsid w:val="003B5933"/>
    <w:rsid w:val="003B5970"/>
    <w:rsid w:val="003B59B3"/>
    <w:rsid w:val="003B5A3A"/>
    <w:rsid w:val="003B5BB7"/>
    <w:rsid w:val="003B5C13"/>
    <w:rsid w:val="003B5C46"/>
    <w:rsid w:val="003B5C94"/>
    <w:rsid w:val="003B5CEB"/>
    <w:rsid w:val="003B5DAC"/>
    <w:rsid w:val="003B5E52"/>
    <w:rsid w:val="003B5E7A"/>
    <w:rsid w:val="003B60E7"/>
    <w:rsid w:val="003B63F0"/>
    <w:rsid w:val="003B64BE"/>
    <w:rsid w:val="003B6533"/>
    <w:rsid w:val="003B65ED"/>
    <w:rsid w:val="003B667B"/>
    <w:rsid w:val="003B6771"/>
    <w:rsid w:val="003B67BA"/>
    <w:rsid w:val="003B69BC"/>
    <w:rsid w:val="003B6B55"/>
    <w:rsid w:val="003B6BEA"/>
    <w:rsid w:val="003B6C98"/>
    <w:rsid w:val="003B6D4A"/>
    <w:rsid w:val="003B6D7C"/>
    <w:rsid w:val="003B6DE1"/>
    <w:rsid w:val="003B7175"/>
    <w:rsid w:val="003B719B"/>
    <w:rsid w:val="003B7362"/>
    <w:rsid w:val="003B7396"/>
    <w:rsid w:val="003B74B6"/>
    <w:rsid w:val="003B7651"/>
    <w:rsid w:val="003B7728"/>
    <w:rsid w:val="003B7742"/>
    <w:rsid w:val="003B7888"/>
    <w:rsid w:val="003B78B1"/>
    <w:rsid w:val="003B78D8"/>
    <w:rsid w:val="003B7AAD"/>
    <w:rsid w:val="003B7ADF"/>
    <w:rsid w:val="003B7B14"/>
    <w:rsid w:val="003B7BF9"/>
    <w:rsid w:val="003B7C24"/>
    <w:rsid w:val="003B7D28"/>
    <w:rsid w:val="003B7E41"/>
    <w:rsid w:val="003B7F4D"/>
    <w:rsid w:val="003C0093"/>
    <w:rsid w:val="003C0111"/>
    <w:rsid w:val="003C0218"/>
    <w:rsid w:val="003C02D5"/>
    <w:rsid w:val="003C030F"/>
    <w:rsid w:val="003C03E8"/>
    <w:rsid w:val="003C04BD"/>
    <w:rsid w:val="003C0789"/>
    <w:rsid w:val="003C0DA5"/>
    <w:rsid w:val="003C0FBF"/>
    <w:rsid w:val="003C103A"/>
    <w:rsid w:val="003C1139"/>
    <w:rsid w:val="003C146C"/>
    <w:rsid w:val="003C1505"/>
    <w:rsid w:val="003C1AB1"/>
    <w:rsid w:val="003C1B7E"/>
    <w:rsid w:val="003C1BA8"/>
    <w:rsid w:val="003C1CD0"/>
    <w:rsid w:val="003C1F62"/>
    <w:rsid w:val="003C1F80"/>
    <w:rsid w:val="003C2088"/>
    <w:rsid w:val="003C210D"/>
    <w:rsid w:val="003C2119"/>
    <w:rsid w:val="003C2143"/>
    <w:rsid w:val="003C21CC"/>
    <w:rsid w:val="003C21FB"/>
    <w:rsid w:val="003C2245"/>
    <w:rsid w:val="003C2488"/>
    <w:rsid w:val="003C24A9"/>
    <w:rsid w:val="003C24AF"/>
    <w:rsid w:val="003C24B4"/>
    <w:rsid w:val="003C25A3"/>
    <w:rsid w:val="003C25B1"/>
    <w:rsid w:val="003C25BE"/>
    <w:rsid w:val="003C2627"/>
    <w:rsid w:val="003C276E"/>
    <w:rsid w:val="003C290B"/>
    <w:rsid w:val="003C2BEF"/>
    <w:rsid w:val="003C2C12"/>
    <w:rsid w:val="003C2C35"/>
    <w:rsid w:val="003C2DEB"/>
    <w:rsid w:val="003C2F3E"/>
    <w:rsid w:val="003C2F94"/>
    <w:rsid w:val="003C2FBF"/>
    <w:rsid w:val="003C2FD8"/>
    <w:rsid w:val="003C3005"/>
    <w:rsid w:val="003C3014"/>
    <w:rsid w:val="003C302C"/>
    <w:rsid w:val="003C30D8"/>
    <w:rsid w:val="003C3131"/>
    <w:rsid w:val="003C316A"/>
    <w:rsid w:val="003C31BD"/>
    <w:rsid w:val="003C32F7"/>
    <w:rsid w:val="003C33DB"/>
    <w:rsid w:val="003C33E7"/>
    <w:rsid w:val="003C35AB"/>
    <w:rsid w:val="003C36DB"/>
    <w:rsid w:val="003C36E3"/>
    <w:rsid w:val="003C37A6"/>
    <w:rsid w:val="003C3C41"/>
    <w:rsid w:val="003C3C60"/>
    <w:rsid w:val="003C3C70"/>
    <w:rsid w:val="003C3CA5"/>
    <w:rsid w:val="003C3D85"/>
    <w:rsid w:val="003C3DE3"/>
    <w:rsid w:val="003C3E2D"/>
    <w:rsid w:val="003C3E87"/>
    <w:rsid w:val="003C3EBE"/>
    <w:rsid w:val="003C3ECE"/>
    <w:rsid w:val="003C3EEE"/>
    <w:rsid w:val="003C3F72"/>
    <w:rsid w:val="003C4035"/>
    <w:rsid w:val="003C418B"/>
    <w:rsid w:val="003C420D"/>
    <w:rsid w:val="003C428A"/>
    <w:rsid w:val="003C4380"/>
    <w:rsid w:val="003C43C4"/>
    <w:rsid w:val="003C43E8"/>
    <w:rsid w:val="003C4575"/>
    <w:rsid w:val="003C4692"/>
    <w:rsid w:val="003C4694"/>
    <w:rsid w:val="003C46EF"/>
    <w:rsid w:val="003C4762"/>
    <w:rsid w:val="003C4809"/>
    <w:rsid w:val="003C4819"/>
    <w:rsid w:val="003C48CA"/>
    <w:rsid w:val="003C4993"/>
    <w:rsid w:val="003C4A72"/>
    <w:rsid w:val="003C4B54"/>
    <w:rsid w:val="003C4C36"/>
    <w:rsid w:val="003C4C50"/>
    <w:rsid w:val="003C4C83"/>
    <w:rsid w:val="003C4C85"/>
    <w:rsid w:val="003C4D63"/>
    <w:rsid w:val="003C4DA0"/>
    <w:rsid w:val="003C4F3C"/>
    <w:rsid w:val="003C4FFC"/>
    <w:rsid w:val="003C510C"/>
    <w:rsid w:val="003C55F5"/>
    <w:rsid w:val="003C5785"/>
    <w:rsid w:val="003C582B"/>
    <w:rsid w:val="003C585E"/>
    <w:rsid w:val="003C58E7"/>
    <w:rsid w:val="003C591D"/>
    <w:rsid w:val="003C59C6"/>
    <w:rsid w:val="003C59FE"/>
    <w:rsid w:val="003C5A1C"/>
    <w:rsid w:val="003C5AD1"/>
    <w:rsid w:val="003C5AF4"/>
    <w:rsid w:val="003C5BC9"/>
    <w:rsid w:val="003C5CEB"/>
    <w:rsid w:val="003C5CEE"/>
    <w:rsid w:val="003C5DF4"/>
    <w:rsid w:val="003C5E28"/>
    <w:rsid w:val="003C5E36"/>
    <w:rsid w:val="003C5E53"/>
    <w:rsid w:val="003C6000"/>
    <w:rsid w:val="003C60EE"/>
    <w:rsid w:val="003C6140"/>
    <w:rsid w:val="003C61D9"/>
    <w:rsid w:val="003C6202"/>
    <w:rsid w:val="003C6278"/>
    <w:rsid w:val="003C6336"/>
    <w:rsid w:val="003C63CB"/>
    <w:rsid w:val="003C6410"/>
    <w:rsid w:val="003C649B"/>
    <w:rsid w:val="003C64D6"/>
    <w:rsid w:val="003C6533"/>
    <w:rsid w:val="003C65EE"/>
    <w:rsid w:val="003C6608"/>
    <w:rsid w:val="003C666D"/>
    <w:rsid w:val="003C66C9"/>
    <w:rsid w:val="003C67D9"/>
    <w:rsid w:val="003C67F9"/>
    <w:rsid w:val="003C68D0"/>
    <w:rsid w:val="003C6C21"/>
    <w:rsid w:val="003C6CC5"/>
    <w:rsid w:val="003C6CD1"/>
    <w:rsid w:val="003C6FAE"/>
    <w:rsid w:val="003C70CF"/>
    <w:rsid w:val="003C716D"/>
    <w:rsid w:val="003C721D"/>
    <w:rsid w:val="003C722E"/>
    <w:rsid w:val="003C7245"/>
    <w:rsid w:val="003C7294"/>
    <w:rsid w:val="003C7346"/>
    <w:rsid w:val="003C7364"/>
    <w:rsid w:val="003C73AE"/>
    <w:rsid w:val="003C73F8"/>
    <w:rsid w:val="003C7433"/>
    <w:rsid w:val="003C7597"/>
    <w:rsid w:val="003C7607"/>
    <w:rsid w:val="003C7674"/>
    <w:rsid w:val="003C76CF"/>
    <w:rsid w:val="003C77E2"/>
    <w:rsid w:val="003C7964"/>
    <w:rsid w:val="003C7A2F"/>
    <w:rsid w:val="003C7A71"/>
    <w:rsid w:val="003C7AF8"/>
    <w:rsid w:val="003C7BDA"/>
    <w:rsid w:val="003C7CCB"/>
    <w:rsid w:val="003C7CE3"/>
    <w:rsid w:val="003C7DA3"/>
    <w:rsid w:val="003C7E3A"/>
    <w:rsid w:val="003D023A"/>
    <w:rsid w:val="003D0256"/>
    <w:rsid w:val="003D0278"/>
    <w:rsid w:val="003D0461"/>
    <w:rsid w:val="003D0491"/>
    <w:rsid w:val="003D04E7"/>
    <w:rsid w:val="003D04EB"/>
    <w:rsid w:val="003D0507"/>
    <w:rsid w:val="003D05AC"/>
    <w:rsid w:val="003D0610"/>
    <w:rsid w:val="003D06AF"/>
    <w:rsid w:val="003D071A"/>
    <w:rsid w:val="003D0742"/>
    <w:rsid w:val="003D08E4"/>
    <w:rsid w:val="003D09A0"/>
    <w:rsid w:val="003D0A0B"/>
    <w:rsid w:val="003D0A11"/>
    <w:rsid w:val="003D0D09"/>
    <w:rsid w:val="003D0DC6"/>
    <w:rsid w:val="003D0EC0"/>
    <w:rsid w:val="003D0EE7"/>
    <w:rsid w:val="003D102D"/>
    <w:rsid w:val="003D1073"/>
    <w:rsid w:val="003D11C0"/>
    <w:rsid w:val="003D12F2"/>
    <w:rsid w:val="003D13FE"/>
    <w:rsid w:val="003D1508"/>
    <w:rsid w:val="003D15D2"/>
    <w:rsid w:val="003D15FA"/>
    <w:rsid w:val="003D17AB"/>
    <w:rsid w:val="003D17CE"/>
    <w:rsid w:val="003D1883"/>
    <w:rsid w:val="003D195A"/>
    <w:rsid w:val="003D1968"/>
    <w:rsid w:val="003D19E1"/>
    <w:rsid w:val="003D19FD"/>
    <w:rsid w:val="003D1A44"/>
    <w:rsid w:val="003D1AEB"/>
    <w:rsid w:val="003D1CB7"/>
    <w:rsid w:val="003D21B3"/>
    <w:rsid w:val="003D21EB"/>
    <w:rsid w:val="003D2318"/>
    <w:rsid w:val="003D2352"/>
    <w:rsid w:val="003D23B3"/>
    <w:rsid w:val="003D2532"/>
    <w:rsid w:val="003D25D1"/>
    <w:rsid w:val="003D25DF"/>
    <w:rsid w:val="003D26FC"/>
    <w:rsid w:val="003D2741"/>
    <w:rsid w:val="003D2771"/>
    <w:rsid w:val="003D283B"/>
    <w:rsid w:val="003D296A"/>
    <w:rsid w:val="003D29B4"/>
    <w:rsid w:val="003D29DE"/>
    <w:rsid w:val="003D2C6A"/>
    <w:rsid w:val="003D2C9E"/>
    <w:rsid w:val="003D2CC1"/>
    <w:rsid w:val="003D2D88"/>
    <w:rsid w:val="003D2D8B"/>
    <w:rsid w:val="003D2DC0"/>
    <w:rsid w:val="003D2DEC"/>
    <w:rsid w:val="003D2E61"/>
    <w:rsid w:val="003D304F"/>
    <w:rsid w:val="003D3421"/>
    <w:rsid w:val="003D3615"/>
    <w:rsid w:val="003D3682"/>
    <w:rsid w:val="003D36CF"/>
    <w:rsid w:val="003D3B8B"/>
    <w:rsid w:val="003D3C7F"/>
    <w:rsid w:val="003D3D02"/>
    <w:rsid w:val="003D3D91"/>
    <w:rsid w:val="003D3DE9"/>
    <w:rsid w:val="003D3F70"/>
    <w:rsid w:val="003D400B"/>
    <w:rsid w:val="003D4050"/>
    <w:rsid w:val="003D406C"/>
    <w:rsid w:val="003D41A3"/>
    <w:rsid w:val="003D430F"/>
    <w:rsid w:val="003D444A"/>
    <w:rsid w:val="003D44A2"/>
    <w:rsid w:val="003D455C"/>
    <w:rsid w:val="003D476C"/>
    <w:rsid w:val="003D486F"/>
    <w:rsid w:val="003D49A9"/>
    <w:rsid w:val="003D4A2A"/>
    <w:rsid w:val="003D4BB6"/>
    <w:rsid w:val="003D4D20"/>
    <w:rsid w:val="003D4DCC"/>
    <w:rsid w:val="003D4E48"/>
    <w:rsid w:val="003D4E57"/>
    <w:rsid w:val="003D4E94"/>
    <w:rsid w:val="003D506F"/>
    <w:rsid w:val="003D5103"/>
    <w:rsid w:val="003D5118"/>
    <w:rsid w:val="003D5261"/>
    <w:rsid w:val="003D537A"/>
    <w:rsid w:val="003D54F4"/>
    <w:rsid w:val="003D55CE"/>
    <w:rsid w:val="003D5619"/>
    <w:rsid w:val="003D5699"/>
    <w:rsid w:val="003D57CB"/>
    <w:rsid w:val="003D5885"/>
    <w:rsid w:val="003D591A"/>
    <w:rsid w:val="003D5980"/>
    <w:rsid w:val="003D5990"/>
    <w:rsid w:val="003D5B6D"/>
    <w:rsid w:val="003D5BA3"/>
    <w:rsid w:val="003D5BF9"/>
    <w:rsid w:val="003D5D92"/>
    <w:rsid w:val="003D5DA4"/>
    <w:rsid w:val="003D5DBA"/>
    <w:rsid w:val="003D5E0F"/>
    <w:rsid w:val="003D5E3F"/>
    <w:rsid w:val="003D5E6A"/>
    <w:rsid w:val="003D5E77"/>
    <w:rsid w:val="003D5F39"/>
    <w:rsid w:val="003D604C"/>
    <w:rsid w:val="003D607D"/>
    <w:rsid w:val="003D6231"/>
    <w:rsid w:val="003D6300"/>
    <w:rsid w:val="003D6349"/>
    <w:rsid w:val="003D635D"/>
    <w:rsid w:val="003D63EE"/>
    <w:rsid w:val="003D6558"/>
    <w:rsid w:val="003D657C"/>
    <w:rsid w:val="003D67A2"/>
    <w:rsid w:val="003D6817"/>
    <w:rsid w:val="003D688A"/>
    <w:rsid w:val="003D6896"/>
    <w:rsid w:val="003D6992"/>
    <w:rsid w:val="003D69AB"/>
    <w:rsid w:val="003D6A8D"/>
    <w:rsid w:val="003D6BA1"/>
    <w:rsid w:val="003D6BD4"/>
    <w:rsid w:val="003D6BE2"/>
    <w:rsid w:val="003D6C3E"/>
    <w:rsid w:val="003D6D12"/>
    <w:rsid w:val="003D6DAA"/>
    <w:rsid w:val="003D6DB2"/>
    <w:rsid w:val="003D6DC0"/>
    <w:rsid w:val="003D6EDF"/>
    <w:rsid w:val="003D6FA1"/>
    <w:rsid w:val="003D708D"/>
    <w:rsid w:val="003D71DE"/>
    <w:rsid w:val="003D724B"/>
    <w:rsid w:val="003D730E"/>
    <w:rsid w:val="003D73A0"/>
    <w:rsid w:val="003D7481"/>
    <w:rsid w:val="003D75F3"/>
    <w:rsid w:val="003D76D7"/>
    <w:rsid w:val="003D77A3"/>
    <w:rsid w:val="003D78A2"/>
    <w:rsid w:val="003D78D7"/>
    <w:rsid w:val="003D7946"/>
    <w:rsid w:val="003D7CB8"/>
    <w:rsid w:val="003D7CFD"/>
    <w:rsid w:val="003D7D66"/>
    <w:rsid w:val="003D7E38"/>
    <w:rsid w:val="003D7E50"/>
    <w:rsid w:val="003D7E5B"/>
    <w:rsid w:val="003D7E8A"/>
    <w:rsid w:val="003D7F77"/>
    <w:rsid w:val="003D7F88"/>
    <w:rsid w:val="003E0108"/>
    <w:rsid w:val="003E013D"/>
    <w:rsid w:val="003E019F"/>
    <w:rsid w:val="003E027F"/>
    <w:rsid w:val="003E0342"/>
    <w:rsid w:val="003E04C7"/>
    <w:rsid w:val="003E0605"/>
    <w:rsid w:val="003E063C"/>
    <w:rsid w:val="003E0705"/>
    <w:rsid w:val="003E0893"/>
    <w:rsid w:val="003E0950"/>
    <w:rsid w:val="003E0985"/>
    <w:rsid w:val="003E09CB"/>
    <w:rsid w:val="003E0B27"/>
    <w:rsid w:val="003E0B44"/>
    <w:rsid w:val="003E0BE7"/>
    <w:rsid w:val="003E0CE3"/>
    <w:rsid w:val="003E0CF8"/>
    <w:rsid w:val="003E10B3"/>
    <w:rsid w:val="003E10D3"/>
    <w:rsid w:val="003E11A1"/>
    <w:rsid w:val="003E137D"/>
    <w:rsid w:val="003E1661"/>
    <w:rsid w:val="003E1754"/>
    <w:rsid w:val="003E1765"/>
    <w:rsid w:val="003E1909"/>
    <w:rsid w:val="003E19B6"/>
    <w:rsid w:val="003E1AE2"/>
    <w:rsid w:val="003E1B33"/>
    <w:rsid w:val="003E1BE6"/>
    <w:rsid w:val="003E1D0E"/>
    <w:rsid w:val="003E1D9C"/>
    <w:rsid w:val="003E1E14"/>
    <w:rsid w:val="003E1ECC"/>
    <w:rsid w:val="003E1F33"/>
    <w:rsid w:val="003E1FC1"/>
    <w:rsid w:val="003E2095"/>
    <w:rsid w:val="003E20D6"/>
    <w:rsid w:val="003E2144"/>
    <w:rsid w:val="003E21C9"/>
    <w:rsid w:val="003E21EA"/>
    <w:rsid w:val="003E2239"/>
    <w:rsid w:val="003E2282"/>
    <w:rsid w:val="003E2346"/>
    <w:rsid w:val="003E26DD"/>
    <w:rsid w:val="003E2707"/>
    <w:rsid w:val="003E270A"/>
    <w:rsid w:val="003E2791"/>
    <w:rsid w:val="003E2808"/>
    <w:rsid w:val="003E29CB"/>
    <w:rsid w:val="003E2A58"/>
    <w:rsid w:val="003E2A98"/>
    <w:rsid w:val="003E2B4C"/>
    <w:rsid w:val="003E2F00"/>
    <w:rsid w:val="003E2F73"/>
    <w:rsid w:val="003E3095"/>
    <w:rsid w:val="003E30DE"/>
    <w:rsid w:val="003E31D0"/>
    <w:rsid w:val="003E322D"/>
    <w:rsid w:val="003E3436"/>
    <w:rsid w:val="003E3518"/>
    <w:rsid w:val="003E35CB"/>
    <w:rsid w:val="003E3709"/>
    <w:rsid w:val="003E382F"/>
    <w:rsid w:val="003E39E9"/>
    <w:rsid w:val="003E3B2E"/>
    <w:rsid w:val="003E3C0D"/>
    <w:rsid w:val="003E3D52"/>
    <w:rsid w:val="003E3DAA"/>
    <w:rsid w:val="003E3ECE"/>
    <w:rsid w:val="003E3F4A"/>
    <w:rsid w:val="003E3FFD"/>
    <w:rsid w:val="003E40A7"/>
    <w:rsid w:val="003E40B5"/>
    <w:rsid w:val="003E40D9"/>
    <w:rsid w:val="003E412E"/>
    <w:rsid w:val="003E4479"/>
    <w:rsid w:val="003E45C2"/>
    <w:rsid w:val="003E46C3"/>
    <w:rsid w:val="003E4742"/>
    <w:rsid w:val="003E4776"/>
    <w:rsid w:val="003E477B"/>
    <w:rsid w:val="003E4794"/>
    <w:rsid w:val="003E4B2E"/>
    <w:rsid w:val="003E4D87"/>
    <w:rsid w:val="003E4DE5"/>
    <w:rsid w:val="003E4FA6"/>
    <w:rsid w:val="003E4FF3"/>
    <w:rsid w:val="003E5079"/>
    <w:rsid w:val="003E50DD"/>
    <w:rsid w:val="003E514C"/>
    <w:rsid w:val="003E51B8"/>
    <w:rsid w:val="003E52AF"/>
    <w:rsid w:val="003E534B"/>
    <w:rsid w:val="003E53BF"/>
    <w:rsid w:val="003E546B"/>
    <w:rsid w:val="003E54BD"/>
    <w:rsid w:val="003E56C1"/>
    <w:rsid w:val="003E57B4"/>
    <w:rsid w:val="003E5836"/>
    <w:rsid w:val="003E58E4"/>
    <w:rsid w:val="003E5945"/>
    <w:rsid w:val="003E5B28"/>
    <w:rsid w:val="003E5CBC"/>
    <w:rsid w:val="003E5E70"/>
    <w:rsid w:val="003E5F2E"/>
    <w:rsid w:val="003E5F38"/>
    <w:rsid w:val="003E5FAD"/>
    <w:rsid w:val="003E5FEB"/>
    <w:rsid w:val="003E5FF9"/>
    <w:rsid w:val="003E611E"/>
    <w:rsid w:val="003E61E1"/>
    <w:rsid w:val="003E6231"/>
    <w:rsid w:val="003E6263"/>
    <w:rsid w:val="003E62F0"/>
    <w:rsid w:val="003E6326"/>
    <w:rsid w:val="003E6370"/>
    <w:rsid w:val="003E63A8"/>
    <w:rsid w:val="003E6451"/>
    <w:rsid w:val="003E64C1"/>
    <w:rsid w:val="003E65D7"/>
    <w:rsid w:val="003E67CD"/>
    <w:rsid w:val="003E6883"/>
    <w:rsid w:val="003E6895"/>
    <w:rsid w:val="003E697C"/>
    <w:rsid w:val="003E69C4"/>
    <w:rsid w:val="003E69FF"/>
    <w:rsid w:val="003E6B39"/>
    <w:rsid w:val="003E6B59"/>
    <w:rsid w:val="003E6C31"/>
    <w:rsid w:val="003E6C34"/>
    <w:rsid w:val="003E6CB0"/>
    <w:rsid w:val="003E6F68"/>
    <w:rsid w:val="003E6F77"/>
    <w:rsid w:val="003E70B3"/>
    <w:rsid w:val="003E71A0"/>
    <w:rsid w:val="003E72C5"/>
    <w:rsid w:val="003E73B9"/>
    <w:rsid w:val="003E763B"/>
    <w:rsid w:val="003E7782"/>
    <w:rsid w:val="003E77F8"/>
    <w:rsid w:val="003E78E5"/>
    <w:rsid w:val="003E79DC"/>
    <w:rsid w:val="003E7B96"/>
    <w:rsid w:val="003E7C1F"/>
    <w:rsid w:val="003E7EFC"/>
    <w:rsid w:val="003F0107"/>
    <w:rsid w:val="003F0239"/>
    <w:rsid w:val="003F035A"/>
    <w:rsid w:val="003F04A8"/>
    <w:rsid w:val="003F04F1"/>
    <w:rsid w:val="003F0624"/>
    <w:rsid w:val="003F09DE"/>
    <w:rsid w:val="003F09EE"/>
    <w:rsid w:val="003F0B3B"/>
    <w:rsid w:val="003F0BB1"/>
    <w:rsid w:val="003F0C42"/>
    <w:rsid w:val="003F0D08"/>
    <w:rsid w:val="003F0D66"/>
    <w:rsid w:val="003F0DB0"/>
    <w:rsid w:val="003F0E15"/>
    <w:rsid w:val="003F0F59"/>
    <w:rsid w:val="003F10DA"/>
    <w:rsid w:val="003F11DE"/>
    <w:rsid w:val="003F1406"/>
    <w:rsid w:val="003F142F"/>
    <w:rsid w:val="003F15A7"/>
    <w:rsid w:val="003F15C8"/>
    <w:rsid w:val="003F17B3"/>
    <w:rsid w:val="003F18ED"/>
    <w:rsid w:val="003F1CA9"/>
    <w:rsid w:val="003F1D44"/>
    <w:rsid w:val="003F1E93"/>
    <w:rsid w:val="003F1F96"/>
    <w:rsid w:val="003F1FBA"/>
    <w:rsid w:val="003F1FDF"/>
    <w:rsid w:val="003F2102"/>
    <w:rsid w:val="003F21F4"/>
    <w:rsid w:val="003F245C"/>
    <w:rsid w:val="003F24E1"/>
    <w:rsid w:val="003F255E"/>
    <w:rsid w:val="003F2618"/>
    <w:rsid w:val="003F271F"/>
    <w:rsid w:val="003F2742"/>
    <w:rsid w:val="003F27DD"/>
    <w:rsid w:val="003F2856"/>
    <w:rsid w:val="003F2867"/>
    <w:rsid w:val="003F28B5"/>
    <w:rsid w:val="003F29BE"/>
    <w:rsid w:val="003F2B3A"/>
    <w:rsid w:val="003F2C71"/>
    <w:rsid w:val="003F2EF5"/>
    <w:rsid w:val="003F2FD7"/>
    <w:rsid w:val="003F311E"/>
    <w:rsid w:val="003F3198"/>
    <w:rsid w:val="003F319C"/>
    <w:rsid w:val="003F31DB"/>
    <w:rsid w:val="003F339B"/>
    <w:rsid w:val="003F33C6"/>
    <w:rsid w:val="003F3493"/>
    <w:rsid w:val="003F35AA"/>
    <w:rsid w:val="003F36E3"/>
    <w:rsid w:val="003F36E8"/>
    <w:rsid w:val="003F3900"/>
    <w:rsid w:val="003F3995"/>
    <w:rsid w:val="003F39B9"/>
    <w:rsid w:val="003F39BF"/>
    <w:rsid w:val="003F3AE8"/>
    <w:rsid w:val="003F3BA5"/>
    <w:rsid w:val="003F3C42"/>
    <w:rsid w:val="003F3DAB"/>
    <w:rsid w:val="003F3E84"/>
    <w:rsid w:val="003F3E96"/>
    <w:rsid w:val="003F3EAA"/>
    <w:rsid w:val="003F3F65"/>
    <w:rsid w:val="003F3FB3"/>
    <w:rsid w:val="003F4215"/>
    <w:rsid w:val="003F44C4"/>
    <w:rsid w:val="003F465A"/>
    <w:rsid w:val="003F4A8A"/>
    <w:rsid w:val="003F4ABB"/>
    <w:rsid w:val="003F4AC5"/>
    <w:rsid w:val="003F4B7A"/>
    <w:rsid w:val="003F4C17"/>
    <w:rsid w:val="003F4F50"/>
    <w:rsid w:val="003F5069"/>
    <w:rsid w:val="003F510D"/>
    <w:rsid w:val="003F51BF"/>
    <w:rsid w:val="003F5280"/>
    <w:rsid w:val="003F528B"/>
    <w:rsid w:val="003F52AA"/>
    <w:rsid w:val="003F5463"/>
    <w:rsid w:val="003F5620"/>
    <w:rsid w:val="003F5844"/>
    <w:rsid w:val="003F58C2"/>
    <w:rsid w:val="003F5980"/>
    <w:rsid w:val="003F5981"/>
    <w:rsid w:val="003F59FA"/>
    <w:rsid w:val="003F5A19"/>
    <w:rsid w:val="003F5ABC"/>
    <w:rsid w:val="003F5B1B"/>
    <w:rsid w:val="003F5B69"/>
    <w:rsid w:val="003F5BD1"/>
    <w:rsid w:val="003F5BD2"/>
    <w:rsid w:val="003F5C69"/>
    <w:rsid w:val="003F5F7D"/>
    <w:rsid w:val="003F6276"/>
    <w:rsid w:val="003F6319"/>
    <w:rsid w:val="003F6448"/>
    <w:rsid w:val="003F6524"/>
    <w:rsid w:val="003F6584"/>
    <w:rsid w:val="003F6719"/>
    <w:rsid w:val="003F6869"/>
    <w:rsid w:val="003F6928"/>
    <w:rsid w:val="003F6AA4"/>
    <w:rsid w:val="003F6C38"/>
    <w:rsid w:val="003F6DD2"/>
    <w:rsid w:val="003F6E0B"/>
    <w:rsid w:val="003F6ECF"/>
    <w:rsid w:val="003F6F07"/>
    <w:rsid w:val="003F6FC9"/>
    <w:rsid w:val="003F7186"/>
    <w:rsid w:val="003F7196"/>
    <w:rsid w:val="003F7332"/>
    <w:rsid w:val="003F74AF"/>
    <w:rsid w:val="003F7564"/>
    <w:rsid w:val="003F756E"/>
    <w:rsid w:val="003F761F"/>
    <w:rsid w:val="003F765C"/>
    <w:rsid w:val="003F7675"/>
    <w:rsid w:val="003F780F"/>
    <w:rsid w:val="003F7890"/>
    <w:rsid w:val="003F794E"/>
    <w:rsid w:val="003F799D"/>
    <w:rsid w:val="003F7A9C"/>
    <w:rsid w:val="003F7E17"/>
    <w:rsid w:val="003F7F3C"/>
    <w:rsid w:val="003F7FB9"/>
    <w:rsid w:val="00400260"/>
    <w:rsid w:val="00400307"/>
    <w:rsid w:val="00400395"/>
    <w:rsid w:val="00400462"/>
    <w:rsid w:val="00400506"/>
    <w:rsid w:val="004005F3"/>
    <w:rsid w:val="0040066E"/>
    <w:rsid w:val="00400696"/>
    <w:rsid w:val="00400788"/>
    <w:rsid w:val="0040078E"/>
    <w:rsid w:val="0040084D"/>
    <w:rsid w:val="004008BA"/>
    <w:rsid w:val="004008C0"/>
    <w:rsid w:val="00400928"/>
    <w:rsid w:val="004009E0"/>
    <w:rsid w:val="00400B44"/>
    <w:rsid w:val="00400BC3"/>
    <w:rsid w:val="00400CA1"/>
    <w:rsid w:val="00400DF8"/>
    <w:rsid w:val="00400EBF"/>
    <w:rsid w:val="0040107D"/>
    <w:rsid w:val="00401082"/>
    <w:rsid w:val="00401088"/>
    <w:rsid w:val="004012B3"/>
    <w:rsid w:val="0040148A"/>
    <w:rsid w:val="00401749"/>
    <w:rsid w:val="00401753"/>
    <w:rsid w:val="004018DE"/>
    <w:rsid w:val="004018F7"/>
    <w:rsid w:val="004019B5"/>
    <w:rsid w:val="00401A27"/>
    <w:rsid w:val="00401B4E"/>
    <w:rsid w:val="00401C83"/>
    <w:rsid w:val="00401D35"/>
    <w:rsid w:val="00401EEE"/>
    <w:rsid w:val="00401FA6"/>
    <w:rsid w:val="004020B7"/>
    <w:rsid w:val="004020FB"/>
    <w:rsid w:val="00402125"/>
    <w:rsid w:val="004021B9"/>
    <w:rsid w:val="0040234A"/>
    <w:rsid w:val="0040235D"/>
    <w:rsid w:val="0040246B"/>
    <w:rsid w:val="0040248C"/>
    <w:rsid w:val="00402558"/>
    <w:rsid w:val="004025DA"/>
    <w:rsid w:val="0040275F"/>
    <w:rsid w:val="00402777"/>
    <w:rsid w:val="0040277C"/>
    <w:rsid w:val="004028AD"/>
    <w:rsid w:val="00402960"/>
    <w:rsid w:val="00402980"/>
    <w:rsid w:val="004029A5"/>
    <w:rsid w:val="00402B4E"/>
    <w:rsid w:val="00402BC1"/>
    <w:rsid w:val="00402CFA"/>
    <w:rsid w:val="00402EBB"/>
    <w:rsid w:val="00402F48"/>
    <w:rsid w:val="00402F90"/>
    <w:rsid w:val="00403011"/>
    <w:rsid w:val="00403093"/>
    <w:rsid w:val="004032D7"/>
    <w:rsid w:val="00403344"/>
    <w:rsid w:val="004033A2"/>
    <w:rsid w:val="004034E2"/>
    <w:rsid w:val="004035FC"/>
    <w:rsid w:val="00403667"/>
    <w:rsid w:val="0040373A"/>
    <w:rsid w:val="00403782"/>
    <w:rsid w:val="00403A45"/>
    <w:rsid w:val="00403C33"/>
    <w:rsid w:val="00403D29"/>
    <w:rsid w:val="00403E13"/>
    <w:rsid w:val="00403E86"/>
    <w:rsid w:val="00403EAA"/>
    <w:rsid w:val="00403FC0"/>
    <w:rsid w:val="004043A4"/>
    <w:rsid w:val="004043C9"/>
    <w:rsid w:val="004044BF"/>
    <w:rsid w:val="004046FA"/>
    <w:rsid w:val="0040471E"/>
    <w:rsid w:val="004047E2"/>
    <w:rsid w:val="0040484E"/>
    <w:rsid w:val="004048D2"/>
    <w:rsid w:val="00404978"/>
    <w:rsid w:val="0040498E"/>
    <w:rsid w:val="00404A7A"/>
    <w:rsid w:val="00404BC4"/>
    <w:rsid w:val="00404C21"/>
    <w:rsid w:val="00404CCC"/>
    <w:rsid w:val="00404DAC"/>
    <w:rsid w:val="00404DCE"/>
    <w:rsid w:val="00404E1E"/>
    <w:rsid w:val="00404E7E"/>
    <w:rsid w:val="00404F06"/>
    <w:rsid w:val="00404FC4"/>
    <w:rsid w:val="00405090"/>
    <w:rsid w:val="004051E0"/>
    <w:rsid w:val="004051E7"/>
    <w:rsid w:val="004052A7"/>
    <w:rsid w:val="00405392"/>
    <w:rsid w:val="004054E0"/>
    <w:rsid w:val="00405638"/>
    <w:rsid w:val="00405644"/>
    <w:rsid w:val="00405A54"/>
    <w:rsid w:val="00405ADF"/>
    <w:rsid w:val="00405F48"/>
    <w:rsid w:val="00405F8A"/>
    <w:rsid w:val="004060DD"/>
    <w:rsid w:val="00406109"/>
    <w:rsid w:val="004061F4"/>
    <w:rsid w:val="00406359"/>
    <w:rsid w:val="0040641A"/>
    <w:rsid w:val="004065DD"/>
    <w:rsid w:val="00406723"/>
    <w:rsid w:val="00406793"/>
    <w:rsid w:val="004069B0"/>
    <w:rsid w:val="00406C6A"/>
    <w:rsid w:val="00406DFE"/>
    <w:rsid w:val="00407167"/>
    <w:rsid w:val="004072E1"/>
    <w:rsid w:val="00407414"/>
    <w:rsid w:val="004074BC"/>
    <w:rsid w:val="0040762B"/>
    <w:rsid w:val="00407711"/>
    <w:rsid w:val="00407716"/>
    <w:rsid w:val="0040772F"/>
    <w:rsid w:val="0040789A"/>
    <w:rsid w:val="00407918"/>
    <w:rsid w:val="00407920"/>
    <w:rsid w:val="0040797D"/>
    <w:rsid w:val="00407B7D"/>
    <w:rsid w:val="00407BC5"/>
    <w:rsid w:val="00407CA0"/>
    <w:rsid w:val="00407D1F"/>
    <w:rsid w:val="00407D82"/>
    <w:rsid w:val="00407EA1"/>
    <w:rsid w:val="00407F22"/>
    <w:rsid w:val="00407FB7"/>
    <w:rsid w:val="0041001B"/>
    <w:rsid w:val="00410078"/>
    <w:rsid w:val="004100EC"/>
    <w:rsid w:val="004101D5"/>
    <w:rsid w:val="0041020C"/>
    <w:rsid w:val="004103C4"/>
    <w:rsid w:val="004103F1"/>
    <w:rsid w:val="0041048F"/>
    <w:rsid w:val="004104DD"/>
    <w:rsid w:val="00410560"/>
    <w:rsid w:val="00410649"/>
    <w:rsid w:val="004106AF"/>
    <w:rsid w:val="00410819"/>
    <w:rsid w:val="004109BE"/>
    <w:rsid w:val="00410A58"/>
    <w:rsid w:val="00410B37"/>
    <w:rsid w:val="00410B80"/>
    <w:rsid w:val="00410BF6"/>
    <w:rsid w:val="00410D56"/>
    <w:rsid w:val="00410DA1"/>
    <w:rsid w:val="00410ECA"/>
    <w:rsid w:val="00410FDC"/>
    <w:rsid w:val="00410FE0"/>
    <w:rsid w:val="0041101F"/>
    <w:rsid w:val="00411081"/>
    <w:rsid w:val="0041108B"/>
    <w:rsid w:val="00411141"/>
    <w:rsid w:val="004111A6"/>
    <w:rsid w:val="004111FC"/>
    <w:rsid w:val="00411365"/>
    <w:rsid w:val="0041141C"/>
    <w:rsid w:val="0041150E"/>
    <w:rsid w:val="00411818"/>
    <w:rsid w:val="0041199E"/>
    <w:rsid w:val="00411A91"/>
    <w:rsid w:val="00411A95"/>
    <w:rsid w:val="00411B79"/>
    <w:rsid w:val="00411C36"/>
    <w:rsid w:val="00411CC8"/>
    <w:rsid w:val="00411E46"/>
    <w:rsid w:val="00411F2C"/>
    <w:rsid w:val="00411F72"/>
    <w:rsid w:val="00412064"/>
    <w:rsid w:val="004123BC"/>
    <w:rsid w:val="004123C0"/>
    <w:rsid w:val="00412410"/>
    <w:rsid w:val="00412451"/>
    <w:rsid w:val="004124AB"/>
    <w:rsid w:val="004125A1"/>
    <w:rsid w:val="0041271C"/>
    <w:rsid w:val="004127C7"/>
    <w:rsid w:val="00412960"/>
    <w:rsid w:val="00412A05"/>
    <w:rsid w:val="00412A30"/>
    <w:rsid w:val="00412B03"/>
    <w:rsid w:val="00412B64"/>
    <w:rsid w:val="00412C6F"/>
    <w:rsid w:val="00412DA4"/>
    <w:rsid w:val="00412E66"/>
    <w:rsid w:val="00413016"/>
    <w:rsid w:val="00413061"/>
    <w:rsid w:val="004130CF"/>
    <w:rsid w:val="004130E0"/>
    <w:rsid w:val="004131A2"/>
    <w:rsid w:val="004131A3"/>
    <w:rsid w:val="00413271"/>
    <w:rsid w:val="0041327F"/>
    <w:rsid w:val="004132BB"/>
    <w:rsid w:val="00413317"/>
    <w:rsid w:val="004133EE"/>
    <w:rsid w:val="00413637"/>
    <w:rsid w:val="0041364A"/>
    <w:rsid w:val="004136B5"/>
    <w:rsid w:val="004137F1"/>
    <w:rsid w:val="00413817"/>
    <w:rsid w:val="004138DF"/>
    <w:rsid w:val="00413A9C"/>
    <w:rsid w:val="00413B07"/>
    <w:rsid w:val="00413C2A"/>
    <w:rsid w:val="00413C5F"/>
    <w:rsid w:val="00413C8B"/>
    <w:rsid w:val="00413D6F"/>
    <w:rsid w:val="00413F13"/>
    <w:rsid w:val="00413FE5"/>
    <w:rsid w:val="0041400A"/>
    <w:rsid w:val="004140E0"/>
    <w:rsid w:val="00414102"/>
    <w:rsid w:val="00414207"/>
    <w:rsid w:val="0041427B"/>
    <w:rsid w:val="00414282"/>
    <w:rsid w:val="004143EE"/>
    <w:rsid w:val="004144BD"/>
    <w:rsid w:val="00414596"/>
    <w:rsid w:val="004146C2"/>
    <w:rsid w:val="00414712"/>
    <w:rsid w:val="0041477E"/>
    <w:rsid w:val="00414800"/>
    <w:rsid w:val="0041484D"/>
    <w:rsid w:val="00414877"/>
    <w:rsid w:val="004148C8"/>
    <w:rsid w:val="00414BFA"/>
    <w:rsid w:val="00414C89"/>
    <w:rsid w:val="00414DA3"/>
    <w:rsid w:val="00414F25"/>
    <w:rsid w:val="00414F3D"/>
    <w:rsid w:val="00415197"/>
    <w:rsid w:val="0041523F"/>
    <w:rsid w:val="004153E9"/>
    <w:rsid w:val="0041541B"/>
    <w:rsid w:val="0041544D"/>
    <w:rsid w:val="004154CB"/>
    <w:rsid w:val="00415710"/>
    <w:rsid w:val="0041571A"/>
    <w:rsid w:val="00415722"/>
    <w:rsid w:val="00415727"/>
    <w:rsid w:val="0041573C"/>
    <w:rsid w:val="004157DB"/>
    <w:rsid w:val="004158D1"/>
    <w:rsid w:val="00415948"/>
    <w:rsid w:val="00415ABF"/>
    <w:rsid w:val="00415B46"/>
    <w:rsid w:val="00415C2D"/>
    <w:rsid w:val="00415CAC"/>
    <w:rsid w:val="00415CE0"/>
    <w:rsid w:val="00415DFE"/>
    <w:rsid w:val="00415E13"/>
    <w:rsid w:val="00415F19"/>
    <w:rsid w:val="00416066"/>
    <w:rsid w:val="00416093"/>
    <w:rsid w:val="0041614A"/>
    <w:rsid w:val="00416234"/>
    <w:rsid w:val="00416266"/>
    <w:rsid w:val="004163D7"/>
    <w:rsid w:val="004163E8"/>
    <w:rsid w:val="00416440"/>
    <w:rsid w:val="0041646D"/>
    <w:rsid w:val="004164A5"/>
    <w:rsid w:val="004164FF"/>
    <w:rsid w:val="00416762"/>
    <w:rsid w:val="00416888"/>
    <w:rsid w:val="004169CA"/>
    <w:rsid w:val="00416A74"/>
    <w:rsid w:val="00416BED"/>
    <w:rsid w:val="00416C39"/>
    <w:rsid w:val="00416CCC"/>
    <w:rsid w:val="00416D96"/>
    <w:rsid w:val="00416E55"/>
    <w:rsid w:val="00416EC6"/>
    <w:rsid w:val="00416F71"/>
    <w:rsid w:val="004172A1"/>
    <w:rsid w:val="004175AA"/>
    <w:rsid w:val="004175D4"/>
    <w:rsid w:val="004175F6"/>
    <w:rsid w:val="00417611"/>
    <w:rsid w:val="0041766B"/>
    <w:rsid w:val="004176A0"/>
    <w:rsid w:val="004176AB"/>
    <w:rsid w:val="004176B1"/>
    <w:rsid w:val="00417726"/>
    <w:rsid w:val="0041778D"/>
    <w:rsid w:val="00417892"/>
    <w:rsid w:val="004179E2"/>
    <w:rsid w:val="00417A79"/>
    <w:rsid w:val="00417BFB"/>
    <w:rsid w:val="00417C4B"/>
    <w:rsid w:val="00417C6B"/>
    <w:rsid w:val="00417F03"/>
    <w:rsid w:val="00420028"/>
    <w:rsid w:val="0042008D"/>
    <w:rsid w:val="00420098"/>
    <w:rsid w:val="004201B7"/>
    <w:rsid w:val="004201C2"/>
    <w:rsid w:val="00420273"/>
    <w:rsid w:val="004203F7"/>
    <w:rsid w:val="00420458"/>
    <w:rsid w:val="004204A8"/>
    <w:rsid w:val="004204B3"/>
    <w:rsid w:val="0042052A"/>
    <w:rsid w:val="00420660"/>
    <w:rsid w:val="0042099D"/>
    <w:rsid w:val="00420AB5"/>
    <w:rsid w:val="00420BD2"/>
    <w:rsid w:val="00420C21"/>
    <w:rsid w:val="00420C5D"/>
    <w:rsid w:val="00420CB0"/>
    <w:rsid w:val="00420CF1"/>
    <w:rsid w:val="00420CF6"/>
    <w:rsid w:val="00420D21"/>
    <w:rsid w:val="00420F08"/>
    <w:rsid w:val="00420F3E"/>
    <w:rsid w:val="004212AC"/>
    <w:rsid w:val="00421358"/>
    <w:rsid w:val="00421454"/>
    <w:rsid w:val="00421556"/>
    <w:rsid w:val="0042175C"/>
    <w:rsid w:val="0042186C"/>
    <w:rsid w:val="00421955"/>
    <w:rsid w:val="00421B62"/>
    <w:rsid w:val="00421BAD"/>
    <w:rsid w:val="00421BC6"/>
    <w:rsid w:val="00421BD2"/>
    <w:rsid w:val="00421C17"/>
    <w:rsid w:val="00421CB6"/>
    <w:rsid w:val="00421DB3"/>
    <w:rsid w:val="00421E5A"/>
    <w:rsid w:val="00421E90"/>
    <w:rsid w:val="00422039"/>
    <w:rsid w:val="004220CA"/>
    <w:rsid w:val="00422111"/>
    <w:rsid w:val="0042228D"/>
    <w:rsid w:val="00422378"/>
    <w:rsid w:val="0042244F"/>
    <w:rsid w:val="0042245D"/>
    <w:rsid w:val="0042249F"/>
    <w:rsid w:val="004224CB"/>
    <w:rsid w:val="0042260F"/>
    <w:rsid w:val="00422620"/>
    <w:rsid w:val="00422834"/>
    <w:rsid w:val="00422BF6"/>
    <w:rsid w:val="00422E4F"/>
    <w:rsid w:val="00422F47"/>
    <w:rsid w:val="0042304F"/>
    <w:rsid w:val="004230F0"/>
    <w:rsid w:val="00423101"/>
    <w:rsid w:val="00423176"/>
    <w:rsid w:val="004233A0"/>
    <w:rsid w:val="004236AD"/>
    <w:rsid w:val="004238DD"/>
    <w:rsid w:val="00423976"/>
    <w:rsid w:val="004239AF"/>
    <w:rsid w:val="00423A70"/>
    <w:rsid w:val="00423AB4"/>
    <w:rsid w:val="00423B50"/>
    <w:rsid w:val="00423B7D"/>
    <w:rsid w:val="00423CB4"/>
    <w:rsid w:val="00423D0E"/>
    <w:rsid w:val="00423D54"/>
    <w:rsid w:val="00423E04"/>
    <w:rsid w:val="00423EAE"/>
    <w:rsid w:val="00423EC7"/>
    <w:rsid w:val="00423F08"/>
    <w:rsid w:val="00423F32"/>
    <w:rsid w:val="004240B9"/>
    <w:rsid w:val="004240F0"/>
    <w:rsid w:val="0042422F"/>
    <w:rsid w:val="0042424F"/>
    <w:rsid w:val="0042426B"/>
    <w:rsid w:val="004243BF"/>
    <w:rsid w:val="004244AB"/>
    <w:rsid w:val="0042452A"/>
    <w:rsid w:val="00424587"/>
    <w:rsid w:val="004247A7"/>
    <w:rsid w:val="0042482A"/>
    <w:rsid w:val="00424954"/>
    <w:rsid w:val="004249D5"/>
    <w:rsid w:val="00424B64"/>
    <w:rsid w:val="00424BDC"/>
    <w:rsid w:val="00424D71"/>
    <w:rsid w:val="00424E3F"/>
    <w:rsid w:val="004250BC"/>
    <w:rsid w:val="0042514C"/>
    <w:rsid w:val="0042518A"/>
    <w:rsid w:val="00425213"/>
    <w:rsid w:val="00425280"/>
    <w:rsid w:val="00425503"/>
    <w:rsid w:val="004255F6"/>
    <w:rsid w:val="0042579E"/>
    <w:rsid w:val="004258B2"/>
    <w:rsid w:val="004258F5"/>
    <w:rsid w:val="00425989"/>
    <w:rsid w:val="00425D10"/>
    <w:rsid w:val="00425DBC"/>
    <w:rsid w:val="00425E2D"/>
    <w:rsid w:val="00425E99"/>
    <w:rsid w:val="00425F18"/>
    <w:rsid w:val="00425F27"/>
    <w:rsid w:val="00426023"/>
    <w:rsid w:val="004260F0"/>
    <w:rsid w:val="00426114"/>
    <w:rsid w:val="004261DC"/>
    <w:rsid w:val="004262D0"/>
    <w:rsid w:val="0042646E"/>
    <w:rsid w:val="004265FA"/>
    <w:rsid w:val="00426639"/>
    <w:rsid w:val="0042668E"/>
    <w:rsid w:val="0042672F"/>
    <w:rsid w:val="00426765"/>
    <w:rsid w:val="00426789"/>
    <w:rsid w:val="004267BE"/>
    <w:rsid w:val="004268BB"/>
    <w:rsid w:val="0042691B"/>
    <w:rsid w:val="00426A26"/>
    <w:rsid w:val="00426A33"/>
    <w:rsid w:val="00426ADB"/>
    <w:rsid w:val="00426B8B"/>
    <w:rsid w:val="00426CC7"/>
    <w:rsid w:val="00426D18"/>
    <w:rsid w:val="00426D91"/>
    <w:rsid w:val="00426DE3"/>
    <w:rsid w:val="00426E08"/>
    <w:rsid w:val="00426F2C"/>
    <w:rsid w:val="00426FF8"/>
    <w:rsid w:val="00427154"/>
    <w:rsid w:val="0042718B"/>
    <w:rsid w:val="00427199"/>
    <w:rsid w:val="004271CC"/>
    <w:rsid w:val="0042730B"/>
    <w:rsid w:val="0042756D"/>
    <w:rsid w:val="004276A0"/>
    <w:rsid w:val="00427863"/>
    <w:rsid w:val="00427AA5"/>
    <w:rsid w:val="00427AFC"/>
    <w:rsid w:val="00427B19"/>
    <w:rsid w:val="00427BB6"/>
    <w:rsid w:val="00427BC4"/>
    <w:rsid w:val="00427C36"/>
    <w:rsid w:val="00427C69"/>
    <w:rsid w:val="00427CAA"/>
    <w:rsid w:val="00427D65"/>
    <w:rsid w:val="00427E40"/>
    <w:rsid w:val="00427E56"/>
    <w:rsid w:val="00427EDB"/>
    <w:rsid w:val="00427F3D"/>
    <w:rsid w:val="00430004"/>
    <w:rsid w:val="004300B9"/>
    <w:rsid w:val="004300EF"/>
    <w:rsid w:val="00430137"/>
    <w:rsid w:val="00430142"/>
    <w:rsid w:val="004301D1"/>
    <w:rsid w:val="0043023A"/>
    <w:rsid w:val="004303B9"/>
    <w:rsid w:val="004306EB"/>
    <w:rsid w:val="0043071A"/>
    <w:rsid w:val="00430760"/>
    <w:rsid w:val="004307AB"/>
    <w:rsid w:val="004307D0"/>
    <w:rsid w:val="00430859"/>
    <w:rsid w:val="0043087C"/>
    <w:rsid w:val="00430961"/>
    <w:rsid w:val="004309C7"/>
    <w:rsid w:val="004309CF"/>
    <w:rsid w:val="00430A21"/>
    <w:rsid w:val="00430B14"/>
    <w:rsid w:val="00430B2A"/>
    <w:rsid w:val="00430BF5"/>
    <w:rsid w:val="00430D55"/>
    <w:rsid w:val="00430F7E"/>
    <w:rsid w:val="00431057"/>
    <w:rsid w:val="00431179"/>
    <w:rsid w:val="00431447"/>
    <w:rsid w:val="00431557"/>
    <w:rsid w:val="00431590"/>
    <w:rsid w:val="00431691"/>
    <w:rsid w:val="004316B8"/>
    <w:rsid w:val="004316C4"/>
    <w:rsid w:val="00431778"/>
    <w:rsid w:val="004317BE"/>
    <w:rsid w:val="00431807"/>
    <w:rsid w:val="0043183D"/>
    <w:rsid w:val="00431969"/>
    <w:rsid w:val="00431A1C"/>
    <w:rsid w:val="00431A2E"/>
    <w:rsid w:val="00431B2E"/>
    <w:rsid w:val="00431B43"/>
    <w:rsid w:val="00431B69"/>
    <w:rsid w:val="00431B78"/>
    <w:rsid w:val="00431D0D"/>
    <w:rsid w:val="00431D97"/>
    <w:rsid w:val="00431E4B"/>
    <w:rsid w:val="00431F51"/>
    <w:rsid w:val="00431FAF"/>
    <w:rsid w:val="00432158"/>
    <w:rsid w:val="00432376"/>
    <w:rsid w:val="00432421"/>
    <w:rsid w:val="00432487"/>
    <w:rsid w:val="00432855"/>
    <w:rsid w:val="0043289F"/>
    <w:rsid w:val="00432A22"/>
    <w:rsid w:val="00432AB4"/>
    <w:rsid w:val="00432AE8"/>
    <w:rsid w:val="00432BF8"/>
    <w:rsid w:val="00432D3F"/>
    <w:rsid w:val="00432F2F"/>
    <w:rsid w:val="00432FA6"/>
    <w:rsid w:val="004330B2"/>
    <w:rsid w:val="004330D9"/>
    <w:rsid w:val="004332B3"/>
    <w:rsid w:val="00433387"/>
    <w:rsid w:val="00433503"/>
    <w:rsid w:val="0043364D"/>
    <w:rsid w:val="004336B1"/>
    <w:rsid w:val="0043376D"/>
    <w:rsid w:val="00433775"/>
    <w:rsid w:val="0043380F"/>
    <w:rsid w:val="00433840"/>
    <w:rsid w:val="00433953"/>
    <w:rsid w:val="004339CF"/>
    <w:rsid w:val="00433C91"/>
    <w:rsid w:val="00433C94"/>
    <w:rsid w:val="00433D0D"/>
    <w:rsid w:val="00433E2A"/>
    <w:rsid w:val="00433E85"/>
    <w:rsid w:val="00433FA9"/>
    <w:rsid w:val="0043406B"/>
    <w:rsid w:val="0043414B"/>
    <w:rsid w:val="00434156"/>
    <w:rsid w:val="004342A9"/>
    <w:rsid w:val="0043441E"/>
    <w:rsid w:val="004344B7"/>
    <w:rsid w:val="00434607"/>
    <w:rsid w:val="0043465F"/>
    <w:rsid w:val="00434688"/>
    <w:rsid w:val="00434703"/>
    <w:rsid w:val="004347E7"/>
    <w:rsid w:val="00434B0F"/>
    <w:rsid w:val="00434BE5"/>
    <w:rsid w:val="00434C61"/>
    <w:rsid w:val="00434CAE"/>
    <w:rsid w:val="00434DAB"/>
    <w:rsid w:val="00434E3C"/>
    <w:rsid w:val="00434F05"/>
    <w:rsid w:val="00434FA7"/>
    <w:rsid w:val="00435067"/>
    <w:rsid w:val="00435112"/>
    <w:rsid w:val="004352E6"/>
    <w:rsid w:val="00435569"/>
    <w:rsid w:val="004355ED"/>
    <w:rsid w:val="00435815"/>
    <w:rsid w:val="004359B4"/>
    <w:rsid w:val="00435A30"/>
    <w:rsid w:val="00435B21"/>
    <w:rsid w:val="00435BAF"/>
    <w:rsid w:val="00435BE5"/>
    <w:rsid w:val="00435C14"/>
    <w:rsid w:val="00435C34"/>
    <w:rsid w:val="00435E09"/>
    <w:rsid w:val="00435EA5"/>
    <w:rsid w:val="00435FED"/>
    <w:rsid w:val="0043605F"/>
    <w:rsid w:val="0043608D"/>
    <w:rsid w:val="0043611E"/>
    <w:rsid w:val="00436343"/>
    <w:rsid w:val="004364CF"/>
    <w:rsid w:val="004364F6"/>
    <w:rsid w:val="00436528"/>
    <w:rsid w:val="004365E6"/>
    <w:rsid w:val="00436615"/>
    <w:rsid w:val="00436716"/>
    <w:rsid w:val="00436755"/>
    <w:rsid w:val="00436852"/>
    <w:rsid w:val="0043687D"/>
    <w:rsid w:val="00436AE4"/>
    <w:rsid w:val="00436B1E"/>
    <w:rsid w:val="00436C98"/>
    <w:rsid w:val="00436C9C"/>
    <w:rsid w:val="00436ED2"/>
    <w:rsid w:val="004370C6"/>
    <w:rsid w:val="004370D5"/>
    <w:rsid w:val="0043730E"/>
    <w:rsid w:val="00437352"/>
    <w:rsid w:val="004373EF"/>
    <w:rsid w:val="004374D1"/>
    <w:rsid w:val="00437856"/>
    <w:rsid w:val="00437908"/>
    <w:rsid w:val="00437A14"/>
    <w:rsid w:val="00437A74"/>
    <w:rsid w:val="00437AA4"/>
    <w:rsid w:val="00437CE6"/>
    <w:rsid w:val="00437D71"/>
    <w:rsid w:val="00437DAB"/>
    <w:rsid w:val="00437E38"/>
    <w:rsid w:val="004400AE"/>
    <w:rsid w:val="004400D4"/>
    <w:rsid w:val="00440124"/>
    <w:rsid w:val="004401C0"/>
    <w:rsid w:val="004401F1"/>
    <w:rsid w:val="0044039D"/>
    <w:rsid w:val="00440433"/>
    <w:rsid w:val="0044057E"/>
    <w:rsid w:val="0044093C"/>
    <w:rsid w:val="00440D97"/>
    <w:rsid w:val="00441172"/>
    <w:rsid w:val="0044123A"/>
    <w:rsid w:val="004412A1"/>
    <w:rsid w:val="0044134B"/>
    <w:rsid w:val="00441426"/>
    <w:rsid w:val="0044143C"/>
    <w:rsid w:val="0044151B"/>
    <w:rsid w:val="0044153E"/>
    <w:rsid w:val="004415F9"/>
    <w:rsid w:val="0044172E"/>
    <w:rsid w:val="00441799"/>
    <w:rsid w:val="004417B6"/>
    <w:rsid w:val="0044192E"/>
    <w:rsid w:val="00441A96"/>
    <w:rsid w:val="00441CC3"/>
    <w:rsid w:val="00441E63"/>
    <w:rsid w:val="0044209D"/>
    <w:rsid w:val="0044225A"/>
    <w:rsid w:val="004423C4"/>
    <w:rsid w:val="004423F9"/>
    <w:rsid w:val="0044264A"/>
    <w:rsid w:val="00442665"/>
    <w:rsid w:val="0044267B"/>
    <w:rsid w:val="00442699"/>
    <w:rsid w:val="00442754"/>
    <w:rsid w:val="00442782"/>
    <w:rsid w:val="0044282D"/>
    <w:rsid w:val="00442942"/>
    <w:rsid w:val="004429D7"/>
    <w:rsid w:val="00442A90"/>
    <w:rsid w:val="00442AA3"/>
    <w:rsid w:val="00442AB0"/>
    <w:rsid w:val="00442B10"/>
    <w:rsid w:val="00442B28"/>
    <w:rsid w:val="00442B7C"/>
    <w:rsid w:val="00442C3E"/>
    <w:rsid w:val="00442EED"/>
    <w:rsid w:val="004434A8"/>
    <w:rsid w:val="00443698"/>
    <w:rsid w:val="004439B8"/>
    <w:rsid w:val="00443C9E"/>
    <w:rsid w:val="00443D42"/>
    <w:rsid w:val="00443E89"/>
    <w:rsid w:val="00444239"/>
    <w:rsid w:val="004443E0"/>
    <w:rsid w:val="004444AA"/>
    <w:rsid w:val="004445D0"/>
    <w:rsid w:val="00444637"/>
    <w:rsid w:val="00444796"/>
    <w:rsid w:val="00444885"/>
    <w:rsid w:val="004448A4"/>
    <w:rsid w:val="0044497A"/>
    <w:rsid w:val="00444A63"/>
    <w:rsid w:val="00444B5D"/>
    <w:rsid w:val="00444C87"/>
    <w:rsid w:val="00444CCB"/>
    <w:rsid w:val="00444D72"/>
    <w:rsid w:val="00444D7E"/>
    <w:rsid w:val="00444F0E"/>
    <w:rsid w:val="00444F56"/>
    <w:rsid w:val="00444FE2"/>
    <w:rsid w:val="00444FF6"/>
    <w:rsid w:val="004450AE"/>
    <w:rsid w:val="0044517B"/>
    <w:rsid w:val="004451D7"/>
    <w:rsid w:val="00445265"/>
    <w:rsid w:val="00445383"/>
    <w:rsid w:val="0044548E"/>
    <w:rsid w:val="0044567F"/>
    <w:rsid w:val="004456AA"/>
    <w:rsid w:val="004457A0"/>
    <w:rsid w:val="00445803"/>
    <w:rsid w:val="00445959"/>
    <w:rsid w:val="004459C3"/>
    <w:rsid w:val="00445AE4"/>
    <w:rsid w:val="00445BE8"/>
    <w:rsid w:val="00445C71"/>
    <w:rsid w:val="00445C96"/>
    <w:rsid w:val="00445CF8"/>
    <w:rsid w:val="00445D1E"/>
    <w:rsid w:val="00445E7E"/>
    <w:rsid w:val="00445E91"/>
    <w:rsid w:val="00445F82"/>
    <w:rsid w:val="00445F9C"/>
    <w:rsid w:val="00445FBA"/>
    <w:rsid w:val="004460DD"/>
    <w:rsid w:val="00446193"/>
    <w:rsid w:val="004462A1"/>
    <w:rsid w:val="00446340"/>
    <w:rsid w:val="00446374"/>
    <w:rsid w:val="004463EB"/>
    <w:rsid w:val="004467AD"/>
    <w:rsid w:val="004467EC"/>
    <w:rsid w:val="00446993"/>
    <w:rsid w:val="004469C9"/>
    <w:rsid w:val="00446C3A"/>
    <w:rsid w:val="00446CA9"/>
    <w:rsid w:val="00446CE7"/>
    <w:rsid w:val="00446CF4"/>
    <w:rsid w:val="00446D4F"/>
    <w:rsid w:val="00446D9A"/>
    <w:rsid w:val="00446DC6"/>
    <w:rsid w:val="00446EAB"/>
    <w:rsid w:val="00446FD8"/>
    <w:rsid w:val="0044705E"/>
    <w:rsid w:val="004470EA"/>
    <w:rsid w:val="0044715B"/>
    <w:rsid w:val="004472C0"/>
    <w:rsid w:val="004474AB"/>
    <w:rsid w:val="00447518"/>
    <w:rsid w:val="0044751D"/>
    <w:rsid w:val="004475F9"/>
    <w:rsid w:val="0044764B"/>
    <w:rsid w:val="0044765F"/>
    <w:rsid w:val="00447671"/>
    <w:rsid w:val="0044771E"/>
    <w:rsid w:val="0044775C"/>
    <w:rsid w:val="0044778D"/>
    <w:rsid w:val="00447B3C"/>
    <w:rsid w:val="00447CF5"/>
    <w:rsid w:val="00447D35"/>
    <w:rsid w:val="00447DA4"/>
    <w:rsid w:val="00447E52"/>
    <w:rsid w:val="00447ED4"/>
    <w:rsid w:val="00447F6E"/>
    <w:rsid w:val="00447F81"/>
    <w:rsid w:val="00447FC0"/>
    <w:rsid w:val="004501A8"/>
    <w:rsid w:val="0045029D"/>
    <w:rsid w:val="004502D6"/>
    <w:rsid w:val="00450383"/>
    <w:rsid w:val="004503E0"/>
    <w:rsid w:val="00450409"/>
    <w:rsid w:val="004504E8"/>
    <w:rsid w:val="0045050C"/>
    <w:rsid w:val="0045052A"/>
    <w:rsid w:val="004505DA"/>
    <w:rsid w:val="0045062A"/>
    <w:rsid w:val="0045065B"/>
    <w:rsid w:val="00450719"/>
    <w:rsid w:val="00450B0B"/>
    <w:rsid w:val="00450C40"/>
    <w:rsid w:val="00450C7B"/>
    <w:rsid w:val="00450CBB"/>
    <w:rsid w:val="00450CDB"/>
    <w:rsid w:val="00450D4D"/>
    <w:rsid w:val="00450DBB"/>
    <w:rsid w:val="00450EF4"/>
    <w:rsid w:val="00450F12"/>
    <w:rsid w:val="004510C0"/>
    <w:rsid w:val="004511E1"/>
    <w:rsid w:val="004513D5"/>
    <w:rsid w:val="0045140D"/>
    <w:rsid w:val="004514AC"/>
    <w:rsid w:val="004515D4"/>
    <w:rsid w:val="004516A9"/>
    <w:rsid w:val="004517D0"/>
    <w:rsid w:val="004518A7"/>
    <w:rsid w:val="004518D8"/>
    <w:rsid w:val="00451B76"/>
    <w:rsid w:val="00451C10"/>
    <w:rsid w:val="00451C7C"/>
    <w:rsid w:val="00451E74"/>
    <w:rsid w:val="0045205A"/>
    <w:rsid w:val="004520B6"/>
    <w:rsid w:val="0045211C"/>
    <w:rsid w:val="00452174"/>
    <w:rsid w:val="004521DC"/>
    <w:rsid w:val="004522F1"/>
    <w:rsid w:val="00452372"/>
    <w:rsid w:val="004524D5"/>
    <w:rsid w:val="00452649"/>
    <w:rsid w:val="00452698"/>
    <w:rsid w:val="00452740"/>
    <w:rsid w:val="00452744"/>
    <w:rsid w:val="00452815"/>
    <w:rsid w:val="004528F9"/>
    <w:rsid w:val="00452A0F"/>
    <w:rsid w:val="00452C68"/>
    <w:rsid w:val="00452D8D"/>
    <w:rsid w:val="00452DA3"/>
    <w:rsid w:val="00452EB4"/>
    <w:rsid w:val="00452EBC"/>
    <w:rsid w:val="00452EC7"/>
    <w:rsid w:val="00452F76"/>
    <w:rsid w:val="0045300E"/>
    <w:rsid w:val="0045304B"/>
    <w:rsid w:val="00453233"/>
    <w:rsid w:val="00453299"/>
    <w:rsid w:val="0045333E"/>
    <w:rsid w:val="004533F5"/>
    <w:rsid w:val="004536AA"/>
    <w:rsid w:val="0045370E"/>
    <w:rsid w:val="00453725"/>
    <w:rsid w:val="00453728"/>
    <w:rsid w:val="0045381F"/>
    <w:rsid w:val="004539D4"/>
    <w:rsid w:val="00453C14"/>
    <w:rsid w:val="00453C82"/>
    <w:rsid w:val="004540B5"/>
    <w:rsid w:val="004540DF"/>
    <w:rsid w:val="00454136"/>
    <w:rsid w:val="004541AB"/>
    <w:rsid w:val="00454223"/>
    <w:rsid w:val="004542EC"/>
    <w:rsid w:val="00454308"/>
    <w:rsid w:val="00454378"/>
    <w:rsid w:val="00454422"/>
    <w:rsid w:val="00454718"/>
    <w:rsid w:val="0045473D"/>
    <w:rsid w:val="004547BF"/>
    <w:rsid w:val="00454953"/>
    <w:rsid w:val="00454A74"/>
    <w:rsid w:val="00454C59"/>
    <w:rsid w:val="00454C82"/>
    <w:rsid w:val="00454D49"/>
    <w:rsid w:val="00454D4A"/>
    <w:rsid w:val="00454ED0"/>
    <w:rsid w:val="00454F58"/>
    <w:rsid w:val="00454F91"/>
    <w:rsid w:val="0045500B"/>
    <w:rsid w:val="0045516F"/>
    <w:rsid w:val="00455188"/>
    <w:rsid w:val="00455306"/>
    <w:rsid w:val="00455316"/>
    <w:rsid w:val="004555AE"/>
    <w:rsid w:val="004555CF"/>
    <w:rsid w:val="0045562F"/>
    <w:rsid w:val="00455675"/>
    <w:rsid w:val="0045570C"/>
    <w:rsid w:val="00455967"/>
    <w:rsid w:val="004559CE"/>
    <w:rsid w:val="00455A6A"/>
    <w:rsid w:val="00455B05"/>
    <w:rsid w:val="00455C23"/>
    <w:rsid w:val="00455DFD"/>
    <w:rsid w:val="00455E87"/>
    <w:rsid w:val="00455EFE"/>
    <w:rsid w:val="00456028"/>
    <w:rsid w:val="004560E6"/>
    <w:rsid w:val="00456258"/>
    <w:rsid w:val="004563FA"/>
    <w:rsid w:val="0045643F"/>
    <w:rsid w:val="004564CD"/>
    <w:rsid w:val="0045666B"/>
    <w:rsid w:val="0045669B"/>
    <w:rsid w:val="004566F6"/>
    <w:rsid w:val="004568E7"/>
    <w:rsid w:val="00456A8F"/>
    <w:rsid w:val="00456CB3"/>
    <w:rsid w:val="00456DB6"/>
    <w:rsid w:val="00456E11"/>
    <w:rsid w:val="00456EF3"/>
    <w:rsid w:val="00456FA1"/>
    <w:rsid w:val="004571A4"/>
    <w:rsid w:val="0045723A"/>
    <w:rsid w:val="00457422"/>
    <w:rsid w:val="004574BB"/>
    <w:rsid w:val="0045757A"/>
    <w:rsid w:val="004577E4"/>
    <w:rsid w:val="00457831"/>
    <w:rsid w:val="00457893"/>
    <w:rsid w:val="00457942"/>
    <w:rsid w:val="00457A84"/>
    <w:rsid w:val="00457A88"/>
    <w:rsid w:val="00457AC3"/>
    <w:rsid w:val="00457AEC"/>
    <w:rsid w:val="00457CA0"/>
    <w:rsid w:val="00457CD2"/>
    <w:rsid w:val="00457E83"/>
    <w:rsid w:val="00457E98"/>
    <w:rsid w:val="00457F4C"/>
    <w:rsid w:val="0046003A"/>
    <w:rsid w:val="004600D9"/>
    <w:rsid w:val="0046017C"/>
    <w:rsid w:val="004601C9"/>
    <w:rsid w:val="004601DA"/>
    <w:rsid w:val="00460206"/>
    <w:rsid w:val="0046027C"/>
    <w:rsid w:val="00460515"/>
    <w:rsid w:val="00460528"/>
    <w:rsid w:val="0046058F"/>
    <w:rsid w:val="004605B2"/>
    <w:rsid w:val="0046065F"/>
    <w:rsid w:val="004606D0"/>
    <w:rsid w:val="004606F3"/>
    <w:rsid w:val="004607C5"/>
    <w:rsid w:val="004607E9"/>
    <w:rsid w:val="004608F1"/>
    <w:rsid w:val="0046096C"/>
    <w:rsid w:val="00460AB0"/>
    <w:rsid w:val="00460CFC"/>
    <w:rsid w:val="00460DE2"/>
    <w:rsid w:val="00460E1A"/>
    <w:rsid w:val="00460ED6"/>
    <w:rsid w:val="00460F0D"/>
    <w:rsid w:val="00460F2C"/>
    <w:rsid w:val="0046122F"/>
    <w:rsid w:val="0046129A"/>
    <w:rsid w:val="00461453"/>
    <w:rsid w:val="00461533"/>
    <w:rsid w:val="00461738"/>
    <w:rsid w:val="00461764"/>
    <w:rsid w:val="004617C3"/>
    <w:rsid w:val="004618CC"/>
    <w:rsid w:val="004618D8"/>
    <w:rsid w:val="004618F0"/>
    <w:rsid w:val="00461983"/>
    <w:rsid w:val="00461A5D"/>
    <w:rsid w:val="00461B58"/>
    <w:rsid w:val="00461B7E"/>
    <w:rsid w:val="00461D6C"/>
    <w:rsid w:val="00461DD3"/>
    <w:rsid w:val="00461DDA"/>
    <w:rsid w:val="00461E2F"/>
    <w:rsid w:val="00461E53"/>
    <w:rsid w:val="00461E92"/>
    <w:rsid w:val="0046208C"/>
    <w:rsid w:val="004622B9"/>
    <w:rsid w:val="00462306"/>
    <w:rsid w:val="00462329"/>
    <w:rsid w:val="00462590"/>
    <w:rsid w:val="00462672"/>
    <w:rsid w:val="004627A2"/>
    <w:rsid w:val="0046285D"/>
    <w:rsid w:val="00462ADB"/>
    <w:rsid w:val="00462BDD"/>
    <w:rsid w:val="00462BE4"/>
    <w:rsid w:val="00462BE7"/>
    <w:rsid w:val="00462C5A"/>
    <w:rsid w:val="00462D63"/>
    <w:rsid w:val="00462E10"/>
    <w:rsid w:val="00462EA3"/>
    <w:rsid w:val="00462F51"/>
    <w:rsid w:val="00462F94"/>
    <w:rsid w:val="00462FD9"/>
    <w:rsid w:val="0046349C"/>
    <w:rsid w:val="004635A8"/>
    <w:rsid w:val="004635F3"/>
    <w:rsid w:val="0046366A"/>
    <w:rsid w:val="004637B9"/>
    <w:rsid w:val="004637D6"/>
    <w:rsid w:val="0046388D"/>
    <w:rsid w:val="00463A7B"/>
    <w:rsid w:val="00463A86"/>
    <w:rsid w:val="00463AD6"/>
    <w:rsid w:val="00463B12"/>
    <w:rsid w:val="00463B2C"/>
    <w:rsid w:val="00463B91"/>
    <w:rsid w:val="00463C27"/>
    <w:rsid w:val="00463DF8"/>
    <w:rsid w:val="00463E44"/>
    <w:rsid w:val="00463EA3"/>
    <w:rsid w:val="00463FD7"/>
    <w:rsid w:val="004640AC"/>
    <w:rsid w:val="00464233"/>
    <w:rsid w:val="0046444B"/>
    <w:rsid w:val="004645CD"/>
    <w:rsid w:val="0046465C"/>
    <w:rsid w:val="0046468D"/>
    <w:rsid w:val="00464720"/>
    <w:rsid w:val="004647F9"/>
    <w:rsid w:val="00464849"/>
    <w:rsid w:val="0046499D"/>
    <w:rsid w:val="004649C8"/>
    <w:rsid w:val="00464A00"/>
    <w:rsid w:val="00464A66"/>
    <w:rsid w:val="00464B24"/>
    <w:rsid w:val="00464EFA"/>
    <w:rsid w:val="004651EE"/>
    <w:rsid w:val="004652AA"/>
    <w:rsid w:val="0046547B"/>
    <w:rsid w:val="00465653"/>
    <w:rsid w:val="004656A4"/>
    <w:rsid w:val="0046588C"/>
    <w:rsid w:val="004658AD"/>
    <w:rsid w:val="004658C8"/>
    <w:rsid w:val="00465AA5"/>
    <w:rsid w:val="00465B65"/>
    <w:rsid w:val="00465BCC"/>
    <w:rsid w:val="00465CD9"/>
    <w:rsid w:val="00465D59"/>
    <w:rsid w:val="00465F0A"/>
    <w:rsid w:val="00465F6F"/>
    <w:rsid w:val="00465FAE"/>
    <w:rsid w:val="00466022"/>
    <w:rsid w:val="00466065"/>
    <w:rsid w:val="004660AB"/>
    <w:rsid w:val="00466123"/>
    <w:rsid w:val="00466130"/>
    <w:rsid w:val="004661C4"/>
    <w:rsid w:val="004662A2"/>
    <w:rsid w:val="00466400"/>
    <w:rsid w:val="00466484"/>
    <w:rsid w:val="004665BE"/>
    <w:rsid w:val="00466634"/>
    <w:rsid w:val="00466644"/>
    <w:rsid w:val="00466738"/>
    <w:rsid w:val="0046677F"/>
    <w:rsid w:val="00466913"/>
    <w:rsid w:val="00466AEA"/>
    <w:rsid w:val="00466B96"/>
    <w:rsid w:val="00466C74"/>
    <w:rsid w:val="00466D75"/>
    <w:rsid w:val="00466DC5"/>
    <w:rsid w:val="00466DEC"/>
    <w:rsid w:val="00466E05"/>
    <w:rsid w:val="00466EC8"/>
    <w:rsid w:val="00466F52"/>
    <w:rsid w:val="00466F6C"/>
    <w:rsid w:val="00466FFB"/>
    <w:rsid w:val="00466FFD"/>
    <w:rsid w:val="00467062"/>
    <w:rsid w:val="0046707B"/>
    <w:rsid w:val="0046736A"/>
    <w:rsid w:val="004673FC"/>
    <w:rsid w:val="00467902"/>
    <w:rsid w:val="004679C7"/>
    <w:rsid w:val="00467BF8"/>
    <w:rsid w:val="00467CD2"/>
    <w:rsid w:val="00467D0F"/>
    <w:rsid w:val="00467E4A"/>
    <w:rsid w:val="00467FEE"/>
    <w:rsid w:val="00470052"/>
    <w:rsid w:val="0047013B"/>
    <w:rsid w:val="00470219"/>
    <w:rsid w:val="00470230"/>
    <w:rsid w:val="0047023D"/>
    <w:rsid w:val="00470249"/>
    <w:rsid w:val="004707C1"/>
    <w:rsid w:val="00470891"/>
    <w:rsid w:val="00470944"/>
    <w:rsid w:val="0047095F"/>
    <w:rsid w:val="00470A27"/>
    <w:rsid w:val="00470DEA"/>
    <w:rsid w:val="00470E29"/>
    <w:rsid w:val="00470EC8"/>
    <w:rsid w:val="00471073"/>
    <w:rsid w:val="004713FD"/>
    <w:rsid w:val="00471469"/>
    <w:rsid w:val="0047146A"/>
    <w:rsid w:val="0047168F"/>
    <w:rsid w:val="004717F3"/>
    <w:rsid w:val="00471825"/>
    <w:rsid w:val="0047189E"/>
    <w:rsid w:val="00471903"/>
    <w:rsid w:val="004719CD"/>
    <w:rsid w:val="00471A2E"/>
    <w:rsid w:val="00471A41"/>
    <w:rsid w:val="00471A63"/>
    <w:rsid w:val="00471A90"/>
    <w:rsid w:val="00471B63"/>
    <w:rsid w:val="00471BB8"/>
    <w:rsid w:val="00471C96"/>
    <w:rsid w:val="00471D47"/>
    <w:rsid w:val="00471D62"/>
    <w:rsid w:val="00471E0B"/>
    <w:rsid w:val="00472213"/>
    <w:rsid w:val="00472345"/>
    <w:rsid w:val="00472499"/>
    <w:rsid w:val="00472C33"/>
    <w:rsid w:val="00472C39"/>
    <w:rsid w:val="00472C4C"/>
    <w:rsid w:val="00472D4F"/>
    <w:rsid w:val="00472E8D"/>
    <w:rsid w:val="00473074"/>
    <w:rsid w:val="00473391"/>
    <w:rsid w:val="00473463"/>
    <w:rsid w:val="004734EE"/>
    <w:rsid w:val="004734EF"/>
    <w:rsid w:val="00473515"/>
    <w:rsid w:val="0047355C"/>
    <w:rsid w:val="0047361A"/>
    <w:rsid w:val="00473682"/>
    <w:rsid w:val="00473772"/>
    <w:rsid w:val="004737AC"/>
    <w:rsid w:val="004737E0"/>
    <w:rsid w:val="00473962"/>
    <w:rsid w:val="004739BE"/>
    <w:rsid w:val="00473B33"/>
    <w:rsid w:val="00473EDB"/>
    <w:rsid w:val="00473EE4"/>
    <w:rsid w:val="004741A5"/>
    <w:rsid w:val="004741D8"/>
    <w:rsid w:val="00474247"/>
    <w:rsid w:val="00474395"/>
    <w:rsid w:val="0047455C"/>
    <w:rsid w:val="00474645"/>
    <w:rsid w:val="00474735"/>
    <w:rsid w:val="0047473D"/>
    <w:rsid w:val="004748E1"/>
    <w:rsid w:val="004748F9"/>
    <w:rsid w:val="00474928"/>
    <w:rsid w:val="00474A05"/>
    <w:rsid w:val="00474AB0"/>
    <w:rsid w:val="00474B8C"/>
    <w:rsid w:val="00474BC8"/>
    <w:rsid w:val="00474CA6"/>
    <w:rsid w:val="00474D6C"/>
    <w:rsid w:val="00474E89"/>
    <w:rsid w:val="00474F6C"/>
    <w:rsid w:val="0047507B"/>
    <w:rsid w:val="00475085"/>
    <w:rsid w:val="0047510C"/>
    <w:rsid w:val="00475139"/>
    <w:rsid w:val="00475152"/>
    <w:rsid w:val="004751BC"/>
    <w:rsid w:val="004751E6"/>
    <w:rsid w:val="004752B9"/>
    <w:rsid w:val="004752D2"/>
    <w:rsid w:val="004753D7"/>
    <w:rsid w:val="0047569D"/>
    <w:rsid w:val="004758B1"/>
    <w:rsid w:val="004759B1"/>
    <w:rsid w:val="00475A09"/>
    <w:rsid w:val="00475A67"/>
    <w:rsid w:val="00475C24"/>
    <w:rsid w:val="00475C34"/>
    <w:rsid w:val="00475D02"/>
    <w:rsid w:val="00475D0B"/>
    <w:rsid w:val="00475D37"/>
    <w:rsid w:val="00475F48"/>
    <w:rsid w:val="00475F79"/>
    <w:rsid w:val="00476083"/>
    <w:rsid w:val="00476088"/>
    <w:rsid w:val="004761B5"/>
    <w:rsid w:val="00476558"/>
    <w:rsid w:val="0047663D"/>
    <w:rsid w:val="00476717"/>
    <w:rsid w:val="0047671C"/>
    <w:rsid w:val="00476811"/>
    <w:rsid w:val="0047686A"/>
    <w:rsid w:val="00476A3A"/>
    <w:rsid w:val="00476B60"/>
    <w:rsid w:val="00476C1F"/>
    <w:rsid w:val="00476CF6"/>
    <w:rsid w:val="00476D27"/>
    <w:rsid w:val="00476EC1"/>
    <w:rsid w:val="0047711A"/>
    <w:rsid w:val="004771C3"/>
    <w:rsid w:val="0047732B"/>
    <w:rsid w:val="00477390"/>
    <w:rsid w:val="004773C4"/>
    <w:rsid w:val="00477635"/>
    <w:rsid w:val="00477746"/>
    <w:rsid w:val="00477869"/>
    <w:rsid w:val="00477AA8"/>
    <w:rsid w:val="00477AAB"/>
    <w:rsid w:val="00477B19"/>
    <w:rsid w:val="00477B67"/>
    <w:rsid w:val="00477DB7"/>
    <w:rsid w:val="00477E39"/>
    <w:rsid w:val="00477E94"/>
    <w:rsid w:val="00477F2D"/>
    <w:rsid w:val="004801EA"/>
    <w:rsid w:val="00480263"/>
    <w:rsid w:val="004802F7"/>
    <w:rsid w:val="0048038D"/>
    <w:rsid w:val="0048039A"/>
    <w:rsid w:val="004803F0"/>
    <w:rsid w:val="004805C8"/>
    <w:rsid w:val="00480623"/>
    <w:rsid w:val="00480638"/>
    <w:rsid w:val="00480723"/>
    <w:rsid w:val="0048072E"/>
    <w:rsid w:val="004808C4"/>
    <w:rsid w:val="00480905"/>
    <w:rsid w:val="00480B0D"/>
    <w:rsid w:val="00480BC0"/>
    <w:rsid w:val="00480CEC"/>
    <w:rsid w:val="00480E0C"/>
    <w:rsid w:val="00480E21"/>
    <w:rsid w:val="00480E9F"/>
    <w:rsid w:val="00481169"/>
    <w:rsid w:val="00481313"/>
    <w:rsid w:val="004813B9"/>
    <w:rsid w:val="00481578"/>
    <w:rsid w:val="00481694"/>
    <w:rsid w:val="0048170A"/>
    <w:rsid w:val="00481771"/>
    <w:rsid w:val="00481879"/>
    <w:rsid w:val="00481AC9"/>
    <w:rsid w:val="00481CBF"/>
    <w:rsid w:val="00481CC9"/>
    <w:rsid w:val="00481D02"/>
    <w:rsid w:val="00481EB0"/>
    <w:rsid w:val="004820A2"/>
    <w:rsid w:val="004820BA"/>
    <w:rsid w:val="00482254"/>
    <w:rsid w:val="0048236B"/>
    <w:rsid w:val="0048236E"/>
    <w:rsid w:val="004823FE"/>
    <w:rsid w:val="0048255F"/>
    <w:rsid w:val="00482560"/>
    <w:rsid w:val="004825D7"/>
    <w:rsid w:val="00482666"/>
    <w:rsid w:val="00482710"/>
    <w:rsid w:val="00482DF6"/>
    <w:rsid w:val="00482EFD"/>
    <w:rsid w:val="00482F8F"/>
    <w:rsid w:val="0048317F"/>
    <w:rsid w:val="004831AD"/>
    <w:rsid w:val="004832DA"/>
    <w:rsid w:val="00483385"/>
    <w:rsid w:val="00483401"/>
    <w:rsid w:val="0048341B"/>
    <w:rsid w:val="004834CD"/>
    <w:rsid w:val="00483521"/>
    <w:rsid w:val="00483648"/>
    <w:rsid w:val="00483947"/>
    <w:rsid w:val="00483AF8"/>
    <w:rsid w:val="00483B02"/>
    <w:rsid w:val="00483B4A"/>
    <w:rsid w:val="00483DB8"/>
    <w:rsid w:val="00483E2C"/>
    <w:rsid w:val="00483F63"/>
    <w:rsid w:val="00484028"/>
    <w:rsid w:val="004841DD"/>
    <w:rsid w:val="004841FD"/>
    <w:rsid w:val="00484273"/>
    <w:rsid w:val="0048429B"/>
    <w:rsid w:val="004842E5"/>
    <w:rsid w:val="004843C9"/>
    <w:rsid w:val="004844DC"/>
    <w:rsid w:val="00484526"/>
    <w:rsid w:val="0048454E"/>
    <w:rsid w:val="004845FB"/>
    <w:rsid w:val="004847AD"/>
    <w:rsid w:val="00484810"/>
    <w:rsid w:val="0048489A"/>
    <w:rsid w:val="004848D7"/>
    <w:rsid w:val="004848DA"/>
    <w:rsid w:val="00484967"/>
    <w:rsid w:val="004849C5"/>
    <w:rsid w:val="004849FC"/>
    <w:rsid w:val="00484B55"/>
    <w:rsid w:val="00484B96"/>
    <w:rsid w:val="00484D45"/>
    <w:rsid w:val="00484F4D"/>
    <w:rsid w:val="00484FCB"/>
    <w:rsid w:val="00484FDC"/>
    <w:rsid w:val="00485010"/>
    <w:rsid w:val="004850BF"/>
    <w:rsid w:val="00485119"/>
    <w:rsid w:val="00485168"/>
    <w:rsid w:val="00485173"/>
    <w:rsid w:val="00485196"/>
    <w:rsid w:val="0048537A"/>
    <w:rsid w:val="004853CC"/>
    <w:rsid w:val="004853D4"/>
    <w:rsid w:val="0048544C"/>
    <w:rsid w:val="00485555"/>
    <w:rsid w:val="0048560F"/>
    <w:rsid w:val="00485658"/>
    <w:rsid w:val="0048565D"/>
    <w:rsid w:val="0048568B"/>
    <w:rsid w:val="004856E6"/>
    <w:rsid w:val="004858DD"/>
    <w:rsid w:val="00485946"/>
    <w:rsid w:val="00485952"/>
    <w:rsid w:val="004859D3"/>
    <w:rsid w:val="00485A10"/>
    <w:rsid w:val="00485A20"/>
    <w:rsid w:val="00485AED"/>
    <w:rsid w:val="00485B03"/>
    <w:rsid w:val="00485B53"/>
    <w:rsid w:val="00485BC7"/>
    <w:rsid w:val="00485C83"/>
    <w:rsid w:val="00485DF6"/>
    <w:rsid w:val="00485F75"/>
    <w:rsid w:val="00485FCC"/>
    <w:rsid w:val="00486098"/>
    <w:rsid w:val="004861BE"/>
    <w:rsid w:val="004862B5"/>
    <w:rsid w:val="00486417"/>
    <w:rsid w:val="0048662A"/>
    <w:rsid w:val="00486630"/>
    <w:rsid w:val="00486739"/>
    <w:rsid w:val="004868B3"/>
    <w:rsid w:val="00486AC4"/>
    <w:rsid w:val="00486B7B"/>
    <w:rsid w:val="00486BA1"/>
    <w:rsid w:val="00486C11"/>
    <w:rsid w:val="00486C73"/>
    <w:rsid w:val="00486CDF"/>
    <w:rsid w:val="00486D32"/>
    <w:rsid w:val="00486E78"/>
    <w:rsid w:val="00486FD5"/>
    <w:rsid w:val="00487049"/>
    <w:rsid w:val="00487057"/>
    <w:rsid w:val="00487287"/>
    <w:rsid w:val="00487298"/>
    <w:rsid w:val="004873D1"/>
    <w:rsid w:val="004876AF"/>
    <w:rsid w:val="0048778F"/>
    <w:rsid w:val="004877F5"/>
    <w:rsid w:val="00487970"/>
    <w:rsid w:val="00487AF6"/>
    <w:rsid w:val="00487CB1"/>
    <w:rsid w:val="00487CCD"/>
    <w:rsid w:val="00487E58"/>
    <w:rsid w:val="00487EED"/>
    <w:rsid w:val="00490075"/>
    <w:rsid w:val="0049022F"/>
    <w:rsid w:val="00490294"/>
    <w:rsid w:val="004902CD"/>
    <w:rsid w:val="0049042C"/>
    <w:rsid w:val="00490463"/>
    <w:rsid w:val="004904BC"/>
    <w:rsid w:val="004904D5"/>
    <w:rsid w:val="004905E3"/>
    <w:rsid w:val="004906DF"/>
    <w:rsid w:val="0049078D"/>
    <w:rsid w:val="00490956"/>
    <w:rsid w:val="00490AA6"/>
    <w:rsid w:val="00490AF2"/>
    <w:rsid w:val="00490CF6"/>
    <w:rsid w:val="00490DB7"/>
    <w:rsid w:val="00490E38"/>
    <w:rsid w:val="00490EDD"/>
    <w:rsid w:val="00490F11"/>
    <w:rsid w:val="004910CF"/>
    <w:rsid w:val="00491118"/>
    <w:rsid w:val="0049117D"/>
    <w:rsid w:val="004911BA"/>
    <w:rsid w:val="00491210"/>
    <w:rsid w:val="004912D7"/>
    <w:rsid w:val="00491326"/>
    <w:rsid w:val="0049139A"/>
    <w:rsid w:val="004913F1"/>
    <w:rsid w:val="004913FA"/>
    <w:rsid w:val="00491472"/>
    <w:rsid w:val="00491528"/>
    <w:rsid w:val="00491700"/>
    <w:rsid w:val="00491748"/>
    <w:rsid w:val="0049179F"/>
    <w:rsid w:val="004918CA"/>
    <w:rsid w:val="0049193A"/>
    <w:rsid w:val="00491A56"/>
    <w:rsid w:val="00491AA6"/>
    <w:rsid w:val="00491BD4"/>
    <w:rsid w:val="00491C74"/>
    <w:rsid w:val="00491CA7"/>
    <w:rsid w:val="00491CC0"/>
    <w:rsid w:val="00491D42"/>
    <w:rsid w:val="00491ECC"/>
    <w:rsid w:val="00491ED6"/>
    <w:rsid w:val="00492003"/>
    <w:rsid w:val="004920FD"/>
    <w:rsid w:val="00492228"/>
    <w:rsid w:val="004922C6"/>
    <w:rsid w:val="0049231B"/>
    <w:rsid w:val="0049235B"/>
    <w:rsid w:val="004924CD"/>
    <w:rsid w:val="00492642"/>
    <w:rsid w:val="00492671"/>
    <w:rsid w:val="00492855"/>
    <w:rsid w:val="00492919"/>
    <w:rsid w:val="0049298F"/>
    <w:rsid w:val="00492A6C"/>
    <w:rsid w:val="00492EE7"/>
    <w:rsid w:val="00492EF5"/>
    <w:rsid w:val="00492FCB"/>
    <w:rsid w:val="00492FE0"/>
    <w:rsid w:val="0049307A"/>
    <w:rsid w:val="00493080"/>
    <w:rsid w:val="0049326A"/>
    <w:rsid w:val="004934A8"/>
    <w:rsid w:val="00493563"/>
    <w:rsid w:val="00493564"/>
    <w:rsid w:val="0049368F"/>
    <w:rsid w:val="00493712"/>
    <w:rsid w:val="0049373B"/>
    <w:rsid w:val="00493749"/>
    <w:rsid w:val="00493923"/>
    <w:rsid w:val="00493B44"/>
    <w:rsid w:val="00493B6D"/>
    <w:rsid w:val="00493B73"/>
    <w:rsid w:val="00493D00"/>
    <w:rsid w:val="00493E75"/>
    <w:rsid w:val="00493F8B"/>
    <w:rsid w:val="00493FDE"/>
    <w:rsid w:val="004941E6"/>
    <w:rsid w:val="00494209"/>
    <w:rsid w:val="00494315"/>
    <w:rsid w:val="004944FF"/>
    <w:rsid w:val="004945DA"/>
    <w:rsid w:val="004946B1"/>
    <w:rsid w:val="004946F5"/>
    <w:rsid w:val="0049476A"/>
    <w:rsid w:val="0049484A"/>
    <w:rsid w:val="0049484B"/>
    <w:rsid w:val="004948A7"/>
    <w:rsid w:val="004949D0"/>
    <w:rsid w:val="004949D6"/>
    <w:rsid w:val="00494AAD"/>
    <w:rsid w:val="00494B88"/>
    <w:rsid w:val="00494B89"/>
    <w:rsid w:val="00494BB8"/>
    <w:rsid w:val="00494D27"/>
    <w:rsid w:val="00494D50"/>
    <w:rsid w:val="00494DFD"/>
    <w:rsid w:val="00494E2B"/>
    <w:rsid w:val="00494ED8"/>
    <w:rsid w:val="00494F1D"/>
    <w:rsid w:val="00494FBC"/>
    <w:rsid w:val="004952FD"/>
    <w:rsid w:val="004953D0"/>
    <w:rsid w:val="004954B6"/>
    <w:rsid w:val="004954F5"/>
    <w:rsid w:val="00495688"/>
    <w:rsid w:val="0049570D"/>
    <w:rsid w:val="004957CE"/>
    <w:rsid w:val="004957DD"/>
    <w:rsid w:val="0049586E"/>
    <w:rsid w:val="004958BD"/>
    <w:rsid w:val="0049592F"/>
    <w:rsid w:val="00495A94"/>
    <w:rsid w:val="00495BB3"/>
    <w:rsid w:val="00495C40"/>
    <w:rsid w:val="00495C4D"/>
    <w:rsid w:val="00495C90"/>
    <w:rsid w:val="00495CE3"/>
    <w:rsid w:val="00495E2A"/>
    <w:rsid w:val="00495E5D"/>
    <w:rsid w:val="00495FCC"/>
    <w:rsid w:val="004960F3"/>
    <w:rsid w:val="00496178"/>
    <w:rsid w:val="004961B7"/>
    <w:rsid w:val="004963B9"/>
    <w:rsid w:val="004963E2"/>
    <w:rsid w:val="00496491"/>
    <w:rsid w:val="004964E3"/>
    <w:rsid w:val="004966C7"/>
    <w:rsid w:val="0049676B"/>
    <w:rsid w:val="004967D4"/>
    <w:rsid w:val="004968C2"/>
    <w:rsid w:val="004968E4"/>
    <w:rsid w:val="0049695D"/>
    <w:rsid w:val="00496DA6"/>
    <w:rsid w:val="00496DD5"/>
    <w:rsid w:val="00496EC0"/>
    <w:rsid w:val="00496ED7"/>
    <w:rsid w:val="004970F2"/>
    <w:rsid w:val="00497105"/>
    <w:rsid w:val="0049719E"/>
    <w:rsid w:val="004971E4"/>
    <w:rsid w:val="0049726E"/>
    <w:rsid w:val="0049741E"/>
    <w:rsid w:val="00497482"/>
    <w:rsid w:val="004974C7"/>
    <w:rsid w:val="0049781D"/>
    <w:rsid w:val="00497994"/>
    <w:rsid w:val="00497A8B"/>
    <w:rsid w:val="00497AEF"/>
    <w:rsid w:val="00497BD2"/>
    <w:rsid w:val="00497C6C"/>
    <w:rsid w:val="00497CFB"/>
    <w:rsid w:val="00497D13"/>
    <w:rsid w:val="00497DFE"/>
    <w:rsid w:val="00497EF8"/>
    <w:rsid w:val="00497F94"/>
    <w:rsid w:val="004A0027"/>
    <w:rsid w:val="004A0064"/>
    <w:rsid w:val="004A00D5"/>
    <w:rsid w:val="004A01B7"/>
    <w:rsid w:val="004A023C"/>
    <w:rsid w:val="004A034F"/>
    <w:rsid w:val="004A039C"/>
    <w:rsid w:val="004A044F"/>
    <w:rsid w:val="004A0577"/>
    <w:rsid w:val="004A05C9"/>
    <w:rsid w:val="004A05F7"/>
    <w:rsid w:val="004A060A"/>
    <w:rsid w:val="004A06BF"/>
    <w:rsid w:val="004A07F3"/>
    <w:rsid w:val="004A0C96"/>
    <w:rsid w:val="004A0CF3"/>
    <w:rsid w:val="004A0E6A"/>
    <w:rsid w:val="004A0EC8"/>
    <w:rsid w:val="004A0F11"/>
    <w:rsid w:val="004A0F7B"/>
    <w:rsid w:val="004A10AC"/>
    <w:rsid w:val="004A1125"/>
    <w:rsid w:val="004A116A"/>
    <w:rsid w:val="004A133E"/>
    <w:rsid w:val="004A13FE"/>
    <w:rsid w:val="004A1442"/>
    <w:rsid w:val="004A18B7"/>
    <w:rsid w:val="004A18CA"/>
    <w:rsid w:val="004A1940"/>
    <w:rsid w:val="004A19D0"/>
    <w:rsid w:val="004A1CA8"/>
    <w:rsid w:val="004A1D1D"/>
    <w:rsid w:val="004A1EBA"/>
    <w:rsid w:val="004A206C"/>
    <w:rsid w:val="004A23FF"/>
    <w:rsid w:val="004A24C8"/>
    <w:rsid w:val="004A24CB"/>
    <w:rsid w:val="004A25A5"/>
    <w:rsid w:val="004A25ED"/>
    <w:rsid w:val="004A29AA"/>
    <w:rsid w:val="004A29D7"/>
    <w:rsid w:val="004A29E8"/>
    <w:rsid w:val="004A2A3B"/>
    <w:rsid w:val="004A2A47"/>
    <w:rsid w:val="004A2A99"/>
    <w:rsid w:val="004A2CDD"/>
    <w:rsid w:val="004A2D78"/>
    <w:rsid w:val="004A2D91"/>
    <w:rsid w:val="004A2DC2"/>
    <w:rsid w:val="004A2DFD"/>
    <w:rsid w:val="004A30B7"/>
    <w:rsid w:val="004A3130"/>
    <w:rsid w:val="004A32BD"/>
    <w:rsid w:val="004A3303"/>
    <w:rsid w:val="004A3323"/>
    <w:rsid w:val="004A33CA"/>
    <w:rsid w:val="004A33DF"/>
    <w:rsid w:val="004A3436"/>
    <w:rsid w:val="004A3549"/>
    <w:rsid w:val="004A356B"/>
    <w:rsid w:val="004A37EC"/>
    <w:rsid w:val="004A3886"/>
    <w:rsid w:val="004A3A57"/>
    <w:rsid w:val="004A3AA2"/>
    <w:rsid w:val="004A3BD6"/>
    <w:rsid w:val="004A3BE6"/>
    <w:rsid w:val="004A3C7D"/>
    <w:rsid w:val="004A3D3F"/>
    <w:rsid w:val="004A3D6A"/>
    <w:rsid w:val="004A3D72"/>
    <w:rsid w:val="004A3E61"/>
    <w:rsid w:val="004A3EAA"/>
    <w:rsid w:val="004A4117"/>
    <w:rsid w:val="004A4160"/>
    <w:rsid w:val="004A4243"/>
    <w:rsid w:val="004A42FF"/>
    <w:rsid w:val="004A4382"/>
    <w:rsid w:val="004A43B4"/>
    <w:rsid w:val="004A43D9"/>
    <w:rsid w:val="004A46B6"/>
    <w:rsid w:val="004A472D"/>
    <w:rsid w:val="004A47C1"/>
    <w:rsid w:val="004A47E9"/>
    <w:rsid w:val="004A4983"/>
    <w:rsid w:val="004A4A9B"/>
    <w:rsid w:val="004A4AE1"/>
    <w:rsid w:val="004A4BE0"/>
    <w:rsid w:val="004A4C20"/>
    <w:rsid w:val="004A4C78"/>
    <w:rsid w:val="004A4C8E"/>
    <w:rsid w:val="004A4CC3"/>
    <w:rsid w:val="004A4ED6"/>
    <w:rsid w:val="004A5014"/>
    <w:rsid w:val="004A5089"/>
    <w:rsid w:val="004A512E"/>
    <w:rsid w:val="004A55C4"/>
    <w:rsid w:val="004A55C5"/>
    <w:rsid w:val="004A56A1"/>
    <w:rsid w:val="004A56C2"/>
    <w:rsid w:val="004A56E0"/>
    <w:rsid w:val="004A5701"/>
    <w:rsid w:val="004A5764"/>
    <w:rsid w:val="004A5777"/>
    <w:rsid w:val="004A5781"/>
    <w:rsid w:val="004A5CB6"/>
    <w:rsid w:val="004A5CF9"/>
    <w:rsid w:val="004A5D19"/>
    <w:rsid w:val="004A5E2C"/>
    <w:rsid w:val="004A6108"/>
    <w:rsid w:val="004A616F"/>
    <w:rsid w:val="004A6375"/>
    <w:rsid w:val="004A642F"/>
    <w:rsid w:val="004A6565"/>
    <w:rsid w:val="004A65FA"/>
    <w:rsid w:val="004A6619"/>
    <w:rsid w:val="004A6783"/>
    <w:rsid w:val="004A6883"/>
    <w:rsid w:val="004A6BF2"/>
    <w:rsid w:val="004A6C77"/>
    <w:rsid w:val="004A6D4D"/>
    <w:rsid w:val="004A6E98"/>
    <w:rsid w:val="004A6EEB"/>
    <w:rsid w:val="004A6F2F"/>
    <w:rsid w:val="004A6FD4"/>
    <w:rsid w:val="004A6FEC"/>
    <w:rsid w:val="004A6FF3"/>
    <w:rsid w:val="004A705C"/>
    <w:rsid w:val="004A71FF"/>
    <w:rsid w:val="004A726A"/>
    <w:rsid w:val="004A7334"/>
    <w:rsid w:val="004A7767"/>
    <w:rsid w:val="004A7775"/>
    <w:rsid w:val="004A77DD"/>
    <w:rsid w:val="004A7865"/>
    <w:rsid w:val="004A797D"/>
    <w:rsid w:val="004A7A1E"/>
    <w:rsid w:val="004A7B1C"/>
    <w:rsid w:val="004A7B28"/>
    <w:rsid w:val="004A7B98"/>
    <w:rsid w:val="004A7CB5"/>
    <w:rsid w:val="004A7CD5"/>
    <w:rsid w:val="004A7D97"/>
    <w:rsid w:val="004A7DC6"/>
    <w:rsid w:val="004A7E96"/>
    <w:rsid w:val="004B000D"/>
    <w:rsid w:val="004B00DA"/>
    <w:rsid w:val="004B01FF"/>
    <w:rsid w:val="004B03BD"/>
    <w:rsid w:val="004B0485"/>
    <w:rsid w:val="004B05C0"/>
    <w:rsid w:val="004B06DA"/>
    <w:rsid w:val="004B09E9"/>
    <w:rsid w:val="004B0A10"/>
    <w:rsid w:val="004B0A1A"/>
    <w:rsid w:val="004B0A92"/>
    <w:rsid w:val="004B0AA5"/>
    <w:rsid w:val="004B0B09"/>
    <w:rsid w:val="004B0C62"/>
    <w:rsid w:val="004B0C8D"/>
    <w:rsid w:val="004B0D20"/>
    <w:rsid w:val="004B0E6A"/>
    <w:rsid w:val="004B0E6B"/>
    <w:rsid w:val="004B0E9D"/>
    <w:rsid w:val="004B0FFC"/>
    <w:rsid w:val="004B1004"/>
    <w:rsid w:val="004B1066"/>
    <w:rsid w:val="004B10C3"/>
    <w:rsid w:val="004B13D0"/>
    <w:rsid w:val="004B13FD"/>
    <w:rsid w:val="004B140E"/>
    <w:rsid w:val="004B1455"/>
    <w:rsid w:val="004B14C2"/>
    <w:rsid w:val="004B15FA"/>
    <w:rsid w:val="004B1682"/>
    <w:rsid w:val="004B171F"/>
    <w:rsid w:val="004B1779"/>
    <w:rsid w:val="004B17F4"/>
    <w:rsid w:val="004B184C"/>
    <w:rsid w:val="004B1877"/>
    <w:rsid w:val="004B196E"/>
    <w:rsid w:val="004B19C9"/>
    <w:rsid w:val="004B1A09"/>
    <w:rsid w:val="004B1A62"/>
    <w:rsid w:val="004B1A74"/>
    <w:rsid w:val="004B1BD3"/>
    <w:rsid w:val="004B1C68"/>
    <w:rsid w:val="004B1CA9"/>
    <w:rsid w:val="004B1E33"/>
    <w:rsid w:val="004B1ED0"/>
    <w:rsid w:val="004B1FA3"/>
    <w:rsid w:val="004B21DB"/>
    <w:rsid w:val="004B21E6"/>
    <w:rsid w:val="004B22CE"/>
    <w:rsid w:val="004B234D"/>
    <w:rsid w:val="004B246E"/>
    <w:rsid w:val="004B25DC"/>
    <w:rsid w:val="004B26D7"/>
    <w:rsid w:val="004B2717"/>
    <w:rsid w:val="004B2775"/>
    <w:rsid w:val="004B281E"/>
    <w:rsid w:val="004B2874"/>
    <w:rsid w:val="004B2951"/>
    <w:rsid w:val="004B29AF"/>
    <w:rsid w:val="004B2BEF"/>
    <w:rsid w:val="004B2C5E"/>
    <w:rsid w:val="004B2FC8"/>
    <w:rsid w:val="004B30E5"/>
    <w:rsid w:val="004B313A"/>
    <w:rsid w:val="004B316B"/>
    <w:rsid w:val="004B3188"/>
    <w:rsid w:val="004B32BB"/>
    <w:rsid w:val="004B332C"/>
    <w:rsid w:val="004B3454"/>
    <w:rsid w:val="004B3479"/>
    <w:rsid w:val="004B34B2"/>
    <w:rsid w:val="004B351C"/>
    <w:rsid w:val="004B3553"/>
    <w:rsid w:val="004B3647"/>
    <w:rsid w:val="004B3705"/>
    <w:rsid w:val="004B3911"/>
    <w:rsid w:val="004B3B5F"/>
    <w:rsid w:val="004B3BA9"/>
    <w:rsid w:val="004B3BFA"/>
    <w:rsid w:val="004B3C87"/>
    <w:rsid w:val="004B3E56"/>
    <w:rsid w:val="004B3EE2"/>
    <w:rsid w:val="004B3FBF"/>
    <w:rsid w:val="004B3FEB"/>
    <w:rsid w:val="004B40B3"/>
    <w:rsid w:val="004B4281"/>
    <w:rsid w:val="004B42F1"/>
    <w:rsid w:val="004B4351"/>
    <w:rsid w:val="004B44AD"/>
    <w:rsid w:val="004B4504"/>
    <w:rsid w:val="004B4573"/>
    <w:rsid w:val="004B45D4"/>
    <w:rsid w:val="004B4656"/>
    <w:rsid w:val="004B46B6"/>
    <w:rsid w:val="004B46FE"/>
    <w:rsid w:val="004B47AF"/>
    <w:rsid w:val="004B485D"/>
    <w:rsid w:val="004B48D9"/>
    <w:rsid w:val="004B49D7"/>
    <w:rsid w:val="004B49E0"/>
    <w:rsid w:val="004B4A41"/>
    <w:rsid w:val="004B4B41"/>
    <w:rsid w:val="004B4C93"/>
    <w:rsid w:val="004B4D7A"/>
    <w:rsid w:val="004B4DB7"/>
    <w:rsid w:val="004B4E5D"/>
    <w:rsid w:val="004B4EB1"/>
    <w:rsid w:val="004B4F37"/>
    <w:rsid w:val="004B5133"/>
    <w:rsid w:val="004B5189"/>
    <w:rsid w:val="004B524E"/>
    <w:rsid w:val="004B5409"/>
    <w:rsid w:val="004B562D"/>
    <w:rsid w:val="004B564E"/>
    <w:rsid w:val="004B5773"/>
    <w:rsid w:val="004B5885"/>
    <w:rsid w:val="004B5914"/>
    <w:rsid w:val="004B5BFC"/>
    <w:rsid w:val="004B5CB5"/>
    <w:rsid w:val="004B5E09"/>
    <w:rsid w:val="004B5E82"/>
    <w:rsid w:val="004B5EB5"/>
    <w:rsid w:val="004B5EC3"/>
    <w:rsid w:val="004B606C"/>
    <w:rsid w:val="004B62C6"/>
    <w:rsid w:val="004B6741"/>
    <w:rsid w:val="004B69AC"/>
    <w:rsid w:val="004B6A9C"/>
    <w:rsid w:val="004B6CD7"/>
    <w:rsid w:val="004B6CFF"/>
    <w:rsid w:val="004B6DD4"/>
    <w:rsid w:val="004B6E47"/>
    <w:rsid w:val="004B6E92"/>
    <w:rsid w:val="004B6F4D"/>
    <w:rsid w:val="004B7080"/>
    <w:rsid w:val="004B714C"/>
    <w:rsid w:val="004B72B0"/>
    <w:rsid w:val="004B72DB"/>
    <w:rsid w:val="004B73AC"/>
    <w:rsid w:val="004B73F8"/>
    <w:rsid w:val="004B74C0"/>
    <w:rsid w:val="004B76A9"/>
    <w:rsid w:val="004B7845"/>
    <w:rsid w:val="004B7854"/>
    <w:rsid w:val="004B7898"/>
    <w:rsid w:val="004B791A"/>
    <w:rsid w:val="004B79A3"/>
    <w:rsid w:val="004B79C7"/>
    <w:rsid w:val="004B79F3"/>
    <w:rsid w:val="004B7A8C"/>
    <w:rsid w:val="004B7A92"/>
    <w:rsid w:val="004B7CA4"/>
    <w:rsid w:val="004B7D7D"/>
    <w:rsid w:val="004B7EDC"/>
    <w:rsid w:val="004B7FB9"/>
    <w:rsid w:val="004C007A"/>
    <w:rsid w:val="004C02E8"/>
    <w:rsid w:val="004C0358"/>
    <w:rsid w:val="004C0449"/>
    <w:rsid w:val="004C04E3"/>
    <w:rsid w:val="004C064C"/>
    <w:rsid w:val="004C0806"/>
    <w:rsid w:val="004C0822"/>
    <w:rsid w:val="004C08B8"/>
    <w:rsid w:val="004C08C5"/>
    <w:rsid w:val="004C0948"/>
    <w:rsid w:val="004C0970"/>
    <w:rsid w:val="004C09FC"/>
    <w:rsid w:val="004C0A4F"/>
    <w:rsid w:val="004C0A87"/>
    <w:rsid w:val="004C0ABD"/>
    <w:rsid w:val="004C0B69"/>
    <w:rsid w:val="004C0DAE"/>
    <w:rsid w:val="004C0DCE"/>
    <w:rsid w:val="004C0E0B"/>
    <w:rsid w:val="004C0EBF"/>
    <w:rsid w:val="004C0FFA"/>
    <w:rsid w:val="004C102B"/>
    <w:rsid w:val="004C10F3"/>
    <w:rsid w:val="004C111C"/>
    <w:rsid w:val="004C111F"/>
    <w:rsid w:val="004C1137"/>
    <w:rsid w:val="004C1364"/>
    <w:rsid w:val="004C145D"/>
    <w:rsid w:val="004C14B5"/>
    <w:rsid w:val="004C150E"/>
    <w:rsid w:val="004C1663"/>
    <w:rsid w:val="004C16FC"/>
    <w:rsid w:val="004C1742"/>
    <w:rsid w:val="004C17D7"/>
    <w:rsid w:val="004C17F7"/>
    <w:rsid w:val="004C1834"/>
    <w:rsid w:val="004C18B1"/>
    <w:rsid w:val="004C18FF"/>
    <w:rsid w:val="004C1D9B"/>
    <w:rsid w:val="004C1EFD"/>
    <w:rsid w:val="004C1F74"/>
    <w:rsid w:val="004C21AA"/>
    <w:rsid w:val="004C226D"/>
    <w:rsid w:val="004C236F"/>
    <w:rsid w:val="004C237E"/>
    <w:rsid w:val="004C23C7"/>
    <w:rsid w:val="004C23D6"/>
    <w:rsid w:val="004C259C"/>
    <w:rsid w:val="004C2774"/>
    <w:rsid w:val="004C28FD"/>
    <w:rsid w:val="004C2902"/>
    <w:rsid w:val="004C291A"/>
    <w:rsid w:val="004C29D7"/>
    <w:rsid w:val="004C2DCC"/>
    <w:rsid w:val="004C2F77"/>
    <w:rsid w:val="004C300D"/>
    <w:rsid w:val="004C3098"/>
    <w:rsid w:val="004C313F"/>
    <w:rsid w:val="004C315B"/>
    <w:rsid w:val="004C31B9"/>
    <w:rsid w:val="004C3285"/>
    <w:rsid w:val="004C32A2"/>
    <w:rsid w:val="004C32BF"/>
    <w:rsid w:val="004C33AD"/>
    <w:rsid w:val="004C342C"/>
    <w:rsid w:val="004C3501"/>
    <w:rsid w:val="004C3574"/>
    <w:rsid w:val="004C3681"/>
    <w:rsid w:val="004C36A8"/>
    <w:rsid w:val="004C36FD"/>
    <w:rsid w:val="004C370E"/>
    <w:rsid w:val="004C3926"/>
    <w:rsid w:val="004C39F0"/>
    <w:rsid w:val="004C3AC4"/>
    <w:rsid w:val="004C3CF5"/>
    <w:rsid w:val="004C3F08"/>
    <w:rsid w:val="004C3FB0"/>
    <w:rsid w:val="004C3FB5"/>
    <w:rsid w:val="004C4067"/>
    <w:rsid w:val="004C40CB"/>
    <w:rsid w:val="004C412D"/>
    <w:rsid w:val="004C41B6"/>
    <w:rsid w:val="004C4283"/>
    <w:rsid w:val="004C4322"/>
    <w:rsid w:val="004C4352"/>
    <w:rsid w:val="004C44D1"/>
    <w:rsid w:val="004C44DF"/>
    <w:rsid w:val="004C4539"/>
    <w:rsid w:val="004C454E"/>
    <w:rsid w:val="004C46CC"/>
    <w:rsid w:val="004C46E6"/>
    <w:rsid w:val="004C4732"/>
    <w:rsid w:val="004C4B32"/>
    <w:rsid w:val="004C4C0D"/>
    <w:rsid w:val="004C4D31"/>
    <w:rsid w:val="004C4FA7"/>
    <w:rsid w:val="004C5110"/>
    <w:rsid w:val="004C51C9"/>
    <w:rsid w:val="004C5363"/>
    <w:rsid w:val="004C53CA"/>
    <w:rsid w:val="004C53E5"/>
    <w:rsid w:val="004C55FB"/>
    <w:rsid w:val="004C5662"/>
    <w:rsid w:val="004C5840"/>
    <w:rsid w:val="004C5863"/>
    <w:rsid w:val="004C5A4A"/>
    <w:rsid w:val="004C5A95"/>
    <w:rsid w:val="004C5AA6"/>
    <w:rsid w:val="004C5CEC"/>
    <w:rsid w:val="004C5D86"/>
    <w:rsid w:val="004C5DAA"/>
    <w:rsid w:val="004C5E4C"/>
    <w:rsid w:val="004C5EBF"/>
    <w:rsid w:val="004C6238"/>
    <w:rsid w:val="004C6252"/>
    <w:rsid w:val="004C6265"/>
    <w:rsid w:val="004C638E"/>
    <w:rsid w:val="004C63BE"/>
    <w:rsid w:val="004C6426"/>
    <w:rsid w:val="004C6459"/>
    <w:rsid w:val="004C6673"/>
    <w:rsid w:val="004C6A39"/>
    <w:rsid w:val="004C6B42"/>
    <w:rsid w:val="004C6B7B"/>
    <w:rsid w:val="004C6C8E"/>
    <w:rsid w:val="004C6D17"/>
    <w:rsid w:val="004C6D25"/>
    <w:rsid w:val="004C6D63"/>
    <w:rsid w:val="004C6D81"/>
    <w:rsid w:val="004C7066"/>
    <w:rsid w:val="004C725F"/>
    <w:rsid w:val="004C731E"/>
    <w:rsid w:val="004C735C"/>
    <w:rsid w:val="004C73EA"/>
    <w:rsid w:val="004C7510"/>
    <w:rsid w:val="004C758F"/>
    <w:rsid w:val="004C75C3"/>
    <w:rsid w:val="004C75EB"/>
    <w:rsid w:val="004C761E"/>
    <w:rsid w:val="004C76A7"/>
    <w:rsid w:val="004C76CD"/>
    <w:rsid w:val="004C770E"/>
    <w:rsid w:val="004C785E"/>
    <w:rsid w:val="004C793F"/>
    <w:rsid w:val="004C7C01"/>
    <w:rsid w:val="004C7C9D"/>
    <w:rsid w:val="004C7D0F"/>
    <w:rsid w:val="004C7F63"/>
    <w:rsid w:val="004D006A"/>
    <w:rsid w:val="004D0132"/>
    <w:rsid w:val="004D014A"/>
    <w:rsid w:val="004D0180"/>
    <w:rsid w:val="004D01FC"/>
    <w:rsid w:val="004D02DE"/>
    <w:rsid w:val="004D0326"/>
    <w:rsid w:val="004D05BA"/>
    <w:rsid w:val="004D05BE"/>
    <w:rsid w:val="004D0663"/>
    <w:rsid w:val="004D07BA"/>
    <w:rsid w:val="004D07F5"/>
    <w:rsid w:val="004D08D0"/>
    <w:rsid w:val="004D0ACB"/>
    <w:rsid w:val="004D0B1A"/>
    <w:rsid w:val="004D0C34"/>
    <w:rsid w:val="004D0CA6"/>
    <w:rsid w:val="004D0D57"/>
    <w:rsid w:val="004D0ED2"/>
    <w:rsid w:val="004D0ED4"/>
    <w:rsid w:val="004D1013"/>
    <w:rsid w:val="004D11B5"/>
    <w:rsid w:val="004D11FB"/>
    <w:rsid w:val="004D127F"/>
    <w:rsid w:val="004D1484"/>
    <w:rsid w:val="004D15C4"/>
    <w:rsid w:val="004D1637"/>
    <w:rsid w:val="004D1682"/>
    <w:rsid w:val="004D1876"/>
    <w:rsid w:val="004D1883"/>
    <w:rsid w:val="004D18AF"/>
    <w:rsid w:val="004D19BC"/>
    <w:rsid w:val="004D19D6"/>
    <w:rsid w:val="004D1A82"/>
    <w:rsid w:val="004D1CBE"/>
    <w:rsid w:val="004D1D36"/>
    <w:rsid w:val="004D1D4C"/>
    <w:rsid w:val="004D1DED"/>
    <w:rsid w:val="004D1FED"/>
    <w:rsid w:val="004D20AF"/>
    <w:rsid w:val="004D21A4"/>
    <w:rsid w:val="004D21F8"/>
    <w:rsid w:val="004D2297"/>
    <w:rsid w:val="004D2523"/>
    <w:rsid w:val="004D258F"/>
    <w:rsid w:val="004D25DD"/>
    <w:rsid w:val="004D2626"/>
    <w:rsid w:val="004D2655"/>
    <w:rsid w:val="004D267E"/>
    <w:rsid w:val="004D27DE"/>
    <w:rsid w:val="004D28DF"/>
    <w:rsid w:val="004D2A28"/>
    <w:rsid w:val="004D2AAC"/>
    <w:rsid w:val="004D2B55"/>
    <w:rsid w:val="004D2DFF"/>
    <w:rsid w:val="004D2E24"/>
    <w:rsid w:val="004D2E9B"/>
    <w:rsid w:val="004D2F6B"/>
    <w:rsid w:val="004D3143"/>
    <w:rsid w:val="004D326E"/>
    <w:rsid w:val="004D3378"/>
    <w:rsid w:val="004D3415"/>
    <w:rsid w:val="004D3445"/>
    <w:rsid w:val="004D3557"/>
    <w:rsid w:val="004D359E"/>
    <w:rsid w:val="004D3625"/>
    <w:rsid w:val="004D3653"/>
    <w:rsid w:val="004D37B6"/>
    <w:rsid w:val="004D37CA"/>
    <w:rsid w:val="004D38F5"/>
    <w:rsid w:val="004D3988"/>
    <w:rsid w:val="004D39D3"/>
    <w:rsid w:val="004D3A4F"/>
    <w:rsid w:val="004D3A5B"/>
    <w:rsid w:val="004D3B0E"/>
    <w:rsid w:val="004D3BBE"/>
    <w:rsid w:val="004D3C0E"/>
    <w:rsid w:val="004D3D03"/>
    <w:rsid w:val="004D3E2B"/>
    <w:rsid w:val="004D3EA8"/>
    <w:rsid w:val="004D3EB6"/>
    <w:rsid w:val="004D4012"/>
    <w:rsid w:val="004D40A2"/>
    <w:rsid w:val="004D40B3"/>
    <w:rsid w:val="004D422D"/>
    <w:rsid w:val="004D423B"/>
    <w:rsid w:val="004D4320"/>
    <w:rsid w:val="004D4571"/>
    <w:rsid w:val="004D45FA"/>
    <w:rsid w:val="004D473A"/>
    <w:rsid w:val="004D4772"/>
    <w:rsid w:val="004D486D"/>
    <w:rsid w:val="004D487E"/>
    <w:rsid w:val="004D4880"/>
    <w:rsid w:val="004D4969"/>
    <w:rsid w:val="004D4A21"/>
    <w:rsid w:val="004D4A30"/>
    <w:rsid w:val="004D4A90"/>
    <w:rsid w:val="004D4D13"/>
    <w:rsid w:val="004D4D56"/>
    <w:rsid w:val="004D5250"/>
    <w:rsid w:val="004D5273"/>
    <w:rsid w:val="004D52BD"/>
    <w:rsid w:val="004D53C5"/>
    <w:rsid w:val="004D567C"/>
    <w:rsid w:val="004D575B"/>
    <w:rsid w:val="004D582A"/>
    <w:rsid w:val="004D583A"/>
    <w:rsid w:val="004D5A8C"/>
    <w:rsid w:val="004D5BD3"/>
    <w:rsid w:val="004D5C23"/>
    <w:rsid w:val="004D6097"/>
    <w:rsid w:val="004D6340"/>
    <w:rsid w:val="004D6478"/>
    <w:rsid w:val="004D64E7"/>
    <w:rsid w:val="004D6546"/>
    <w:rsid w:val="004D66A2"/>
    <w:rsid w:val="004D66E0"/>
    <w:rsid w:val="004D6926"/>
    <w:rsid w:val="004D698F"/>
    <w:rsid w:val="004D6A21"/>
    <w:rsid w:val="004D6B26"/>
    <w:rsid w:val="004D6B99"/>
    <w:rsid w:val="004D6C4C"/>
    <w:rsid w:val="004D6C6F"/>
    <w:rsid w:val="004D6E37"/>
    <w:rsid w:val="004D7155"/>
    <w:rsid w:val="004D7158"/>
    <w:rsid w:val="004D73C9"/>
    <w:rsid w:val="004D73CB"/>
    <w:rsid w:val="004D73D9"/>
    <w:rsid w:val="004D7509"/>
    <w:rsid w:val="004D7648"/>
    <w:rsid w:val="004D777C"/>
    <w:rsid w:val="004D783C"/>
    <w:rsid w:val="004D78AC"/>
    <w:rsid w:val="004D78F2"/>
    <w:rsid w:val="004D7A0C"/>
    <w:rsid w:val="004D7AFF"/>
    <w:rsid w:val="004D7B2D"/>
    <w:rsid w:val="004D7B38"/>
    <w:rsid w:val="004E009E"/>
    <w:rsid w:val="004E00EA"/>
    <w:rsid w:val="004E012A"/>
    <w:rsid w:val="004E0136"/>
    <w:rsid w:val="004E0151"/>
    <w:rsid w:val="004E0307"/>
    <w:rsid w:val="004E0319"/>
    <w:rsid w:val="004E032D"/>
    <w:rsid w:val="004E03DE"/>
    <w:rsid w:val="004E041F"/>
    <w:rsid w:val="004E04A8"/>
    <w:rsid w:val="004E050A"/>
    <w:rsid w:val="004E05E0"/>
    <w:rsid w:val="004E0650"/>
    <w:rsid w:val="004E092F"/>
    <w:rsid w:val="004E0AB8"/>
    <w:rsid w:val="004E0BAD"/>
    <w:rsid w:val="004E0CCF"/>
    <w:rsid w:val="004E0CF2"/>
    <w:rsid w:val="004E0DA0"/>
    <w:rsid w:val="004E0F04"/>
    <w:rsid w:val="004E0F57"/>
    <w:rsid w:val="004E0FFB"/>
    <w:rsid w:val="004E1064"/>
    <w:rsid w:val="004E1105"/>
    <w:rsid w:val="004E11FE"/>
    <w:rsid w:val="004E1254"/>
    <w:rsid w:val="004E1332"/>
    <w:rsid w:val="004E144A"/>
    <w:rsid w:val="004E147D"/>
    <w:rsid w:val="004E151D"/>
    <w:rsid w:val="004E1521"/>
    <w:rsid w:val="004E1630"/>
    <w:rsid w:val="004E1669"/>
    <w:rsid w:val="004E16A3"/>
    <w:rsid w:val="004E16C8"/>
    <w:rsid w:val="004E17BE"/>
    <w:rsid w:val="004E1942"/>
    <w:rsid w:val="004E1A66"/>
    <w:rsid w:val="004E1AF8"/>
    <w:rsid w:val="004E1B89"/>
    <w:rsid w:val="004E1B92"/>
    <w:rsid w:val="004E1BB2"/>
    <w:rsid w:val="004E1D75"/>
    <w:rsid w:val="004E2020"/>
    <w:rsid w:val="004E2128"/>
    <w:rsid w:val="004E22A3"/>
    <w:rsid w:val="004E22C4"/>
    <w:rsid w:val="004E2300"/>
    <w:rsid w:val="004E236A"/>
    <w:rsid w:val="004E23B0"/>
    <w:rsid w:val="004E2628"/>
    <w:rsid w:val="004E2645"/>
    <w:rsid w:val="004E2823"/>
    <w:rsid w:val="004E2887"/>
    <w:rsid w:val="004E28EA"/>
    <w:rsid w:val="004E2916"/>
    <w:rsid w:val="004E2923"/>
    <w:rsid w:val="004E292E"/>
    <w:rsid w:val="004E29B3"/>
    <w:rsid w:val="004E2A2C"/>
    <w:rsid w:val="004E2B20"/>
    <w:rsid w:val="004E2D08"/>
    <w:rsid w:val="004E2E81"/>
    <w:rsid w:val="004E2F61"/>
    <w:rsid w:val="004E3009"/>
    <w:rsid w:val="004E30C9"/>
    <w:rsid w:val="004E3199"/>
    <w:rsid w:val="004E31DE"/>
    <w:rsid w:val="004E33CD"/>
    <w:rsid w:val="004E3512"/>
    <w:rsid w:val="004E35C1"/>
    <w:rsid w:val="004E370C"/>
    <w:rsid w:val="004E3832"/>
    <w:rsid w:val="004E385D"/>
    <w:rsid w:val="004E38BC"/>
    <w:rsid w:val="004E38C6"/>
    <w:rsid w:val="004E39D5"/>
    <w:rsid w:val="004E3ABD"/>
    <w:rsid w:val="004E3C93"/>
    <w:rsid w:val="004E3F27"/>
    <w:rsid w:val="004E3FFB"/>
    <w:rsid w:val="004E4172"/>
    <w:rsid w:val="004E425D"/>
    <w:rsid w:val="004E4268"/>
    <w:rsid w:val="004E433D"/>
    <w:rsid w:val="004E43D6"/>
    <w:rsid w:val="004E447D"/>
    <w:rsid w:val="004E448A"/>
    <w:rsid w:val="004E4530"/>
    <w:rsid w:val="004E453D"/>
    <w:rsid w:val="004E4715"/>
    <w:rsid w:val="004E4980"/>
    <w:rsid w:val="004E49B2"/>
    <w:rsid w:val="004E49EB"/>
    <w:rsid w:val="004E4AA1"/>
    <w:rsid w:val="004E4AE4"/>
    <w:rsid w:val="004E4AF3"/>
    <w:rsid w:val="004E4B31"/>
    <w:rsid w:val="004E4B71"/>
    <w:rsid w:val="004E4C35"/>
    <w:rsid w:val="004E4C3A"/>
    <w:rsid w:val="004E4D0B"/>
    <w:rsid w:val="004E4D60"/>
    <w:rsid w:val="004E4DB2"/>
    <w:rsid w:val="004E4EFD"/>
    <w:rsid w:val="004E4F3D"/>
    <w:rsid w:val="004E506B"/>
    <w:rsid w:val="004E5109"/>
    <w:rsid w:val="004E51DF"/>
    <w:rsid w:val="004E52D9"/>
    <w:rsid w:val="004E5380"/>
    <w:rsid w:val="004E5572"/>
    <w:rsid w:val="004E5577"/>
    <w:rsid w:val="004E567B"/>
    <w:rsid w:val="004E576B"/>
    <w:rsid w:val="004E5785"/>
    <w:rsid w:val="004E588D"/>
    <w:rsid w:val="004E597A"/>
    <w:rsid w:val="004E5C47"/>
    <w:rsid w:val="004E5CD3"/>
    <w:rsid w:val="004E5E31"/>
    <w:rsid w:val="004E5EC7"/>
    <w:rsid w:val="004E5FA0"/>
    <w:rsid w:val="004E5FDF"/>
    <w:rsid w:val="004E6099"/>
    <w:rsid w:val="004E6316"/>
    <w:rsid w:val="004E636C"/>
    <w:rsid w:val="004E6370"/>
    <w:rsid w:val="004E63F9"/>
    <w:rsid w:val="004E644B"/>
    <w:rsid w:val="004E6493"/>
    <w:rsid w:val="004E665D"/>
    <w:rsid w:val="004E68F8"/>
    <w:rsid w:val="004E695D"/>
    <w:rsid w:val="004E6AED"/>
    <w:rsid w:val="004E6B14"/>
    <w:rsid w:val="004E6BAB"/>
    <w:rsid w:val="004E6C4E"/>
    <w:rsid w:val="004E6C51"/>
    <w:rsid w:val="004E6C5E"/>
    <w:rsid w:val="004E6D5F"/>
    <w:rsid w:val="004E6DA6"/>
    <w:rsid w:val="004E6EE7"/>
    <w:rsid w:val="004E705D"/>
    <w:rsid w:val="004E7111"/>
    <w:rsid w:val="004E71D7"/>
    <w:rsid w:val="004E71E7"/>
    <w:rsid w:val="004E743F"/>
    <w:rsid w:val="004E7524"/>
    <w:rsid w:val="004E7751"/>
    <w:rsid w:val="004E77E9"/>
    <w:rsid w:val="004E785F"/>
    <w:rsid w:val="004E793E"/>
    <w:rsid w:val="004E7AB9"/>
    <w:rsid w:val="004E7BA7"/>
    <w:rsid w:val="004E7D1D"/>
    <w:rsid w:val="004E7D75"/>
    <w:rsid w:val="004F00E7"/>
    <w:rsid w:val="004F01F9"/>
    <w:rsid w:val="004F0284"/>
    <w:rsid w:val="004F029A"/>
    <w:rsid w:val="004F036F"/>
    <w:rsid w:val="004F03E0"/>
    <w:rsid w:val="004F03EF"/>
    <w:rsid w:val="004F09F0"/>
    <w:rsid w:val="004F09F2"/>
    <w:rsid w:val="004F0C84"/>
    <w:rsid w:val="004F0CDF"/>
    <w:rsid w:val="004F0DEE"/>
    <w:rsid w:val="004F0E10"/>
    <w:rsid w:val="004F0E11"/>
    <w:rsid w:val="004F0EF6"/>
    <w:rsid w:val="004F0F3A"/>
    <w:rsid w:val="004F10AD"/>
    <w:rsid w:val="004F10E9"/>
    <w:rsid w:val="004F1107"/>
    <w:rsid w:val="004F1319"/>
    <w:rsid w:val="004F1390"/>
    <w:rsid w:val="004F173E"/>
    <w:rsid w:val="004F1741"/>
    <w:rsid w:val="004F174F"/>
    <w:rsid w:val="004F1750"/>
    <w:rsid w:val="004F197B"/>
    <w:rsid w:val="004F198B"/>
    <w:rsid w:val="004F19A6"/>
    <w:rsid w:val="004F1A0E"/>
    <w:rsid w:val="004F1A50"/>
    <w:rsid w:val="004F1A5C"/>
    <w:rsid w:val="004F1A9F"/>
    <w:rsid w:val="004F1C97"/>
    <w:rsid w:val="004F1CA7"/>
    <w:rsid w:val="004F1D6C"/>
    <w:rsid w:val="004F1DD0"/>
    <w:rsid w:val="004F20B2"/>
    <w:rsid w:val="004F210A"/>
    <w:rsid w:val="004F21E1"/>
    <w:rsid w:val="004F22D0"/>
    <w:rsid w:val="004F2491"/>
    <w:rsid w:val="004F26D8"/>
    <w:rsid w:val="004F284F"/>
    <w:rsid w:val="004F2893"/>
    <w:rsid w:val="004F2932"/>
    <w:rsid w:val="004F295D"/>
    <w:rsid w:val="004F29F0"/>
    <w:rsid w:val="004F2A5C"/>
    <w:rsid w:val="004F2AB5"/>
    <w:rsid w:val="004F2ACD"/>
    <w:rsid w:val="004F2B5C"/>
    <w:rsid w:val="004F2C01"/>
    <w:rsid w:val="004F2C23"/>
    <w:rsid w:val="004F2C41"/>
    <w:rsid w:val="004F2D12"/>
    <w:rsid w:val="004F2D4F"/>
    <w:rsid w:val="004F2DB6"/>
    <w:rsid w:val="004F2E8C"/>
    <w:rsid w:val="004F2F71"/>
    <w:rsid w:val="004F2F87"/>
    <w:rsid w:val="004F3027"/>
    <w:rsid w:val="004F31A3"/>
    <w:rsid w:val="004F31ED"/>
    <w:rsid w:val="004F32B3"/>
    <w:rsid w:val="004F3419"/>
    <w:rsid w:val="004F35EC"/>
    <w:rsid w:val="004F3664"/>
    <w:rsid w:val="004F39C0"/>
    <w:rsid w:val="004F39E2"/>
    <w:rsid w:val="004F3A9C"/>
    <w:rsid w:val="004F3CCF"/>
    <w:rsid w:val="004F3D06"/>
    <w:rsid w:val="004F3FA8"/>
    <w:rsid w:val="004F407C"/>
    <w:rsid w:val="004F4081"/>
    <w:rsid w:val="004F4098"/>
    <w:rsid w:val="004F40D2"/>
    <w:rsid w:val="004F418D"/>
    <w:rsid w:val="004F424B"/>
    <w:rsid w:val="004F43DF"/>
    <w:rsid w:val="004F43E0"/>
    <w:rsid w:val="004F4409"/>
    <w:rsid w:val="004F4469"/>
    <w:rsid w:val="004F45F0"/>
    <w:rsid w:val="004F46EC"/>
    <w:rsid w:val="004F47CF"/>
    <w:rsid w:val="004F47F9"/>
    <w:rsid w:val="004F4976"/>
    <w:rsid w:val="004F4AB7"/>
    <w:rsid w:val="004F4B18"/>
    <w:rsid w:val="004F4B92"/>
    <w:rsid w:val="004F4C5D"/>
    <w:rsid w:val="004F4CA3"/>
    <w:rsid w:val="004F4CC5"/>
    <w:rsid w:val="004F4D12"/>
    <w:rsid w:val="004F4EF6"/>
    <w:rsid w:val="004F4F76"/>
    <w:rsid w:val="004F4FFE"/>
    <w:rsid w:val="004F509A"/>
    <w:rsid w:val="004F5304"/>
    <w:rsid w:val="004F533F"/>
    <w:rsid w:val="004F5393"/>
    <w:rsid w:val="004F5687"/>
    <w:rsid w:val="004F5A66"/>
    <w:rsid w:val="004F5AA2"/>
    <w:rsid w:val="004F5C42"/>
    <w:rsid w:val="004F5CF1"/>
    <w:rsid w:val="004F5DBC"/>
    <w:rsid w:val="004F5E16"/>
    <w:rsid w:val="004F5E93"/>
    <w:rsid w:val="004F5EA8"/>
    <w:rsid w:val="004F5F11"/>
    <w:rsid w:val="004F5F32"/>
    <w:rsid w:val="004F6028"/>
    <w:rsid w:val="004F6036"/>
    <w:rsid w:val="004F609B"/>
    <w:rsid w:val="004F6187"/>
    <w:rsid w:val="004F61B0"/>
    <w:rsid w:val="004F61BF"/>
    <w:rsid w:val="004F61F5"/>
    <w:rsid w:val="004F6334"/>
    <w:rsid w:val="004F6353"/>
    <w:rsid w:val="004F636C"/>
    <w:rsid w:val="004F63B5"/>
    <w:rsid w:val="004F63E6"/>
    <w:rsid w:val="004F6517"/>
    <w:rsid w:val="004F6645"/>
    <w:rsid w:val="004F6744"/>
    <w:rsid w:val="004F6953"/>
    <w:rsid w:val="004F6981"/>
    <w:rsid w:val="004F6B10"/>
    <w:rsid w:val="004F6DE5"/>
    <w:rsid w:val="004F6F12"/>
    <w:rsid w:val="004F6F32"/>
    <w:rsid w:val="004F70C1"/>
    <w:rsid w:val="004F716C"/>
    <w:rsid w:val="004F71EC"/>
    <w:rsid w:val="004F7268"/>
    <w:rsid w:val="004F733A"/>
    <w:rsid w:val="004F747D"/>
    <w:rsid w:val="004F7515"/>
    <w:rsid w:val="004F7598"/>
    <w:rsid w:val="004F75A4"/>
    <w:rsid w:val="004F7606"/>
    <w:rsid w:val="004F76D6"/>
    <w:rsid w:val="004F77A8"/>
    <w:rsid w:val="004F77AA"/>
    <w:rsid w:val="004F7847"/>
    <w:rsid w:val="004F78BB"/>
    <w:rsid w:val="004F798D"/>
    <w:rsid w:val="004F79B0"/>
    <w:rsid w:val="004F7BBA"/>
    <w:rsid w:val="004F7C56"/>
    <w:rsid w:val="005000B6"/>
    <w:rsid w:val="00500136"/>
    <w:rsid w:val="00500145"/>
    <w:rsid w:val="005001A9"/>
    <w:rsid w:val="00500284"/>
    <w:rsid w:val="005002D6"/>
    <w:rsid w:val="0050030C"/>
    <w:rsid w:val="0050031A"/>
    <w:rsid w:val="0050035B"/>
    <w:rsid w:val="00500691"/>
    <w:rsid w:val="00500778"/>
    <w:rsid w:val="00500782"/>
    <w:rsid w:val="005007F3"/>
    <w:rsid w:val="00500809"/>
    <w:rsid w:val="00500845"/>
    <w:rsid w:val="00500855"/>
    <w:rsid w:val="00500898"/>
    <w:rsid w:val="005008D5"/>
    <w:rsid w:val="00500A75"/>
    <w:rsid w:val="00500B85"/>
    <w:rsid w:val="00500BC9"/>
    <w:rsid w:val="00500CF1"/>
    <w:rsid w:val="00500DB8"/>
    <w:rsid w:val="00500E86"/>
    <w:rsid w:val="00500EF9"/>
    <w:rsid w:val="00501071"/>
    <w:rsid w:val="00501148"/>
    <w:rsid w:val="0050116F"/>
    <w:rsid w:val="00501218"/>
    <w:rsid w:val="005013B9"/>
    <w:rsid w:val="0050140A"/>
    <w:rsid w:val="0050140D"/>
    <w:rsid w:val="00501498"/>
    <w:rsid w:val="00501562"/>
    <w:rsid w:val="0050156E"/>
    <w:rsid w:val="00501635"/>
    <w:rsid w:val="005017C0"/>
    <w:rsid w:val="00501836"/>
    <w:rsid w:val="00501870"/>
    <w:rsid w:val="00501A09"/>
    <w:rsid w:val="00501A0F"/>
    <w:rsid w:val="00501A7B"/>
    <w:rsid w:val="00501B20"/>
    <w:rsid w:val="00501B6C"/>
    <w:rsid w:val="00501B77"/>
    <w:rsid w:val="00501B84"/>
    <w:rsid w:val="00501BA1"/>
    <w:rsid w:val="00501C04"/>
    <w:rsid w:val="00501D77"/>
    <w:rsid w:val="00501E64"/>
    <w:rsid w:val="00501E77"/>
    <w:rsid w:val="00501F19"/>
    <w:rsid w:val="00501F29"/>
    <w:rsid w:val="00501F4E"/>
    <w:rsid w:val="00501F51"/>
    <w:rsid w:val="00501F96"/>
    <w:rsid w:val="00502089"/>
    <w:rsid w:val="00502090"/>
    <w:rsid w:val="005020F7"/>
    <w:rsid w:val="00502102"/>
    <w:rsid w:val="00502168"/>
    <w:rsid w:val="0050225C"/>
    <w:rsid w:val="0050237A"/>
    <w:rsid w:val="005023E2"/>
    <w:rsid w:val="00502417"/>
    <w:rsid w:val="00502456"/>
    <w:rsid w:val="005026A8"/>
    <w:rsid w:val="00502892"/>
    <w:rsid w:val="005028CF"/>
    <w:rsid w:val="005029E7"/>
    <w:rsid w:val="00502A9D"/>
    <w:rsid w:val="00502EF1"/>
    <w:rsid w:val="00502F2C"/>
    <w:rsid w:val="00502F68"/>
    <w:rsid w:val="005030E5"/>
    <w:rsid w:val="0050315A"/>
    <w:rsid w:val="005032CD"/>
    <w:rsid w:val="0050338B"/>
    <w:rsid w:val="00503391"/>
    <w:rsid w:val="0050349B"/>
    <w:rsid w:val="0050375E"/>
    <w:rsid w:val="00503775"/>
    <w:rsid w:val="00503853"/>
    <w:rsid w:val="00503987"/>
    <w:rsid w:val="005039A6"/>
    <w:rsid w:val="00503A12"/>
    <w:rsid w:val="00503B67"/>
    <w:rsid w:val="00503BC6"/>
    <w:rsid w:val="00503DA7"/>
    <w:rsid w:val="00503F98"/>
    <w:rsid w:val="00504030"/>
    <w:rsid w:val="0050405D"/>
    <w:rsid w:val="005041ED"/>
    <w:rsid w:val="00504236"/>
    <w:rsid w:val="0050444A"/>
    <w:rsid w:val="0050468D"/>
    <w:rsid w:val="00504B85"/>
    <w:rsid w:val="00504CF9"/>
    <w:rsid w:val="00504DBA"/>
    <w:rsid w:val="00504DD3"/>
    <w:rsid w:val="00504E0D"/>
    <w:rsid w:val="00504E87"/>
    <w:rsid w:val="00504F58"/>
    <w:rsid w:val="00504FFA"/>
    <w:rsid w:val="00505093"/>
    <w:rsid w:val="00505229"/>
    <w:rsid w:val="0050522B"/>
    <w:rsid w:val="005054AC"/>
    <w:rsid w:val="0050556D"/>
    <w:rsid w:val="0050565B"/>
    <w:rsid w:val="00505775"/>
    <w:rsid w:val="005058C9"/>
    <w:rsid w:val="00505C1D"/>
    <w:rsid w:val="00505CF6"/>
    <w:rsid w:val="00505DD6"/>
    <w:rsid w:val="00505E1C"/>
    <w:rsid w:val="00505E57"/>
    <w:rsid w:val="00505EA9"/>
    <w:rsid w:val="00505ECB"/>
    <w:rsid w:val="00505F03"/>
    <w:rsid w:val="00505F3A"/>
    <w:rsid w:val="00506059"/>
    <w:rsid w:val="005060D1"/>
    <w:rsid w:val="00506121"/>
    <w:rsid w:val="00506228"/>
    <w:rsid w:val="0050636B"/>
    <w:rsid w:val="0050642E"/>
    <w:rsid w:val="005066BD"/>
    <w:rsid w:val="0050673E"/>
    <w:rsid w:val="00506839"/>
    <w:rsid w:val="005069CB"/>
    <w:rsid w:val="00506C1B"/>
    <w:rsid w:val="00506C3D"/>
    <w:rsid w:val="00506D6E"/>
    <w:rsid w:val="00506ECD"/>
    <w:rsid w:val="0050704A"/>
    <w:rsid w:val="005070E1"/>
    <w:rsid w:val="0050743C"/>
    <w:rsid w:val="005074BA"/>
    <w:rsid w:val="00507588"/>
    <w:rsid w:val="005076D0"/>
    <w:rsid w:val="00507726"/>
    <w:rsid w:val="005077EF"/>
    <w:rsid w:val="005078BF"/>
    <w:rsid w:val="00507AFB"/>
    <w:rsid w:val="00507B0F"/>
    <w:rsid w:val="00507BB0"/>
    <w:rsid w:val="00507BC7"/>
    <w:rsid w:val="00507DD3"/>
    <w:rsid w:val="00507F34"/>
    <w:rsid w:val="00507F37"/>
    <w:rsid w:val="00510152"/>
    <w:rsid w:val="00510501"/>
    <w:rsid w:val="00510552"/>
    <w:rsid w:val="00510596"/>
    <w:rsid w:val="00510630"/>
    <w:rsid w:val="005109FE"/>
    <w:rsid w:val="00510A94"/>
    <w:rsid w:val="00510AA2"/>
    <w:rsid w:val="00510B3A"/>
    <w:rsid w:val="00510B72"/>
    <w:rsid w:val="00510BF0"/>
    <w:rsid w:val="00510E56"/>
    <w:rsid w:val="00510E62"/>
    <w:rsid w:val="00510F43"/>
    <w:rsid w:val="00510F97"/>
    <w:rsid w:val="00510FFB"/>
    <w:rsid w:val="00511080"/>
    <w:rsid w:val="0051115F"/>
    <w:rsid w:val="0051116C"/>
    <w:rsid w:val="00511196"/>
    <w:rsid w:val="0051120D"/>
    <w:rsid w:val="00511244"/>
    <w:rsid w:val="005113CD"/>
    <w:rsid w:val="00511462"/>
    <w:rsid w:val="00511629"/>
    <w:rsid w:val="0051164A"/>
    <w:rsid w:val="0051181D"/>
    <w:rsid w:val="00511831"/>
    <w:rsid w:val="005118E5"/>
    <w:rsid w:val="005118E8"/>
    <w:rsid w:val="005119AE"/>
    <w:rsid w:val="00511A1F"/>
    <w:rsid w:val="00511A7A"/>
    <w:rsid w:val="00511ADD"/>
    <w:rsid w:val="00511B1F"/>
    <w:rsid w:val="00511B47"/>
    <w:rsid w:val="00511C26"/>
    <w:rsid w:val="00511D9E"/>
    <w:rsid w:val="00511DD1"/>
    <w:rsid w:val="00511E64"/>
    <w:rsid w:val="00511EE2"/>
    <w:rsid w:val="00511F08"/>
    <w:rsid w:val="00512063"/>
    <w:rsid w:val="005120CE"/>
    <w:rsid w:val="0051217F"/>
    <w:rsid w:val="005121E9"/>
    <w:rsid w:val="00512226"/>
    <w:rsid w:val="00512486"/>
    <w:rsid w:val="0051249A"/>
    <w:rsid w:val="0051250E"/>
    <w:rsid w:val="00512525"/>
    <w:rsid w:val="005126AD"/>
    <w:rsid w:val="005126BF"/>
    <w:rsid w:val="005128C4"/>
    <w:rsid w:val="00512A84"/>
    <w:rsid w:val="00512ABB"/>
    <w:rsid w:val="00512B51"/>
    <w:rsid w:val="00512DF2"/>
    <w:rsid w:val="00512E0E"/>
    <w:rsid w:val="00512E1E"/>
    <w:rsid w:val="0051310E"/>
    <w:rsid w:val="00513192"/>
    <w:rsid w:val="005133CF"/>
    <w:rsid w:val="00513423"/>
    <w:rsid w:val="0051342E"/>
    <w:rsid w:val="005134C2"/>
    <w:rsid w:val="005136F9"/>
    <w:rsid w:val="00513799"/>
    <w:rsid w:val="005137EC"/>
    <w:rsid w:val="00513902"/>
    <w:rsid w:val="00513BD8"/>
    <w:rsid w:val="00513BEC"/>
    <w:rsid w:val="00513C7F"/>
    <w:rsid w:val="00513CF2"/>
    <w:rsid w:val="00513D9D"/>
    <w:rsid w:val="00513FD9"/>
    <w:rsid w:val="0051401E"/>
    <w:rsid w:val="005140A0"/>
    <w:rsid w:val="005140F2"/>
    <w:rsid w:val="00514131"/>
    <w:rsid w:val="00514208"/>
    <w:rsid w:val="0051438D"/>
    <w:rsid w:val="005144C7"/>
    <w:rsid w:val="005144C9"/>
    <w:rsid w:val="005144FE"/>
    <w:rsid w:val="00514598"/>
    <w:rsid w:val="00514622"/>
    <w:rsid w:val="00514A86"/>
    <w:rsid w:val="00514AA8"/>
    <w:rsid w:val="00514CCF"/>
    <w:rsid w:val="00514DA4"/>
    <w:rsid w:val="00514E17"/>
    <w:rsid w:val="00514EBF"/>
    <w:rsid w:val="0051503D"/>
    <w:rsid w:val="005151BE"/>
    <w:rsid w:val="005152E6"/>
    <w:rsid w:val="0051530F"/>
    <w:rsid w:val="00515336"/>
    <w:rsid w:val="0051538D"/>
    <w:rsid w:val="005153A8"/>
    <w:rsid w:val="00515454"/>
    <w:rsid w:val="00515495"/>
    <w:rsid w:val="00515953"/>
    <w:rsid w:val="005159F8"/>
    <w:rsid w:val="00515A30"/>
    <w:rsid w:val="00515A5E"/>
    <w:rsid w:val="00515A76"/>
    <w:rsid w:val="00515AC9"/>
    <w:rsid w:val="00515B52"/>
    <w:rsid w:val="00515B62"/>
    <w:rsid w:val="00515D80"/>
    <w:rsid w:val="00516031"/>
    <w:rsid w:val="0051603B"/>
    <w:rsid w:val="0051617B"/>
    <w:rsid w:val="00516273"/>
    <w:rsid w:val="0051648B"/>
    <w:rsid w:val="005164D9"/>
    <w:rsid w:val="00516550"/>
    <w:rsid w:val="005165AB"/>
    <w:rsid w:val="005165FA"/>
    <w:rsid w:val="0051673D"/>
    <w:rsid w:val="00516785"/>
    <w:rsid w:val="00516A40"/>
    <w:rsid w:val="00516C12"/>
    <w:rsid w:val="00516CF4"/>
    <w:rsid w:val="00516D2F"/>
    <w:rsid w:val="00516EB2"/>
    <w:rsid w:val="005170C7"/>
    <w:rsid w:val="00517225"/>
    <w:rsid w:val="005172CF"/>
    <w:rsid w:val="005173DF"/>
    <w:rsid w:val="0051742B"/>
    <w:rsid w:val="005174C5"/>
    <w:rsid w:val="005175E4"/>
    <w:rsid w:val="005176B1"/>
    <w:rsid w:val="005177AD"/>
    <w:rsid w:val="005177FC"/>
    <w:rsid w:val="00517AAB"/>
    <w:rsid w:val="00517AB5"/>
    <w:rsid w:val="00517AD4"/>
    <w:rsid w:val="00517BC1"/>
    <w:rsid w:val="00517C9B"/>
    <w:rsid w:val="00517E0C"/>
    <w:rsid w:val="00517F47"/>
    <w:rsid w:val="00517F7E"/>
    <w:rsid w:val="00520071"/>
    <w:rsid w:val="005203D8"/>
    <w:rsid w:val="005204A9"/>
    <w:rsid w:val="0052062B"/>
    <w:rsid w:val="0052067C"/>
    <w:rsid w:val="005209BC"/>
    <w:rsid w:val="00520B09"/>
    <w:rsid w:val="00520B1C"/>
    <w:rsid w:val="00520B27"/>
    <w:rsid w:val="00520BDC"/>
    <w:rsid w:val="00520D1E"/>
    <w:rsid w:val="00520DB5"/>
    <w:rsid w:val="00520E4C"/>
    <w:rsid w:val="00520E7A"/>
    <w:rsid w:val="005212B7"/>
    <w:rsid w:val="005212BF"/>
    <w:rsid w:val="005214AD"/>
    <w:rsid w:val="005214DB"/>
    <w:rsid w:val="00521698"/>
    <w:rsid w:val="005216E5"/>
    <w:rsid w:val="00521731"/>
    <w:rsid w:val="00521753"/>
    <w:rsid w:val="00521757"/>
    <w:rsid w:val="00521792"/>
    <w:rsid w:val="00521AD3"/>
    <w:rsid w:val="00521CB4"/>
    <w:rsid w:val="00521F32"/>
    <w:rsid w:val="00521F96"/>
    <w:rsid w:val="00522064"/>
    <w:rsid w:val="00522356"/>
    <w:rsid w:val="00522477"/>
    <w:rsid w:val="0052248A"/>
    <w:rsid w:val="00522499"/>
    <w:rsid w:val="0052250C"/>
    <w:rsid w:val="00522671"/>
    <w:rsid w:val="00522718"/>
    <w:rsid w:val="005227CE"/>
    <w:rsid w:val="00522811"/>
    <w:rsid w:val="005229C8"/>
    <w:rsid w:val="00522C8F"/>
    <w:rsid w:val="00522C92"/>
    <w:rsid w:val="00522D1B"/>
    <w:rsid w:val="00522E37"/>
    <w:rsid w:val="00522E99"/>
    <w:rsid w:val="00523064"/>
    <w:rsid w:val="0052309D"/>
    <w:rsid w:val="00523235"/>
    <w:rsid w:val="00523279"/>
    <w:rsid w:val="005236BE"/>
    <w:rsid w:val="005237D2"/>
    <w:rsid w:val="005238D7"/>
    <w:rsid w:val="00523B28"/>
    <w:rsid w:val="00523C3D"/>
    <w:rsid w:val="00523E17"/>
    <w:rsid w:val="00523E5A"/>
    <w:rsid w:val="00523EF1"/>
    <w:rsid w:val="00523F08"/>
    <w:rsid w:val="0052419D"/>
    <w:rsid w:val="005241C8"/>
    <w:rsid w:val="00524383"/>
    <w:rsid w:val="005243A4"/>
    <w:rsid w:val="00524430"/>
    <w:rsid w:val="005244AD"/>
    <w:rsid w:val="005244F6"/>
    <w:rsid w:val="005245B1"/>
    <w:rsid w:val="005246A4"/>
    <w:rsid w:val="005246FF"/>
    <w:rsid w:val="005247BB"/>
    <w:rsid w:val="00524895"/>
    <w:rsid w:val="005249F9"/>
    <w:rsid w:val="00524A21"/>
    <w:rsid w:val="00524AC1"/>
    <w:rsid w:val="00524AD8"/>
    <w:rsid w:val="00524C36"/>
    <w:rsid w:val="00524C83"/>
    <w:rsid w:val="00524CA8"/>
    <w:rsid w:val="00524D14"/>
    <w:rsid w:val="00524D3F"/>
    <w:rsid w:val="00524F82"/>
    <w:rsid w:val="00524FC0"/>
    <w:rsid w:val="005250C1"/>
    <w:rsid w:val="005250FD"/>
    <w:rsid w:val="00525105"/>
    <w:rsid w:val="00525114"/>
    <w:rsid w:val="00525231"/>
    <w:rsid w:val="005252C7"/>
    <w:rsid w:val="0052532C"/>
    <w:rsid w:val="0052536F"/>
    <w:rsid w:val="00525509"/>
    <w:rsid w:val="00525675"/>
    <w:rsid w:val="00525700"/>
    <w:rsid w:val="00525780"/>
    <w:rsid w:val="0052583D"/>
    <w:rsid w:val="005259FC"/>
    <w:rsid w:val="00525A0E"/>
    <w:rsid w:val="00525A3C"/>
    <w:rsid w:val="00525AFE"/>
    <w:rsid w:val="00525C5E"/>
    <w:rsid w:val="00525CBB"/>
    <w:rsid w:val="00525CBD"/>
    <w:rsid w:val="00525CE8"/>
    <w:rsid w:val="00525DB8"/>
    <w:rsid w:val="00525DD9"/>
    <w:rsid w:val="00526024"/>
    <w:rsid w:val="005260F5"/>
    <w:rsid w:val="0052613A"/>
    <w:rsid w:val="00526184"/>
    <w:rsid w:val="005262DB"/>
    <w:rsid w:val="00526538"/>
    <w:rsid w:val="005265E2"/>
    <w:rsid w:val="0052666C"/>
    <w:rsid w:val="0052668F"/>
    <w:rsid w:val="0052669B"/>
    <w:rsid w:val="0052674F"/>
    <w:rsid w:val="005267C5"/>
    <w:rsid w:val="0052685D"/>
    <w:rsid w:val="005268F3"/>
    <w:rsid w:val="00526921"/>
    <w:rsid w:val="0052695A"/>
    <w:rsid w:val="00526AA8"/>
    <w:rsid w:val="00526AFA"/>
    <w:rsid w:val="00526D89"/>
    <w:rsid w:val="00526DD9"/>
    <w:rsid w:val="00526EF2"/>
    <w:rsid w:val="00526F7B"/>
    <w:rsid w:val="0052710D"/>
    <w:rsid w:val="00527158"/>
    <w:rsid w:val="0052717E"/>
    <w:rsid w:val="005272B4"/>
    <w:rsid w:val="005272DB"/>
    <w:rsid w:val="00527511"/>
    <w:rsid w:val="00527616"/>
    <w:rsid w:val="005276BA"/>
    <w:rsid w:val="005276E7"/>
    <w:rsid w:val="005276EC"/>
    <w:rsid w:val="00527784"/>
    <w:rsid w:val="00527A54"/>
    <w:rsid w:val="00527B95"/>
    <w:rsid w:val="00527CCE"/>
    <w:rsid w:val="00527E9E"/>
    <w:rsid w:val="005301F8"/>
    <w:rsid w:val="0053020B"/>
    <w:rsid w:val="0053026E"/>
    <w:rsid w:val="005305E9"/>
    <w:rsid w:val="00530745"/>
    <w:rsid w:val="005307CA"/>
    <w:rsid w:val="00530831"/>
    <w:rsid w:val="00530876"/>
    <w:rsid w:val="005308A8"/>
    <w:rsid w:val="005308E3"/>
    <w:rsid w:val="00530B5D"/>
    <w:rsid w:val="00530BE4"/>
    <w:rsid w:val="00530C22"/>
    <w:rsid w:val="00530CA0"/>
    <w:rsid w:val="00530CC4"/>
    <w:rsid w:val="00530D16"/>
    <w:rsid w:val="00530D22"/>
    <w:rsid w:val="00530FC9"/>
    <w:rsid w:val="00531106"/>
    <w:rsid w:val="005311F0"/>
    <w:rsid w:val="00531218"/>
    <w:rsid w:val="005312FC"/>
    <w:rsid w:val="0053133E"/>
    <w:rsid w:val="0053143B"/>
    <w:rsid w:val="00531563"/>
    <w:rsid w:val="0053156A"/>
    <w:rsid w:val="005317EC"/>
    <w:rsid w:val="00531B21"/>
    <w:rsid w:val="00531C3A"/>
    <w:rsid w:val="00531C7A"/>
    <w:rsid w:val="00531DB2"/>
    <w:rsid w:val="00531E30"/>
    <w:rsid w:val="00531F28"/>
    <w:rsid w:val="0053207F"/>
    <w:rsid w:val="0053217C"/>
    <w:rsid w:val="005321D9"/>
    <w:rsid w:val="00532229"/>
    <w:rsid w:val="00532260"/>
    <w:rsid w:val="005323E0"/>
    <w:rsid w:val="005323E1"/>
    <w:rsid w:val="0053243D"/>
    <w:rsid w:val="00532658"/>
    <w:rsid w:val="00532679"/>
    <w:rsid w:val="0053272D"/>
    <w:rsid w:val="00532825"/>
    <w:rsid w:val="00532826"/>
    <w:rsid w:val="005328B7"/>
    <w:rsid w:val="00532A4B"/>
    <w:rsid w:val="00532C61"/>
    <w:rsid w:val="00532C6D"/>
    <w:rsid w:val="00532D22"/>
    <w:rsid w:val="00532D70"/>
    <w:rsid w:val="00532E44"/>
    <w:rsid w:val="00532F03"/>
    <w:rsid w:val="005330DE"/>
    <w:rsid w:val="00533374"/>
    <w:rsid w:val="00533397"/>
    <w:rsid w:val="005333DC"/>
    <w:rsid w:val="005334A5"/>
    <w:rsid w:val="0053365E"/>
    <w:rsid w:val="00533701"/>
    <w:rsid w:val="0053378C"/>
    <w:rsid w:val="00533832"/>
    <w:rsid w:val="005339AB"/>
    <w:rsid w:val="005339D2"/>
    <w:rsid w:val="005339E1"/>
    <w:rsid w:val="005339F5"/>
    <w:rsid w:val="00533AFE"/>
    <w:rsid w:val="00533C58"/>
    <w:rsid w:val="00533E8C"/>
    <w:rsid w:val="00533E9C"/>
    <w:rsid w:val="00533F9A"/>
    <w:rsid w:val="00533FC9"/>
    <w:rsid w:val="0053401B"/>
    <w:rsid w:val="0053432E"/>
    <w:rsid w:val="00534525"/>
    <w:rsid w:val="00534530"/>
    <w:rsid w:val="0053458B"/>
    <w:rsid w:val="00534669"/>
    <w:rsid w:val="00534680"/>
    <w:rsid w:val="00534742"/>
    <w:rsid w:val="005347E7"/>
    <w:rsid w:val="00534991"/>
    <w:rsid w:val="00534AA6"/>
    <w:rsid w:val="00534E89"/>
    <w:rsid w:val="00534EEC"/>
    <w:rsid w:val="00534EFE"/>
    <w:rsid w:val="00535015"/>
    <w:rsid w:val="00535035"/>
    <w:rsid w:val="005351A0"/>
    <w:rsid w:val="0053524A"/>
    <w:rsid w:val="0053529F"/>
    <w:rsid w:val="00535366"/>
    <w:rsid w:val="005355A3"/>
    <w:rsid w:val="00535632"/>
    <w:rsid w:val="0053569E"/>
    <w:rsid w:val="005356AF"/>
    <w:rsid w:val="005356C8"/>
    <w:rsid w:val="005356DF"/>
    <w:rsid w:val="00535734"/>
    <w:rsid w:val="00535771"/>
    <w:rsid w:val="00535947"/>
    <w:rsid w:val="0053599F"/>
    <w:rsid w:val="005359F7"/>
    <w:rsid w:val="00535A00"/>
    <w:rsid w:val="00535A50"/>
    <w:rsid w:val="00535BBA"/>
    <w:rsid w:val="00535C59"/>
    <w:rsid w:val="00535E00"/>
    <w:rsid w:val="00535E93"/>
    <w:rsid w:val="00535FA3"/>
    <w:rsid w:val="00536018"/>
    <w:rsid w:val="0053603D"/>
    <w:rsid w:val="00536069"/>
    <w:rsid w:val="005360B8"/>
    <w:rsid w:val="00536181"/>
    <w:rsid w:val="005361CF"/>
    <w:rsid w:val="005362A3"/>
    <w:rsid w:val="005363FE"/>
    <w:rsid w:val="00536517"/>
    <w:rsid w:val="0053668B"/>
    <w:rsid w:val="005368B3"/>
    <w:rsid w:val="00536A74"/>
    <w:rsid w:val="00536B47"/>
    <w:rsid w:val="00536B7D"/>
    <w:rsid w:val="00536BA7"/>
    <w:rsid w:val="00536C42"/>
    <w:rsid w:val="00536D52"/>
    <w:rsid w:val="00536D53"/>
    <w:rsid w:val="00536D9B"/>
    <w:rsid w:val="00536DF8"/>
    <w:rsid w:val="00536E89"/>
    <w:rsid w:val="00536F13"/>
    <w:rsid w:val="00536FC0"/>
    <w:rsid w:val="0053703B"/>
    <w:rsid w:val="005370BF"/>
    <w:rsid w:val="00537242"/>
    <w:rsid w:val="00537277"/>
    <w:rsid w:val="00537293"/>
    <w:rsid w:val="0053732D"/>
    <w:rsid w:val="00537403"/>
    <w:rsid w:val="0053742A"/>
    <w:rsid w:val="00537465"/>
    <w:rsid w:val="005374F6"/>
    <w:rsid w:val="0053752F"/>
    <w:rsid w:val="0053753B"/>
    <w:rsid w:val="00537548"/>
    <w:rsid w:val="005375AC"/>
    <w:rsid w:val="005377C2"/>
    <w:rsid w:val="005377FA"/>
    <w:rsid w:val="00537819"/>
    <w:rsid w:val="00537823"/>
    <w:rsid w:val="005378F0"/>
    <w:rsid w:val="0053794C"/>
    <w:rsid w:val="00537951"/>
    <w:rsid w:val="00537A6F"/>
    <w:rsid w:val="00537BE0"/>
    <w:rsid w:val="00537C85"/>
    <w:rsid w:val="00537F66"/>
    <w:rsid w:val="00537FE0"/>
    <w:rsid w:val="005402CA"/>
    <w:rsid w:val="0054031A"/>
    <w:rsid w:val="005403B8"/>
    <w:rsid w:val="005403BA"/>
    <w:rsid w:val="005404FB"/>
    <w:rsid w:val="005406DD"/>
    <w:rsid w:val="005407C9"/>
    <w:rsid w:val="00540882"/>
    <w:rsid w:val="005409C4"/>
    <w:rsid w:val="00540A38"/>
    <w:rsid w:val="00540B20"/>
    <w:rsid w:val="00540B80"/>
    <w:rsid w:val="00540B9E"/>
    <w:rsid w:val="00540BB3"/>
    <w:rsid w:val="00540CA2"/>
    <w:rsid w:val="00540DE2"/>
    <w:rsid w:val="00540FBA"/>
    <w:rsid w:val="00541004"/>
    <w:rsid w:val="0054103A"/>
    <w:rsid w:val="00541063"/>
    <w:rsid w:val="0054110B"/>
    <w:rsid w:val="0054125D"/>
    <w:rsid w:val="00541362"/>
    <w:rsid w:val="005413BE"/>
    <w:rsid w:val="005414C6"/>
    <w:rsid w:val="005414F3"/>
    <w:rsid w:val="0054155D"/>
    <w:rsid w:val="0054157E"/>
    <w:rsid w:val="005415F3"/>
    <w:rsid w:val="0054181A"/>
    <w:rsid w:val="00541926"/>
    <w:rsid w:val="00541B45"/>
    <w:rsid w:val="00541B4D"/>
    <w:rsid w:val="00541D29"/>
    <w:rsid w:val="00541FDD"/>
    <w:rsid w:val="00541FFE"/>
    <w:rsid w:val="005420D2"/>
    <w:rsid w:val="0054222B"/>
    <w:rsid w:val="0054233B"/>
    <w:rsid w:val="00542343"/>
    <w:rsid w:val="0054244B"/>
    <w:rsid w:val="00542846"/>
    <w:rsid w:val="00542AD4"/>
    <w:rsid w:val="00542B03"/>
    <w:rsid w:val="00542C31"/>
    <w:rsid w:val="00542C55"/>
    <w:rsid w:val="00542C6C"/>
    <w:rsid w:val="00542CAB"/>
    <w:rsid w:val="00542DDA"/>
    <w:rsid w:val="00542EDD"/>
    <w:rsid w:val="00542F5C"/>
    <w:rsid w:val="00542FDA"/>
    <w:rsid w:val="00543067"/>
    <w:rsid w:val="00543068"/>
    <w:rsid w:val="005431E0"/>
    <w:rsid w:val="0054326F"/>
    <w:rsid w:val="0054334A"/>
    <w:rsid w:val="005433D2"/>
    <w:rsid w:val="005434D3"/>
    <w:rsid w:val="0054353C"/>
    <w:rsid w:val="0054355D"/>
    <w:rsid w:val="005436A9"/>
    <w:rsid w:val="005436F0"/>
    <w:rsid w:val="0054389C"/>
    <w:rsid w:val="00543A99"/>
    <w:rsid w:val="00543B96"/>
    <w:rsid w:val="00543D7D"/>
    <w:rsid w:val="00543DE5"/>
    <w:rsid w:val="00543E6F"/>
    <w:rsid w:val="00543E8C"/>
    <w:rsid w:val="00543F23"/>
    <w:rsid w:val="00543F63"/>
    <w:rsid w:val="00544001"/>
    <w:rsid w:val="00544040"/>
    <w:rsid w:val="005440B9"/>
    <w:rsid w:val="0054417D"/>
    <w:rsid w:val="005441E8"/>
    <w:rsid w:val="00544279"/>
    <w:rsid w:val="005442A8"/>
    <w:rsid w:val="005442AD"/>
    <w:rsid w:val="00544366"/>
    <w:rsid w:val="005443B7"/>
    <w:rsid w:val="0054441F"/>
    <w:rsid w:val="005444AA"/>
    <w:rsid w:val="005444B6"/>
    <w:rsid w:val="00544619"/>
    <w:rsid w:val="0054468E"/>
    <w:rsid w:val="00544698"/>
    <w:rsid w:val="005447DF"/>
    <w:rsid w:val="0054484F"/>
    <w:rsid w:val="00544921"/>
    <w:rsid w:val="005449F6"/>
    <w:rsid w:val="00544B47"/>
    <w:rsid w:val="00544C10"/>
    <w:rsid w:val="00544F0F"/>
    <w:rsid w:val="00544FAB"/>
    <w:rsid w:val="005451E2"/>
    <w:rsid w:val="0054520B"/>
    <w:rsid w:val="005453AB"/>
    <w:rsid w:val="0054542C"/>
    <w:rsid w:val="00545433"/>
    <w:rsid w:val="00545575"/>
    <w:rsid w:val="0054568F"/>
    <w:rsid w:val="00545781"/>
    <w:rsid w:val="005457E2"/>
    <w:rsid w:val="005459A8"/>
    <w:rsid w:val="00545BBD"/>
    <w:rsid w:val="00545C26"/>
    <w:rsid w:val="00545D52"/>
    <w:rsid w:val="00545E8E"/>
    <w:rsid w:val="00545F53"/>
    <w:rsid w:val="00546014"/>
    <w:rsid w:val="005460CD"/>
    <w:rsid w:val="00546121"/>
    <w:rsid w:val="00546134"/>
    <w:rsid w:val="005463BD"/>
    <w:rsid w:val="005465A4"/>
    <w:rsid w:val="005465C2"/>
    <w:rsid w:val="005467BF"/>
    <w:rsid w:val="005467F5"/>
    <w:rsid w:val="0054680D"/>
    <w:rsid w:val="00546A44"/>
    <w:rsid w:val="00546B01"/>
    <w:rsid w:val="00546BA4"/>
    <w:rsid w:val="00546CF4"/>
    <w:rsid w:val="00546D0B"/>
    <w:rsid w:val="00546D48"/>
    <w:rsid w:val="00546E49"/>
    <w:rsid w:val="00546E57"/>
    <w:rsid w:val="0054704E"/>
    <w:rsid w:val="00547087"/>
    <w:rsid w:val="00547265"/>
    <w:rsid w:val="005472D7"/>
    <w:rsid w:val="005473CD"/>
    <w:rsid w:val="005476A4"/>
    <w:rsid w:val="00547963"/>
    <w:rsid w:val="00547999"/>
    <w:rsid w:val="005479A1"/>
    <w:rsid w:val="00547B54"/>
    <w:rsid w:val="00547B95"/>
    <w:rsid w:val="00547C7F"/>
    <w:rsid w:val="00547D7B"/>
    <w:rsid w:val="00547DBA"/>
    <w:rsid w:val="00547DCD"/>
    <w:rsid w:val="00547DEE"/>
    <w:rsid w:val="00547E57"/>
    <w:rsid w:val="00550128"/>
    <w:rsid w:val="005501CD"/>
    <w:rsid w:val="00550372"/>
    <w:rsid w:val="005503E2"/>
    <w:rsid w:val="0055042F"/>
    <w:rsid w:val="005506C4"/>
    <w:rsid w:val="0055076A"/>
    <w:rsid w:val="005508CC"/>
    <w:rsid w:val="005509DE"/>
    <w:rsid w:val="00550AFE"/>
    <w:rsid w:val="00550C69"/>
    <w:rsid w:val="00550D07"/>
    <w:rsid w:val="00550E20"/>
    <w:rsid w:val="00550E6E"/>
    <w:rsid w:val="0055112A"/>
    <w:rsid w:val="0055112C"/>
    <w:rsid w:val="005513BC"/>
    <w:rsid w:val="005513DB"/>
    <w:rsid w:val="00551415"/>
    <w:rsid w:val="005514E3"/>
    <w:rsid w:val="00551656"/>
    <w:rsid w:val="00551821"/>
    <w:rsid w:val="005519C1"/>
    <w:rsid w:val="00551A18"/>
    <w:rsid w:val="00551AAA"/>
    <w:rsid w:val="00551B3F"/>
    <w:rsid w:val="00551B9E"/>
    <w:rsid w:val="00551BF9"/>
    <w:rsid w:val="00551C47"/>
    <w:rsid w:val="00551DA8"/>
    <w:rsid w:val="00551F5B"/>
    <w:rsid w:val="00551FF6"/>
    <w:rsid w:val="00552029"/>
    <w:rsid w:val="005520CB"/>
    <w:rsid w:val="005520FE"/>
    <w:rsid w:val="005521A2"/>
    <w:rsid w:val="005521AA"/>
    <w:rsid w:val="005525A4"/>
    <w:rsid w:val="005525A9"/>
    <w:rsid w:val="005525FB"/>
    <w:rsid w:val="005529BF"/>
    <w:rsid w:val="00552A6E"/>
    <w:rsid w:val="00552B8B"/>
    <w:rsid w:val="00552C7E"/>
    <w:rsid w:val="00552D28"/>
    <w:rsid w:val="00552DCC"/>
    <w:rsid w:val="00552E1E"/>
    <w:rsid w:val="00552F2A"/>
    <w:rsid w:val="00552F3C"/>
    <w:rsid w:val="00552F94"/>
    <w:rsid w:val="0055302E"/>
    <w:rsid w:val="005531EB"/>
    <w:rsid w:val="00553285"/>
    <w:rsid w:val="0055328D"/>
    <w:rsid w:val="005534F0"/>
    <w:rsid w:val="005534F6"/>
    <w:rsid w:val="00553516"/>
    <w:rsid w:val="005536C0"/>
    <w:rsid w:val="00553795"/>
    <w:rsid w:val="00553864"/>
    <w:rsid w:val="00553877"/>
    <w:rsid w:val="005538D6"/>
    <w:rsid w:val="00553A66"/>
    <w:rsid w:val="00553B3D"/>
    <w:rsid w:val="00553B73"/>
    <w:rsid w:val="00553B80"/>
    <w:rsid w:val="00553CCA"/>
    <w:rsid w:val="00553E3D"/>
    <w:rsid w:val="005540C1"/>
    <w:rsid w:val="00554131"/>
    <w:rsid w:val="00554225"/>
    <w:rsid w:val="00554273"/>
    <w:rsid w:val="0055445C"/>
    <w:rsid w:val="00554461"/>
    <w:rsid w:val="00554519"/>
    <w:rsid w:val="005545FA"/>
    <w:rsid w:val="0055491F"/>
    <w:rsid w:val="00554977"/>
    <w:rsid w:val="005549AC"/>
    <w:rsid w:val="005549EE"/>
    <w:rsid w:val="00554A38"/>
    <w:rsid w:val="00554A92"/>
    <w:rsid w:val="00554B23"/>
    <w:rsid w:val="00554BE5"/>
    <w:rsid w:val="00554E17"/>
    <w:rsid w:val="00554E24"/>
    <w:rsid w:val="00554FCB"/>
    <w:rsid w:val="00555044"/>
    <w:rsid w:val="005550AA"/>
    <w:rsid w:val="0055522C"/>
    <w:rsid w:val="00555356"/>
    <w:rsid w:val="005553EA"/>
    <w:rsid w:val="00555520"/>
    <w:rsid w:val="005556F1"/>
    <w:rsid w:val="00555779"/>
    <w:rsid w:val="005557B3"/>
    <w:rsid w:val="005558E4"/>
    <w:rsid w:val="00555BEC"/>
    <w:rsid w:val="00555BFB"/>
    <w:rsid w:val="00555C7B"/>
    <w:rsid w:val="00555D1C"/>
    <w:rsid w:val="00555D97"/>
    <w:rsid w:val="00555EAB"/>
    <w:rsid w:val="00555F16"/>
    <w:rsid w:val="00555F35"/>
    <w:rsid w:val="00555FD5"/>
    <w:rsid w:val="00555FD8"/>
    <w:rsid w:val="0055609D"/>
    <w:rsid w:val="005560FD"/>
    <w:rsid w:val="0055610D"/>
    <w:rsid w:val="005563FD"/>
    <w:rsid w:val="0055640D"/>
    <w:rsid w:val="00556465"/>
    <w:rsid w:val="0055658A"/>
    <w:rsid w:val="005565FD"/>
    <w:rsid w:val="005566C9"/>
    <w:rsid w:val="00556813"/>
    <w:rsid w:val="00556855"/>
    <w:rsid w:val="00556995"/>
    <w:rsid w:val="00556AA2"/>
    <w:rsid w:val="00556D58"/>
    <w:rsid w:val="00556E6C"/>
    <w:rsid w:val="00556E8F"/>
    <w:rsid w:val="0055700C"/>
    <w:rsid w:val="00557061"/>
    <w:rsid w:val="005572CB"/>
    <w:rsid w:val="005573B7"/>
    <w:rsid w:val="00557444"/>
    <w:rsid w:val="005574D3"/>
    <w:rsid w:val="00557502"/>
    <w:rsid w:val="00557677"/>
    <w:rsid w:val="005576AD"/>
    <w:rsid w:val="00557724"/>
    <w:rsid w:val="005578E9"/>
    <w:rsid w:val="00557A00"/>
    <w:rsid w:val="00557A36"/>
    <w:rsid w:val="00557A38"/>
    <w:rsid w:val="00557AFD"/>
    <w:rsid w:val="00557B84"/>
    <w:rsid w:val="00557B91"/>
    <w:rsid w:val="00557CC2"/>
    <w:rsid w:val="00557CC9"/>
    <w:rsid w:val="00557D37"/>
    <w:rsid w:val="00557E41"/>
    <w:rsid w:val="00557EC6"/>
    <w:rsid w:val="00557F58"/>
    <w:rsid w:val="00557F8D"/>
    <w:rsid w:val="005600FC"/>
    <w:rsid w:val="005601BC"/>
    <w:rsid w:val="0056021D"/>
    <w:rsid w:val="0056046A"/>
    <w:rsid w:val="00560529"/>
    <w:rsid w:val="0056083B"/>
    <w:rsid w:val="0056083C"/>
    <w:rsid w:val="00560C0B"/>
    <w:rsid w:val="00560E47"/>
    <w:rsid w:val="00560EEA"/>
    <w:rsid w:val="0056117B"/>
    <w:rsid w:val="0056117E"/>
    <w:rsid w:val="0056125A"/>
    <w:rsid w:val="0056143B"/>
    <w:rsid w:val="005614FF"/>
    <w:rsid w:val="0056150E"/>
    <w:rsid w:val="00561552"/>
    <w:rsid w:val="00561558"/>
    <w:rsid w:val="00561672"/>
    <w:rsid w:val="005616CE"/>
    <w:rsid w:val="0056175E"/>
    <w:rsid w:val="00561893"/>
    <w:rsid w:val="005619B7"/>
    <w:rsid w:val="00561AA7"/>
    <w:rsid w:val="00561B84"/>
    <w:rsid w:val="00561C17"/>
    <w:rsid w:val="00561CB1"/>
    <w:rsid w:val="00561DBC"/>
    <w:rsid w:val="00561E10"/>
    <w:rsid w:val="00561FD0"/>
    <w:rsid w:val="00562040"/>
    <w:rsid w:val="00562064"/>
    <w:rsid w:val="005621C4"/>
    <w:rsid w:val="00562363"/>
    <w:rsid w:val="005623D3"/>
    <w:rsid w:val="0056249A"/>
    <w:rsid w:val="00562579"/>
    <w:rsid w:val="005625C2"/>
    <w:rsid w:val="005625E8"/>
    <w:rsid w:val="00562637"/>
    <w:rsid w:val="0056264A"/>
    <w:rsid w:val="00562700"/>
    <w:rsid w:val="005628EE"/>
    <w:rsid w:val="0056296D"/>
    <w:rsid w:val="00562A4C"/>
    <w:rsid w:val="00562B3C"/>
    <w:rsid w:val="00562C2F"/>
    <w:rsid w:val="00562D4A"/>
    <w:rsid w:val="00562D5E"/>
    <w:rsid w:val="00562E5F"/>
    <w:rsid w:val="00562EBD"/>
    <w:rsid w:val="00562F17"/>
    <w:rsid w:val="00562F47"/>
    <w:rsid w:val="00562FA1"/>
    <w:rsid w:val="00562FE3"/>
    <w:rsid w:val="00563081"/>
    <w:rsid w:val="00563139"/>
    <w:rsid w:val="0056321E"/>
    <w:rsid w:val="005635C0"/>
    <w:rsid w:val="00563652"/>
    <w:rsid w:val="00563726"/>
    <w:rsid w:val="00563768"/>
    <w:rsid w:val="00563983"/>
    <w:rsid w:val="005639C0"/>
    <w:rsid w:val="00563A00"/>
    <w:rsid w:val="00563A9A"/>
    <w:rsid w:val="00563AA8"/>
    <w:rsid w:val="00563BF5"/>
    <w:rsid w:val="00563C04"/>
    <w:rsid w:val="00563DE9"/>
    <w:rsid w:val="00563F13"/>
    <w:rsid w:val="00563F5F"/>
    <w:rsid w:val="00564005"/>
    <w:rsid w:val="00564176"/>
    <w:rsid w:val="005641B9"/>
    <w:rsid w:val="005641DA"/>
    <w:rsid w:val="0056433C"/>
    <w:rsid w:val="00564352"/>
    <w:rsid w:val="00564577"/>
    <w:rsid w:val="00564659"/>
    <w:rsid w:val="005647BD"/>
    <w:rsid w:val="00564814"/>
    <w:rsid w:val="005648C9"/>
    <w:rsid w:val="0056496E"/>
    <w:rsid w:val="0056497E"/>
    <w:rsid w:val="00564BC2"/>
    <w:rsid w:val="00564BE9"/>
    <w:rsid w:val="00564BF6"/>
    <w:rsid w:val="00564C16"/>
    <w:rsid w:val="00564F49"/>
    <w:rsid w:val="005650D0"/>
    <w:rsid w:val="00565295"/>
    <w:rsid w:val="00565378"/>
    <w:rsid w:val="0056547D"/>
    <w:rsid w:val="005654A3"/>
    <w:rsid w:val="005654A4"/>
    <w:rsid w:val="005654E8"/>
    <w:rsid w:val="0056550D"/>
    <w:rsid w:val="0056562B"/>
    <w:rsid w:val="00565631"/>
    <w:rsid w:val="0056582C"/>
    <w:rsid w:val="00565844"/>
    <w:rsid w:val="005659F1"/>
    <w:rsid w:val="00565C46"/>
    <w:rsid w:val="00565D09"/>
    <w:rsid w:val="00565DB1"/>
    <w:rsid w:val="00565E35"/>
    <w:rsid w:val="00566216"/>
    <w:rsid w:val="005664A3"/>
    <w:rsid w:val="005667CB"/>
    <w:rsid w:val="00566AC1"/>
    <w:rsid w:val="00566ACF"/>
    <w:rsid w:val="00566BFE"/>
    <w:rsid w:val="00566C65"/>
    <w:rsid w:val="00566D17"/>
    <w:rsid w:val="00566EAA"/>
    <w:rsid w:val="005670A6"/>
    <w:rsid w:val="0056716B"/>
    <w:rsid w:val="00567175"/>
    <w:rsid w:val="005673A6"/>
    <w:rsid w:val="005673C0"/>
    <w:rsid w:val="005673D8"/>
    <w:rsid w:val="005674B7"/>
    <w:rsid w:val="0056756D"/>
    <w:rsid w:val="00567593"/>
    <w:rsid w:val="005675B0"/>
    <w:rsid w:val="00567625"/>
    <w:rsid w:val="0056771D"/>
    <w:rsid w:val="005677BB"/>
    <w:rsid w:val="0056799A"/>
    <w:rsid w:val="00567A1A"/>
    <w:rsid w:val="00567B5E"/>
    <w:rsid w:val="00567BB1"/>
    <w:rsid w:val="00567BDD"/>
    <w:rsid w:val="00567C09"/>
    <w:rsid w:val="00567CBF"/>
    <w:rsid w:val="00567D45"/>
    <w:rsid w:val="005700F5"/>
    <w:rsid w:val="00570121"/>
    <w:rsid w:val="005701B8"/>
    <w:rsid w:val="005701FE"/>
    <w:rsid w:val="0057020E"/>
    <w:rsid w:val="00570277"/>
    <w:rsid w:val="00570322"/>
    <w:rsid w:val="00570469"/>
    <w:rsid w:val="00570577"/>
    <w:rsid w:val="005705D6"/>
    <w:rsid w:val="005705D8"/>
    <w:rsid w:val="00570766"/>
    <w:rsid w:val="00570851"/>
    <w:rsid w:val="00570945"/>
    <w:rsid w:val="005709A4"/>
    <w:rsid w:val="005709F4"/>
    <w:rsid w:val="00570A7D"/>
    <w:rsid w:val="00570AE9"/>
    <w:rsid w:val="00570B07"/>
    <w:rsid w:val="00570B83"/>
    <w:rsid w:val="00570EB1"/>
    <w:rsid w:val="00570EF6"/>
    <w:rsid w:val="00571118"/>
    <w:rsid w:val="00571152"/>
    <w:rsid w:val="005712E5"/>
    <w:rsid w:val="00571435"/>
    <w:rsid w:val="0057144E"/>
    <w:rsid w:val="0057159B"/>
    <w:rsid w:val="005715A6"/>
    <w:rsid w:val="0057170A"/>
    <w:rsid w:val="00571808"/>
    <w:rsid w:val="005719C5"/>
    <w:rsid w:val="00571A20"/>
    <w:rsid w:val="00571C11"/>
    <w:rsid w:val="00571C5E"/>
    <w:rsid w:val="00571F6B"/>
    <w:rsid w:val="00571FC7"/>
    <w:rsid w:val="00572014"/>
    <w:rsid w:val="00572247"/>
    <w:rsid w:val="00572259"/>
    <w:rsid w:val="0057264C"/>
    <w:rsid w:val="005726A2"/>
    <w:rsid w:val="005726BE"/>
    <w:rsid w:val="00572775"/>
    <w:rsid w:val="00572812"/>
    <w:rsid w:val="00572981"/>
    <w:rsid w:val="00572AA9"/>
    <w:rsid w:val="00572B4A"/>
    <w:rsid w:val="00572B9D"/>
    <w:rsid w:val="00572C2A"/>
    <w:rsid w:val="00572C53"/>
    <w:rsid w:val="00572D90"/>
    <w:rsid w:val="00572E0C"/>
    <w:rsid w:val="00572F30"/>
    <w:rsid w:val="00572F76"/>
    <w:rsid w:val="00573162"/>
    <w:rsid w:val="005734E6"/>
    <w:rsid w:val="00573554"/>
    <w:rsid w:val="00573620"/>
    <w:rsid w:val="005736EB"/>
    <w:rsid w:val="005737F1"/>
    <w:rsid w:val="0057383C"/>
    <w:rsid w:val="00573974"/>
    <w:rsid w:val="00573A74"/>
    <w:rsid w:val="00573A7A"/>
    <w:rsid w:val="00573AB7"/>
    <w:rsid w:val="00573CFD"/>
    <w:rsid w:val="00573D56"/>
    <w:rsid w:val="00573DC9"/>
    <w:rsid w:val="00573DFD"/>
    <w:rsid w:val="00573E47"/>
    <w:rsid w:val="00573F29"/>
    <w:rsid w:val="005740B3"/>
    <w:rsid w:val="005740C7"/>
    <w:rsid w:val="0057417D"/>
    <w:rsid w:val="00574193"/>
    <w:rsid w:val="0057426D"/>
    <w:rsid w:val="005742F5"/>
    <w:rsid w:val="0057433D"/>
    <w:rsid w:val="00574369"/>
    <w:rsid w:val="005743BB"/>
    <w:rsid w:val="005744CE"/>
    <w:rsid w:val="0057453C"/>
    <w:rsid w:val="0057466C"/>
    <w:rsid w:val="005746A8"/>
    <w:rsid w:val="00574775"/>
    <w:rsid w:val="00574777"/>
    <w:rsid w:val="00574C66"/>
    <w:rsid w:val="00574DB3"/>
    <w:rsid w:val="00574E58"/>
    <w:rsid w:val="00574F7C"/>
    <w:rsid w:val="00575065"/>
    <w:rsid w:val="005751C5"/>
    <w:rsid w:val="005752A6"/>
    <w:rsid w:val="005755ED"/>
    <w:rsid w:val="005756B7"/>
    <w:rsid w:val="0057572B"/>
    <w:rsid w:val="0057576A"/>
    <w:rsid w:val="00575874"/>
    <w:rsid w:val="005758C5"/>
    <w:rsid w:val="005759E3"/>
    <w:rsid w:val="00575AE6"/>
    <w:rsid w:val="00575B75"/>
    <w:rsid w:val="00575C27"/>
    <w:rsid w:val="00575D1B"/>
    <w:rsid w:val="00575DB3"/>
    <w:rsid w:val="00575DCF"/>
    <w:rsid w:val="00575DEF"/>
    <w:rsid w:val="00575F18"/>
    <w:rsid w:val="00576109"/>
    <w:rsid w:val="005762CC"/>
    <w:rsid w:val="0057634F"/>
    <w:rsid w:val="00576429"/>
    <w:rsid w:val="0057655B"/>
    <w:rsid w:val="0057670D"/>
    <w:rsid w:val="0057671F"/>
    <w:rsid w:val="00576973"/>
    <w:rsid w:val="00576B4D"/>
    <w:rsid w:val="00576C27"/>
    <w:rsid w:val="00576C3B"/>
    <w:rsid w:val="00576CB4"/>
    <w:rsid w:val="005770C7"/>
    <w:rsid w:val="00577152"/>
    <w:rsid w:val="00577159"/>
    <w:rsid w:val="005772B2"/>
    <w:rsid w:val="0057731F"/>
    <w:rsid w:val="00577326"/>
    <w:rsid w:val="0057734F"/>
    <w:rsid w:val="00577517"/>
    <w:rsid w:val="005776B2"/>
    <w:rsid w:val="00577959"/>
    <w:rsid w:val="00577AD0"/>
    <w:rsid w:val="00577B17"/>
    <w:rsid w:val="00577B4D"/>
    <w:rsid w:val="00577BEE"/>
    <w:rsid w:val="00577CA5"/>
    <w:rsid w:val="00577D5F"/>
    <w:rsid w:val="00577E12"/>
    <w:rsid w:val="00577E48"/>
    <w:rsid w:val="00577F09"/>
    <w:rsid w:val="00577F57"/>
    <w:rsid w:val="00577F8D"/>
    <w:rsid w:val="0058041C"/>
    <w:rsid w:val="0058055B"/>
    <w:rsid w:val="0058056C"/>
    <w:rsid w:val="0058059E"/>
    <w:rsid w:val="00580745"/>
    <w:rsid w:val="005807E8"/>
    <w:rsid w:val="005807EC"/>
    <w:rsid w:val="0058081C"/>
    <w:rsid w:val="005808B3"/>
    <w:rsid w:val="00580B05"/>
    <w:rsid w:val="00580B55"/>
    <w:rsid w:val="00581092"/>
    <w:rsid w:val="00581120"/>
    <w:rsid w:val="0058119C"/>
    <w:rsid w:val="005811A6"/>
    <w:rsid w:val="005812ED"/>
    <w:rsid w:val="005813B1"/>
    <w:rsid w:val="00581403"/>
    <w:rsid w:val="005814D1"/>
    <w:rsid w:val="00581567"/>
    <w:rsid w:val="005815ED"/>
    <w:rsid w:val="00581683"/>
    <w:rsid w:val="005817C0"/>
    <w:rsid w:val="005817E3"/>
    <w:rsid w:val="005818E2"/>
    <w:rsid w:val="00581921"/>
    <w:rsid w:val="00581ADA"/>
    <w:rsid w:val="00581AE2"/>
    <w:rsid w:val="00581B2F"/>
    <w:rsid w:val="00581C28"/>
    <w:rsid w:val="00581CF0"/>
    <w:rsid w:val="00581FDD"/>
    <w:rsid w:val="0058207F"/>
    <w:rsid w:val="005821E3"/>
    <w:rsid w:val="0058222A"/>
    <w:rsid w:val="0058235C"/>
    <w:rsid w:val="00582378"/>
    <w:rsid w:val="005823BA"/>
    <w:rsid w:val="0058245F"/>
    <w:rsid w:val="00582580"/>
    <w:rsid w:val="005826E5"/>
    <w:rsid w:val="00582730"/>
    <w:rsid w:val="005828DC"/>
    <w:rsid w:val="0058296C"/>
    <w:rsid w:val="00582A60"/>
    <w:rsid w:val="00582A88"/>
    <w:rsid w:val="00582B2C"/>
    <w:rsid w:val="00582C44"/>
    <w:rsid w:val="00582D00"/>
    <w:rsid w:val="00582D23"/>
    <w:rsid w:val="00582F5B"/>
    <w:rsid w:val="0058306B"/>
    <w:rsid w:val="005830D2"/>
    <w:rsid w:val="00583132"/>
    <w:rsid w:val="0058340B"/>
    <w:rsid w:val="00583437"/>
    <w:rsid w:val="0058346C"/>
    <w:rsid w:val="00583539"/>
    <w:rsid w:val="005835AE"/>
    <w:rsid w:val="005836DF"/>
    <w:rsid w:val="0058389B"/>
    <w:rsid w:val="005838A6"/>
    <w:rsid w:val="005838C0"/>
    <w:rsid w:val="00583943"/>
    <w:rsid w:val="00583A4A"/>
    <w:rsid w:val="00583A60"/>
    <w:rsid w:val="00583AB8"/>
    <w:rsid w:val="00583D1E"/>
    <w:rsid w:val="00583D98"/>
    <w:rsid w:val="00583DC3"/>
    <w:rsid w:val="00583E07"/>
    <w:rsid w:val="00583E9F"/>
    <w:rsid w:val="00583F74"/>
    <w:rsid w:val="00584138"/>
    <w:rsid w:val="00584200"/>
    <w:rsid w:val="00584401"/>
    <w:rsid w:val="00584856"/>
    <w:rsid w:val="005848CD"/>
    <w:rsid w:val="0058492D"/>
    <w:rsid w:val="005849DC"/>
    <w:rsid w:val="00584AAD"/>
    <w:rsid w:val="00584C78"/>
    <w:rsid w:val="00584C83"/>
    <w:rsid w:val="00584D26"/>
    <w:rsid w:val="00584D47"/>
    <w:rsid w:val="00584F89"/>
    <w:rsid w:val="00585261"/>
    <w:rsid w:val="005852AB"/>
    <w:rsid w:val="00585319"/>
    <w:rsid w:val="00585369"/>
    <w:rsid w:val="00585390"/>
    <w:rsid w:val="00585397"/>
    <w:rsid w:val="005853C4"/>
    <w:rsid w:val="00585568"/>
    <w:rsid w:val="005855B9"/>
    <w:rsid w:val="00585776"/>
    <w:rsid w:val="005858D8"/>
    <w:rsid w:val="0058596E"/>
    <w:rsid w:val="00585A37"/>
    <w:rsid w:val="00585BB4"/>
    <w:rsid w:val="00585C21"/>
    <w:rsid w:val="00585C9A"/>
    <w:rsid w:val="00585D04"/>
    <w:rsid w:val="00585E78"/>
    <w:rsid w:val="00585F92"/>
    <w:rsid w:val="005861C5"/>
    <w:rsid w:val="00586258"/>
    <w:rsid w:val="005863D8"/>
    <w:rsid w:val="0058657F"/>
    <w:rsid w:val="00586596"/>
    <w:rsid w:val="00586605"/>
    <w:rsid w:val="00586856"/>
    <w:rsid w:val="0058689E"/>
    <w:rsid w:val="005868DE"/>
    <w:rsid w:val="00586A44"/>
    <w:rsid w:val="00586A45"/>
    <w:rsid w:val="00586BA2"/>
    <w:rsid w:val="00586C28"/>
    <w:rsid w:val="00586CFD"/>
    <w:rsid w:val="00586D8A"/>
    <w:rsid w:val="00586D9D"/>
    <w:rsid w:val="00586EA3"/>
    <w:rsid w:val="00587063"/>
    <w:rsid w:val="0058708F"/>
    <w:rsid w:val="005870FE"/>
    <w:rsid w:val="00587104"/>
    <w:rsid w:val="0058712D"/>
    <w:rsid w:val="005871C8"/>
    <w:rsid w:val="005871E1"/>
    <w:rsid w:val="00587209"/>
    <w:rsid w:val="005872D1"/>
    <w:rsid w:val="00587370"/>
    <w:rsid w:val="005873C0"/>
    <w:rsid w:val="00587582"/>
    <w:rsid w:val="00587641"/>
    <w:rsid w:val="00587654"/>
    <w:rsid w:val="00587676"/>
    <w:rsid w:val="005876CE"/>
    <w:rsid w:val="00587720"/>
    <w:rsid w:val="0058773C"/>
    <w:rsid w:val="005877AC"/>
    <w:rsid w:val="00587836"/>
    <w:rsid w:val="00587842"/>
    <w:rsid w:val="0058787F"/>
    <w:rsid w:val="00587B60"/>
    <w:rsid w:val="00587B9B"/>
    <w:rsid w:val="00587BD2"/>
    <w:rsid w:val="00587C2A"/>
    <w:rsid w:val="00587C93"/>
    <w:rsid w:val="0058AB8F"/>
    <w:rsid w:val="00590021"/>
    <w:rsid w:val="005901B6"/>
    <w:rsid w:val="005901D1"/>
    <w:rsid w:val="00590268"/>
    <w:rsid w:val="0059033D"/>
    <w:rsid w:val="005904FF"/>
    <w:rsid w:val="005905BA"/>
    <w:rsid w:val="00590603"/>
    <w:rsid w:val="00590618"/>
    <w:rsid w:val="0059065D"/>
    <w:rsid w:val="00590688"/>
    <w:rsid w:val="00590767"/>
    <w:rsid w:val="00590852"/>
    <w:rsid w:val="005908F5"/>
    <w:rsid w:val="00590953"/>
    <w:rsid w:val="00590B68"/>
    <w:rsid w:val="00590BCD"/>
    <w:rsid w:val="00590C42"/>
    <w:rsid w:val="00590D94"/>
    <w:rsid w:val="00591069"/>
    <w:rsid w:val="0059116A"/>
    <w:rsid w:val="005911FA"/>
    <w:rsid w:val="00591277"/>
    <w:rsid w:val="005912EE"/>
    <w:rsid w:val="0059135A"/>
    <w:rsid w:val="005913B5"/>
    <w:rsid w:val="00591469"/>
    <w:rsid w:val="005914EA"/>
    <w:rsid w:val="00591565"/>
    <w:rsid w:val="005916CF"/>
    <w:rsid w:val="005916DD"/>
    <w:rsid w:val="00591A5E"/>
    <w:rsid w:val="00591B34"/>
    <w:rsid w:val="00591C81"/>
    <w:rsid w:val="00591D70"/>
    <w:rsid w:val="00591E15"/>
    <w:rsid w:val="00591E27"/>
    <w:rsid w:val="00591E8F"/>
    <w:rsid w:val="00591F1F"/>
    <w:rsid w:val="0059206D"/>
    <w:rsid w:val="0059208D"/>
    <w:rsid w:val="00592269"/>
    <w:rsid w:val="0059234D"/>
    <w:rsid w:val="005923C4"/>
    <w:rsid w:val="005923FD"/>
    <w:rsid w:val="005924DC"/>
    <w:rsid w:val="00592611"/>
    <w:rsid w:val="005926AC"/>
    <w:rsid w:val="0059287A"/>
    <w:rsid w:val="005928B3"/>
    <w:rsid w:val="00592907"/>
    <w:rsid w:val="0059295E"/>
    <w:rsid w:val="00592961"/>
    <w:rsid w:val="00592A4F"/>
    <w:rsid w:val="00592A50"/>
    <w:rsid w:val="00592AE0"/>
    <w:rsid w:val="00592D04"/>
    <w:rsid w:val="00592E73"/>
    <w:rsid w:val="00592EA0"/>
    <w:rsid w:val="00592FAD"/>
    <w:rsid w:val="00593126"/>
    <w:rsid w:val="0059326D"/>
    <w:rsid w:val="0059329B"/>
    <w:rsid w:val="005932FD"/>
    <w:rsid w:val="00593307"/>
    <w:rsid w:val="005936F2"/>
    <w:rsid w:val="0059385D"/>
    <w:rsid w:val="005938DB"/>
    <w:rsid w:val="00593BB8"/>
    <w:rsid w:val="00593C9A"/>
    <w:rsid w:val="00593CBD"/>
    <w:rsid w:val="00593D46"/>
    <w:rsid w:val="00593E68"/>
    <w:rsid w:val="0059451C"/>
    <w:rsid w:val="00594545"/>
    <w:rsid w:val="0059466F"/>
    <w:rsid w:val="00594698"/>
    <w:rsid w:val="005946AB"/>
    <w:rsid w:val="005946D6"/>
    <w:rsid w:val="0059480D"/>
    <w:rsid w:val="005948E4"/>
    <w:rsid w:val="0059495C"/>
    <w:rsid w:val="00594A5D"/>
    <w:rsid w:val="00594CDA"/>
    <w:rsid w:val="00594E44"/>
    <w:rsid w:val="00594E9F"/>
    <w:rsid w:val="00594F5B"/>
    <w:rsid w:val="00594F82"/>
    <w:rsid w:val="00595051"/>
    <w:rsid w:val="005951A6"/>
    <w:rsid w:val="0059537A"/>
    <w:rsid w:val="005953EA"/>
    <w:rsid w:val="005953EB"/>
    <w:rsid w:val="0059545C"/>
    <w:rsid w:val="00595466"/>
    <w:rsid w:val="00595571"/>
    <w:rsid w:val="00595726"/>
    <w:rsid w:val="0059579F"/>
    <w:rsid w:val="0059583E"/>
    <w:rsid w:val="00595A0D"/>
    <w:rsid w:val="00595A7D"/>
    <w:rsid w:val="00595C85"/>
    <w:rsid w:val="00595D14"/>
    <w:rsid w:val="00595E8D"/>
    <w:rsid w:val="005960A2"/>
    <w:rsid w:val="00596135"/>
    <w:rsid w:val="0059619A"/>
    <w:rsid w:val="00596205"/>
    <w:rsid w:val="005962A9"/>
    <w:rsid w:val="005962C9"/>
    <w:rsid w:val="0059635E"/>
    <w:rsid w:val="005963B9"/>
    <w:rsid w:val="0059650B"/>
    <w:rsid w:val="0059650C"/>
    <w:rsid w:val="00596532"/>
    <w:rsid w:val="005965CE"/>
    <w:rsid w:val="0059667B"/>
    <w:rsid w:val="0059669E"/>
    <w:rsid w:val="005966B7"/>
    <w:rsid w:val="005966F1"/>
    <w:rsid w:val="00596730"/>
    <w:rsid w:val="005969F5"/>
    <w:rsid w:val="00596AE2"/>
    <w:rsid w:val="00596DFB"/>
    <w:rsid w:val="00596E12"/>
    <w:rsid w:val="00596E69"/>
    <w:rsid w:val="00596F4C"/>
    <w:rsid w:val="005970CC"/>
    <w:rsid w:val="00597186"/>
    <w:rsid w:val="0059718F"/>
    <w:rsid w:val="005971F3"/>
    <w:rsid w:val="005971F7"/>
    <w:rsid w:val="005971FA"/>
    <w:rsid w:val="0059720D"/>
    <w:rsid w:val="00597284"/>
    <w:rsid w:val="0059728F"/>
    <w:rsid w:val="005972A5"/>
    <w:rsid w:val="00597333"/>
    <w:rsid w:val="00597359"/>
    <w:rsid w:val="00597412"/>
    <w:rsid w:val="0059754B"/>
    <w:rsid w:val="00597551"/>
    <w:rsid w:val="005977FD"/>
    <w:rsid w:val="0059794C"/>
    <w:rsid w:val="005979EC"/>
    <w:rsid w:val="00597A25"/>
    <w:rsid w:val="00597A96"/>
    <w:rsid w:val="00597ABA"/>
    <w:rsid w:val="00597B30"/>
    <w:rsid w:val="00597BDF"/>
    <w:rsid w:val="00597C24"/>
    <w:rsid w:val="00597C9E"/>
    <w:rsid w:val="00597DAC"/>
    <w:rsid w:val="00597E44"/>
    <w:rsid w:val="00597F4A"/>
    <w:rsid w:val="005A000B"/>
    <w:rsid w:val="005A012E"/>
    <w:rsid w:val="005A01B6"/>
    <w:rsid w:val="005A027B"/>
    <w:rsid w:val="005A038C"/>
    <w:rsid w:val="005A03AD"/>
    <w:rsid w:val="005A03ED"/>
    <w:rsid w:val="005A044A"/>
    <w:rsid w:val="005A049F"/>
    <w:rsid w:val="005A04A4"/>
    <w:rsid w:val="005A0568"/>
    <w:rsid w:val="005A05F9"/>
    <w:rsid w:val="005A0741"/>
    <w:rsid w:val="005A07D6"/>
    <w:rsid w:val="005A091B"/>
    <w:rsid w:val="005A0953"/>
    <w:rsid w:val="005A0B03"/>
    <w:rsid w:val="005A0B6C"/>
    <w:rsid w:val="005A0CAB"/>
    <w:rsid w:val="005A0EC8"/>
    <w:rsid w:val="005A106E"/>
    <w:rsid w:val="005A10DB"/>
    <w:rsid w:val="005A11E2"/>
    <w:rsid w:val="005A13AA"/>
    <w:rsid w:val="005A158B"/>
    <w:rsid w:val="005A1738"/>
    <w:rsid w:val="005A17D1"/>
    <w:rsid w:val="005A1828"/>
    <w:rsid w:val="005A186B"/>
    <w:rsid w:val="005A1989"/>
    <w:rsid w:val="005A19B9"/>
    <w:rsid w:val="005A1C42"/>
    <w:rsid w:val="005A1C93"/>
    <w:rsid w:val="005A1CFB"/>
    <w:rsid w:val="005A1D26"/>
    <w:rsid w:val="005A1D8E"/>
    <w:rsid w:val="005A1E4A"/>
    <w:rsid w:val="005A1E75"/>
    <w:rsid w:val="005A1EBD"/>
    <w:rsid w:val="005A1F7D"/>
    <w:rsid w:val="005A1F81"/>
    <w:rsid w:val="005A2126"/>
    <w:rsid w:val="005A2399"/>
    <w:rsid w:val="005A23AC"/>
    <w:rsid w:val="005A243A"/>
    <w:rsid w:val="005A2488"/>
    <w:rsid w:val="005A248B"/>
    <w:rsid w:val="005A2498"/>
    <w:rsid w:val="005A2597"/>
    <w:rsid w:val="005A26DC"/>
    <w:rsid w:val="005A2938"/>
    <w:rsid w:val="005A2ABD"/>
    <w:rsid w:val="005A2BFD"/>
    <w:rsid w:val="005A2CF1"/>
    <w:rsid w:val="005A2DAD"/>
    <w:rsid w:val="005A2FB0"/>
    <w:rsid w:val="005A308B"/>
    <w:rsid w:val="005A30DF"/>
    <w:rsid w:val="005A31AB"/>
    <w:rsid w:val="005A3286"/>
    <w:rsid w:val="005A328B"/>
    <w:rsid w:val="005A3519"/>
    <w:rsid w:val="005A3552"/>
    <w:rsid w:val="005A3910"/>
    <w:rsid w:val="005A39E3"/>
    <w:rsid w:val="005A39FE"/>
    <w:rsid w:val="005A3B35"/>
    <w:rsid w:val="005A3B78"/>
    <w:rsid w:val="005A3BD7"/>
    <w:rsid w:val="005A3BE5"/>
    <w:rsid w:val="005A3D3A"/>
    <w:rsid w:val="005A3D55"/>
    <w:rsid w:val="005A3DB6"/>
    <w:rsid w:val="005A3DBC"/>
    <w:rsid w:val="005A3F3E"/>
    <w:rsid w:val="005A3F89"/>
    <w:rsid w:val="005A4018"/>
    <w:rsid w:val="005A4101"/>
    <w:rsid w:val="005A425C"/>
    <w:rsid w:val="005A42D2"/>
    <w:rsid w:val="005A4324"/>
    <w:rsid w:val="005A448E"/>
    <w:rsid w:val="005A45DF"/>
    <w:rsid w:val="005A4653"/>
    <w:rsid w:val="005A48EE"/>
    <w:rsid w:val="005A4951"/>
    <w:rsid w:val="005A4A0A"/>
    <w:rsid w:val="005A4B05"/>
    <w:rsid w:val="005A4B47"/>
    <w:rsid w:val="005A4B53"/>
    <w:rsid w:val="005A4C28"/>
    <w:rsid w:val="005A4D25"/>
    <w:rsid w:val="005A4EB9"/>
    <w:rsid w:val="005A4FB6"/>
    <w:rsid w:val="005A50DB"/>
    <w:rsid w:val="005A52B6"/>
    <w:rsid w:val="005A53BE"/>
    <w:rsid w:val="005A5445"/>
    <w:rsid w:val="005A545D"/>
    <w:rsid w:val="005A56EE"/>
    <w:rsid w:val="005A57BF"/>
    <w:rsid w:val="005A5820"/>
    <w:rsid w:val="005A590C"/>
    <w:rsid w:val="005A595C"/>
    <w:rsid w:val="005A5977"/>
    <w:rsid w:val="005A59D4"/>
    <w:rsid w:val="005A5B38"/>
    <w:rsid w:val="005A5BA6"/>
    <w:rsid w:val="005A5C69"/>
    <w:rsid w:val="005A5C9E"/>
    <w:rsid w:val="005A5D8F"/>
    <w:rsid w:val="005A614F"/>
    <w:rsid w:val="005A61B6"/>
    <w:rsid w:val="005A6290"/>
    <w:rsid w:val="005A6429"/>
    <w:rsid w:val="005A647B"/>
    <w:rsid w:val="005A679F"/>
    <w:rsid w:val="005A6943"/>
    <w:rsid w:val="005A6AD9"/>
    <w:rsid w:val="005A6B60"/>
    <w:rsid w:val="005A6BA3"/>
    <w:rsid w:val="005A6DE1"/>
    <w:rsid w:val="005A6E36"/>
    <w:rsid w:val="005A6EFE"/>
    <w:rsid w:val="005A6F55"/>
    <w:rsid w:val="005A6F6A"/>
    <w:rsid w:val="005A6FB2"/>
    <w:rsid w:val="005A7170"/>
    <w:rsid w:val="005A7226"/>
    <w:rsid w:val="005A7273"/>
    <w:rsid w:val="005A7301"/>
    <w:rsid w:val="005A732F"/>
    <w:rsid w:val="005A73C9"/>
    <w:rsid w:val="005A743B"/>
    <w:rsid w:val="005A76F3"/>
    <w:rsid w:val="005A7820"/>
    <w:rsid w:val="005A782B"/>
    <w:rsid w:val="005A78BB"/>
    <w:rsid w:val="005A7981"/>
    <w:rsid w:val="005A79D8"/>
    <w:rsid w:val="005A7A3E"/>
    <w:rsid w:val="005A7AE3"/>
    <w:rsid w:val="005A7BBB"/>
    <w:rsid w:val="005A7C22"/>
    <w:rsid w:val="005A7D02"/>
    <w:rsid w:val="005A7D62"/>
    <w:rsid w:val="005A7DD8"/>
    <w:rsid w:val="005A7E0D"/>
    <w:rsid w:val="005A7EE5"/>
    <w:rsid w:val="005A7F05"/>
    <w:rsid w:val="005A7F39"/>
    <w:rsid w:val="005A7F63"/>
    <w:rsid w:val="005B0055"/>
    <w:rsid w:val="005B01D9"/>
    <w:rsid w:val="005B020D"/>
    <w:rsid w:val="005B02AE"/>
    <w:rsid w:val="005B02CD"/>
    <w:rsid w:val="005B02DF"/>
    <w:rsid w:val="005B03F1"/>
    <w:rsid w:val="005B04BA"/>
    <w:rsid w:val="005B063D"/>
    <w:rsid w:val="005B06B3"/>
    <w:rsid w:val="005B07FE"/>
    <w:rsid w:val="005B0934"/>
    <w:rsid w:val="005B09F4"/>
    <w:rsid w:val="005B0A38"/>
    <w:rsid w:val="005B0A4E"/>
    <w:rsid w:val="005B0BEC"/>
    <w:rsid w:val="005B0E3B"/>
    <w:rsid w:val="005B0E58"/>
    <w:rsid w:val="005B0F49"/>
    <w:rsid w:val="005B1051"/>
    <w:rsid w:val="005B120A"/>
    <w:rsid w:val="005B1232"/>
    <w:rsid w:val="005B14C4"/>
    <w:rsid w:val="005B1564"/>
    <w:rsid w:val="005B1745"/>
    <w:rsid w:val="005B182D"/>
    <w:rsid w:val="005B1ABD"/>
    <w:rsid w:val="005B1AC1"/>
    <w:rsid w:val="005B1B13"/>
    <w:rsid w:val="005B1BA4"/>
    <w:rsid w:val="005B1BEF"/>
    <w:rsid w:val="005B1D42"/>
    <w:rsid w:val="005B1D54"/>
    <w:rsid w:val="005B1E7B"/>
    <w:rsid w:val="005B1E9E"/>
    <w:rsid w:val="005B1F70"/>
    <w:rsid w:val="005B21C3"/>
    <w:rsid w:val="005B2284"/>
    <w:rsid w:val="005B22A8"/>
    <w:rsid w:val="005B23E9"/>
    <w:rsid w:val="005B258E"/>
    <w:rsid w:val="005B26D1"/>
    <w:rsid w:val="005B26EF"/>
    <w:rsid w:val="005B2718"/>
    <w:rsid w:val="005B28AB"/>
    <w:rsid w:val="005B28C0"/>
    <w:rsid w:val="005B2938"/>
    <w:rsid w:val="005B2C60"/>
    <w:rsid w:val="005B31BE"/>
    <w:rsid w:val="005B32FD"/>
    <w:rsid w:val="005B33BF"/>
    <w:rsid w:val="005B3624"/>
    <w:rsid w:val="005B381D"/>
    <w:rsid w:val="005B3876"/>
    <w:rsid w:val="005B3899"/>
    <w:rsid w:val="005B3961"/>
    <w:rsid w:val="005B39C5"/>
    <w:rsid w:val="005B3A95"/>
    <w:rsid w:val="005B3B67"/>
    <w:rsid w:val="005B3D34"/>
    <w:rsid w:val="005B3F18"/>
    <w:rsid w:val="005B3F94"/>
    <w:rsid w:val="005B3FD0"/>
    <w:rsid w:val="005B4157"/>
    <w:rsid w:val="005B429A"/>
    <w:rsid w:val="005B4399"/>
    <w:rsid w:val="005B43F7"/>
    <w:rsid w:val="005B4514"/>
    <w:rsid w:val="005B45C2"/>
    <w:rsid w:val="005B4617"/>
    <w:rsid w:val="005B485D"/>
    <w:rsid w:val="005B499D"/>
    <w:rsid w:val="005B49CD"/>
    <w:rsid w:val="005B4D01"/>
    <w:rsid w:val="005B4E8E"/>
    <w:rsid w:val="005B4EC6"/>
    <w:rsid w:val="005B4ED5"/>
    <w:rsid w:val="005B50E4"/>
    <w:rsid w:val="005B53B9"/>
    <w:rsid w:val="005B5516"/>
    <w:rsid w:val="005B55F5"/>
    <w:rsid w:val="005B5618"/>
    <w:rsid w:val="005B57B3"/>
    <w:rsid w:val="005B58FB"/>
    <w:rsid w:val="005B58FF"/>
    <w:rsid w:val="005B5922"/>
    <w:rsid w:val="005B5A03"/>
    <w:rsid w:val="005B5A3A"/>
    <w:rsid w:val="005B5AA3"/>
    <w:rsid w:val="005B5AF8"/>
    <w:rsid w:val="005B5B6C"/>
    <w:rsid w:val="005B5B93"/>
    <w:rsid w:val="005B5BED"/>
    <w:rsid w:val="005B5C2D"/>
    <w:rsid w:val="005B5C63"/>
    <w:rsid w:val="005B5E1F"/>
    <w:rsid w:val="005B5E2A"/>
    <w:rsid w:val="005B5E2E"/>
    <w:rsid w:val="005B6092"/>
    <w:rsid w:val="005B6171"/>
    <w:rsid w:val="005B61FB"/>
    <w:rsid w:val="005B6217"/>
    <w:rsid w:val="005B6349"/>
    <w:rsid w:val="005B6481"/>
    <w:rsid w:val="005B6549"/>
    <w:rsid w:val="005B667A"/>
    <w:rsid w:val="005B6697"/>
    <w:rsid w:val="005B677D"/>
    <w:rsid w:val="005B67CC"/>
    <w:rsid w:val="005B6B1E"/>
    <w:rsid w:val="005B6BA0"/>
    <w:rsid w:val="005B6BC0"/>
    <w:rsid w:val="005B6BC4"/>
    <w:rsid w:val="005B6C00"/>
    <w:rsid w:val="005B6F44"/>
    <w:rsid w:val="005B6F4A"/>
    <w:rsid w:val="005B6FDF"/>
    <w:rsid w:val="005B7029"/>
    <w:rsid w:val="005B70A4"/>
    <w:rsid w:val="005B70DA"/>
    <w:rsid w:val="005B7211"/>
    <w:rsid w:val="005B742E"/>
    <w:rsid w:val="005B74C5"/>
    <w:rsid w:val="005B75D6"/>
    <w:rsid w:val="005B764F"/>
    <w:rsid w:val="005B7657"/>
    <w:rsid w:val="005B77A2"/>
    <w:rsid w:val="005B78C7"/>
    <w:rsid w:val="005B7A1C"/>
    <w:rsid w:val="005B7BAC"/>
    <w:rsid w:val="005B7C87"/>
    <w:rsid w:val="005B7CC5"/>
    <w:rsid w:val="005B7CEA"/>
    <w:rsid w:val="005B7E23"/>
    <w:rsid w:val="005B7E4A"/>
    <w:rsid w:val="005B7E4F"/>
    <w:rsid w:val="005B7FA7"/>
    <w:rsid w:val="005C020B"/>
    <w:rsid w:val="005C02A4"/>
    <w:rsid w:val="005C039C"/>
    <w:rsid w:val="005C0402"/>
    <w:rsid w:val="005C0460"/>
    <w:rsid w:val="005C05BC"/>
    <w:rsid w:val="005C0686"/>
    <w:rsid w:val="005C07C6"/>
    <w:rsid w:val="005C08E5"/>
    <w:rsid w:val="005C0904"/>
    <w:rsid w:val="005C0C07"/>
    <w:rsid w:val="005C0C6A"/>
    <w:rsid w:val="005C0D3F"/>
    <w:rsid w:val="005C0E62"/>
    <w:rsid w:val="005C0EF3"/>
    <w:rsid w:val="005C11C4"/>
    <w:rsid w:val="005C1203"/>
    <w:rsid w:val="005C123D"/>
    <w:rsid w:val="005C134E"/>
    <w:rsid w:val="005C1370"/>
    <w:rsid w:val="005C15DC"/>
    <w:rsid w:val="005C15F4"/>
    <w:rsid w:val="005C186D"/>
    <w:rsid w:val="005C1946"/>
    <w:rsid w:val="005C1A4A"/>
    <w:rsid w:val="005C1AB7"/>
    <w:rsid w:val="005C1B0E"/>
    <w:rsid w:val="005C1BA0"/>
    <w:rsid w:val="005C1C9C"/>
    <w:rsid w:val="005C1D44"/>
    <w:rsid w:val="005C1DBD"/>
    <w:rsid w:val="005C1F24"/>
    <w:rsid w:val="005C1F2F"/>
    <w:rsid w:val="005C1F71"/>
    <w:rsid w:val="005C20D2"/>
    <w:rsid w:val="005C229C"/>
    <w:rsid w:val="005C22E3"/>
    <w:rsid w:val="005C2363"/>
    <w:rsid w:val="005C2374"/>
    <w:rsid w:val="005C23C3"/>
    <w:rsid w:val="005C2467"/>
    <w:rsid w:val="005C2558"/>
    <w:rsid w:val="005C2688"/>
    <w:rsid w:val="005C2734"/>
    <w:rsid w:val="005C295B"/>
    <w:rsid w:val="005C2E2B"/>
    <w:rsid w:val="005C2E50"/>
    <w:rsid w:val="005C2F45"/>
    <w:rsid w:val="005C30A9"/>
    <w:rsid w:val="005C32BD"/>
    <w:rsid w:val="005C32FE"/>
    <w:rsid w:val="005C3406"/>
    <w:rsid w:val="005C342B"/>
    <w:rsid w:val="005C363E"/>
    <w:rsid w:val="005C375C"/>
    <w:rsid w:val="005C375E"/>
    <w:rsid w:val="005C3797"/>
    <w:rsid w:val="005C3881"/>
    <w:rsid w:val="005C38D0"/>
    <w:rsid w:val="005C38E6"/>
    <w:rsid w:val="005C38ED"/>
    <w:rsid w:val="005C3A18"/>
    <w:rsid w:val="005C3A4D"/>
    <w:rsid w:val="005C3A4F"/>
    <w:rsid w:val="005C3AB8"/>
    <w:rsid w:val="005C3B46"/>
    <w:rsid w:val="005C3C8A"/>
    <w:rsid w:val="005C3CDA"/>
    <w:rsid w:val="005C3D84"/>
    <w:rsid w:val="005C3EB3"/>
    <w:rsid w:val="005C3FE2"/>
    <w:rsid w:val="005C404D"/>
    <w:rsid w:val="005C40AD"/>
    <w:rsid w:val="005C41A5"/>
    <w:rsid w:val="005C41FD"/>
    <w:rsid w:val="005C4256"/>
    <w:rsid w:val="005C42BF"/>
    <w:rsid w:val="005C42C8"/>
    <w:rsid w:val="005C4380"/>
    <w:rsid w:val="005C44AB"/>
    <w:rsid w:val="005C4567"/>
    <w:rsid w:val="005C4658"/>
    <w:rsid w:val="005C4878"/>
    <w:rsid w:val="005C48E0"/>
    <w:rsid w:val="005C4950"/>
    <w:rsid w:val="005C49F5"/>
    <w:rsid w:val="005C4A12"/>
    <w:rsid w:val="005C4AEF"/>
    <w:rsid w:val="005C4B85"/>
    <w:rsid w:val="005C4CE7"/>
    <w:rsid w:val="005C4E03"/>
    <w:rsid w:val="005C503A"/>
    <w:rsid w:val="005C5257"/>
    <w:rsid w:val="005C5312"/>
    <w:rsid w:val="005C533B"/>
    <w:rsid w:val="005C536B"/>
    <w:rsid w:val="005C5374"/>
    <w:rsid w:val="005C53B4"/>
    <w:rsid w:val="005C53D3"/>
    <w:rsid w:val="005C544C"/>
    <w:rsid w:val="005C5625"/>
    <w:rsid w:val="005C563D"/>
    <w:rsid w:val="005C5874"/>
    <w:rsid w:val="005C58F4"/>
    <w:rsid w:val="005C59D1"/>
    <w:rsid w:val="005C5AAF"/>
    <w:rsid w:val="005C5AF1"/>
    <w:rsid w:val="005C5AF5"/>
    <w:rsid w:val="005C5C69"/>
    <w:rsid w:val="005C5C97"/>
    <w:rsid w:val="005C5CF5"/>
    <w:rsid w:val="005C5DB0"/>
    <w:rsid w:val="005C5DD0"/>
    <w:rsid w:val="005C5F7C"/>
    <w:rsid w:val="005C6005"/>
    <w:rsid w:val="005C6070"/>
    <w:rsid w:val="005C60AA"/>
    <w:rsid w:val="005C60C8"/>
    <w:rsid w:val="005C6136"/>
    <w:rsid w:val="005C61C9"/>
    <w:rsid w:val="005C61E1"/>
    <w:rsid w:val="005C621C"/>
    <w:rsid w:val="005C6380"/>
    <w:rsid w:val="005C648C"/>
    <w:rsid w:val="005C64E7"/>
    <w:rsid w:val="005C656D"/>
    <w:rsid w:val="005C6594"/>
    <w:rsid w:val="005C65F7"/>
    <w:rsid w:val="005C661B"/>
    <w:rsid w:val="005C6650"/>
    <w:rsid w:val="005C66C0"/>
    <w:rsid w:val="005C674F"/>
    <w:rsid w:val="005C6777"/>
    <w:rsid w:val="005C683A"/>
    <w:rsid w:val="005C6B19"/>
    <w:rsid w:val="005C6B4D"/>
    <w:rsid w:val="005C6C8B"/>
    <w:rsid w:val="005C6CA7"/>
    <w:rsid w:val="005C6CB0"/>
    <w:rsid w:val="005C6CCD"/>
    <w:rsid w:val="005C6D02"/>
    <w:rsid w:val="005C6E02"/>
    <w:rsid w:val="005C6EFC"/>
    <w:rsid w:val="005C707C"/>
    <w:rsid w:val="005C71C4"/>
    <w:rsid w:val="005C71C9"/>
    <w:rsid w:val="005C71DC"/>
    <w:rsid w:val="005C737A"/>
    <w:rsid w:val="005C742D"/>
    <w:rsid w:val="005C7456"/>
    <w:rsid w:val="005C7498"/>
    <w:rsid w:val="005C74F5"/>
    <w:rsid w:val="005C758F"/>
    <w:rsid w:val="005C77D8"/>
    <w:rsid w:val="005C7803"/>
    <w:rsid w:val="005C7B38"/>
    <w:rsid w:val="005C7B97"/>
    <w:rsid w:val="005C7C17"/>
    <w:rsid w:val="005C7DD9"/>
    <w:rsid w:val="005C7E78"/>
    <w:rsid w:val="005D0019"/>
    <w:rsid w:val="005D003B"/>
    <w:rsid w:val="005D013F"/>
    <w:rsid w:val="005D0207"/>
    <w:rsid w:val="005D024A"/>
    <w:rsid w:val="005D05DC"/>
    <w:rsid w:val="005D086D"/>
    <w:rsid w:val="005D08C5"/>
    <w:rsid w:val="005D08F0"/>
    <w:rsid w:val="005D0A67"/>
    <w:rsid w:val="005D0A9B"/>
    <w:rsid w:val="005D0BFC"/>
    <w:rsid w:val="005D0E72"/>
    <w:rsid w:val="005D10D4"/>
    <w:rsid w:val="005D1253"/>
    <w:rsid w:val="005D13C2"/>
    <w:rsid w:val="005D1446"/>
    <w:rsid w:val="005D144C"/>
    <w:rsid w:val="005D1566"/>
    <w:rsid w:val="005D15B0"/>
    <w:rsid w:val="005D15C6"/>
    <w:rsid w:val="005D163D"/>
    <w:rsid w:val="005D16F2"/>
    <w:rsid w:val="005D1812"/>
    <w:rsid w:val="005D1AA0"/>
    <w:rsid w:val="005D1EC8"/>
    <w:rsid w:val="005D1FAF"/>
    <w:rsid w:val="005D1FDC"/>
    <w:rsid w:val="005D2024"/>
    <w:rsid w:val="005D2098"/>
    <w:rsid w:val="005D2503"/>
    <w:rsid w:val="005D2541"/>
    <w:rsid w:val="005D26A4"/>
    <w:rsid w:val="005D2716"/>
    <w:rsid w:val="005D2876"/>
    <w:rsid w:val="005D2960"/>
    <w:rsid w:val="005D29BD"/>
    <w:rsid w:val="005D29DA"/>
    <w:rsid w:val="005D2A40"/>
    <w:rsid w:val="005D2CBB"/>
    <w:rsid w:val="005D2F1F"/>
    <w:rsid w:val="005D2FDA"/>
    <w:rsid w:val="005D3032"/>
    <w:rsid w:val="005D3132"/>
    <w:rsid w:val="005D322E"/>
    <w:rsid w:val="005D322F"/>
    <w:rsid w:val="005D33CB"/>
    <w:rsid w:val="005D346D"/>
    <w:rsid w:val="005D3586"/>
    <w:rsid w:val="005D35FC"/>
    <w:rsid w:val="005D36F3"/>
    <w:rsid w:val="005D37C9"/>
    <w:rsid w:val="005D3912"/>
    <w:rsid w:val="005D3A4A"/>
    <w:rsid w:val="005D3A66"/>
    <w:rsid w:val="005D3AFE"/>
    <w:rsid w:val="005D3D5A"/>
    <w:rsid w:val="005D3EEE"/>
    <w:rsid w:val="005D3F98"/>
    <w:rsid w:val="005D41B5"/>
    <w:rsid w:val="005D420B"/>
    <w:rsid w:val="005D4322"/>
    <w:rsid w:val="005D4474"/>
    <w:rsid w:val="005D4505"/>
    <w:rsid w:val="005D4611"/>
    <w:rsid w:val="005D461D"/>
    <w:rsid w:val="005D4654"/>
    <w:rsid w:val="005D471A"/>
    <w:rsid w:val="005D472A"/>
    <w:rsid w:val="005D48C6"/>
    <w:rsid w:val="005D4958"/>
    <w:rsid w:val="005D49B9"/>
    <w:rsid w:val="005D49C4"/>
    <w:rsid w:val="005D4B7B"/>
    <w:rsid w:val="005D4B9F"/>
    <w:rsid w:val="005D4D58"/>
    <w:rsid w:val="005D4D8C"/>
    <w:rsid w:val="005D4D90"/>
    <w:rsid w:val="005D4E59"/>
    <w:rsid w:val="005D4EF6"/>
    <w:rsid w:val="005D4FD4"/>
    <w:rsid w:val="005D500B"/>
    <w:rsid w:val="005D5089"/>
    <w:rsid w:val="005D5221"/>
    <w:rsid w:val="005D52E7"/>
    <w:rsid w:val="005D5305"/>
    <w:rsid w:val="005D531D"/>
    <w:rsid w:val="005D536D"/>
    <w:rsid w:val="005D55C6"/>
    <w:rsid w:val="005D562F"/>
    <w:rsid w:val="005D581E"/>
    <w:rsid w:val="005D58EB"/>
    <w:rsid w:val="005D58F9"/>
    <w:rsid w:val="005D5948"/>
    <w:rsid w:val="005D5B43"/>
    <w:rsid w:val="005D5C00"/>
    <w:rsid w:val="005D5CC1"/>
    <w:rsid w:val="005D5DB0"/>
    <w:rsid w:val="005D5E73"/>
    <w:rsid w:val="005D5F6E"/>
    <w:rsid w:val="005D5F8B"/>
    <w:rsid w:val="005D610B"/>
    <w:rsid w:val="005D61A2"/>
    <w:rsid w:val="005D6222"/>
    <w:rsid w:val="005D62F4"/>
    <w:rsid w:val="005D6379"/>
    <w:rsid w:val="005D64B1"/>
    <w:rsid w:val="005D65D6"/>
    <w:rsid w:val="005D665B"/>
    <w:rsid w:val="005D678F"/>
    <w:rsid w:val="005D67F5"/>
    <w:rsid w:val="005D6AB8"/>
    <w:rsid w:val="005D6D64"/>
    <w:rsid w:val="005D6E01"/>
    <w:rsid w:val="005D6E33"/>
    <w:rsid w:val="005D6EE6"/>
    <w:rsid w:val="005D7049"/>
    <w:rsid w:val="005D711C"/>
    <w:rsid w:val="005D7290"/>
    <w:rsid w:val="005D7538"/>
    <w:rsid w:val="005D76F5"/>
    <w:rsid w:val="005D7720"/>
    <w:rsid w:val="005D7793"/>
    <w:rsid w:val="005D77AB"/>
    <w:rsid w:val="005D780E"/>
    <w:rsid w:val="005D78D7"/>
    <w:rsid w:val="005D790C"/>
    <w:rsid w:val="005D793F"/>
    <w:rsid w:val="005D797D"/>
    <w:rsid w:val="005D799A"/>
    <w:rsid w:val="005D7C80"/>
    <w:rsid w:val="005D7D31"/>
    <w:rsid w:val="005D7D6F"/>
    <w:rsid w:val="005D7DF4"/>
    <w:rsid w:val="005D7E12"/>
    <w:rsid w:val="005D7E1E"/>
    <w:rsid w:val="005D7EC7"/>
    <w:rsid w:val="005D7F54"/>
    <w:rsid w:val="005D7F67"/>
    <w:rsid w:val="005D7FA0"/>
    <w:rsid w:val="005D7FBE"/>
    <w:rsid w:val="005E01BF"/>
    <w:rsid w:val="005E041D"/>
    <w:rsid w:val="005E0506"/>
    <w:rsid w:val="005E05CC"/>
    <w:rsid w:val="005E063F"/>
    <w:rsid w:val="005E06CD"/>
    <w:rsid w:val="005E0744"/>
    <w:rsid w:val="005E089C"/>
    <w:rsid w:val="005E09C4"/>
    <w:rsid w:val="005E09D5"/>
    <w:rsid w:val="005E09FA"/>
    <w:rsid w:val="005E0B09"/>
    <w:rsid w:val="005E0BE2"/>
    <w:rsid w:val="005E0C3B"/>
    <w:rsid w:val="005E0C49"/>
    <w:rsid w:val="005E0CBA"/>
    <w:rsid w:val="005E0D6B"/>
    <w:rsid w:val="005E0E5E"/>
    <w:rsid w:val="005E0F06"/>
    <w:rsid w:val="005E10EA"/>
    <w:rsid w:val="005E1148"/>
    <w:rsid w:val="005E12C8"/>
    <w:rsid w:val="005E12D7"/>
    <w:rsid w:val="005E13A5"/>
    <w:rsid w:val="005E15CE"/>
    <w:rsid w:val="005E1613"/>
    <w:rsid w:val="005E163B"/>
    <w:rsid w:val="005E1696"/>
    <w:rsid w:val="005E1B38"/>
    <w:rsid w:val="005E1C6A"/>
    <w:rsid w:val="005E1D33"/>
    <w:rsid w:val="005E1E06"/>
    <w:rsid w:val="005E1E43"/>
    <w:rsid w:val="005E1F37"/>
    <w:rsid w:val="005E1F5F"/>
    <w:rsid w:val="005E2019"/>
    <w:rsid w:val="005E2023"/>
    <w:rsid w:val="005E21B8"/>
    <w:rsid w:val="005E243C"/>
    <w:rsid w:val="005E2456"/>
    <w:rsid w:val="005E2538"/>
    <w:rsid w:val="005E26B9"/>
    <w:rsid w:val="005E26E9"/>
    <w:rsid w:val="005E272A"/>
    <w:rsid w:val="005E2804"/>
    <w:rsid w:val="005E28A6"/>
    <w:rsid w:val="005E297E"/>
    <w:rsid w:val="005E2AF9"/>
    <w:rsid w:val="005E2B89"/>
    <w:rsid w:val="005E2D1E"/>
    <w:rsid w:val="005E2D37"/>
    <w:rsid w:val="005E2D40"/>
    <w:rsid w:val="005E2D5B"/>
    <w:rsid w:val="005E2DA8"/>
    <w:rsid w:val="005E2FD8"/>
    <w:rsid w:val="005E3062"/>
    <w:rsid w:val="005E3065"/>
    <w:rsid w:val="005E320E"/>
    <w:rsid w:val="005E3352"/>
    <w:rsid w:val="005E3464"/>
    <w:rsid w:val="005E34AA"/>
    <w:rsid w:val="005E35D9"/>
    <w:rsid w:val="005E362D"/>
    <w:rsid w:val="005E363E"/>
    <w:rsid w:val="005E3647"/>
    <w:rsid w:val="005E364D"/>
    <w:rsid w:val="005E3838"/>
    <w:rsid w:val="005E3890"/>
    <w:rsid w:val="005E3CC3"/>
    <w:rsid w:val="005E3F53"/>
    <w:rsid w:val="005E3F68"/>
    <w:rsid w:val="005E40A1"/>
    <w:rsid w:val="005E42A7"/>
    <w:rsid w:val="005E45F6"/>
    <w:rsid w:val="005E4877"/>
    <w:rsid w:val="005E48D0"/>
    <w:rsid w:val="005E48E0"/>
    <w:rsid w:val="005E4BD6"/>
    <w:rsid w:val="005E4E5B"/>
    <w:rsid w:val="005E4F99"/>
    <w:rsid w:val="005E51E6"/>
    <w:rsid w:val="005E51F3"/>
    <w:rsid w:val="005E5332"/>
    <w:rsid w:val="005E5621"/>
    <w:rsid w:val="005E56D1"/>
    <w:rsid w:val="005E56FD"/>
    <w:rsid w:val="005E5777"/>
    <w:rsid w:val="005E5995"/>
    <w:rsid w:val="005E5ABB"/>
    <w:rsid w:val="005E5AE7"/>
    <w:rsid w:val="005E5B4E"/>
    <w:rsid w:val="005E5C59"/>
    <w:rsid w:val="005E5C96"/>
    <w:rsid w:val="005E5E78"/>
    <w:rsid w:val="005E5EF4"/>
    <w:rsid w:val="005E629D"/>
    <w:rsid w:val="005E631D"/>
    <w:rsid w:val="005E6423"/>
    <w:rsid w:val="005E65C2"/>
    <w:rsid w:val="005E66EC"/>
    <w:rsid w:val="005E674E"/>
    <w:rsid w:val="005E6BE9"/>
    <w:rsid w:val="005E6C29"/>
    <w:rsid w:val="005E6C66"/>
    <w:rsid w:val="005E6EBA"/>
    <w:rsid w:val="005E705F"/>
    <w:rsid w:val="005E7065"/>
    <w:rsid w:val="005E736B"/>
    <w:rsid w:val="005E7421"/>
    <w:rsid w:val="005E7471"/>
    <w:rsid w:val="005E74C6"/>
    <w:rsid w:val="005E75CC"/>
    <w:rsid w:val="005E7622"/>
    <w:rsid w:val="005E76C7"/>
    <w:rsid w:val="005E771F"/>
    <w:rsid w:val="005E775B"/>
    <w:rsid w:val="005E78C2"/>
    <w:rsid w:val="005E7960"/>
    <w:rsid w:val="005E796E"/>
    <w:rsid w:val="005E7C57"/>
    <w:rsid w:val="005E7C7A"/>
    <w:rsid w:val="005E7CBC"/>
    <w:rsid w:val="005E7CD3"/>
    <w:rsid w:val="005E7CE8"/>
    <w:rsid w:val="005E7D14"/>
    <w:rsid w:val="005E7E75"/>
    <w:rsid w:val="005E7EC3"/>
    <w:rsid w:val="005E7F5D"/>
    <w:rsid w:val="005F017C"/>
    <w:rsid w:val="005F01C0"/>
    <w:rsid w:val="005F01DD"/>
    <w:rsid w:val="005F0210"/>
    <w:rsid w:val="005F039B"/>
    <w:rsid w:val="005F0439"/>
    <w:rsid w:val="005F0498"/>
    <w:rsid w:val="005F0504"/>
    <w:rsid w:val="005F05A6"/>
    <w:rsid w:val="005F061F"/>
    <w:rsid w:val="005F0736"/>
    <w:rsid w:val="005F07C7"/>
    <w:rsid w:val="005F0A45"/>
    <w:rsid w:val="005F0AED"/>
    <w:rsid w:val="005F0B75"/>
    <w:rsid w:val="005F0BFC"/>
    <w:rsid w:val="005F0D30"/>
    <w:rsid w:val="005F0D73"/>
    <w:rsid w:val="005F0E38"/>
    <w:rsid w:val="005F0EDB"/>
    <w:rsid w:val="005F0FCE"/>
    <w:rsid w:val="005F1096"/>
    <w:rsid w:val="005F10B4"/>
    <w:rsid w:val="005F1137"/>
    <w:rsid w:val="005F11EA"/>
    <w:rsid w:val="005F1249"/>
    <w:rsid w:val="005F1368"/>
    <w:rsid w:val="005F136A"/>
    <w:rsid w:val="005F13D2"/>
    <w:rsid w:val="005F15C4"/>
    <w:rsid w:val="005F1639"/>
    <w:rsid w:val="005F1661"/>
    <w:rsid w:val="005F16A1"/>
    <w:rsid w:val="005F16DF"/>
    <w:rsid w:val="005F178D"/>
    <w:rsid w:val="005F17DF"/>
    <w:rsid w:val="005F1990"/>
    <w:rsid w:val="005F199A"/>
    <w:rsid w:val="005F19E3"/>
    <w:rsid w:val="005F1B2E"/>
    <w:rsid w:val="005F1E97"/>
    <w:rsid w:val="005F1FB2"/>
    <w:rsid w:val="005F2003"/>
    <w:rsid w:val="005F20D7"/>
    <w:rsid w:val="005F21CE"/>
    <w:rsid w:val="005F22EC"/>
    <w:rsid w:val="005F236A"/>
    <w:rsid w:val="005F24AF"/>
    <w:rsid w:val="005F252E"/>
    <w:rsid w:val="005F257E"/>
    <w:rsid w:val="005F2821"/>
    <w:rsid w:val="005F282E"/>
    <w:rsid w:val="005F2A77"/>
    <w:rsid w:val="005F2A8B"/>
    <w:rsid w:val="005F2B3B"/>
    <w:rsid w:val="005F2B94"/>
    <w:rsid w:val="005F2C07"/>
    <w:rsid w:val="005F2DD9"/>
    <w:rsid w:val="005F2E99"/>
    <w:rsid w:val="005F2F3D"/>
    <w:rsid w:val="005F3064"/>
    <w:rsid w:val="005F30E0"/>
    <w:rsid w:val="005F31CB"/>
    <w:rsid w:val="005F37E6"/>
    <w:rsid w:val="005F3839"/>
    <w:rsid w:val="005F3861"/>
    <w:rsid w:val="005F3887"/>
    <w:rsid w:val="005F38CC"/>
    <w:rsid w:val="005F3AE4"/>
    <w:rsid w:val="005F3AEE"/>
    <w:rsid w:val="005F3B35"/>
    <w:rsid w:val="005F3B88"/>
    <w:rsid w:val="005F3B8C"/>
    <w:rsid w:val="005F3BB7"/>
    <w:rsid w:val="005F3C0A"/>
    <w:rsid w:val="005F3D64"/>
    <w:rsid w:val="005F3DCF"/>
    <w:rsid w:val="005F3E32"/>
    <w:rsid w:val="005F3F3C"/>
    <w:rsid w:val="005F3F65"/>
    <w:rsid w:val="005F4145"/>
    <w:rsid w:val="005F414A"/>
    <w:rsid w:val="005F44D4"/>
    <w:rsid w:val="005F465F"/>
    <w:rsid w:val="005F4662"/>
    <w:rsid w:val="005F46F1"/>
    <w:rsid w:val="005F47D7"/>
    <w:rsid w:val="005F47E4"/>
    <w:rsid w:val="005F481C"/>
    <w:rsid w:val="005F4825"/>
    <w:rsid w:val="005F4A45"/>
    <w:rsid w:val="005F4C6F"/>
    <w:rsid w:val="005F4DD9"/>
    <w:rsid w:val="005F4E25"/>
    <w:rsid w:val="005F4F49"/>
    <w:rsid w:val="005F50AD"/>
    <w:rsid w:val="005F517B"/>
    <w:rsid w:val="005F519E"/>
    <w:rsid w:val="005F5326"/>
    <w:rsid w:val="005F543C"/>
    <w:rsid w:val="005F54CC"/>
    <w:rsid w:val="005F55CD"/>
    <w:rsid w:val="005F55E4"/>
    <w:rsid w:val="005F5647"/>
    <w:rsid w:val="005F5651"/>
    <w:rsid w:val="005F58A9"/>
    <w:rsid w:val="005F58D1"/>
    <w:rsid w:val="005F5A45"/>
    <w:rsid w:val="005F5A46"/>
    <w:rsid w:val="005F5CDB"/>
    <w:rsid w:val="005F5D85"/>
    <w:rsid w:val="005F5F6D"/>
    <w:rsid w:val="005F61B3"/>
    <w:rsid w:val="005F6212"/>
    <w:rsid w:val="005F6218"/>
    <w:rsid w:val="005F625C"/>
    <w:rsid w:val="005F64A1"/>
    <w:rsid w:val="005F65F3"/>
    <w:rsid w:val="005F6606"/>
    <w:rsid w:val="005F6811"/>
    <w:rsid w:val="005F693D"/>
    <w:rsid w:val="005F6967"/>
    <w:rsid w:val="005F6AA2"/>
    <w:rsid w:val="005F6ABD"/>
    <w:rsid w:val="005F6AF9"/>
    <w:rsid w:val="005F6BE2"/>
    <w:rsid w:val="005F6C1B"/>
    <w:rsid w:val="005F6C6C"/>
    <w:rsid w:val="005F6D36"/>
    <w:rsid w:val="005F6D5D"/>
    <w:rsid w:val="005F7016"/>
    <w:rsid w:val="005F704F"/>
    <w:rsid w:val="005F70A1"/>
    <w:rsid w:val="005F70F0"/>
    <w:rsid w:val="005F7165"/>
    <w:rsid w:val="005F71C2"/>
    <w:rsid w:val="005F7322"/>
    <w:rsid w:val="005F73EA"/>
    <w:rsid w:val="005F756B"/>
    <w:rsid w:val="005F7927"/>
    <w:rsid w:val="005F7A4C"/>
    <w:rsid w:val="005F7A8E"/>
    <w:rsid w:val="005F7B3E"/>
    <w:rsid w:val="005F7C27"/>
    <w:rsid w:val="005F7C9D"/>
    <w:rsid w:val="005F7D7F"/>
    <w:rsid w:val="005F7E81"/>
    <w:rsid w:val="006001A7"/>
    <w:rsid w:val="006001C5"/>
    <w:rsid w:val="0060032F"/>
    <w:rsid w:val="0060038C"/>
    <w:rsid w:val="006007B9"/>
    <w:rsid w:val="00600961"/>
    <w:rsid w:val="006009EB"/>
    <w:rsid w:val="00600B67"/>
    <w:rsid w:val="00600CB8"/>
    <w:rsid w:val="00600CC2"/>
    <w:rsid w:val="00600D86"/>
    <w:rsid w:val="00600E78"/>
    <w:rsid w:val="0060100E"/>
    <w:rsid w:val="00601030"/>
    <w:rsid w:val="00601080"/>
    <w:rsid w:val="0060112B"/>
    <w:rsid w:val="0060114E"/>
    <w:rsid w:val="00601168"/>
    <w:rsid w:val="0060116E"/>
    <w:rsid w:val="0060120D"/>
    <w:rsid w:val="006012BE"/>
    <w:rsid w:val="006012F4"/>
    <w:rsid w:val="0060131E"/>
    <w:rsid w:val="006013FE"/>
    <w:rsid w:val="006014D5"/>
    <w:rsid w:val="0060156C"/>
    <w:rsid w:val="00601650"/>
    <w:rsid w:val="00601670"/>
    <w:rsid w:val="00601833"/>
    <w:rsid w:val="0060189B"/>
    <w:rsid w:val="00601A5A"/>
    <w:rsid w:val="00601A69"/>
    <w:rsid w:val="00601AE1"/>
    <w:rsid w:val="00601BA9"/>
    <w:rsid w:val="00601CBE"/>
    <w:rsid w:val="00601D42"/>
    <w:rsid w:val="00601D62"/>
    <w:rsid w:val="00601DAB"/>
    <w:rsid w:val="00601DFE"/>
    <w:rsid w:val="00601E06"/>
    <w:rsid w:val="00601F94"/>
    <w:rsid w:val="00602020"/>
    <w:rsid w:val="006020A5"/>
    <w:rsid w:val="0060212D"/>
    <w:rsid w:val="006021B5"/>
    <w:rsid w:val="006021C0"/>
    <w:rsid w:val="00602489"/>
    <w:rsid w:val="00602559"/>
    <w:rsid w:val="006027C0"/>
    <w:rsid w:val="00602830"/>
    <w:rsid w:val="00602891"/>
    <w:rsid w:val="0060289C"/>
    <w:rsid w:val="006028FB"/>
    <w:rsid w:val="0060295B"/>
    <w:rsid w:val="00602B5D"/>
    <w:rsid w:val="00602D08"/>
    <w:rsid w:val="00602E81"/>
    <w:rsid w:val="00602EAF"/>
    <w:rsid w:val="00602F47"/>
    <w:rsid w:val="00602F7F"/>
    <w:rsid w:val="00602FA2"/>
    <w:rsid w:val="00603037"/>
    <w:rsid w:val="0060304A"/>
    <w:rsid w:val="00603168"/>
    <w:rsid w:val="006031D2"/>
    <w:rsid w:val="006031E4"/>
    <w:rsid w:val="006032A5"/>
    <w:rsid w:val="0060385B"/>
    <w:rsid w:val="00603869"/>
    <w:rsid w:val="00603A10"/>
    <w:rsid w:val="00603A66"/>
    <w:rsid w:val="00603C08"/>
    <w:rsid w:val="00603CA6"/>
    <w:rsid w:val="00603D1C"/>
    <w:rsid w:val="00603EC0"/>
    <w:rsid w:val="00603F14"/>
    <w:rsid w:val="00603F47"/>
    <w:rsid w:val="006040F1"/>
    <w:rsid w:val="006042A7"/>
    <w:rsid w:val="006043AF"/>
    <w:rsid w:val="00604514"/>
    <w:rsid w:val="00604606"/>
    <w:rsid w:val="006047F9"/>
    <w:rsid w:val="006048AD"/>
    <w:rsid w:val="006048F2"/>
    <w:rsid w:val="00604AFC"/>
    <w:rsid w:val="00604B96"/>
    <w:rsid w:val="00604C1A"/>
    <w:rsid w:val="00604E88"/>
    <w:rsid w:val="00604EEF"/>
    <w:rsid w:val="006050C3"/>
    <w:rsid w:val="00605107"/>
    <w:rsid w:val="006051E1"/>
    <w:rsid w:val="00605343"/>
    <w:rsid w:val="006054BE"/>
    <w:rsid w:val="00605525"/>
    <w:rsid w:val="0060552B"/>
    <w:rsid w:val="00605643"/>
    <w:rsid w:val="006056CC"/>
    <w:rsid w:val="00605833"/>
    <w:rsid w:val="006059F6"/>
    <w:rsid w:val="00605A09"/>
    <w:rsid w:val="00605AFD"/>
    <w:rsid w:val="00605C25"/>
    <w:rsid w:val="00605DE5"/>
    <w:rsid w:val="00605E62"/>
    <w:rsid w:val="00606053"/>
    <w:rsid w:val="006060D5"/>
    <w:rsid w:val="006060E8"/>
    <w:rsid w:val="006061F1"/>
    <w:rsid w:val="00606447"/>
    <w:rsid w:val="00606572"/>
    <w:rsid w:val="006065D2"/>
    <w:rsid w:val="006065F9"/>
    <w:rsid w:val="00606664"/>
    <w:rsid w:val="006066AC"/>
    <w:rsid w:val="006066F5"/>
    <w:rsid w:val="0060680B"/>
    <w:rsid w:val="00606A22"/>
    <w:rsid w:val="00606AD4"/>
    <w:rsid w:val="00606B33"/>
    <w:rsid w:val="00606BEE"/>
    <w:rsid w:val="00606D45"/>
    <w:rsid w:val="00606DA6"/>
    <w:rsid w:val="00606DE5"/>
    <w:rsid w:val="006074C6"/>
    <w:rsid w:val="00607520"/>
    <w:rsid w:val="00607586"/>
    <w:rsid w:val="006075A9"/>
    <w:rsid w:val="00607657"/>
    <w:rsid w:val="0060765A"/>
    <w:rsid w:val="006076E0"/>
    <w:rsid w:val="00607738"/>
    <w:rsid w:val="0060797C"/>
    <w:rsid w:val="00607AA5"/>
    <w:rsid w:val="00607ABC"/>
    <w:rsid w:val="00607C8E"/>
    <w:rsid w:val="00607DB8"/>
    <w:rsid w:val="006100EC"/>
    <w:rsid w:val="00610296"/>
    <w:rsid w:val="00610397"/>
    <w:rsid w:val="006103BF"/>
    <w:rsid w:val="006104CE"/>
    <w:rsid w:val="0061055A"/>
    <w:rsid w:val="00610725"/>
    <w:rsid w:val="00610807"/>
    <w:rsid w:val="00610925"/>
    <w:rsid w:val="006109AF"/>
    <w:rsid w:val="006109B6"/>
    <w:rsid w:val="006109DC"/>
    <w:rsid w:val="00610A91"/>
    <w:rsid w:val="00610AFB"/>
    <w:rsid w:val="00610BC6"/>
    <w:rsid w:val="00610CB1"/>
    <w:rsid w:val="00610FAA"/>
    <w:rsid w:val="00610FCB"/>
    <w:rsid w:val="00610FF9"/>
    <w:rsid w:val="0061101A"/>
    <w:rsid w:val="0061119B"/>
    <w:rsid w:val="00611317"/>
    <w:rsid w:val="0061140B"/>
    <w:rsid w:val="00611571"/>
    <w:rsid w:val="00611572"/>
    <w:rsid w:val="00611618"/>
    <w:rsid w:val="00611685"/>
    <w:rsid w:val="00611821"/>
    <w:rsid w:val="0061199C"/>
    <w:rsid w:val="006119E6"/>
    <w:rsid w:val="00611A53"/>
    <w:rsid w:val="00611B9D"/>
    <w:rsid w:val="00611BD5"/>
    <w:rsid w:val="00611C3F"/>
    <w:rsid w:val="00611EA1"/>
    <w:rsid w:val="00611F14"/>
    <w:rsid w:val="00611F9B"/>
    <w:rsid w:val="00611FEB"/>
    <w:rsid w:val="00611FFB"/>
    <w:rsid w:val="00612222"/>
    <w:rsid w:val="0061227D"/>
    <w:rsid w:val="006123C5"/>
    <w:rsid w:val="006123D4"/>
    <w:rsid w:val="00612502"/>
    <w:rsid w:val="00612511"/>
    <w:rsid w:val="006125E6"/>
    <w:rsid w:val="0061265A"/>
    <w:rsid w:val="0061266C"/>
    <w:rsid w:val="006126A5"/>
    <w:rsid w:val="006127D4"/>
    <w:rsid w:val="006127DD"/>
    <w:rsid w:val="006127DF"/>
    <w:rsid w:val="006127FF"/>
    <w:rsid w:val="00612932"/>
    <w:rsid w:val="00612A03"/>
    <w:rsid w:val="00612A65"/>
    <w:rsid w:val="00612A90"/>
    <w:rsid w:val="00612B6B"/>
    <w:rsid w:val="00612C40"/>
    <w:rsid w:val="00612C9C"/>
    <w:rsid w:val="00612DA7"/>
    <w:rsid w:val="00612F12"/>
    <w:rsid w:val="00612FCA"/>
    <w:rsid w:val="00613034"/>
    <w:rsid w:val="00613054"/>
    <w:rsid w:val="006130CE"/>
    <w:rsid w:val="0061325C"/>
    <w:rsid w:val="006132BD"/>
    <w:rsid w:val="006132C4"/>
    <w:rsid w:val="00613313"/>
    <w:rsid w:val="006133CF"/>
    <w:rsid w:val="006133F4"/>
    <w:rsid w:val="0061347E"/>
    <w:rsid w:val="006134C3"/>
    <w:rsid w:val="006134FE"/>
    <w:rsid w:val="0061351F"/>
    <w:rsid w:val="00613529"/>
    <w:rsid w:val="00613941"/>
    <w:rsid w:val="0061395C"/>
    <w:rsid w:val="00613A91"/>
    <w:rsid w:val="00613AF2"/>
    <w:rsid w:val="00613B2B"/>
    <w:rsid w:val="00613B5C"/>
    <w:rsid w:val="00613BB9"/>
    <w:rsid w:val="00613DFD"/>
    <w:rsid w:val="00613E8A"/>
    <w:rsid w:val="00613EDD"/>
    <w:rsid w:val="00614025"/>
    <w:rsid w:val="0061402F"/>
    <w:rsid w:val="00614101"/>
    <w:rsid w:val="0061410C"/>
    <w:rsid w:val="006141EA"/>
    <w:rsid w:val="0061439C"/>
    <w:rsid w:val="00614431"/>
    <w:rsid w:val="0061445B"/>
    <w:rsid w:val="006147B1"/>
    <w:rsid w:val="006147E2"/>
    <w:rsid w:val="00614845"/>
    <w:rsid w:val="00614944"/>
    <w:rsid w:val="00614984"/>
    <w:rsid w:val="00614ABE"/>
    <w:rsid w:val="00614B1A"/>
    <w:rsid w:val="00614B4B"/>
    <w:rsid w:val="00614BAD"/>
    <w:rsid w:val="00614C49"/>
    <w:rsid w:val="00614D0E"/>
    <w:rsid w:val="00614DB9"/>
    <w:rsid w:val="00614DED"/>
    <w:rsid w:val="00614DF1"/>
    <w:rsid w:val="00614EB3"/>
    <w:rsid w:val="00615115"/>
    <w:rsid w:val="00615133"/>
    <w:rsid w:val="006152C6"/>
    <w:rsid w:val="0061536E"/>
    <w:rsid w:val="00615740"/>
    <w:rsid w:val="006157FF"/>
    <w:rsid w:val="00615BD9"/>
    <w:rsid w:val="00615C1C"/>
    <w:rsid w:val="00615F12"/>
    <w:rsid w:val="006161BC"/>
    <w:rsid w:val="006161D0"/>
    <w:rsid w:val="0061631D"/>
    <w:rsid w:val="00616431"/>
    <w:rsid w:val="00616487"/>
    <w:rsid w:val="006164A1"/>
    <w:rsid w:val="0061657D"/>
    <w:rsid w:val="00616665"/>
    <w:rsid w:val="006166EE"/>
    <w:rsid w:val="006167E4"/>
    <w:rsid w:val="006168F2"/>
    <w:rsid w:val="00616B02"/>
    <w:rsid w:val="00616B14"/>
    <w:rsid w:val="00616B1B"/>
    <w:rsid w:val="00616BF6"/>
    <w:rsid w:val="00616EBC"/>
    <w:rsid w:val="006174B0"/>
    <w:rsid w:val="0061779C"/>
    <w:rsid w:val="006177A3"/>
    <w:rsid w:val="00617895"/>
    <w:rsid w:val="00617896"/>
    <w:rsid w:val="00617A07"/>
    <w:rsid w:val="00617A80"/>
    <w:rsid w:val="00617A9E"/>
    <w:rsid w:val="00617B17"/>
    <w:rsid w:val="00617B3C"/>
    <w:rsid w:val="00617B77"/>
    <w:rsid w:val="00617BE8"/>
    <w:rsid w:val="00617C22"/>
    <w:rsid w:val="00620168"/>
    <w:rsid w:val="006202C6"/>
    <w:rsid w:val="0062030E"/>
    <w:rsid w:val="006203C5"/>
    <w:rsid w:val="006204FD"/>
    <w:rsid w:val="0062052C"/>
    <w:rsid w:val="0062060F"/>
    <w:rsid w:val="00620670"/>
    <w:rsid w:val="00620703"/>
    <w:rsid w:val="00620790"/>
    <w:rsid w:val="006207CA"/>
    <w:rsid w:val="00620821"/>
    <w:rsid w:val="0062082A"/>
    <w:rsid w:val="0062092E"/>
    <w:rsid w:val="0062098D"/>
    <w:rsid w:val="006209BB"/>
    <w:rsid w:val="00620B1E"/>
    <w:rsid w:val="00620B26"/>
    <w:rsid w:val="00620BAF"/>
    <w:rsid w:val="00620C8A"/>
    <w:rsid w:val="00620F1C"/>
    <w:rsid w:val="00620FDD"/>
    <w:rsid w:val="0062101B"/>
    <w:rsid w:val="0062103A"/>
    <w:rsid w:val="00621073"/>
    <w:rsid w:val="006210CA"/>
    <w:rsid w:val="00621138"/>
    <w:rsid w:val="00621147"/>
    <w:rsid w:val="006211B2"/>
    <w:rsid w:val="006211F2"/>
    <w:rsid w:val="006212DB"/>
    <w:rsid w:val="0062130E"/>
    <w:rsid w:val="0062131F"/>
    <w:rsid w:val="00621333"/>
    <w:rsid w:val="006213DB"/>
    <w:rsid w:val="00621693"/>
    <w:rsid w:val="006216C3"/>
    <w:rsid w:val="00621797"/>
    <w:rsid w:val="00621828"/>
    <w:rsid w:val="0062193D"/>
    <w:rsid w:val="00621A3A"/>
    <w:rsid w:val="00621D79"/>
    <w:rsid w:val="00621D88"/>
    <w:rsid w:val="00621DC7"/>
    <w:rsid w:val="00621E07"/>
    <w:rsid w:val="00621E32"/>
    <w:rsid w:val="00621EAB"/>
    <w:rsid w:val="00621FCF"/>
    <w:rsid w:val="006220A4"/>
    <w:rsid w:val="006220B0"/>
    <w:rsid w:val="00622125"/>
    <w:rsid w:val="006221CE"/>
    <w:rsid w:val="006222E3"/>
    <w:rsid w:val="00622353"/>
    <w:rsid w:val="00622490"/>
    <w:rsid w:val="0062269B"/>
    <w:rsid w:val="00622A0D"/>
    <w:rsid w:val="00622A9A"/>
    <w:rsid w:val="00622AA3"/>
    <w:rsid w:val="00622AD7"/>
    <w:rsid w:val="00622AF2"/>
    <w:rsid w:val="00622AFB"/>
    <w:rsid w:val="00622B36"/>
    <w:rsid w:val="00622B97"/>
    <w:rsid w:val="00622DE7"/>
    <w:rsid w:val="00622DF4"/>
    <w:rsid w:val="00622F5B"/>
    <w:rsid w:val="00622FCC"/>
    <w:rsid w:val="00622FEE"/>
    <w:rsid w:val="00623032"/>
    <w:rsid w:val="0062321F"/>
    <w:rsid w:val="0062322B"/>
    <w:rsid w:val="006233C3"/>
    <w:rsid w:val="00623439"/>
    <w:rsid w:val="006234A6"/>
    <w:rsid w:val="00623673"/>
    <w:rsid w:val="006237D6"/>
    <w:rsid w:val="00623886"/>
    <w:rsid w:val="00623909"/>
    <w:rsid w:val="0062391A"/>
    <w:rsid w:val="00623BC7"/>
    <w:rsid w:val="00623BDA"/>
    <w:rsid w:val="00623C10"/>
    <w:rsid w:val="00623C52"/>
    <w:rsid w:val="00623D32"/>
    <w:rsid w:val="00623DED"/>
    <w:rsid w:val="00623E46"/>
    <w:rsid w:val="00624068"/>
    <w:rsid w:val="00624120"/>
    <w:rsid w:val="00624179"/>
    <w:rsid w:val="0062417F"/>
    <w:rsid w:val="00624264"/>
    <w:rsid w:val="006242DC"/>
    <w:rsid w:val="0062471C"/>
    <w:rsid w:val="0062487E"/>
    <w:rsid w:val="00624908"/>
    <w:rsid w:val="006249A9"/>
    <w:rsid w:val="00624AE8"/>
    <w:rsid w:val="00624B34"/>
    <w:rsid w:val="00624B73"/>
    <w:rsid w:val="00624BC1"/>
    <w:rsid w:val="00624C4B"/>
    <w:rsid w:val="00624D65"/>
    <w:rsid w:val="00624E75"/>
    <w:rsid w:val="00624F17"/>
    <w:rsid w:val="00624F58"/>
    <w:rsid w:val="00625095"/>
    <w:rsid w:val="00625185"/>
    <w:rsid w:val="006251E3"/>
    <w:rsid w:val="0062535C"/>
    <w:rsid w:val="00625491"/>
    <w:rsid w:val="00625570"/>
    <w:rsid w:val="006255B3"/>
    <w:rsid w:val="006255C1"/>
    <w:rsid w:val="00625752"/>
    <w:rsid w:val="0062578D"/>
    <w:rsid w:val="00625840"/>
    <w:rsid w:val="00625885"/>
    <w:rsid w:val="00625983"/>
    <w:rsid w:val="006259C4"/>
    <w:rsid w:val="00625A39"/>
    <w:rsid w:val="00625B25"/>
    <w:rsid w:val="00625BAC"/>
    <w:rsid w:val="00625E04"/>
    <w:rsid w:val="00625E7B"/>
    <w:rsid w:val="00625EA3"/>
    <w:rsid w:val="00625F6B"/>
    <w:rsid w:val="00625F8E"/>
    <w:rsid w:val="0062613F"/>
    <w:rsid w:val="0062626D"/>
    <w:rsid w:val="0062627F"/>
    <w:rsid w:val="0062632B"/>
    <w:rsid w:val="00626419"/>
    <w:rsid w:val="00626499"/>
    <w:rsid w:val="006264CD"/>
    <w:rsid w:val="00626683"/>
    <w:rsid w:val="006266FF"/>
    <w:rsid w:val="00626713"/>
    <w:rsid w:val="00626761"/>
    <w:rsid w:val="00626794"/>
    <w:rsid w:val="00626885"/>
    <w:rsid w:val="0062692F"/>
    <w:rsid w:val="00626A47"/>
    <w:rsid w:val="00626C03"/>
    <w:rsid w:val="00626C30"/>
    <w:rsid w:val="00626CE4"/>
    <w:rsid w:val="00626D9E"/>
    <w:rsid w:val="00626EEF"/>
    <w:rsid w:val="00626F0E"/>
    <w:rsid w:val="00626F24"/>
    <w:rsid w:val="0062706E"/>
    <w:rsid w:val="006270D7"/>
    <w:rsid w:val="0062723B"/>
    <w:rsid w:val="00627392"/>
    <w:rsid w:val="006275D5"/>
    <w:rsid w:val="0062774F"/>
    <w:rsid w:val="006279EF"/>
    <w:rsid w:val="00627A53"/>
    <w:rsid w:val="00627C4D"/>
    <w:rsid w:val="00627C76"/>
    <w:rsid w:val="00627C81"/>
    <w:rsid w:val="00627C86"/>
    <w:rsid w:val="00627DE5"/>
    <w:rsid w:val="00630070"/>
    <w:rsid w:val="00630073"/>
    <w:rsid w:val="0063014E"/>
    <w:rsid w:val="00630218"/>
    <w:rsid w:val="00630256"/>
    <w:rsid w:val="00630267"/>
    <w:rsid w:val="006302DB"/>
    <w:rsid w:val="00630372"/>
    <w:rsid w:val="00630504"/>
    <w:rsid w:val="00630552"/>
    <w:rsid w:val="00630860"/>
    <w:rsid w:val="00630862"/>
    <w:rsid w:val="00630880"/>
    <w:rsid w:val="006308C0"/>
    <w:rsid w:val="00630915"/>
    <w:rsid w:val="00630A08"/>
    <w:rsid w:val="00630A37"/>
    <w:rsid w:val="00630A85"/>
    <w:rsid w:val="00630C2E"/>
    <w:rsid w:val="00630CF7"/>
    <w:rsid w:val="00630F7E"/>
    <w:rsid w:val="006310BD"/>
    <w:rsid w:val="0063118A"/>
    <w:rsid w:val="006312F1"/>
    <w:rsid w:val="006313CD"/>
    <w:rsid w:val="006313DE"/>
    <w:rsid w:val="00631494"/>
    <w:rsid w:val="006314D8"/>
    <w:rsid w:val="006314DE"/>
    <w:rsid w:val="00631537"/>
    <w:rsid w:val="0063160F"/>
    <w:rsid w:val="00631748"/>
    <w:rsid w:val="0063181D"/>
    <w:rsid w:val="00631873"/>
    <w:rsid w:val="006318D5"/>
    <w:rsid w:val="0063190A"/>
    <w:rsid w:val="00631920"/>
    <w:rsid w:val="006319A2"/>
    <w:rsid w:val="006319B6"/>
    <w:rsid w:val="00631B20"/>
    <w:rsid w:val="00631C38"/>
    <w:rsid w:val="00632261"/>
    <w:rsid w:val="006323D1"/>
    <w:rsid w:val="00632597"/>
    <w:rsid w:val="00632748"/>
    <w:rsid w:val="00632970"/>
    <w:rsid w:val="00632B20"/>
    <w:rsid w:val="00632BF8"/>
    <w:rsid w:val="00632C66"/>
    <w:rsid w:val="00632CBC"/>
    <w:rsid w:val="00633054"/>
    <w:rsid w:val="0063306C"/>
    <w:rsid w:val="0063309D"/>
    <w:rsid w:val="006331F9"/>
    <w:rsid w:val="006332EC"/>
    <w:rsid w:val="006332F2"/>
    <w:rsid w:val="00633322"/>
    <w:rsid w:val="0063343D"/>
    <w:rsid w:val="0063352A"/>
    <w:rsid w:val="0063357A"/>
    <w:rsid w:val="00633619"/>
    <w:rsid w:val="0063377E"/>
    <w:rsid w:val="00633AC3"/>
    <w:rsid w:val="00633C4F"/>
    <w:rsid w:val="00633C79"/>
    <w:rsid w:val="00633DA5"/>
    <w:rsid w:val="00633DDA"/>
    <w:rsid w:val="00633DF8"/>
    <w:rsid w:val="00633F29"/>
    <w:rsid w:val="00633FF1"/>
    <w:rsid w:val="006341A4"/>
    <w:rsid w:val="00634244"/>
    <w:rsid w:val="006342C9"/>
    <w:rsid w:val="006342D1"/>
    <w:rsid w:val="00634675"/>
    <w:rsid w:val="00634804"/>
    <w:rsid w:val="00634946"/>
    <w:rsid w:val="00634A42"/>
    <w:rsid w:val="00634A4E"/>
    <w:rsid w:val="00634A66"/>
    <w:rsid w:val="00634B44"/>
    <w:rsid w:val="00634BE4"/>
    <w:rsid w:val="00634C38"/>
    <w:rsid w:val="00634D35"/>
    <w:rsid w:val="00634E5E"/>
    <w:rsid w:val="00635162"/>
    <w:rsid w:val="006353EB"/>
    <w:rsid w:val="0063542D"/>
    <w:rsid w:val="0063549E"/>
    <w:rsid w:val="006354C2"/>
    <w:rsid w:val="0063553E"/>
    <w:rsid w:val="00635543"/>
    <w:rsid w:val="00635610"/>
    <w:rsid w:val="00635651"/>
    <w:rsid w:val="00635703"/>
    <w:rsid w:val="00635714"/>
    <w:rsid w:val="0063573A"/>
    <w:rsid w:val="006358F0"/>
    <w:rsid w:val="006358FC"/>
    <w:rsid w:val="0063591F"/>
    <w:rsid w:val="00635C5F"/>
    <w:rsid w:val="00635CE8"/>
    <w:rsid w:val="00635D2F"/>
    <w:rsid w:val="00635D78"/>
    <w:rsid w:val="00635D91"/>
    <w:rsid w:val="00635D9F"/>
    <w:rsid w:val="00635E38"/>
    <w:rsid w:val="00635E76"/>
    <w:rsid w:val="00635E7B"/>
    <w:rsid w:val="0063607D"/>
    <w:rsid w:val="006360FB"/>
    <w:rsid w:val="006361C3"/>
    <w:rsid w:val="006361EC"/>
    <w:rsid w:val="0063641D"/>
    <w:rsid w:val="00636435"/>
    <w:rsid w:val="00636450"/>
    <w:rsid w:val="0063655F"/>
    <w:rsid w:val="006365C3"/>
    <w:rsid w:val="006365CF"/>
    <w:rsid w:val="006366B0"/>
    <w:rsid w:val="00636747"/>
    <w:rsid w:val="006369B2"/>
    <w:rsid w:val="006369F3"/>
    <w:rsid w:val="00636A2E"/>
    <w:rsid w:val="00636A37"/>
    <w:rsid w:val="00636BD0"/>
    <w:rsid w:val="00636CD7"/>
    <w:rsid w:val="00636DE2"/>
    <w:rsid w:val="00636F7B"/>
    <w:rsid w:val="00636F81"/>
    <w:rsid w:val="00636FED"/>
    <w:rsid w:val="00637022"/>
    <w:rsid w:val="0063704C"/>
    <w:rsid w:val="006371A0"/>
    <w:rsid w:val="006372A1"/>
    <w:rsid w:val="006374CC"/>
    <w:rsid w:val="00637530"/>
    <w:rsid w:val="00637548"/>
    <w:rsid w:val="00637620"/>
    <w:rsid w:val="00637688"/>
    <w:rsid w:val="0063779A"/>
    <w:rsid w:val="00637886"/>
    <w:rsid w:val="00637A64"/>
    <w:rsid w:val="00637ADE"/>
    <w:rsid w:val="00637B70"/>
    <w:rsid w:val="00637D1C"/>
    <w:rsid w:val="00637DF4"/>
    <w:rsid w:val="00637EE3"/>
    <w:rsid w:val="00637FB8"/>
    <w:rsid w:val="0064013B"/>
    <w:rsid w:val="0064013C"/>
    <w:rsid w:val="0064016F"/>
    <w:rsid w:val="00640239"/>
    <w:rsid w:val="0064037A"/>
    <w:rsid w:val="0064045E"/>
    <w:rsid w:val="00640549"/>
    <w:rsid w:val="0064059E"/>
    <w:rsid w:val="00640726"/>
    <w:rsid w:val="0064091A"/>
    <w:rsid w:val="0064097E"/>
    <w:rsid w:val="006409C9"/>
    <w:rsid w:val="00640B2D"/>
    <w:rsid w:val="00640B31"/>
    <w:rsid w:val="00640B51"/>
    <w:rsid w:val="00640C08"/>
    <w:rsid w:val="00640C60"/>
    <w:rsid w:val="00640DBB"/>
    <w:rsid w:val="00640E68"/>
    <w:rsid w:val="00640F16"/>
    <w:rsid w:val="00640F64"/>
    <w:rsid w:val="00640F6A"/>
    <w:rsid w:val="00641066"/>
    <w:rsid w:val="00641151"/>
    <w:rsid w:val="00641197"/>
    <w:rsid w:val="006411DD"/>
    <w:rsid w:val="00641287"/>
    <w:rsid w:val="0064128C"/>
    <w:rsid w:val="0064129B"/>
    <w:rsid w:val="00641403"/>
    <w:rsid w:val="00641523"/>
    <w:rsid w:val="0064162F"/>
    <w:rsid w:val="006416D7"/>
    <w:rsid w:val="006416F9"/>
    <w:rsid w:val="006416FC"/>
    <w:rsid w:val="0064176D"/>
    <w:rsid w:val="006417CE"/>
    <w:rsid w:val="006417DB"/>
    <w:rsid w:val="006417FF"/>
    <w:rsid w:val="00641B09"/>
    <w:rsid w:val="00641BB2"/>
    <w:rsid w:val="00641BC1"/>
    <w:rsid w:val="00641D54"/>
    <w:rsid w:val="00641D55"/>
    <w:rsid w:val="00641ED6"/>
    <w:rsid w:val="00642008"/>
    <w:rsid w:val="00642094"/>
    <w:rsid w:val="00642215"/>
    <w:rsid w:val="0064235A"/>
    <w:rsid w:val="00642375"/>
    <w:rsid w:val="006423EA"/>
    <w:rsid w:val="00642473"/>
    <w:rsid w:val="006425B2"/>
    <w:rsid w:val="00642655"/>
    <w:rsid w:val="0064267E"/>
    <w:rsid w:val="00642734"/>
    <w:rsid w:val="0064274C"/>
    <w:rsid w:val="006427AA"/>
    <w:rsid w:val="0064282C"/>
    <w:rsid w:val="006428FD"/>
    <w:rsid w:val="00642AAF"/>
    <w:rsid w:val="00642BD9"/>
    <w:rsid w:val="00642C0D"/>
    <w:rsid w:val="00642C50"/>
    <w:rsid w:val="00642CE6"/>
    <w:rsid w:val="00642E93"/>
    <w:rsid w:val="00642FA8"/>
    <w:rsid w:val="00643071"/>
    <w:rsid w:val="0064312E"/>
    <w:rsid w:val="00643138"/>
    <w:rsid w:val="006431B4"/>
    <w:rsid w:val="0064337C"/>
    <w:rsid w:val="006433CC"/>
    <w:rsid w:val="006436D4"/>
    <w:rsid w:val="00643961"/>
    <w:rsid w:val="00643967"/>
    <w:rsid w:val="0064399F"/>
    <w:rsid w:val="00643A06"/>
    <w:rsid w:val="00643A3C"/>
    <w:rsid w:val="00643B15"/>
    <w:rsid w:val="00643BD5"/>
    <w:rsid w:val="00643BF8"/>
    <w:rsid w:val="00643C2B"/>
    <w:rsid w:val="00643CAD"/>
    <w:rsid w:val="00643D8F"/>
    <w:rsid w:val="00643D94"/>
    <w:rsid w:val="00643E7B"/>
    <w:rsid w:val="00643E92"/>
    <w:rsid w:val="00643ED3"/>
    <w:rsid w:val="00643EF3"/>
    <w:rsid w:val="00643F14"/>
    <w:rsid w:val="00643F32"/>
    <w:rsid w:val="006440DD"/>
    <w:rsid w:val="0064416D"/>
    <w:rsid w:val="00644220"/>
    <w:rsid w:val="00644221"/>
    <w:rsid w:val="0064430D"/>
    <w:rsid w:val="00644435"/>
    <w:rsid w:val="006444A0"/>
    <w:rsid w:val="00644504"/>
    <w:rsid w:val="00644663"/>
    <w:rsid w:val="006446DC"/>
    <w:rsid w:val="006447AB"/>
    <w:rsid w:val="006447C0"/>
    <w:rsid w:val="00644AAC"/>
    <w:rsid w:val="00644AFD"/>
    <w:rsid w:val="00644B85"/>
    <w:rsid w:val="00644C15"/>
    <w:rsid w:val="00644DD7"/>
    <w:rsid w:val="00644E0E"/>
    <w:rsid w:val="00644F5E"/>
    <w:rsid w:val="00644F66"/>
    <w:rsid w:val="00644FE9"/>
    <w:rsid w:val="00645167"/>
    <w:rsid w:val="006451DE"/>
    <w:rsid w:val="006454CC"/>
    <w:rsid w:val="006454CE"/>
    <w:rsid w:val="0064551D"/>
    <w:rsid w:val="00645594"/>
    <w:rsid w:val="0064575A"/>
    <w:rsid w:val="006457D7"/>
    <w:rsid w:val="00645A42"/>
    <w:rsid w:val="00645A7B"/>
    <w:rsid w:val="00645B75"/>
    <w:rsid w:val="00645CE1"/>
    <w:rsid w:val="00645FA7"/>
    <w:rsid w:val="0064608B"/>
    <w:rsid w:val="00646116"/>
    <w:rsid w:val="00646210"/>
    <w:rsid w:val="006462F5"/>
    <w:rsid w:val="006463F5"/>
    <w:rsid w:val="00646486"/>
    <w:rsid w:val="0064661E"/>
    <w:rsid w:val="00646795"/>
    <w:rsid w:val="0064697A"/>
    <w:rsid w:val="006469BC"/>
    <w:rsid w:val="006469CC"/>
    <w:rsid w:val="00646A0B"/>
    <w:rsid w:val="00646A27"/>
    <w:rsid w:val="00646B77"/>
    <w:rsid w:val="00646BB3"/>
    <w:rsid w:val="00646BBD"/>
    <w:rsid w:val="00646C2F"/>
    <w:rsid w:val="00646DC6"/>
    <w:rsid w:val="00646E62"/>
    <w:rsid w:val="00646E76"/>
    <w:rsid w:val="00647006"/>
    <w:rsid w:val="006470BC"/>
    <w:rsid w:val="00647318"/>
    <w:rsid w:val="00647357"/>
    <w:rsid w:val="0064735B"/>
    <w:rsid w:val="00647405"/>
    <w:rsid w:val="00647491"/>
    <w:rsid w:val="00647611"/>
    <w:rsid w:val="006477AC"/>
    <w:rsid w:val="006477B5"/>
    <w:rsid w:val="006477CF"/>
    <w:rsid w:val="006478A8"/>
    <w:rsid w:val="0064797E"/>
    <w:rsid w:val="00647A7E"/>
    <w:rsid w:val="00647A9D"/>
    <w:rsid w:val="00647B05"/>
    <w:rsid w:val="00647B08"/>
    <w:rsid w:val="00647B8E"/>
    <w:rsid w:val="00647E09"/>
    <w:rsid w:val="00647F54"/>
    <w:rsid w:val="00647F83"/>
    <w:rsid w:val="006500F3"/>
    <w:rsid w:val="00650104"/>
    <w:rsid w:val="006502F4"/>
    <w:rsid w:val="00650513"/>
    <w:rsid w:val="0065054A"/>
    <w:rsid w:val="006505FE"/>
    <w:rsid w:val="0065078F"/>
    <w:rsid w:val="0065097A"/>
    <w:rsid w:val="00650986"/>
    <w:rsid w:val="00650B08"/>
    <w:rsid w:val="00650B44"/>
    <w:rsid w:val="00650B9B"/>
    <w:rsid w:val="00650C02"/>
    <w:rsid w:val="00650D46"/>
    <w:rsid w:val="00650D85"/>
    <w:rsid w:val="00650E3E"/>
    <w:rsid w:val="00651048"/>
    <w:rsid w:val="0065104C"/>
    <w:rsid w:val="00651052"/>
    <w:rsid w:val="006511F2"/>
    <w:rsid w:val="0065131C"/>
    <w:rsid w:val="0065134C"/>
    <w:rsid w:val="006513D2"/>
    <w:rsid w:val="006514A6"/>
    <w:rsid w:val="00651554"/>
    <w:rsid w:val="0065155A"/>
    <w:rsid w:val="00651627"/>
    <w:rsid w:val="0065166B"/>
    <w:rsid w:val="006518E1"/>
    <w:rsid w:val="006519C9"/>
    <w:rsid w:val="006519F4"/>
    <w:rsid w:val="00651A4B"/>
    <w:rsid w:val="00651AE2"/>
    <w:rsid w:val="00651CEB"/>
    <w:rsid w:val="00651D4A"/>
    <w:rsid w:val="00651E79"/>
    <w:rsid w:val="00651F87"/>
    <w:rsid w:val="00652116"/>
    <w:rsid w:val="00652187"/>
    <w:rsid w:val="0065219E"/>
    <w:rsid w:val="00652223"/>
    <w:rsid w:val="006524F4"/>
    <w:rsid w:val="006525FE"/>
    <w:rsid w:val="00652A29"/>
    <w:rsid w:val="00652C4A"/>
    <w:rsid w:val="00652C4F"/>
    <w:rsid w:val="00652D84"/>
    <w:rsid w:val="00652E0C"/>
    <w:rsid w:val="00652E40"/>
    <w:rsid w:val="00652F5A"/>
    <w:rsid w:val="00653070"/>
    <w:rsid w:val="006532E9"/>
    <w:rsid w:val="006533DC"/>
    <w:rsid w:val="00653431"/>
    <w:rsid w:val="00653448"/>
    <w:rsid w:val="006535C6"/>
    <w:rsid w:val="006536D0"/>
    <w:rsid w:val="0065382F"/>
    <w:rsid w:val="006538A9"/>
    <w:rsid w:val="00653955"/>
    <w:rsid w:val="006539C6"/>
    <w:rsid w:val="00653A52"/>
    <w:rsid w:val="00653B48"/>
    <w:rsid w:val="00653B54"/>
    <w:rsid w:val="00653BFC"/>
    <w:rsid w:val="00653C6B"/>
    <w:rsid w:val="00653CA2"/>
    <w:rsid w:val="00653D20"/>
    <w:rsid w:val="00653D4B"/>
    <w:rsid w:val="00653F38"/>
    <w:rsid w:val="00653F47"/>
    <w:rsid w:val="00654096"/>
    <w:rsid w:val="0065414D"/>
    <w:rsid w:val="00654178"/>
    <w:rsid w:val="006541D4"/>
    <w:rsid w:val="006541F1"/>
    <w:rsid w:val="006542B3"/>
    <w:rsid w:val="00654309"/>
    <w:rsid w:val="0065434C"/>
    <w:rsid w:val="0065446E"/>
    <w:rsid w:val="006545B1"/>
    <w:rsid w:val="006546DA"/>
    <w:rsid w:val="00654913"/>
    <w:rsid w:val="006549E0"/>
    <w:rsid w:val="00654AC1"/>
    <w:rsid w:val="00654BAF"/>
    <w:rsid w:val="00654C18"/>
    <w:rsid w:val="00654CA4"/>
    <w:rsid w:val="00654D82"/>
    <w:rsid w:val="00654DE0"/>
    <w:rsid w:val="00654E0C"/>
    <w:rsid w:val="00654E9D"/>
    <w:rsid w:val="00654F85"/>
    <w:rsid w:val="00655022"/>
    <w:rsid w:val="006554EB"/>
    <w:rsid w:val="0065573A"/>
    <w:rsid w:val="006557D8"/>
    <w:rsid w:val="0065583A"/>
    <w:rsid w:val="006559A6"/>
    <w:rsid w:val="00655A16"/>
    <w:rsid w:val="00655A4D"/>
    <w:rsid w:val="00655B9F"/>
    <w:rsid w:val="00655D24"/>
    <w:rsid w:val="00655E3C"/>
    <w:rsid w:val="00655E87"/>
    <w:rsid w:val="00655E91"/>
    <w:rsid w:val="00655ECB"/>
    <w:rsid w:val="00655EE9"/>
    <w:rsid w:val="00655FB5"/>
    <w:rsid w:val="006560BF"/>
    <w:rsid w:val="0065610A"/>
    <w:rsid w:val="00656117"/>
    <w:rsid w:val="00656169"/>
    <w:rsid w:val="006562B2"/>
    <w:rsid w:val="00656325"/>
    <w:rsid w:val="006565A5"/>
    <w:rsid w:val="00656728"/>
    <w:rsid w:val="0065673C"/>
    <w:rsid w:val="006567F8"/>
    <w:rsid w:val="00656983"/>
    <w:rsid w:val="00656A56"/>
    <w:rsid w:val="00656AAA"/>
    <w:rsid w:val="00656ADB"/>
    <w:rsid w:val="00656B5D"/>
    <w:rsid w:val="00656BA1"/>
    <w:rsid w:val="00656CC9"/>
    <w:rsid w:val="00656FFE"/>
    <w:rsid w:val="006570CF"/>
    <w:rsid w:val="006570E5"/>
    <w:rsid w:val="0065718D"/>
    <w:rsid w:val="006571D4"/>
    <w:rsid w:val="006571E3"/>
    <w:rsid w:val="00657238"/>
    <w:rsid w:val="006573FB"/>
    <w:rsid w:val="006575F4"/>
    <w:rsid w:val="006576EF"/>
    <w:rsid w:val="00657777"/>
    <w:rsid w:val="0065795F"/>
    <w:rsid w:val="00657AEF"/>
    <w:rsid w:val="00657B36"/>
    <w:rsid w:val="00657CE9"/>
    <w:rsid w:val="00657D10"/>
    <w:rsid w:val="00657DB1"/>
    <w:rsid w:val="00657EFE"/>
    <w:rsid w:val="00657F09"/>
    <w:rsid w:val="00657F79"/>
    <w:rsid w:val="00657F7A"/>
    <w:rsid w:val="00657F8A"/>
    <w:rsid w:val="00660168"/>
    <w:rsid w:val="00660188"/>
    <w:rsid w:val="00660277"/>
    <w:rsid w:val="00660319"/>
    <w:rsid w:val="006604C7"/>
    <w:rsid w:val="0066063D"/>
    <w:rsid w:val="00660732"/>
    <w:rsid w:val="00660854"/>
    <w:rsid w:val="006608EF"/>
    <w:rsid w:val="00660907"/>
    <w:rsid w:val="006609EB"/>
    <w:rsid w:val="00660AC8"/>
    <w:rsid w:val="00660AEF"/>
    <w:rsid w:val="00660C65"/>
    <w:rsid w:val="00660C6C"/>
    <w:rsid w:val="00660D94"/>
    <w:rsid w:val="00660E33"/>
    <w:rsid w:val="00660F26"/>
    <w:rsid w:val="00661084"/>
    <w:rsid w:val="0066113D"/>
    <w:rsid w:val="00661258"/>
    <w:rsid w:val="0066141B"/>
    <w:rsid w:val="0066149D"/>
    <w:rsid w:val="006615A4"/>
    <w:rsid w:val="00661659"/>
    <w:rsid w:val="006616CD"/>
    <w:rsid w:val="006616D6"/>
    <w:rsid w:val="006616D9"/>
    <w:rsid w:val="006616E9"/>
    <w:rsid w:val="00661803"/>
    <w:rsid w:val="00661929"/>
    <w:rsid w:val="00661D28"/>
    <w:rsid w:val="00661DB1"/>
    <w:rsid w:val="00661DEF"/>
    <w:rsid w:val="00661E46"/>
    <w:rsid w:val="00661F9E"/>
    <w:rsid w:val="006620B5"/>
    <w:rsid w:val="00662188"/>
    <w:rsid w:val="00662400"/>
    <w:rsid w:val="006626A4"/>
    <w:rsid w:val="006626CC"/>
    <w:rsid w:val="00662760"/>
    <w:rsid w:val="006627B0"/>
    <w:rsid w:val="006627BA"/>
    <w:rsid w:val="00662887"/>
    <w:rsid w:val="0066294F"/>
    <w:rsid w:val="00662989"/>
    <w:rsid w:val="00662A48"/>
    <w:rsid w:val="00662AD6"/>
    <w:rsid w:val="00662C25"/>
    <w:rsid w:val="00662C82"/>
    <w:rsid w:val="00662CA8"/>
    <w:rsid w:val="00662DE1"/>
    <w:rsid w:val="00662E2C"/>
    <w:rsid w:val="00662EE3"/>
    <w:rsid w:val="006632D6"/>
    <w:rsid w:val="0066330F"/>
    <w:rsid w:val="006633D3"/>
    <w:rsid w:val="006634A2"/>
    <w:rsid w:val="0066356C"/>
    <w:rsid w:val="006635E4"/>
    <w:rsid w:val="0066370C"/>
    <w:rsid w:val="006637F9"/>
    <w:rsid w:val="00663B76"/>
    <w:rsid w:val="00663CE1"/>
    <w:rsid w:val="00663D24"/>
    <w:rsid w:val="00663D95"/>
    <w:rsid w:val="00663F1F"/>
    <w:rsid w:val="00663F75"/>
    <w:rsid w:val="00663FE2"/>
    <w:rsid w:val="00664057"/>
    <w:rsid w:val="0066405D"/>
    <w:rsid w:val="006642DE"/>
    <w:rsid w:val="006643E3"/>
    <w:rsid w:val="0066441D"/>
    <w:rsid w:val="00664643"/>
    <w:rsid w:val="00664986"/>
    <w:rsid w:val="00664C0F"/>
    <w:rsid w:val="00664D4F"/>
    <w:rsid w:val="00664D8E"/>
    <w:rsid w:val="00664E4E"/>
    <w:rsid w:val="00664EBE"/>
    <w:rsid w:val="00664F96"/>
    <w:rsid w:val="0066500B"/>
    <w:rsid w:val="0066509D"/>
    <w:rsid w:val="0066517E"/>
    <w:rsid w:val="0066518B"/>
    <w:rsid w:val="00665242"/>
    <w:rsid w:val="0066526F"/>
    <w:rsid w:val="0066529F"/>
    <w:rsid w:val="006652A2"/>
    <w:rsid w:val="0066547B"/>
    <w:rsid w:val="00665628"/>
    <w:rsid w:val="00665666"/>
    <w:rsid w:val="006656BA"/>
    <w:rsid w:val="00665868"/>
    <w:rsid w:val="00665ABE"/>
    <w:rsid w:val="00665CE6"/>
    <w:rsid w:val="00665CEF"/>
    <w:rsid w:val="00665E1E"/>
    <w:rsid w:val="00665FB0"/>
    <w:rsid w:val="006662A7"/>
    <w:rsid w:val="006662CA"/>
    <w:rsid w:val="00666340"/>
    <w:rsid w:val="006663CC"/>
    <w:rsid w:val="00666526"/>
    <w:rsid w:val="00666528"/>
    <w:rsid w:val="0066655B"/>
    <w:rsid w:val="00666636"/>
    <w:rsid w:val="0066691A"/>
    <w:rsid w:val="00666A62"/>
    <w:rsid w:val="00666BE7"/>
    <w:rsid w:val="00666C1E"/>
    <w:rsid w:val="00666C88"/>
    <w:rsid w:val="00666C9C"/>
    <w:rsid w:val="00666D5E"/>
    <w:rsid w:val="00666ED2"/>
    <w:rsid w:val="00666F0E"/>
    <w:rsid w:val="00666F8F"/>
    <w:rsid w:val="00666FBB"/>
    <w:rsid w:val="0066708C"/>
    <w:rsid w:val="006670AF"/>
    <w:rsid w:val="0066755E"/>
    <w:rsid w:val="00667583"/>
    <w:rsid w:val="006675B5"/>
    <w:rsid w:val="00667847"/>
    <w:rsid w:val="00667853"/>
    <w:rsid w:val="0066788D"/>
    <w:rsid w:val="006679BA"/>
    <w:rsid w:val="006679CC"/>
    <w:rsid w:val="00667A54"/>
    <w:rsid w:val="00667A86"/>
    <w:rsid w:val="00667B35"/>
    <w:rsid w:val="00667B3C"/>
    <w:rsid w:val="00667C67"/>
    <w:rsid w:val="00667D0C"/>
    <w:rsid w:val="00667D28"/>
    <w:rsid w:val="00667D60"/>
    <w:rsid w:val="00667E3A"/>
    <w:rsid w:val="00667EE1"/>
    <w:rsid w:val="00667FDF"/>
    <w:rsid w:val="00667FF2"/>
    <w:rsid w:val="00670184"/>
    <w:rsid w:val="006701A5"/>
    <w:rsid w:val="0067021D"/>
    <w:rsid w:val="006702DF"/>
    <w:rsid w:val="00670630"/>
    <w:rsid w:val="0067069E"/>
    <w:rsid w:val="0067077C"/>
    <w:rsid w:val="0067087B"/>
    <w:rsid w:val="006708DC"/>
    <w:rsid w:val="006708EB"/>
    <w:rsid w:val="0067093A"/>
    <w:rsid w:val="00670B5B"/>
    <w:rsid w:val="00670C3B"/>
    <w:rsid w:val="00670C69"/>
    <w:rsid w:val="00670CB8"/>
    <w:rsid w:val="00670CE9"/>
    <w:rsid w:val="00670D7B"/>
    <w:rsid w:val="00670E3B"/>
    <w:rsid w:val="00670E79"/>
    <w:rsid w:val="00671269"/>
    <w:rsid w:val="0067127E"/>
    <w:rsid w:val="006712B9"/>
    <w:rsid w:val="006713F9"/>
    <w:rsid w:val="00671413"/>
    <w:rsid w:val="0067159A"/>
    <w:rsid w:val="006715A4"/>
    <w:rsid w:val="0067170A"/>
    <w:rsid w:val="00671718"/>
    <w:rsid w:val="00671738"/>
    <w:rsid w:val="00671771"/>
    <w:rsid w:val="0067181A"/>
    <w:rsid w:val="006718D1"/>
    <w:rsid w:val="00671A11"/>
    <w:rsid w:val="00671A5B"/>
    <w:rsid w:val="00671A74"/>
    <w:rsid w:val="00671C54"/>
    <w:rsid w:val="00671C72"/>
    <w:rsid w:val="00672367"/>
    <w:rsid w:val="006724B1"/>
    <w:rsid w:val="00672523"/>
    <w:rsid w:val="0067276F"/>
    <w:rsid w:val="006727FC"/>
    <w:rsid w:val="00672886"/>
    <w:rsid w:val="00672B5D"/>
    <w:rsid w:val="00672B7C"/>
    <w:rsid w:val="00672BF8"/>
    <w:rsid w:val="00672CBB"/>
    <w:rsid w:val="00672D5E"/>
    <w:rsid w:val="00672E50"/>
    <w:rsid w:val="00672F19"/>
    <w:rsid w:val="00673209"/>
    <w:rsid w:val="0067321F"/>
    <w:rsid w:val="00673256"/>
    <w:rsid w:val="006732A8"/>
    <w:rsid w:val="00673351"/>
    <w:rsid w:val="00673430"/>
    <w:rsid w:val="006734E6"/>
    <w:rsid w:val="006735D2"/>
    <w:rsid w:val="006739B1"/>
    <w:rsid w:val="00673A03"/>
    <w:rsid w:val="00673AE2"/>
    <w:rsid w:val="00673C43"/>
    <w:rsid w:val="00673CD3"/>
    <w:rsid w:val="00673D7F"/>
    <w:rsid w:val="00673E3E"/>
    <w:rsid w:val="00673E48"/>
    <w:rsid w:val="00673EF0"/>
    <w:rsid w:val="00673F27"/>
    <w:rsid w:val="00674048"/>
    <w:rsid w:val="006740EA"/>
    <w:rsid w:val="00674105"/>
    <w:rsid w:val="0067440A"/>
    <w:rsid w:val="00674437"/>
    <w:rsid w:val="0067458D"/>
    <w:rsid w:val="006745A4"/>
    <w:rsid w:val="006748CB"/>
    <w:rsid w:val="006749A2"/>
    <w:rsid w:val="006749DA"/>
    <w:rsid w:val="00674A9E"/>
    <w:rsid w:val="00674CE3"/>
    <w:rsid w:val="00674D0A"/>
    <w:rsid w:val="00674EC7"/>
    <w:rsid w:val="006751F9"/>
    <w:rsid w:val="00675347"/>
    <w:rsid w:val="0067544F"/>
    <w:rsid w:val="00675453"/>
    <w:rsid w:val="006755FB"/>
    <w:rsid w:val="0067571D"/>
    <w:rsid w:val="00675772"/>
    <w:rsid w:val="006757A4"/>
    <w:rsid w:val="006757BA"/>
    <w:rsid w:val="00675862"/>
    <w:rsid w:val="00675901"/>
    <w:rsid w:val="006759E4"/>
    <w:rsid w:val="006759E8"/>
    <w:rsid w:val="00675A33"/>
    <w:rsid w:val="00675A55"/>
    <w:rsid w:val="00675A7C"/>
    <w:rsid w:val="00675A82"/>
    <w:rsid w:val="00675A9E"/>
    <w:rsid w:val="00675ACF"/>
    <w:rsid w:val="00675B15"/>
    <w:rsid w:val="00675C45"/>
    <w:rsid w:val="00675F2E"/>
    <w:rsid w:val="0067608D"/>
    <w:rsid w:val="0067622C"/>
    <w:rsid w:val="006764DD"/>
    <w:rsid w:val="0067656B"/>
    <w:rsid w:val="00676593"/>
    <w:rsid w:val="00676638"/>
    <w:rsid w:val="00676675"/>
    <w:rsid w:val="006766D0"/>
    <w:rsid w:val="00676A72"/>
    <w:rsid w:val="00676AC6"/>
    <w:rsid w:val="00676ADC"/>
    <w:rsid w:val="00676B5C"/>
    <w:rsid w:val="00676BAD"/>
    <w:rsid w:val="00676C36"/>
    <w:rsid w:val="00676C4A"/>
    <w:rsid w:val="00676DFD"/>
    <w:rsid w:val="00676E33"/>
    <w:rsid w:val="00676E80"/>
    <w:rsid w:val="00676FF8"/>
    <w:rsid w:val="00677181"/>
    <w:rsid w:val="006771F3"/>
    <w:rsid w:val="006771F5"/>
    <w:rsid w:val="0067738D"/>
    <w:rsid w:val="0067741E"/>
    <w:rsid w:val="00677511"/>
    <w:rsid w:val="00677513"/>
    <w:rsid w:val="00677522"/>
    <w:rsid w:val="006775A0"/>
    <w:rsid w:val="006775F2"/>
    <w:rsid w:val="0067761E"/>
    <w:rsid w:val="00677651"/>
    <w:rsid w:val="00677973"/>
    <w:rsid w:val="00677A61"/>
    <w:rsid w:val="00677BDC"/>
    <w:rsid w:val="00677C3C"/>
    <w:rsid w:val="00677C53"/>
    <w:rsid w:val="00677CDF"/>
    <w:rsid w:val="00677D19"/>
    <w:rsid w:val="00677D27"/>
    <w:rsid w:val="00677D9B"/>
    <w:rsid w:val="00680173"/>
    <w:rsid w:val="0068024B"/>
    <w:rsid w:val="0068024C"/>
    <w:rsid w:val="006802EB"/>
    <w:rsid w:val="0068030D"/>
    <w:rsid w:val="00680346"/>
    <w:rsid w:val="0068042F"/>
    <w:rsid w:val="00680530"/>
    <w:rsid w:val="0068056A"/>
    <w:rsid w:val="006805A3"/>
    <w:rsid w:val="006806F1"/>
    <w:rsid w:val="006806F9"/>
    <w:rsid w:val="00680A43"/>
    <w:rsid w:val="00680AD0"/>
    <w:rsid w:val="00680D28"/>
    <w:rsid w:val="00680EC4"/>
    <w:rsid w:val="00680F4E"/>
    <w:rsid w:val="00680FAF"/>
    <w:rsid w:val="0068104E"/>
    <w:rsid w:val="006810EA"/>
    <w:rsid w:val="0068118C"/>
    <w:rsid w:val="006811EC"/>
    <w:rsid w:val="00681214"/>
    <w:rsid w:val="00681235"/>
    <w:rsid w:val="0068134F"/>
    <w:rsid w:val="0068135D"/>
    <w:rsid w:val="0068140E"/>
    <w:rsid w:val="00681696"/>
    <w:rsid w:val="00681A53"/>
    <w:rsid w:val="00681A97"/>
    <w:rsid w:val="00681D66"/>
    <w:rsid w:val="00681E23"/>
    <w:rsid w:val="00681EEA"/>
    <w:rsid w:val="00681F74"/>
    <w:rsid w:val="00681F96"/>
    <w:rsid w:val="00682018"/>
    <w:rsid w:val="006821FD"/>
    <w:rsid w:val="00682249"/>
    <w:rsid w:val="0068225B"/>
    <w:rsid w:val="006823BB"/>
    <w:rsid w:val="00682456"/>
    <w:rsid w:val="006824FF"/>
    <w:rsid w:val="00682548"/>
    <w:rsid w:val="00682619"/>
    <w:rsid w:val="006827B8"/>
    <w:rsid w:val="00682B62"/>
    <w:rsid w:val="00682C0F"/>
    <w:rsid w:val="00682D06"/>
    <w:rsid w:val="00682D8C"/>
    <w:rsid w:val="00682E84"/>
    <w:rsid w:val="00682EB9"/>
    <w:rsid w:val="0068310C"/>
    <w:rsid w:val="00683189"/>
    <w:rsid w:val="00683246"/>
    <w:rsid w:val="006832CB"/>
    <w:rsid w:val="00683301"/>
    <w:rsid w:val="00683327"/>
    <w:rsid w:val="0068336F"/>
    <w:rsid w:val="00683492"/>
    <w:rsid w:val="0068358B"/>
    <w:rsid w:val="0068362E"/>
    <w:rsid w:val="00683694"/>
    <w:rsid w:val="006837E9"/>
    <w:rsid w:val="006837FC"/>
    <w:rsid w:val="00683834"/>
    <w:rsid w:val="006838E4"/>
    <w:rsid w:val="00683A53"/>
    <w:rsid w:val="00683C0E"/>
    <w:rsid w:val="00683C37"/>
    <w:rsid w:val="00683DF5"/>
    <w:rsid w:val="00683FE1"/>
    <w:rsid w:val="00684102"/>
    <w:rsid w:val="0068411B"/>
    <w:rsid w:val="0068416B"/>
    <w:rsid w:val="00684316"/>
    <w:rsid w:val="006843B9"/>
    <w:rsid w:val="006845F2"/>
    <w:rsid w:val="006847EC"/>
    <w:rsid w:val="00684916"/>
    <w:rsid w:val="006849B3"/>
    <w:rsid w:val="006849FB"/>
    <w:rsid w:val="00684A0D"/>
    <w:rsid w:val="00684B02"/>
    <w:rsid w:val="00684BC7"/>
    <w:rsid w:val="00684D4B"/>
    <w:rsid w:val="00684DDD"/>
    <w:rsid w:val="00684ECC"/>
    <w:rsid w:val="00684ED0"/>
    <w:rsid w:val="00684F17"/>
    <w:rsid w:val="00684F95"/>
    <w:rsid w:val="006850D5"/>
    <w:rsid w:val="00685110"/>
    <w:rsid w:val="00685358"/>
    <w:rsid w:val="0068547F"/>
    <w:rsid w:val="006854CA"/>
    <w:rsid w:val="006855A2"/>
    <w:rsid w:val="006855EE"/>
    <w:rsid w:val="00685635"/>
    <w:rsid w:val="006859B0"/>
    <w:rsid w:val="00685B45"/>
    <w:rsid w:val="00685C0A"/>
    <w:rsid w:val="00685CF7"/>
    <w:rsid w:val="00685D6E"/>
    <w:rsid w:val="00685D98"/>
    <w:rsid w:val="00685E8E"/>
    <w:rsid w:val="0068600E"/>
    <w:rsid w:val="00686033"/>
    <w:rsid w:val="006860D5"/>
    <w:rsid w:val="00686106"/>
    <w:rsid w:val="00686165"/>
    <w:rsid w:val="0068620B"/>
    <w:rsid w:val="00686237"/>
    <w:rsid w:val="006863E0"/>
    <w:rsid w:val="00686445"/>
    <w:rsid w:val="006864E3"/>
    <w:rsid w:val="00686555"/>
    <w:rsid w:val="00686644"/>
    <w:rsid w:val="0068675C"/>
    <w:rsid w:val="0068675D"/>
    <w:rsid w:val="0068677B"/>
    <w:rsid w:val="006869B4"/>
    <w:rsid w:val="00686C8B"/>
    <w:rsid w:val="00686CD8"/>
    <w:rsid w:val="00686D33"/>
    <w:rsid w:val="00686ED1"/>
    <w:rsid w:val="00686FD6"/>
    <w:rsid w:val="0068703C"/>
    <w:rsid w:val="00687051"/>
    <w:rsid w:val="006873C7"/>
    <w:rsid w:val="006874DC"/>
    <w:rsid w:val="006874E1"/>
    <w:rsid w:val="0068754B"/>
    <w:rsid w:val="00687621"/>
    <w:rsid w:val="006876B1"/>
    <w:rsid w:val="006879CA"/>
    <w:rsid w:val="00687AB9"/>
    <w:rsid w:val="00687B21"/>
    <w:rsid w:val="00687B99"/>
    <w:rsid w:val="00687CAC"/>
    <w:rsid w:val="00687D5D"/>
    <w:rsid w:val="00687EE8"/>
    <w:rsid w:val="00687FBC"/>
    <w:rsid w:val="006901B8"/>
    <w:rsid w:val="006901BE"/>
    <w:rsid w:val="0069026D"/>
    <w:rsid w:val="00690332"/>
    <w:rsid w:val="006904D0"/>
    <w:rsid w:val="00690515"/>
    <w:rsid w:val="00690560"/>
    <w:rsid w:val="0069061F"/>
    <w:rsid w:val="00690692"/>
    <w:rsid w:val="0069069D"/>
    <w:rsid w:val="00690768"/>
    <w:rsid w:val="00690903"/>
    <w:rsid w:val="00690940"/>
    <w:rsid w:val="00690ADF"/>
    <w:rsid w:val="00690C83"/>
    <w:rsid w:val="00690CFA"/>
    <w:rsid w:val="00690DC3"/>
    <w:rsid w:val="00690E3D"/>
    <w:rsid w:val="00690E63"/>
    <w:rsid w:val="006910A6"/>
    <w:rsid w:val="0069114D"/>
    <w:rsid w:val="0069118C"/>
    <w:rsid w:val="00691259"/>
    <w:rsid w:val="00691273"/>
    <w:rsid w:val="0069135B"/>
    <w:rsid w:val="006913EC"/>
    <w:rsid w:val="0069144E"/>
    <w:rsid w:val="0069149A"/>
    <w:rsid w:val="0069157F"/>
    <w:rsid w:val="00691733"/>
    <w:rsid w:val="0069176F"/>
    <w:rsid w:val="006917D0"/>
    <w:rsid w:val="00691898"/>
    <w:rsid w:val="00691CB5"/>
    <w:rsid w:val="00691E2E"/>
    <w:rsid w:val="00691F4D"/>
    <w:rsid w:val="00691F87"/>
    <w:rsid w:val="006920EE"/>
    <w:rsid w:val="0069216A"/>
    <w:rsid w:val="006922A7"/>
    <w:rsid w:val="00692354"/>
    <w:rsid w:val="006923DF"/>
    <w:rsid w:val="0069246B"/>
    <w:rsid w:val="0069246C"/>
    <w:rsid w:val="0069250D"/>
    <w:rsid w:val="00692571"/>
    <w:rsid w:val="006925F1"/>
    <w:rsid w:val="006926E6"/>
    <w:rsid w:val="0069299F"/>
    <w:rsid w:val="00692B74"/>
    <w:rsid w:val="00692BEB"/>
    <w:rsid w:val="00692CDE"/>
    <w:rsid w:val="00692D1F"/>
    <w:rsid w:val="00692DCF"/>
    <w:rsid w:val="00692E1A"/>
    <w:rsid w:val="00692E7F"/>
    <w:rsid w:val="00692F63"/>
    <w:rsid w:val="006930D0"/>
    <w:rsid w:val="006932DA"/>
    <w:rsid w:val="006933EB"/>
    <w:rsid w:val="00693484"/>
    <w:rsid w:val="0069353D"/>
    <w:rsid w:val="006936DE"/>
    <w:rsid w:val="00693902"/>
    <w:rsid w:val="006939B5"/>
    <w:rsid w:val="006939D0"/>
    <w:rsid w:val="006939D8"/>
    <w:rsid w:val="00693A49"/>
    <w:rsid w:val="00693BCF"/>
    <w:rsid w:val="00693C5C"/>
    <w:rsid w:val="00693D3C"/>
    <w:rsid w:val="00693D40"/>
    <w:rsid w:val="00693F51"/>
    <w:rsid w:val="006941F7"/>
    <w:rsid w:val="00694308"/>
    <w:rsid w:val="006944BE"/>
    <w:rsid w:val="006944C8"/>
    <w:rsid w:val="00694971"/>
    <w:rsid w:val="006949D5"/>
    <w:rsid w:val="006949E0"/>
    <w:rsid w:val="00694A39"/>
    <w:rsid w:val="00694C0B"/>
    <w:rsid w:val="00694F8A"/>
    <w:rsid w:val="00695246"/>
    <w:rsid w:val="0069525C"/>
    <w:rsid w:val="006952E1"/>
    <w:rsid w:val="00695568"/>
    <w:rsid w:val="006955BE"/>
    <w:rsid w:val="006955F4"/>
    <w:rsid w:val="00695635"/>
    <w:rsid w:val="00695871"/>
    <w:rsid w:val="00695939"/>
    <w:rsid w:val="00695995"/>
    <w:rsid w:val="006959EB"/>
    <w:rsid w:val="00695A30"/>
    <w:rsid w:val="00695F25"/>
    <w:rsid w:val="00695F74"/>
    <w:rsid w:val="00695FDC"/>
    <w:rsid w:val="00696091"/>
    <w:rsid w:val="006961D6"/>
    <w:rsid w:val="00696314"/>
    <w:rsid w:val="0069637B"/>
    <w:rsid w:val="0069649A"/>
    <w:rsid w:val="006964B3"/>
    <w:rsid w:val="00696547"/>
    <w:rsid w:val="006965FE"/>
    <w:rsid w:val="0069670E"/>
    <w:rsid w:val="00696788"/>
    <w:rsid w:val="006968AE"/>
    <w:rsid w:val="00696B69"/>
    <w:rsid w:val="00696B75"/>
    <w:rsid w:val="00696DF8"/>
    <w:rsid w:val="00696E40"/>
    <w:rsid w:val="00696F40"/>
    <w:rsid w:val="00696FD1"/>
    <w:rsid w:val="0069703A"/>
    <w:rsid w:val="006972E9"/>
    <w:rsid w:val="006973FF"/>
    <w:rsid w:val="0069740D"/>
    <w:rsid w:val="00697446"/>
    <w:rsid w:val="006974A4"/>
    <w:rsid w:val="00697689"/>
    <w:rsid w:val="0069768A"/>
    <w:rsid w:val="006976FD"/>
    <w:rsid w:val="0069799C"/>
    <w:rsid w:val="00697C12"/>
    <w:rsid w:val="00697C71"/>
    <w:rsid w:val="00697CE5"/>
    <w:rsid w:val="00697DA7"/>
    <w:rsid w:val="006A0150"/>
    <w:rsid w:val="006A0167"/>
    <w:rsid w:val="006A0173"/>
    <w:rsid w:val="006A020E"/>
    <w:rsid w:val="006A0335"/>
    <w:rsid w:val="006A057F"/>
    <w:rsid w:val="006A06F9"/>
    <w:rsid w:val="006A08E3"/>
    <w:rsid w:val="006A0A67"/>
    <w:rsid w:val="006A0ABB"/>
    <w:rsid w:val="006A0BB2"/>
    <w:rsid w:val="006A0E54"/>
    <w:rsid w:val="006A0E66"/>
    <w:rsid w:val="006A101B"/>
    <w:rsid w:val="006A10B5"/>
    <w:rsid w:val="006A11D4"/>
    <w:rsid w:val="006A120F"/>
    <w:rsid w:val="006A1330"/>
    <w:rsid w:val="006A1370"/>
    <w:rsid w:val="006A1382"/>
    <w:rsid w:val="006A13E3"/>
    <w:rsid w:val="006A1473"/>
    <w:rsid w:val="006A1550"/>
    <w:rsid w:val="006A15FE"/>
    <w:rsid w:val="006A1650"/>
    <w:rsid w:val="006A16FB"/>
    <w:rsid w:val="006A1873"/>
    <w:rsid w:val="006A1939"/>
    <w:rsid w:val="006A1985"/>
    <w:rsid w:val="006A1A04"/>
    <w:rsid w:val="006A1B04"/>
    <w:rsid w:val="006A1B4D"/>
    <w:rsid w:val="006A1D1B"/>
    <w:rsid w:val="006A1D32"/>
    <w:rsid w:val="006A1D70"/>
    <w:rsid w:val="006A1DAB"/>
    <w:rsid w:val="006A1ED8"/>
    <w:rsid w:val="006A1F30"/>
    <w:rsid w:val="006A1FA3"/>
    <w:rsid w:val="006A1FAB"/>
    <w:rsid w:val="006A20DD"/>
    <w:rsid w:val="006A22E2"/>
    <w:rsid w:val="006A2413"/>
    <w:rsid w:val="006A2429"/>
    <w:rsid w:val="006A2461"/>
    <w:rsid w:val="006A2560"/>
    <w:rsid w:val="006A25F7"/>
    <w:rsid w:val="006A26A0"/>
    <w:rsid w:val="006A2790"/>
    <w:rsid w:val="006A27A6"/>
    <w:rsid w:val="006A283D"/>
    <w:rsid w:val="006A2859"/>
    <w:rsid w:val="006A2AAD"/>
    <w:rsid w:val="006A2AF8"/>
    <w:rsid w:val="006A2E8D"/>
    <w:rsid w:val="006A2E9B"/>
    <w:rsid w:val="006A2EEC"/>
    <w:rsid w:val="006A2EF3"/>
    <w:rsid w:val="006A3163"/>
    <w:rsid w:val="006A3184"/>
    <w:rsid w:val="006A3296"/>
    <w:rsid w:val="006A3305"/>
    <w:rsid w:val="006A33D1"/>
    <w:rsid w:val="006A3432"/>
    <w:rsid w:val="006A3477"/>
    <w:rsid w:val="006A348F"/>
    <w:rsid w:val="006A3522"/>
    <w:rsid w:val="006A3533"/>
    <w:rsid w:val="006A36DA"/>
    <w:rsid w:val="006A37F5"/>
    <w:rsid w:val="006A3824"/>
    <w:rsid w:val="006A3831"/>
    <w:rsid w:val="006A389B"/>
    <w:rsid w:val="006A39EF"/>
    <w:rsid w:val="006A3A0D"/>
    <w:rsid w:val="006A3A6E"/>
    <w:rsid w:val="006A3A9E"/>
    <w:rsid w:val="006A3B09"/>
    <w:rsid w:val="006A3B73"/>
    <w:rsid w:val="006A3BFC"/>
    <w:rsid w:val="006A3D5E"/>
    <w:rsid w:val="006A3D61"/>
    <w:rsid w:val="006A3E2A"/>
    <w:rsid w:val="006A3E2D"/>
    <w:rsid w:val="006A3E35"/>
    <w:rsid w:val="006A3E60"/>
    <w:rsid w:val="006A3EA1"/>
    <w:rsid w:val="006A3EA9"/>
    <w:rsid w:val="006A3EFB"/>
    <w:rsid w:val="006A404E"/>
    <w:rsid w:val="006A4058"/>
    <w:rsid w:val="006A419E"/>
    <w:rsid w:val="006A4261"/>
    <w:rsid w:val="006A44BE"/>
    <w:rsid w:val="006A4683"/>
    <w:rsid w:val="006A478C"/>
    <w:rsid w:val="006A47A7"/>
    <w:rsid w:val="006A48BF"/>
    <w:rsid w:val="006A492F"/>
    <w:rsid w:val="006A497D"/>
    <w:rsid w:val="006A49BA"/>
    <w:rsid w:val="006A4AA6"/>
    <w:rsid w:val="006A4AE1"/>
    <w:rsid w:val="006A4AEB"/>
    <w:rsid w:val="006A4EFB"/>
    <w:rsid w:val="006A5044"/>
    <w:rsid w:val="006A50B1"/>
    <w:rsid w:val="006A51E0"/>
    <w:rsid w:val="006A5302"/>
    <w:rsid w:val="006A5397"/>
    <w:rsid w:val="006A55D2"/>
    <w:rsid w:val="006A5794"/>
    <w:rsid w:val="006A57BC"/>
    <w:rsid w:val="006A57E2"/>
    <w:rsid w:val="006A599B"/>
    <w:rsid w:val="006A5A0F"/>
    <w:rsid w:val="006A5B8E"/>
    <w:rsid w:val="006A5CEE"/>
    <w:rsid w:val="006A5DD0"/>
    <w:rsid w:val="006A5DD9"/>
    <w:rsid w:val="006A5F4B"/>
    <w:rsid w:val="006A6008"/>
    <w:rsid w:val="006A618B"/>
    <w:rsid w:val="006A623C"/>
    <w:rsid w:val="006A6306"/>
    <w:rsid w:val="006A63C1"/>
    <w:rsid w:val="006A6448"/>
    <w:rsid w:val="006A663D"/>
    <w:rsid w:val="006A674A"/>
    <w:rsid w:val="006A674D"/>
    <w:rsid w:val="006A676B"/>
    <w:rsid w:val="006A676C"/>
    <w:rsid w:val="006A67B4"/>
    <w:rsid w:val="006A67F4"/>
    <w:rsid w:val="006A68AD"/>
    <w:rsid w:val="006A694F"/>
    <w:rsid w:val="006A6950"/>
    <w:rsid w:val="006A6BE1"/>
    <w:rsid w:val="006A6C04"/>
    <w:rsid w:val="006A6D48"/>
    <w:rsid w:val="006A6D66"/>
    <w:rsid w:val="006A6E5C"/>
    <w:rsid w:val="006A6EB1"/>
    <w:rsid w:val="006A6F21"/>
    <w:rsid w:val="006A6FC3"/>
    <w:rsid w:val="006A7030"/>
    <w:rsid w:val="006A7062"/>
    <w:rsid w:val="006A7102"/>
    <w:rsid w:val="006A71DE"/>
    <w:rsid w:val="006A71EA"/>
    <w:rsid w:val="006A7461"/>
    <w:rsid w:val="006A755A"/>
    <w:rsid w:val="006A756D"/>
    <w:rsid w:val="006A75AE"/>
    <w:rsid w:val="006A7619"/>
    <w:rsid w:val="006A764A"/>
    <w:rsid w:val="006A77B7"/>
    <w:rsid w:val="006A77E9"/>
    <w:rsid w:val="006A7861"/>
    <w:rsid w:val="006A7AD5"/>
    <w:rsid w:val="006A7B1F"/>
    <w:rsid w:val="006A7C64"/>
    <w:rsid w:val="006A7C67"/>
    <w:rsid w:val="006A7DB0"/>
    <w:rsid w:val="006A7DD3"/>
    <w:rsid w:val="006A7DE0"/>
    <w:rsid w:val="006A7F63"/>
    <w:rsid w:val="006B007B"/>
    <w:rsid w:val="006B00EA"/>
    <w:rsid w:val="006B0122"/>
    <w:rsid w:val="006B0170"/>
    <w:rsid w:val="006B01BC"/>
    <w:rsid w:val="006B0252"/>
    <w:rsid w:val="006B035E"/>
    <w:rsid w:val="006B0528"/>
    <w:rsid w:val="006B058E"/>
    <w:rsid w:val="006B0651"/>
    <w:rsid w:val="006B0652"/>
    <w:rsid w:val="006B06A5"/>
    <w:rsid w:val="006B06E3"/>
    <w:rsid w:val="006B06EF"/>
    <w:rsid w:val="006B06FA"/>
    <w:rsid w:val="006B080D"/>
    <w:rsid w:val="006B08B1"/>
    <w:rsid w:val="006B096F"/>
    <w:rsid w:val="006B09AD"/>
    <w:rsid w:val="006B09C7"/>
    <w:rsid w:val="006B0AA6"/>
    <w:rsid w:val="006B0BAB"/>
    <w:rsid w:val="006B0CF4"/>
    <w:rsid w:val="006B0E90"/>
    <w:rsid w:val="006B105B"/>
    <w:rsid w:val="006B107E"/>
    <w:rsid w:val="006B10D3"/>
    <w:rsid w:val="006B1154"/>
    <w:rsid w:val="006B117F"/>
    <w:rsid w:val="006B11C0"/>
    <w:rsid w:val="006B1237"/>
    <w:rsid w:val="006B1255"/>
    <w:rsid w:val="006B126D"/>
    <w:rsid w:val="006B1299"/>
    <w:rsid w:val="006B12B2"/>
    <w:rsid w:val="006B141C"/>
    <w:rsid w:val="006B151B"/>
    <w:rsid w:val="006B1535"/>
    <w:rsid w:val="006B15C4"/>
    <w:rsid w:val="006B1600"/>
    <w:rsid w:val="006B1801"/>
    <w:rsid w:val="006B18A5"/>
    <w:rsid w:val="006B1AFB"/>
    <w:rsid w:val="006B1B57"/>
    <w:rsid w:val="006B1B9E"/>
    <w:rsid w:val="006B1C3D"/>
    <w:rsid w:val="006B1C5C"/>
    <w:rsid w:val="006B1CCF"/>
    <w:rsid w:val="006B1F9A"/>
    <w:rsid w:val="006B20F8"/>
    <w:rsid w:val="006B2107"/>
    <w:rsid w:val="006B23ED"/>
    <w:rsid w:val="006B24B8"/>
    <w:rsid w:val="006B24FA"/>
    <w:rsid w:val="006B283E"/>
    <w:rsid w:val="006B2870"/>
    <w:rsid w:val="006B2895"/>
    <w:rsid w:val="006B2929"/>
    <w:rsid w:val="006B29C1"/>
    <w:rsid w:val="006B2BA7"/>
    <w:rsid w:val="006B2C2E"/>
    <w:rsid w:val="006B2C72"/>
    <w:rsid w:val="006B2CB9"/>
    <w:rsid w:val="006B2EBD"/>
    <w:rsid w:val="006B2F7D"/>
    <w:rsid w:val="006B3079"/>
    <w:rsid w:val="006B31A4"/>
    <w:rsid w:val="006B31B7"/>
    <w:rsid w:val="006B3207"/>
    <w:rsid w:val="006B3227"/>
    <w:rsid w:val="006B3261"/>
    <w:rsid w:val="006B334D"/>
    <w:rsid w:val="006B3458"/>
    <w:rsid w:val="006B3482"/>
    <w:rsid w:val="006B34A3"/>
    <w:rsid w:val="006B373B"/>
    <w:rsid w:val="006B3850"/>
    <w:rsid w:val="006B3879"/>
    <w:rsid w:val="006B388B"/>
    <w:rsid w:val="006B38DD"/>
    <w:rsid w:val="006B38FF"/>
    <w:rsid w:val="006B3948"/>
    <w:rsid w:val="006B3AF7"/>
    <w:rsid w:val="006B3B68"/>
    <w:rsid w:val="006B3DA1"/>
    <w:rsid w:val="006B3EF6"/>
    <w:rsid w:val="006B3FE6"/>
    <w:rsid w:val="006B3FEA"/>
    <w:rsid w:val="006B4084"/>
    <w:rsid w:val="006B41C0"/>
    <w:rsid w:val="006B41FA"/>
    <w:rsid w:val="006B43EB"/>
    <w:rsid w:val="006B4428"/>
    <w:rsid w:val="006B4513"/>
    <w:rsid w:val="006B45AC"/>
    <w:rsid w:val="006B487B"/>
    <w:rsid w:val="006B4902"/>
    <w:rsid w:val="006B49B2"/>
    <w:rsid w:val="006B4ACD"/>
    <w:rsid w:val="006B4B2F"/>
    <w:rsid w:val="006B4D25"/>
    <w:rsid w:val="006B4FDF"/>
    <w:rsid w:val="006B5002"/>
    <w:rsid w:val="006B504E"/>
    <w:rsid w:val="006B5073"/>
    <w:rsid w:val="006B50E6"/>
    <w:rsid w:val="006B539A"/>
    <w:rsid w:val="006B53C0"/>
    <w:rsid w:val="006B54FF"/>
    <w:rsid w:val="006B5607"/>
    <w:rsid w:val="006B57F7"/>
    <w:rsid w:val="006B5814"/>
    <w:rsid w:val="006B58DB"/>
    <w:rsid w:val="006B592B"/>
    <w:rsid w:val="006B59DE"/>
    <w:rsid w:val="006B5A44"/>
    <w:rsid w:val="006B5B20"/>
    <w:rsid w:val="006B5BA9"/>
    <w:rsid w:val="006B5C25"/>
    <w:rsid w:val="006B5DF0"/>
    <w:rsid w:val="006B5F1F"/>
    <w:rsid w:val="006B5FA7"/>
    <w:rsid w:val="006B5FC2"/>
    <w:rsid w:val="006B612D"/>
    <w:rsid w:val="006B61ED"/>
    <w:rsid w:val="006B62BD"/>
    <w:rsid w:val="006B6464"/>
    <w:rsid w:val="006B6661"/>
    <w:rsid w:val="006B670F"/>
    <w:rsid w:val="006B673A"/>
    <w:rsid w:val="006B678C"/>
    <w:rsid w:val="006B680E"/>
    <w:rsid w:val="006B6875"/>
    <w:rsid w:val="006B68D7"/>
    <w:rsid w:val="006B698F"/>
    <w:rsid w:val="006B6A96"/>
    <w:rsid w:val="006B6AB8"/>
    <w:rsid w:val="006B6AD8"/>
    <w:rsid w:val="006B6B28"/>
    <w:rsid w:val="006B6B44"/>
    <w:rsid w:val="006B6CF0"/>
    <w:rsid w:val="006B6D72"/>
    <w:rsid w:val="006B6E1C"/>
    <w:rsid w:val="006B6EB5"/>
    <w:rsid w:val="006B6F0A"/>
    <w:rsid w:val="006B6FF5"/>
    <w:rsid w:val="006B71E7"/>
    <w:rsid w:val="006B7364"/>
    <w:rsid w:val="006B757D"/>
    <w:rsid w:val="006B75EE"/>
    <w:rsid w:val="006B7799"/>
    <w:rsid w:val="006B789A"/>
    <w:rsid w:val="006B7AAE"/>
    <w:rsid w:val="006B7C1C"/>
    <w:rsid w:val="006B7CE2"/>
    <w:rsid w:val="006B7E7D"/>
    <w:rsid w:val="006B7EC2"/>
    <w:rsid w:val="006C02F9"/>
    <w:rsid w:val="006C0354"/>
    <w:rsid w:val="006C03FA"/>
    <w:rsid w:val="006C03FF"/>
    <w:rsid w:val="006C04E7"/>
    <w:rsid w:val="006C0514"/>
    <w:rsid w:val="006C05B3"/>
    <w:rsid w:val="006C068B"/>
    <w:rsid w:val="006C069C"/>
    <w:rsid w:val="006C08AC"/>
    <w:rsid w:val="006C0BFC"/>
    <w:rsid w:val="006C0D86"/>
    <w:rsid w:val="006C0D87"/>
    <w:rsid w:val="006C0E35"/>
    <w:rsid w:val="006C1072"/>
    <w:rsid w:val="006C11D8"/>
    <w:rsid w:val="006C1394"/>
    <w:rsid w:val="006C14B7"/>
    <w:rsid w:val="006C159A"/>
    <w:rsid w:val="006C16BF"/>
    <w:rsid w:val="006C179D"/>
    <w:rsid w:val="006C1892"/>
    <w:rsid w:val="006C1A00"/>
    <w:rsid w:val="006C1A2A"/>
    <w:rsid w:val="006C1B71"/>
    <w:rsid w:val="006C1E6D"/>
    <w:rsid w:val="006C1F0C"/>
    <w:rsid w:val="006C1F15"/>
    <w:rsid w:val="006C2078"/>
    <w:rsid w:val="006C2145"/>
    <w:rsid w:val="006C2179"/>
    <w:rsid w:val="006C2201"/>
    <w:rsid w:val="006C2254"/>
    <w:rsid w:val="006C22C8"/>
    <w:rsid w:val="006C23D7"/>
    <w:rsid w:val="006C24FD"/>
    <w:rsid w:val="006C2551"/>
    <w:rsid w:val="006C2743"/>
    <w:rsid w:val="006C2810"/>
    <w:rsid w:val="006C284A"/>
    <w:rsid w:val="006C2893"/>
    <w:rsid w:val="006C28B4"/>
    <w:rsid w:val="006C29BC"/>
    <w:rsid w:val="006C29CE"/>
    <w:rsid w:val="006C2AF2"/>
    <w:rsid w:val="006C2AF7"/>
    <w:rsid w:val="006C2B12"/>
    <w:rsid w:val="006C2BF9"/>
    <w:rsid w:val="006C2CCE"/>
    <w:rsid w:val="006C2CCF"/>
    <w:rsid w:val="006C2E85"/>
    <w:rsid w:val="006C30FD"/>
    <w:rsid w:val="006C330E"/>
    <w:rsid w:val="006C333E"/>
    <w:rsid w:val="006C34E3"/>
    <w:rsid w:val="006C3589"/>
    <w:rsid w:val="006C362F"/>
    <w:rsid w:val="006C36B7"/>
    <w:rsid w:val="006C36F3"/>
    <w:rsid w:val="006C371C"/>
    <w:rsid w:val="006C375B"/>
    <w:rsid w:val="006C3779"/>
    <w:rsid w:val="006C382B"/>
    <w:rsid w:val="006C3924"/>
    <w:rsid w:val="006C3AFE"/>
    <w:rsid w:val="006C3B76"/>
    <w:rsid w:val="006C3B8F"/>
    <w:rsid w:val="006C3C0D"/>
    <w:rsid w:val="006C3C56"/>
    <w:rsid w:val="006C3D22"/>
    <w:rsid w:val="006C3E08"/>
    <w:rsid w:val="006C3F8E"/>
    <w:rsid w:val="006C3FE5"/>
    <w:rsid w:val="006C4010"/>
    <w:rsid w:val="006C4095"/>
    <w:rsid w:val="006C40E9"/>
    <w:rsid w:val="006C4344"/>
    <w:rsid w:val="006C4350"/>
    <w:rsid w:val="006C4377"/>
    <w:rsid w:val="006C43EE"/>
    <w:rsid w:val="006C440E"/>
    <w:rsid w:val="006C445C"/>
    <w:rsid w:val="006C4497"/>
    <w:rsid w:val="006C45A4"/>
    <w:rsid w:val="006C472E"/>
    <w:rsid w:val="006C4791"/>
    <w:rsid w:val="006C47AB"/>
    <w:rsid w:val="006C495B"/>
    <w:rsid w:val="006C4A1E"/>
    <w:rsid w:val="006C4A4C"/>
    <w:rsid w:val="006C4AC6"/>
    <w:rsid w:val="006C4C13"/>
    <w:rsid w:val="006C4CA0"/>
    <w:rsid w:val="006C4DAC"/>
    <w:rsid w:val="006C4DB1"/>
    <w:rsid w:val="006C4DDE"/>
    <w:rsid w:val="006C4F1F"/>
    <w:rsid w:val="006C502F"/>
    <w:rsid w:val="006C5164"/>
    <w:rsid w:val="006C5175"/>
    <w:rsid w:val="006C5435"/>
    <w:rsid w:val="006C5547"/>
    <w:rsid w:val="006C5642"/>
    <w:rsid w:val="006C56FF"/>
    <w:rsid w:val="006C5949"/>
    <w:rsid w:val="006C5B73"/>
    <w:rsid w:val="006C5C12"/>
    <w:rsid w:val="006C5C17"/>
    <w:rsid w:val="006C5C1D"/>
    <w:rsid w:val="006C5C37"/>
    <w:rsid w:val="006C5C85"/>
    <w:rsid w:val="006C5E9D"/>
    <w:rsid w:val="006C5F15"/>
    <w:rsid w:val="006C5FF8"/>
    <w:rsid w:val="006C606D"/>
    <w:rsid w:val="006C616C"/>
    <w:rsid w:val="006C61A0"/>
    <w:rsid w:val="006C645D"/>
    <w:rsid w:val="006C64B1"/>
    <w:rsid w:val="006C653C"/>
    <w:rsid w:val="006C662E"/>
    <w:rsid w:val="006C66DA"/>
    <w:rsid w:val="006C66F0"/>
    <w:rsid w:val="006C697A"/>
    <w:rsid w:val="006C6A48"/>
    <w:rsid w:val="006C6ADD"/>
    <w:rsid w:val="006C6AFB"/>
    <w:rsid w:val="006C6D1B"/>
    <w:rsid w:val="006C6E0A"/>
    <w:rsid w:val="006C6EC2"/>
    <w:rsid w:val="006C7025"/>
    <w:rsid w:val="006C70D4"/>
    <w:rsid w:val="006C71B3"/>
    <w:rsid w:val="006C7302"/>
    <w:rsid w:val="006C7369"/>
    <w:rsid w:val="006C73E7"/>
    <w:rsid w:val="006C73FC"/>
    <w:rsid w:val="006C74CA"/>
    <w:rsid w:val="006C7659"/>
    <w:rsid w:val="006C7671"/>
    <w:rsid w:val="006C767C"/>
    <w:rsid w:val="006C79C3"/>
    <w:rsid w:val="006C79C5"/>
    <w:rsid w:val="006C7A92"/>
    <w:rsid w:val="006C7A98"/>
    <w:rsid w:val="006C7D9C"/>
    <w:rsid w:val="006C7DBA"/>
    <w:rsid w:val="006C7FEB"/>
    <w:rsid w:val="006D0151"/>
    <w:rsid w:val="006D04B6"/>
    <w:rsid w:val="006D04F5"/>
    <w:rsid w:val="006D0542"/>
    <w:rsid w:val="006D05D3"/>
    <w:rsid w:val="006D06FD"/>
    <w:rsid w:val="006D0817"/>
    <w:rsid w:val="006D0963"/>
    <w:rsid w:val="006D09AB"/>
    <w:rsid w:val="006D0A74"/>
    <w:rsid w:val="006D0B48"/>
    <w:rsid w:val="006D0BE7"/>
    <w:rsid w:val="006D0D1B"/>
    <w:rsid w:val="006D0E08"/>
    <w:rsid w:val="006D1074"/>
    <w:rsid w:val="006D107B"/>
    <w:rsid w:val="006D11F1"/>
    <w:rsid w:val="006D121F"/>
    <w:rsid w:val="006D1248"/>
    <w:rsid w:val="006D12A8"/>
    <w:rsid w:val="006D12FF"/>
    <w:rsid w:val="006D1384"/>
    <w:rsid w:val="006D1491"/>
    <w:rsid w:val="006D15E1"/>
    <w:rsid w:val="006D15FD"/>
    <w:rsid w:val="006D1618"/>
    <w:rsid w:val="006D16CE"/>
    <w:rsid w:val="006D17D7"/>
    <w:rsid w:val="006D181D"/>
    <w:rsid w:val="006D1B31"/>
    <w:rsid w:val="006D1BB0"/>
    <w:rsid w:val="006D1D19"/>
    <w:rsid w:val="006D1D8D"/>
    <w:rsid w:val="006D206E"/>
    <w:rsid w:val="006D20AA"/>
    <w:rsid w:val="006D2176"/>
    <w:rsid w:val="006D2188"/>
    <w:rsid w:val="006D2245"/>
    <w:rsid w:val="006D22F0"/>
    <w:rsid w:val="006D2418"/>
    <w:rsid w:val="006D2563"/>
    <w:rsid w:val="006D2587"/>
    <w:rsid w:val="006D2720"/>
    <w:rsid w:val="006D27C7"/>
    <w:rsid w:val="006D27F9"/>
    <w:rsid w:val="006D2844"/>
    <w:rsid w:val="006D28CF"/>
    <w:rsid w:val="006D29CC"/>
    <w:rsid w:val="006D29DA"/>
    <w:rsid w:val="006D2AB3"/>
    <w:rsid w:val="006D2B45"/>
    <w:rsid w:val="006D2BBD"/>
    <w:rsid w:val="006D2C16"/>
    <w:rsid w:val="006D2C9D"/>
    <w:rsid w:val="006D2D07"/>
    <w:rsid w:val="006D2E59"/>
    <w:rsid w:val="006D2EA2"/>
    <w:rsid w:val="006D2EFD"/>
    <w:rsid w:val="006D302D"/>
    <w:rsid w:val="006D3062"/>
    <w:rsid w:val="006D313A"/>
    <w:rsid w:val="006D3165"/>
    <w:rsid w:val="006D328A"/>
    <w:rsid w:val="006D32CF"/>
    <w:rsid w:val="006D339A"/>
    <w:rsid w:val="006D34C1"/>
    <w:rsid w:val="006D3505"/>
    <w:rsid w:val="006D3569"/>
    <w:rsid w:val="006D357D"/>
    <w:rsid w:val="006D359C"/>
    <w:rsid w:val="006D35A0"/>
    <w:rsid w:val="006D35CA"/>
    <w:rsid w:val="006D36C3"/>
    <w:rsid w:val="006D373D"/>
    <w:rsid w:val="006D374D"/>
    <w:rsid w:val="006D3752"/>
    <w:rsid w:val="006D39E7"/>
    <w:rsid w:val="006D3A50"/>
    <w:rsid w:val="006D3AA5"/>
    <w:rsid w:val="006D3B0D"/>
    <w:rsid w:val="006D3B2F"/>
    <w:rsid w:val="006D3C2D"/>
    <w:rsid w:val="006D3C45"/>
    <w:rsid w:val="006D3D0B"/>
    <w:rsid w:val="006D3E4F"/>
    <w:rsid w:val="006D3F35"/>
    <w:rsid w:val="006D4081"/>
    <w:rsid w:val="006D4143"/>
    <w:rsid w:val="006D4872"/>
    <w:rsid w:val="006D49D1"/>
    <w:rsid w:val="006D4A0A"/>
    <w:rsid w:val="006D4A42"/>
    <w:rsid w:val="006D4A8D"/>
    <w:rsid w:val="006D4C9F"/>
    <w:rsid w:val="006D4D73"/>
    <w:rsid w:val="006D4D92"/>
    <w:rsid w:val="006D4DDE"/>
    <w:rsid w:val="006D4E2F"/>
    <w:rsid w:val="006D4E4C"/>
    <w:rsid w:val="006D4F76"/>
    <w:rsid w:val="006D5097"/>
    <w:rsid w:val="006D510D"/>
    <w:rsid w:val="006D522A"/>
    <w:rsid w:val="006D52BF"/>
    <w:rsid w:val="006D5328"/>
    <w:rsid w:val="006D543E"/>
    <w:rsid w:val="006D55E2"/>
    <w:rsid w:val="006D56E8"/>
    <w:rsid w:val="006D5738"/>
    <w:rsid w:val="006D5761"/>
    <w:rsid w:val="006D57EF"/>
    <w:rsid w:val="006D581B"/>
    <w:rsid w:val="006D5879"/>
    <w:rsid w:val="006D58C8"/>
    <w:rsid w:val="006D59B0"/>
    <w:rsid w:val="006D5A6F"/>
    <w:rsid w:val="006D5A72"/>
    <w:rsid w:val="006D5AD8"/>
    <w:rsid w:val="006D5AEA"/>
    <w:rsid w:val="006D5B26"/>
    <w:rsid w:val="006D5BAE"/>
    <w:rsid w:val="006D5BDF"/>
    <w:rsid w:val="006D5C90"/>
    <w:rsid w:val="006D5DBD"/>
    <w:rsid w:val="006D5DCD"/>
    <w:rsid w:val="006D6160"/>
    <w:rsid w:val="006D627C"/>
    <w:rsid w:val="006D62E4"/>
    <w:rsid w:val="006D6470"/>
    <w:rsid w:val="006D65F9"/>
    <w:rsid w:val="006D66A8"/>
    <w:rsid w:val="006D68B4"/>
    <w:rsid w:val="006D68E1"/>
    <w:rsid w:val="006D69D6"/>
    <w:rsid w:val="006D6A1F"/>
    <w:rsid w:val="006D6A4D"/>
    <w:rsid w:val="006D6A80"/>
    <w:rsid w:val="006D6C02"/>
    <w:rsid w:val="006D6CBF"/>
    <w:rsid w:val="006D6CF0"/>
    <w:rsid w:val="006D6D00"/>
    <w:rsid w:val="006D6D0E"/>
    <w:rsid w:val="006D6DAC"/>
    <w:rsid w:val="006D6F37"/>
    <w:rsid w:val="006D6F3B"/>
    <w:rsid w:val="006D701A"/>
    <w:rsid w:val="006D70EB"/>
    <w:rsid w:val="006D70F4"/>
    <w:rsid w:val="006D73C0"/>
    <w:rsid w:val="006D7444"/>
    <w:rsid w:val="006D74AC"/>
    <w:rsid w:val="006D755C"/>
    <w:rsid w:val="006D76CC"/>
    <w:rsid w:val="006D778C"/>
    <w:rsid w:val="006D7859"/>
    <w:rsid w:val="006D787D"/>
    <w:rsid w:val="006D7891"/>
    <w:rsid w:val="006D78E4"/>
    <w:rsid w:val="006D7A03"/>
    <w:rsid w:val="006D7A23"/>
    <w:rsid w:val="006D7AEB"/>
    <w:rsid w:val="006D7B28"/>
    <w:rsid w:val="006D7CA6"/>
    <w:rsid w:val="006D7D1D"/>
    <w:rsid w:val="006D7D71"/>
    <w:rsid w:val="006D7DC9"/>
    <w:rsid w:val="006D7DF5"/>
    <w:rsid w:val="006D7E06"/>
    <w:rsid w:val="006D7E72"/>
    <w:rsid w:val="006D7EA2"/>
    <w:rsid w:val="006E00B4"/>
    <w:rsid w:val="006E010F"/>
    <w:rsid w:val="006E016C"/>
    <w:rsid w:val="006E021C"/>
    <w:rsid w:val="006E03E0"/>
    <w:rsid w:val="006E0445"/>
    <w:rsid w:val="006E0567"/>
    <w:rsid w:val="006E0594"/>
    <w:rsid w:val="006E0644"/>
    <w:rsid w:val="006E0686"/>
    <w:rsid w:val="006E074A"/>
    <w:rsid w:val="006E075E"/>
    <w:rsid w:val="006E08F4"/>
    <w:rsid w:val="006E08F6"/>
    <w:rsid w:val="006E0946"/>
    <w:rsid w:val="006E09C9"/>
    <w:rsid w:val="006E0BA9"/>
    <w:rsid w:val="006E0C20"/>
    <w:rsid w:val="006E0D13"/>
    <w:rsid w:val="006E0E0F"/>
    <w:rsid w:val="006E0FCA"/>
    <w:rsid w:val="006E12DC"/>
    <w:rsid w:val="006E1387"/>
    <w:rsid w:val="006E14F7"/>
    <w:rsid w:val="006E150B"/>
    <w:rsid w:val="006E1519"/>
    <w:rsid w:val="006E16A3"/>
    <w:rsid w:val="006E1713"/>
    <w:rsid w:val="006E178A"/>
    <w:rsid w:val="006E1A54"/>
    <w:rsid w:val="006E1A78"/>
    <w:rsid w:val="006E1A7E"/>
    <w:rsid w:val="006E1A81"/>
    <w:rsid w:val="006E1B90"/>
    <w:rsid w:val="006E1BED"/>
    <w:rsid w:val="006E1BF3"/>
    <w:rsid w:val="006E1C5D"/>
    <w:rsid w:val="006E1D0F"/>
    <w:rsid w:val="006E1D21"/>
    <w:rsid w:val="006E1D81"/>
    <w:rsid w:val="006E1DD2"/>
    <w:rsid w:val="006E1EB6"/>
    <w:rsid w:val="006E2124"/>
    <w:rsid w:val="006E216A"/>
    <w:rsid w:val="006E225A"/>
    <w:rsid w:val="006E2305"/>
    <w:rsid w:val="006E2388"/>
    <w:rsid w:val="006E23BA"/>
    <w:rsid w:val="006E24F2"/>
    <w:rsid w:val="006E24F7"/>
    <w:rsid w:val="006E2565"/>
    <w:rsid w:val="006E266D"/>
    <w:rsid w:val="006E2689"/>
    <w:rsid w:val="006E28D2"/>
    <w:rsid w:val="006E2A41"/>
    <w:rsid w:val="006E2A80"/>
    <w:rsid w:val="006E2B2D"/>
    <w:rsid w:val="006E2BE7"/>
    <w:rsid w:val="006E2BEE"/>
    <w:rsid w:val="006E2D2A"/>
    <w:rsid w:val="006E2E74"/>
    <w:rsid w:val="006E2E8A"/>
    <w:rsid w:val="006E2F21"/>
    <w:rsid w:val="006E317F"/>
    <w:rsid w:val="006E3221"/>
    <w:rsid w:val="006E33A5"/>
    <w:rsid w:val="006E3584"/>
    <w:rsid w:val="006E36D7"/>
    <w:rsid w:val="006E3738"/>
    <w:rsid w:val="006E3838"/>
    <w:rsid w:val="006E39A1"/>
    <w:rsid w:val="006E3BE5"/>
    <w:rsid w:val="006E3CC1"/>
    <w:rsid w:val="006E3CC3"/>
    <w:rsid w:val="006E3DF9"/>
    <w:rsid w:val="006E3E95"/>
    <w:rsid w:val="006E3F6B"/>
    <w:rsid w:val="006E3FC9"/>
    <w:rsid w:val="006E40CB"/>
    <w:rsid w:val="006E4186"/>
    <w:rsid w:val="006E41D0"/>
    <w:rsid w:val="006E426E"/>
    <w:rsid w:val="006E429B"/>
    <w:rsid w:val="006E42DA"/>
    <w:rsid w:val="006E42F5"/>
    <w:rsid w:val="006E43EB"/>
    <w:rsid w:val="006E4655"/>
    <w:rsid w:val="006E46AC"/>
    <w:rsid w:val="006E4855"/>
    <w:rsid w:val="006E4A4A"/>
    <w:rsid w:val="006E4B62"/>
    <w:rsid w:val="006E4D00"/>
    <w:rsid w:val="006E4DAD"/>
    <w:rsid w:val="006E4DB0"/>
    <w:rsid w:val="006E4DDE"/>
    <w:rsid w:val="006E4E09"/>
    <w:rsid w:val="006E504D"/>
    <w:rsid w:val="006E5162"/>
    <w:rsid w:val="006E5169"/>
    <w:rsid w:val="006E5227"/>
    <w:rsid w:val="006E52CA"/>
    <w:rsid w:val="006E52D6"/>
    <w:rsid w:val="006E53EF"/>
    <w:rsid w:val="006E5540"/>
    <w:rsid w:val="006E556F"/>
    <w:rsid w:val="006E5C24"/>
    <w:rsid w:val="006E5C25"/>
    <w:rsid w:val="006E5D12"/>
    <w:rsid w:val="006E5E85"/>
    <w:rsid w:val="006E5E8D"/>
    <w:rsid w:val="006E5F32"/>
    <w:rsid w:val="006E5FD7"/>
    <w:rsid w:val="006E5FDC"/>
    <w:rsid w:val="006E5FE5"/>
    <w:rsid w:val="006E6143"/>
    <w:rsid w:val="006E61C8"/>
    <w:rsid w:val="006E6288"/>
    <w:rsid w:val="006E6432"/>
    <w:rsid w:val="006E6563"/>
    <w:rsid w:val="006E669E"/>
    <w:rsid w:val="006E66AC"/>
    <w:rsid w:val="006E677F"/>
    <w:rsid w:val="006E678A"/>
    <w:rsid w:val="006E6805"/>
    <w:rsid w:val="006E6930"/>
    <w:rsid w:val="006E693B"/>
    <w:rsid w:val="006E697A"/>
    <w:rsid w:val="006E6A22"/>
    <w:rsid w:val="006E6ABD"/>
    <w:rsid w:val="006E6BA8"/>
    <w:rsid w:val="006E6C5A"/>
    <w:rsid w:val="006E6D4D"/>
    <w:rsid w:val="006E6D84"/>
    <w:rsid w:val="006E6FAB"/>
    <w:rsid w:val="006E6FB8"/>
    <w:rsid w:val="006E7082"/>
    <w:rsid w:val="006E7111"/>
    <w:rsid w:val="006E711B"/>
    <w:rsid w:val="006E7151"/>
    <w:rsid w:val="006E7224"/>
    <w:rsid w:val="006E72D1"/>
    <w:rsid w:val="006E733B"/>
    <w:rsid w:val="006E74F8"/>
    <w:rsid w:val="006E771E"/>
    <w:rsid w:val="006E7A9C"/>
    <w:rsid w:val="006E7C22"/>
    <w:rsid w:val="006E7D72"/>
    <w:rsid w:val="006E7DBD"/>
    <w:rsid w:val="006E7DFA"/>
    <w:rsid w:val="006E7ECC"/>
    <w:rsid w:val="006E7F5F"/>
    <w:rsid w:val="006F0126"/>
    <w:rsid w:val="006F0235"/>
    <w:rsid w:val="006F0340"/>
    <w:rsid w:val="006F03D0"/>
    <w:rsid w:val="006F04D4"/>
    <w:rsid w:val="006F0515"/>
    <w:rsid w:val="006F05D6"/>
    <w:rsid w:val="006F05DB"/>
    <w:rsid w:val="006F05EC"/>
    <w:rsid w:val="006F063B"/>
    <w:rsid w:val="006F06CA"/>
    <w:rsid w:val="006F076D"/>
    <w:rsid w:val="006F0885"/>
    <w:rsid w:val="006F0971"/>
    <w:rsid w:val="006F0AB7"/>
    <w:rsid w:val="006F0BD7"/>
    <w:rsid w:val="006F0F6F"/>
    <w:rsid w:val="006F0FB6"/>
    <w:rsid w:val="006F13A6"/>
    <w:rsid w:val="006F13B7"/>
    <w:rsid w:val="006F13DD"/>
    <w:rsid w:val="006F13F9"/>
    <w:rsid w:val="006F1480"/>
    <w:rsid w:val="006F14D9"/>
    <w:rsid w:val="006F153C"/>
    <w:rsid w:val="006F15E1"/>
    <w:rsid w:val="006F160A"/>
    <w:rsid w:val="006F16A1"/>
    <w:rsid w:val="006F17CC"/>
    <w:rsid w:val="006F17DB"/>
    <w:rsid w:val="006F17F0"/>
    <w:rsid w:val="006F1827"/>
    <w:rsid w:val="006F19D5"/>
    <w:rsid w:val="006F1A87"/>
    <w:rsid w:val="006F1A8F"/>
    <w:rsid w:val="006F1BE7"/>
    <w:rsid w:val="006F1C51"/>
    <w:rsid w:val="006F1E0E"/>
    <w:rsid w:val="006F1EC4"/>
    <w:rsid w:val="006F1EEA"/>
    <w:rsid w:val="006F1F8F"/>
    <w:rsid w:val="006F2310"/>
    <w:rsid w:val="006F2329"/>
    <w:rsid w:val="006F23F8"/>
    <w:rsid w:val="006F2407"/>
    <w:rsid w:val="006F2532"/>
    <w:rsid w:val="006F2618"/>
    <w:rsid w:val="006F272D"/>
    <w:rsid w:val="006F2750"/>
    <w:rsid w:val="006F2790"/>
    <w:rsid w:val="006F29FE"/>
    <w:rsid w:val="006F2CE9"/>
    <w:rsid w:val="006F2F33"/>
    <w:rsid w:val="006F2F7C"/>
    <w:rsid w:val="006F310E"/>
    <w:rsid w:val="006F3264"/>
    <w:rsid w:val="006F33D1"/>
    <w:rsid w:val="006F33FD"/>
    <w:rsid w:val="006F34FE"/>
    <w:rsid w:val="006F3515"/>
    <w:rsid w:val="006F35A0"/>
    <w:rsid w:val="006F3792"/>
    <w:rsid w:val="006F3D69"/>
    <w:rsid w:val="006F3DED"/>
    <w:rsid w:val="006F3E2B"/>
    <w:rsid w:val="006F3EC6"/>
    <w:rsid w:val="006F3FBC"/>
    <w:rsid w:val="006F3FDA"/>
    <w:rsid w:val="006F409F"/>
    <w:rsid w:val="006F4105"/>
    <w:rsid w:val="006F41DE"/>
    <w:rsid w:val="006F4222"/>
    <w:rsid w:val="006F4285"/>
    <w:rsid w:val="006F428A"/>
    <w:rsid w:val="006F428F"/>
    <w:rsid w:val="006F42DD"/>
    <w:rsid w:val="006F43AF"/>
    <w:rsid w:val="006F43EC"/>
    <w:rsid w:val="006F44AE"/>
    <w:rsid w:val="006F47FF"/>
    <w:rsid w:val="006F49F5"/>
    <w:rsid w:val="006F4A74"/>
    <w:rsid w:val="006F4D09"/>
    <w:rsid w:val="006F4F44"/>
    <w:rsid w:val="006F5001"/>
    <w:rsid w:val="006F50EE"/>
    <w:rsid w:val="006F511B"/>
    <w:rsid w:val="006F5381"/>
    <w:rsid w:val="006F54B9"/>
    <w:rsid w:val="006F5530"/>
    <w:rsid w:val="006F5740"/>
    <w:rsid w:val="006F5853"/>
    <w:rsid w:val="006F58DA"/>
    <w:rsid w:val="006F58E6"/>
    <w:rsid w:val="006F5A63"/>
    <w:rsid w:val="006F5AFD"/>
    <w:rsid w:val="006F5B90"/>
    <w:rsid w:val="006F5CDB"/>
    <w:rsid w:val="006F5E1B"/>
    <w:rsid w:val="006F5E40"/>
    <w:rsid w:val="006F5EA4"/>
    <w:rsid w:val="006F5ECE"/>
    <w:rsid w:val="006F5F08"/>
    <w:rsid w:val="006F6088"/>
    <w:rsid w:val="006F6194"/>
    <w:rsid w:val="006F61C9"/>
    <w:rsid w:val="006F6210"/>
    <w:rsid w:val="006F62C5"/>
    <w:rsid w:val="006F639F"/>
    <w:rsid w:val="006F64B2"/>
    <w:rsid w:val="006F6548"/>
    <w:rsid w:val="006F661A"/>
    <w:rsid w:val="006F677E"/>
    <w:rsid w:val="006F69C6"/>
    <w:rsid w:val="006F6AA3"/>
    <w:rsid w:val="006F6ADD"/>
    <w:rsid w:val="006F6B34"/>
    <w:rsid w:val="006F6D13"/>
    <w:rsid w:val="006F6D47"/>
    <w:rsid w:val="006F6D85"/>
    <w:rsid w:val="006F6F14"/>
    <w:rsid w:val="006F6FA1"/>
    <w:rsid w:val="006F6FDA"/>
    <w:rsid w:val="006F7031"/>
    <w:rsid w:val="006F722B"/>
    <w:rsid w:val="006F7301"/>
    <w:rsid w:val="006F7339"/>
    <w:rsid w:val="006F7471"/>
    <w:rsid w:val="006F74CA"/>
    <w:rsid w:val="006F7593"/>
    <w:rsid w:val="006F75AA"/>
    <w:rsid w:val="006F76D4"/>
    <w:rsid w:val="006F7941"/>
    <w:rsid w:val="006F797D"/>
    <w:rsid w:val="006F7AB0"/>
    <w:rsid w:val="006F7B52"/>
    <w:rsid w:val="006F7B59"/>
    <w:rsid w:val="006F7BCA"/>
    <w:rsid w:val="006F7C7E"/>
    <w:rsid w:val="006F7E00"/>
    <w:rsid w:val="006F7E97"/>
    <w:rsid w:val="006F7F30"/>
    <w:rsid w:val="006F7FAC"/>
    <w:rsid w:val="00700080"/>
    <w:rsid w:val="0070010D"/>
    <w:rsid w:val="0070020E"/>
    <w:rsid w:val="007003AE"/>
    <w:rsid w:val="00700432"/>
    <w:rsid w:val="007004BA"/>
    <w:rsid w:val="007005DE"/>
    <w:rsid w:val="007006B1"/>
    <w:rsid w:val="007007C3"/>
    <w:rsid w:val="0070093F"/>
    <w:rsid w:val="007009C2"/>
    <w:rsid w:val="00700AAA"/>
    <w:rsid w:val="00700B8A"/>
    <w:rsid w:val="00700D7C"/>
    <w:rsid w:val="00700E9E"/>
    <w:rsid w:val="00700EB4"/>
    <w:rsid w:val="00700F7D"/>
    <w:rsid w:val="00700FA3"/>
    <w:rsid w:val="00700FD9"/>
    <w:rsid w:val="00701006"/>
    <w:rsid w:val="0070106E"/>
    <w:rsid w:val="007010A8"/>
    <w:rsid w:val="007010D5"/>
    <w:rsid w:val="00701101"/>
    <w:rsid w:val="007013BF"/>
    <w:rsid w:val="0070147F"/>
    <w:rsid w:val="00701487"/>
    <w:rsid w:val="0070152F"/>
    <w:rsid w:val="00701637"/>
    <w:rsid w:val="00701665"/>
    <w:rsid w:val="007016AD"/>
    <w:rsid w:val="007016CD"/>
    <w:rsid w:val="0070195D"/>
    <w:rsid w:val="007019B8"/>
    <w:rsid w:val="007019F8"/>
    <w:rsid w:val="00701C15"/>
    <w:rsid w:val="00701E61"/>
    <w:rsid w:val="00701ED5"/>
    <w:rsid w:val="00701F10"/>
    <w:rsid w:val="0070205B"/>
    <w:rsid w:val="00702072"/>
    <w:rsid w:val="0070212C"/>
    <w:rsid w:val="007022AE"/>
    <w:rsid w:val="00702337"/>
    <w:rsid w:val="007025E3"/>
    <w:rsid w:val="00702670"/>
    <w:rsid w:val="0070271F"/>
    <w:rsid w:val="0070278A"/>
    <w:rsid w:val="007027FA"/>
    <w:rsid w:val="0070281A"/>
    <w:rsid w:val="0070293F"/>
    <w:rsid w:val="00702951"/>
    <w:rsid w:val="00702A9C"/>
    <w:rsid w:val="00702C6D"/>
    <w:rsid w:val="00702DC0"/>
    <w:rsid w:val="00702DFF"/>
    <w:rsid w:val="00702E0C"/>
    <w:rsid w:val="00702E25"/>
    <w:rsid w:val="00702E81"/>
    <w:rsid w:val="00702EAB"/>
    <w:rsid w:val="00702F87"/>
    <w:rsid w:val="00702FDF"/>
    <w:rsid w:val="0070303D"/>
    <w:rsid w:val="007030BE"/>
    <w:rsid w:val="0070313F"/>
    <w:rsid w:val="007032B9"/>
    <w:rsid w:val="0070337A"/>
    <w:rsid w:val="007033B8"/>
    <w:rsid w:val="0070346A"/>
    <w:rsid w:val="0070349B"/>
    <w:rsid w:val="007034E4"/>
    <w:rsid w:val="00703585"/>
    <w:rsid w:val="007035F8"/>
    <w:rsid w:val="00703611"/>
    <w:rsid w:val="00703734"/>
    <w:rsid w:val="00703753"/>
    <w:rsid w:val="00703973"/>
    <w:rsid w:val="00703A66"/>
    <w:rsid w:val="00703BF9"/>
    <w:rsid w:val="00703C85"/>
    <w:rsid w:val="00703D6D"/>
    <w:rsid w:val="00703DF4"/>
    <w:rsid w:val="00703F89"/>
    <w:rsid w:val="00704115"/>
    <w:rsid w:val="007041B8"/>
    <w:rsid w:val="00704352"/>
    <w:rsid w:val="0070439F"/>
    <w:rsid w:val="00704640"/>
    <w:rsid w:val="0070471D"/>
    <w:rsid w:val="0070476E"/>
    <w:rsid w:val="00704775"/>
    <w:rsid w:val="0070489C"/>
    <w:rsid w:val="0070494E"/>
    <w:rsid w:val="00704A64"/>
    <w:rsid w:val="00704C2E"/>
    <w:rsid w:val="00704D38"/>
    <w:rsid w:val="00704E2D"/>
    <w:rsid w:val="00704E6E"/>
    <w:rsid w:val="00704F0F"/>
    <w:rsid w:val="007050A6"/>
    <w:rsid w:val="00705210"/>
    <w:rsid w:val="007052AC"/>
    <w:rsid w:val="007053CC"/>
    <w:rsid w:val="007053D3"/>
    <w:rsid w:val="00705406"/>
    <w:rsid w:val="0070541D"/>
    <w:rsid w:val="007058AD"/>
    <w:rsid w:val="00705936"/>
    <w:rsid w:val="0070598A"/>
    <w:rsid w:val="007059C1"/>
    <w:rsid w:val="00705A85"/>
    <w:rsid w:val="00705ADE"/>
    <w:rsid w:val="00705B34"/>
    <w:rsid w:val="00705BCF"/>
    <w:rsid w:val="00705BE1"/>
    <w:rsid w:val="00705D1A"/>
    <w:rsid w:val="00705E52"/>
    <w:rsid w:val="00705FE7"/>
    <w:rsid w:val="00706083"/>
    <w:rsid w:val="007061A0"/>
    <w:rsid w:val="007061C0"/>
    <w:rsid w:val="00706256"/>
    <w:rsid w:val="00706257"/>
    <w:rsid w:val="007062AC"/>
    <w:rsid w:val="007062BE"/>
    <w:rsid w:val="007063DF"/>
    <w:rsid w:val="007066B6"/>
    <w:rsid w:val="007066E9"/>
    <w:rsid w:val="0070673C"/>
    <w:rsid w:val="0070688C"/>
    <w:rsid w:val="007069E9"/>
    <w:rsid w:val="00706AA7"/>
    <w:rsid w:val="00706DE2"/>
    <w:rsid w:val="00706E5F"/>
    <w:rsid w:val="00706E8E"/>
    <w:rsid w:val="00706EB2"/>
    <w:rsid w:val="00707216"/>
    <w:rsid w:val="0070723D"/>
    <w:rsid w:val="0070736B"/>
    <w:rsid w:val="00707375"/>
    <w:rsid w:val="0070750A"/>
    <w:rsid w:val="0070758B"/>
    <w:rsid w:val="007075B8"/>
    <w:rsid w:val="00707642"/>
    <w:rsid w:val="00707710"/>
    <w:rsid w:val="00707882"/>
    <w:rsid w:val="0070788A"/>
    <w:rsid w:val="007078A7"/>
    <w:rsid w:val="0070791F"/>
    <w:rsid w:val="00707968"/>
    <w:rsid w:val="00707A2D"/>
    <w:rsid w:val="00707AAF"/>
    <w:rsid w:val="0071021D"/>
    <w:rsid w:val="00710252"/>
    <w:rsid w:val="007103F5"/>
    <w:rsid w:val="00710558"/>
    <w:rsid w:val="00710695"/>
    <w:rsid w:val="00710757"/>
    <w:rsid w:val="007107A1"/>
    <w:rsid w:val="0071080D"/>
    <w:rsid w:val="007108AE"/>
    <w:rsid w:val="007108B9"/>
    <w:rsid w:val="00710959"/>
    <w:rsid w:val="00710988"/>
    <w:rsid w:val="0071098B"/>
    <w:rsid w:val="00710A89"/>
    <w:rsid w:val="00710AAC"/>
    <w:rsid w:val="00710B64"/>
    <w:rsid w:val="00710C01"/>
    <w:rsid w:val="00710C65"/>
    <w:rsid w:val="00710F17"/>
    <w:rsid w:val="00710FBA"/>
    <w:rsid w:val="00711087"/>
    <w:rsid w:val="007111B6"/>
    <w:rsid w:val="00711240"/>
    <w:rsid w:val="00711430"/>
    <w:rsid w:val="00711446"/>
    <w:rsid w:val="00711580"/>
    <w:rsid w:val="007115E9"/>
    <w:rsid w:val="007115F2"/>
    <w:rsid w:val="0071173F"/>
    <w:rsid w:val="00711826"/>
    <w:rsid w:val="0071183C"/>
    <w:rsid w:val="00711862"/>
    <w:rsid w:val="00711985"/>
    <w:rsid w:val="007119A1"/>
    <w:rsid w:val="00711B6C"/>
    <w:rsid w:val="00711C80"/>
    <w:rsid w:val="00711D52"/>
    <w:rsid w:val="00711EFB"/>
    <w:rsid w:val="00711F9B"/>
    <w:rsid w:val="00712036"/>
    <w:rsid w:val="0071203B"/>
    <w:rsid w:val="0071206A"/>
    <w:rsid w:val="00712112"/>
    <w:rsid w:val="00712133"/>
    <w:rsid w:val="0071213D"/>
    <w:rsid w:val="00712251"/>
    <w:rsid w:val="00712331"/>
    <w:rsid w:val="0071235D"/>
    <w:rsid w:val="00712410"/>
    <w:rsid w:val="00712510"/>
    <w:rsid w:val="007126AF"/>
    <w:rsid w:val="00712710"/>
    <w:rsid w:val="00712731"/>
    <w:rsid w:val="00712957"/>
    <w:rsid w:val="00712F1E"/>
    <w:rsid w:val="00712FB7"/>
    <w:rsid w:val="007131FF"/>
    <w:rsid w:val="00713418"/>
    <w:rsid w:val="00713596"/>
    <w:rsid w:val="007136FF"/>
    <w:rsid w:val="00713B0C"/>
    <w:rsid w:val="00713B70"/>
    <w:rsid w:val="00713BFD"/>
    <w:rsid w:val="00713CAF"/>
    <w:rsid w:val="00713DA1"/>
    <w:rsid w:val="00713DF1"/>
    <w:rsid w:val="00713F06"/>
    <w:rsid w:val="00713F58"/>
    <w:rsid w:val="00713FD9"/>
    <w:rsid w:val="007140C5"/>
    <w:rsid w:val="0071421F"/>
    <w:rsid w:val="0071435F"/>
    <w:rsid w:val="0071446D"/>
    <w:rsid w:val="00714573"/>
    <w:rsid w:val="007146DE"/>
    <w:rsid w:val="0071485D"/>
    <w:rsid w:val="00714965"/>
    <w:rsid w:val="00714B54"/>
    <w:rsid w:val="00714B5C"/>
    <w:rsid w:val="00714BD4"/>
    <w:rsid w:val="00714EE0"/>
    <w:rsid w:val="00714FEC"/>
    <w:rsid w:val="0071517A"/>
    <w:rsid w:val="00715257"/>
    <w:rsid w:val="007152C7"/>
    <w:rsid w:val="00715327"/>
    <w:rsid w:val="007153D0"/>
    <w:rsid w:val="00715478"/>
    <w:rsid w:val="007155A4"/>
    <w:rsid w:val="007155A9"/>
    <w:rsid w:val="007156B2"/>
    <w:rsid w:val="007156C8"/>
    <w:rsid w:val="007159AC"/>
    <w:rsid w:val="007159BA"/>
    <w:rsid w:val="00715BB0"/>
    <w:rsid w:val="00715BCA"/>
    <w:rsid w:val="00715D75"/>
    <w:rsid w:val="00715DED"/>
    <w:rsid w:val="00715E83"/>
    <w:rsid w:val="00715E8E"/>
    <w:rsid w:val="00715ED0"/>
    <w:rsid w:val="00715F9B"/>
    <w:rsid w:val="0071609E"/>
    <w:rsid w:val="00716199"/>
    <w:rsid w:val="00716247"/>
    <w:rsid w:val="007163A9"/>
    <w:rsid w:val="007163C4"/>
    <w:rsid w:val="00716472"/>
    <w:rsid w:val="007164E8"/>
    <w:rsid w:val="00716558"/>
    <w:rsid w:val="00716619"/>
    <w:rsid w:val="0071664B"/>
    <w:rsid w:val="007166EB"/>
    <w:rsid w:val="007168A5"/>
    <w:rsid w:val="0071692C"/>
    <w:rsid w:val="00716944"/>
    <w:rsid w:val="00716A21"/>
    <w:rsid w:val="00716ABA"/>
    <w:rsid w:val="00716B37"/>
    <w:rsid w:val="00716C1F"/>
    <w:rsid w:val="00716C53"/>
    <w:rsid w:val="00716CF0"/>
    <w:rsid w:val="00716D3B"/>
    <w:rsid w:val="00716DFA"/>
    <w:rsid w:val="00716E60"/>
    <w:rsid w:val="00716E9D"/>
    <w:rsid w:val="0071705E"/>
    <w:rsid w:val="007171C3"/>
    <w:rsid w:val="00717246"/>
    <w:rsid w:val="00717298"/>
    <w:rsid w:val="007173BC"/>
    <w:rsid w:val="0071740B"/>
    <w:rsid w:val="00717471"/>
    <w:rsid w:val="007174C2"/>
    <w:rsid w:val="007174C9"/>
    <w:rsid w:val="007174F4"/>
    <w:rsid w:val="00717501"/>
    <w:rsid w:val="0071751C"/>
    <w:rsid w:val="00717668"/>
    <w:rsid w:val="007176FE"/>
    <w:rsid w:val="0071789F"/>
    <w:rsid w:val="0071794A"/>
    <w:rsid w:val="00717B9F"/>
    <w:rsid w:val="00717BBC"/>
    <w:rsid w:val="00717C8E"/>
    <w:rsid w:val="00717D0F"/>
    <w:rsid w:val="00717DA2"/>
    <w:rsid w:val="00717DB0"/>
    <w:rsid w:val="00717DB4"/>
    <w:rsid w:val="00717E7C"/>
    <w:rsid w:val="00717F23"/>
    <w:rsid w:val="00717FE9"/>
    <w:rsid w:val="00720091"/>
    <w:rsid w:val="00720330"/>
    <w:rsid w:val="00720428"/>
    <w:rsid w:val="007204B1"/>
    <w:rsid w:val="0072050E"/>
    <w:rsid w:val="00720579"/>
    <w:rsid w:val="0072062A"/>
    <w:rsid w:val="0072083E"/>
    <w:rsid w:val="00720908"/>
    <w:rsid w:val="00720916"/>
    <w:rsid w:val="00720A57"/>
    <w:rsid w:val="00720B09"/>
    <w:rsid w:val="00720B48"/>
    <w:rsid w:val="00720BEA"/>
    <w:rsid w:val="00720D88"/>
    <w:rsid w:val="00720F07"/>
    <w:rsid w:val="00720F12"/>
    <w:rsid w:val="0072106A"/>
    <w:rsid w:val="007210F1"/>
    <w:rsid w:val="00721144"/>
    <w:rsid w:val="00721191"/>
    <w:rsid w:val="0072124D"/>
    <w:rsid w:val="0072127D"/>
    <w:rsid w:val="007213AA"/>
    <w:rsid w:val="007213FC"/>
    <w:rsid w:val="007215EA"/>
    <w:rsid w:val="007215EB"/>
    <w:rsid w:val="007216AD"/>
    <w:rsid w:val="0072185E"/>
    <w:rsid w:val="007218C9"/>
    <w:rsid w:val="00721973"/>
    <w:rsid w:val="007219C8"/>
    <w:rsid w:val="00721A1F"/>
    <w:rsid w:val="00721A94"/>
    <w:rsid w:val="00721AB4"/>
    <w:rsid w:val="00721AE6"/>
    <w:rsid w:val="00721AE9"/>
    <w:rsid w:val="00721BA5"/>
    <w:rsid w:val="00721BC4"/>
    <w:rsid w:val="00721BF5"/>
    <w:rsid w:val="00721D0D"/>
    <w:rsid w:val="00721DC3"/>
    <w:rsid w:val="00721DEA"/>
    <w:rsid w:val="00721DF2"/>
    <w:rsid w:val="00721ECB"/>
    <w:rsid w:val="0072210C"/>
    <w:rsid w:val="007222DE"/>
    <w:rsid w:val="00722361"/>
    <w:rsid w:val="007223C0"/>
    <w:rsid w:val="0072244F"/>
    <w:rsid w:val="00722647"/>
    <w:rsid w:val="007226DC"/>
    <w:rsid w:val="00722750"/>
    <w:rsid w:val="0072275D"/>
    <w:rsid w:val="0072278C"/>
    <w:rsid w:val="0072279E"/>
    <w:rsid w:val="007227A9"/>
    <w:rsid w:val="00722904"/>
    <w:rsid w:val="007229D7"/>
    <w:rsid w:val="00722A0C"/>
    <w:rsid w:val="00722ACD"/>
    <w:rsid w:val="00722ADB"/>
    <w:rsid w:val="00722B53"/>
    <w:rsid w:val="00722BD2"/>
    <w:rsid w:val="00722C4F"/>
    <w:rsid w:val="00722D44"/>
    <w:rsid w:val="00722DBE"/>
    <w:rsid w:val="00722DF8"/>
    <w:rsid w:val="00722FA2"/>
    <w:rsid w:val="00722FCF"/>
    <w:rsid w:val="007230EC"/>
    <w:rsid w:val="0072316F"/>
    <w:rsid w:val="00723550"/>
    <w:rsid w:val="00723551"/>
    <w:rsid w:val="0072359B"/>
    <w:rsid w:val="007237EB"/>
    <w:rsid w:val="00723888"/>
    <w:rsid w:val="00723909"/>
    <w:rsid w:val="00723973"/>
    <w:rsid w:val="007239F0"/>
    <w:rsid w:val="00723A38"/>
    <w:rsid w:val="00723ACD"/>
    <w:rsid w:val="00723BA0"/>
    <w:rsid w:val="00723C06"/>
    <w:rsid w:val="00723DC0"/>
    <w:rsid w:val="00723EFD"/>
    <w:rsid w:val="00723F02"/>
    <w:rsid w:val="00724168"/>
    <w:rsid w:val="00724279"/>
    <w:rsid w:val="0072430D"/>
    <w:rsid w:val="00724947"/>
    <w:rsid w:val="007249A7"/>
    <w:rsid w:val="00724A0A"/>
    <w:rsid w:val="00724A72"/>
    <w:rsid w:val="00724AB5"/>
    <w:rsid w:val="00724DD0"/>
    <w:rsid w:val="00724DE6"/>
    <w:rsid w:val="00724E10"/>
    <w:rsid w:val="00724E94"/>
    <w:rsid w:val="00724EE7"/>
    <w:rsid w:val="00724EEB"/>
    <w:rsid w:val="00724F2E"/>
    <w:rsid w:val="00724FD9"/>
    <w:rsid w:val="0072509F"/>
    <w:rsid w:val="007250A0"/>
    <w:rsid w:val="007250FD"/>
    <w:rsid w:val="00725175"/>
    <w:rsid w:val="00725188"/>
    <w:rsid w:val="00725333"/>
    <w:rsid w:val="00725400"/>
    <w:rsid w:val="00725408"/>
    <w:rsid w:val="007256C7"/>
    <w:rsid w:val="00725869"/>
    <w:rsid w:val="00725904"/>
    <w:rsid w:val="00725A1E"/>
    <w:rsid w:val="00725A79"/>
    <w:rsid w:val="00725AE7"/>
    <w:rsid w:val="00725CDC"/>
    <w:rsid w:val="00725DE7"/>
    <w:rsid w:val="00725EC0"/>
    <w:rsid w:val="00725F14"/>
    <w:rsid w:val="00725F97"/>
    <w:rsid w:val="00726005"/>
    <w:rsid w:val="00726011"/>
    <w:rsid w:val="00726083"/>
    <w:rsid w:val="007260DC"/>
    <w:rsid w:val="0072625F"/>
    <w:rsid w:val="007262E0"/>
    <w:rsid w:val="00726388"/>
    <w:rsid w:val="0072640A"/>
    <w:rsid w:val="00726428"/>
    <w:rsid w:val="00726430"/>
    <w:rsid w:val="0072645F"/>
    <w:rsid w:val="007264F3"/>
    <w:rsid w:val="0072653A"/>
    <w:rsid w:val="007266DD"/>
    <w:rsid w:val="0072677A"/>
    <w:rsid w:val="007267AF"/>
    <w:rsid w:val="007267B1"/>
    <w:rsid w:val="00726821"/>
    <w:rsid w:val="0072694C"/>
    <w:rsid w:val="00726A7D"/>
    <w:rsid w:val="00726AD2"/>
    <w:rsid w:val="00726C14"/>
    <w:rsid w:val="00726CA8"/>
    <w:rsid w:val="00726E65"/>
    <w:rsid w:val="00726E8A"/>
    <w:rsid w:val="00726F16"/>
    <w:rsid w:val="00726FD1"/>
    <w:rsid w:val="007271B4"/>
    <w:rsid w:val="007271EA"/>
    <w:rsid w:val="007272E6"/>
    <w:rsid w:val="00727539"/>
    <w:rsid w:val="00727633"/>
    <w:rsid w:val="00727635"/>
    <w:rsid w:val="007276C2"/>
    <w:rsid w:val="007276F4"/>
    <w:rsid w:val="0072781E"/>
    <w:rsid w:val="0072784E"/>
    <w:rsid w:val="0072789A"/>
    <w:rsid w:val="007278B4"/>
    <w:rsid w:val="007278F4"/>
    <w:rsid w:val="007279AC"/>
    <w:rsid w:val="007279DD"/>
    <w:rsid w:val="00727AC7"/>
    <w:rsid w:val="00727AFC"/>
    <w:rsid w:val="00727F2A"/>
    <w:rsid w:val="007300B4"/>
    <w:rsid w:val="0073017C"/>
    <w:rsid w:val="00730199"/>
    <w:rsid w:val="00730265"/>
    <w:rsid w:val="00730307"/>
    <w:rsid w:val="00730316"/>
    <w:rsid w:val="00730571"/>
    <w:rsid w:val="00730792"/>
    <w:rsid w:val="007307F2"/>
    <w:rsid w:val="00730900"/>
    <w:rsid w:val="00730C9A"/>
    <w:rsid w:val="00730E79"/>
    <w:rsid w:val="00730FD4"/>
    <w:rsid w:val="0073103A"/>
    <w:rsid w:val="0073108B"/>
    <w:rsid w:val="00731109"/>
    <w:rsid w:val="00731127"/>
    <w:rsid w:val="00731154"/>
    <w:rsid w:val="00731224"/>
    <w:rsid w:val="00731598"/>
    <w:rsid w:val="007315F9"/>
    <w:rsid w:val="0073166E"/>
    <w:rsid w:val="007316B4"/>
    <w:rsid w:val="007316D3"/>
    <w:rsid w:val="00731726"/>
    <w:rsid w:val="0073177E"/>
    <w:rsid w:val="007317F9"/>
    <w:rsid w:val="0073197A"/>
    <w:rsid w:val="00731ABC"/>
    <w:rsid w:val="00731B96"/>
    <w:rsid w:val="00731BD0"/>
    <w:rsid w:val="00731BED"/>
    <w:rsid w:val="00731F60"/>
    <w:rsid w:val="00731F64"/>
    <w:rsid w:val="00731F8F"/>
    <w:rsid w:val="00731FAC"/>
    <w:rsid w:val="00732011"/>
    <w:rsid w:val="0073206A"/>
    <w:rsid w:val="00732085"/>
    <w:rsid w:val="007321BC"/>
    <w:rsid w:val="0073222E"/>
    <w:rsid w:val="0073228D"/>
    <w:rsid w:val="007322A8"/>
    <w:rsid w:val="007323AC"/>
    <w:rsid w:val="00732464"/>
    <w:rsid w:val="00732476"/>
    <w:rsid w:val="007325F9"/>
    <w:rsid w:val="00732678"/>
    <w:rsid w:val="007327FE"/>
    <w:rsid w:val="00732AB9"/>
    <w:rsid w:val="00732C7C"/>
    <w:rsid w:val="00732DCE"/>
    <w:rsid w:val="00732E2C"/>
    <w:rsid w:val="00732FD4"/>
    <w:rsid w:val="00733001"/>
    <w:rsid w:val="007330D2"/>
    <w:rsid w:val="0073323E"/>
    <w:rsid w:val="007333F8"/>
    <w:rsid w:val="007334FC"/>
    <w:rsid w:val="00733510"/>
    <w:rsid w:val="00733646"/>
    <w:rsid w:val="007338A4"/>
    <w:rsid w:val="00733909"/>
    <w:rsid w:val="00733918"/>
    <w:rsid w:val="00733A27"/>
    <w:rsid w:val="00733A59"/>
    <w:rsid w:val="00733D15"/>
    <w:rsid w:val="00733D8A"/>
    <w:rsid w:val="00733E04"/>
    <w:rsid w:val="00733E76"/>
    <w:rsid w:val="0073424C"/>
    <w:rsid w:val="0073431F"/>
    <w:rsid w:val="0073438A"/>
    <w:rsid w:val="007343A0"/>
    <w:rsid w:val="00734527"/>
    <w:rsid w:val="0073456D"/>
    <w:rsid w:val="0073459B"/>
    <w:rsid w:val="0073460C"/>
    <w:rsid w:val="007346EC"/>
    <w:rsid w:val="007346FE"/>
    <w:rsid w:val="007347BA"/>
    <w:rsid w:val="00734882"/>
    <w:rsid w:val="00734889"/>
    <w:rsid w:val="007348A6"/>
    <w:rsid w:val="007348DF"/>
    <w:rsid w:val="00734929"/>
    <w:rsid w:val="007349C9"/>
    <w:rsid w:val="007349DC"/>
    <w:rsid w:val="00734BBC"/>
    <w:rsid w:val="00734BC2"/>
    <w:rsid w:val="00734BE0"/>
    <w:rsid w:val="00734CAF"/>
    <w:rsid w:val="00734E22"/>
    <w:rsid w:val="00734E50"/>
    <w:rsid w:val="00734F0F"/>
    <w:rsid w:val="00734F16"/>
    <w:rsid w:val="00734FBF"/>
    <w:rsid w:val="00735036"/>
    <w:rsid w:val="0073521D"/>
    <w:rsid w:val="007352A6"/>
    <w:rsid w:val="00735388"/>
    <w:rsid w:val="00735571"/>
    <w:rsid w:val="00735695"/>
    <w:rsid w:val="007356CD"/>
    <w:rsid w:val="00735A4B"/>
    <w:rsid w:val="00735AFD"/>
    <w:rsid w:val="00735B71"/>
    <w:rsid w:val="00735D24"/>
    <w:rsid w:val="00735E52"/>
    <w:rsid w:val="00735E8D"/>
    <w:rsid w:val="00735F21"/>
    <w:rsid w:val="00736073"/>
    <w:rsid w:val="00736075"/>
    <w:rsid w:val="0073612C"/>
    <w:rsid w:val="0073628C"/>
    <w:rsid w:val="00736301"/>
    <w:rsid w:val="00736586"/>
    <w:rsid w:val="00736761"/>
    <w:rsid w:val="00736781"/>
    <w:rsid w:val="007368E5"/>
    <w:rsid w:val="007369C2"/>
    <w:rsid w:val="007369C4"/>
    <w:rsid w:val="00736A6E"/>
    <w:rsid w:val="00736A76"/>
    <w:rsid w:val="00736ACD"/>
    <w:rsid w:val="00736B1A"/>
    <w:rsid w:val="00736BFB"/>
    <w:rsid w:val="00736C18"/>
    <w:rsid w:val="00736CFE"/>
    <w:rsid w:val="00736D3A"/>
    <w:rsid w:val="00736DB6"/>
    <w:rsid w:val="00736E4D"/>
    <w:rsid w:val="00736F3E"/>
    <w:rsid w:val="00737467"/>
    <w:rsid w:val="00737545"/>
    <w:rsid w:val="007375EA"/>
    <w:rsid w:val="00737647"/>
    <w:rsid w:val="007376C4"/>
    <w:rsid w:val="00737779"/>
    <w:rsid w:val="007378EB"/>
    <w:rsid w:val="007379E0"/>
    <w:rsid w:val="007379FE"/>
    <w:rsid w:val="00737B5D"/>
    <w:rsid w:val="00737B62"/>
    <w:rsid w:val="00737CF6"/>
    <w:rsid w:val="00737EA4"/>
    <w:rsid w:val="00737EC4"/>
    <w:rsid w:val="0074024C"/>
    <w:rsid w:val="00740256"/>
    <w:rsid w:val="0074026B"/>
    <w:rsid w:val="00740424"/>
    <w:rsid w:val="007404EA"/>
    <w:rsid w:val="007405A2"/>
    <w:rsid w:val="007405BE"/>
    <w:rsid w:val="00740630"/>
    <w:rsid w:val="00740714"/>
    <w:rsid w:val="00740825"/>
    <w:rsid w:val="007408D5"/>
    <w:rsid w:val="007408D8"/>
    <w:rsid w:val="0074096B"/>
    <w:rsid w:val="0074097E"/>
    <w:rsid w:val="00740A3E"/>
    <w:rsid w:val="00740A6D"/>
    <w:rsid w:val="00740B27"/>
    <w:rsid w:val="00740B36"/>
    <w:rsid w:val="00740BA9"/>
    <w:rsid w:val="00740BC0"/>
    <w:rsid w:val="00740BD8"/>
    <w:rsid w:val="00740C02"/>
    <w:rsid w:val="00740C52"/>
    <w:rsid w:val="00740C72"/>
    <w:rsid w:val="00740DFD"/>
    <w:rsid w:val="00740EEA"/>
    <w:rsid w:val="00740F17"/>
    <w:rsid w:val="00740F20"/>
    <w:rsid w:val="00740FB5"/>
    <w:rsid w:val="0074104B"/>
    <w:rsid w:val="007410C4"/>
    <w:rsid w:val="007411F5"/>
    <w:rsid w:val="0074124C"/>
    <w:rsid w:val="00741253"/>
    <w:rsid w:val="007413CB"/>
    <w:rsid w:val="007413F8"/>
    <w:rsid w:val="007418E3"/>
    <w:rsid w:val="00741D30"/>
    <w:rsid w:val="00741D4C"/>
    <w:rsid w:val="00741E36"/>
    <w:rsid w:val="007420C9"/>
    <w:rsid w:val="007420D6"/>
    <w:rsid w:val="0074212C"/>
    <w:rsid w:val="007421E8"/>
    <w:rsid w:val="00742366"/>
    <w:rsid w:val="00742451"/>
    <w:rsid w:val="00742550"/>
    <w:rsid w:val="00742565"/>
    <w:rsid w:val="007426F0"/>
    <w:rsid w:val="0074274B"/>
    <w:rsid w:val="007427DC"/>
    <w:rsid w:val="00742837"/>
    <w:rsid w:val="00742A8F"/>
    <w:rsid w:val="00742BFB"/>
    <w:rsid w:val="00742C9E"/>
    <w:rsid w:val="00742E88"/>
    <w:rsid w:val="00743005"/>
    <w:rsid w:val="00743092"/>
    <w:rsid w:val="007431A1"/>
    <w:rsid w:val="00743339"/>
    <w:rsid w:val="00743431"/>
    <w:rsid w:val="0074349A"/>
    <w:rsid w:val="007435AC"/>
    <w:rsid w:val="007435B1"/>
    <w:rsid w:val="007435BA"/>
    <w:rsid w:val="0074361E"/>
    <w:rsid w:val="007436A1"/>
    <w:rsid w:val="00743713"/>
    <w:rsid w:val="007437EC"/>
    <w:rsid w:val="00743891"/>
    <w:rsid w:val="007438EC"/>
    <w:rsid w:val="007439A4"/>
    <w:rsid w:val="007439A7"/>
    <w:rsid w:val="007439F7"/>
    <w:rsid w:val="00743A15"/>
    <w:rsid w:val="00743A84"/>
    <w:rsid w:val="00743AF2"/>
    <w:rsid w:val="00743B4E"/>
    <w:rsid w:val="00743B53"/>
    <w:rsid w:val="00743BCA"/>
    <w:rsid w:val="00743DA1"/>
    <w:rsid w:val="00744059"/>
    <w:rsid w:val="00744168"/>
    <w:rsid w:val="00744195"/>
    <w:rsid w:val="00744208"/>
    <w:rsid w:val="00744227"/>
    <w:rsid w:val="00744393"/>
    <w:rsid w:val="00744484"/>
    <w:rsid w:val="00744529"/>
    <w:rsid w:val="0074453D"/>
    <w:rsid w:val="007445A1"/>
    <w:rsid w:val="00744728"/>
    <w:rsid w:val="00744744"/>
    <w:rsid w:val="00744912"/>
    <w:rsid w:val="00744962"/>
    <w:rsid w:val="00744A10"/>
    <w:rsid w:val="00744B81"/>
    <w:rsid w:val="00744BC6"/>
    <w:rsid w:val="00744D23"/>
    <w:rsid w:val="00744D5D"/>
    <w:rsid w:val="00744E2C"/>
    <w:rsid w:val="0074506D"/>
    <w:rsid w:val="007450D6"/>
    <w:rsid w:val="007450D8"/>
    <w:rsid w:val="00745161"/>
    <w:rsid w:val="00745232"/>
    <w:rsid w:val="007453CA"/>
    <w:rsid w:val="0074552B"/>
    <w:rsid w:val="00745629"/>
    <w:rsid w:val="00745676"/>
    <w:rsid w:val="00745685"/>
    <w:rsid w:val="00745697"/>
    <w:rsid w:val="0074574B"/>
    <w:rsid w:val="00745787"/>
    <w:rsid w:val="007458DD"/>
    <w:rsid w:val="00745926"/>
    <w:rsid w:val="00745971"/>
    <w:rsid w:val="0074597C"/>
    <w:rsid w:val="00745A31"/>
    <w:rsid w:val="00745B4F"/>
    <w:rsid w:val="00745C47"/>
    <w:rsid w:val="00745CC3"/>
    <w:rsid w:val="00745CCD"/>
    <w:rsid w:val="00745EDD"/>
    <w:rsid w:val="00745F5A"/>
    <w:rsid w:val="00746023"/>
    <w:rsid w:val="007460B1"/>
    <w:rsid w:val="007460F5"/>
    <w:rsid w:val="007461C2"/>
    <w:rsid w:val="007462A4"/>
    <w:rsid w:val="0074630C"/>
    <w:rsid w:val="00746351"/>
    <w:rsid w:val="0074645A"/>
    <w:rsid w:val="0074646E"/>
    <w:rsid w:val="007464FA"/>
    <w:rsid w:val="0074664F"/>
    <w:rsid w:val="0074667D"/>
    <w:rsid w:val="007466DC"/>
    <w:rsid w:val="007466F2"/>
    <w:rsid w:val="007467AC"/>
    <w:rsid w:val="0074680E"/>
    <w:rsid w:val="0074682D"/>
    <w:rsid w:val="00746B6F"/>
    <w:rsid w:val="00746DBB"/>
    <w:rsid w:val="00747184"/>
    <w:rsid w:val="0074718E"/>
    <w:rsid w:val="007471B5"/>
    <w:rsid w:val="007471B6"/>
    <w:rsid w:val="007472DA"/>
    <w:rsid w:val="00747300"/>
    <w:rsid w:val="00747364"/>
    <w:rsid w:val="007473C7"/>
    <w:rsid w:val="00747466"/>
    <w:rsid w:val="0074750D"/>
    <w:rsid w:val="00747551"/>
    <w:rsid w:val="007476F0"/>
    <w:rsid w:val="007477F3"/>
    <w:rsid w:val="007479B7"/>
    <w:rsid w:val="00747A46"/>
    <w:rsid w:val="00747A73"/>
    <w:rsid w:val="00747A77"/>
    <w:rsid w:val="00747C6C"/>
    <w:rsid w:val="00747D09"/>
    <w:rsid w:val="00747D54"/>
    <w:rsid w:val="00747DE2"/>
    <w:rsid w:val="00747DF7"/>
    <w:rsid w:val="00747F51"/>
    <w:rsid w:val="00747F6D"/>
    <w:rsid w:val="00747FB5"/>
    <w:rsid w:val="00750049"/>
    <w:rsid w:val="007501A4"/>
    <w:rsid w:val="007501E8"/>
    <w:rsid w:val="0075023D"/>
    <w:rsid w:val="00750372"/>
    <w:rsid w:val="00750908"/>
    <w:rsid w:val="007509DD"/>
    <w:rsid w:val="00750A6B"/>
    <w:rsid w:val="00750B30"/>
    <w:rsid w:val="00750BF2"/>
    <w:rsid w:val="00750CF8"/>
    <w:rsid w:val="00750F2A"/>
    <w:rsid w:val="00751170"/>
    <w:rsid w:val="007511E8"/>
    <w:rsid w:val="007512F4"/>
    <w:rsid w:val="00751484"/>
    <w:rsid w:val="0075170A"/>
    <w:rsid w:val="00751716"/>
    <w:rsid w:val="007517BB"/>
    <w:rsid w:val="0075181A"/>
    <w:rsid w:val="00751B20"/>
    <w:rsid w:val="00751C1B"/>
    <w:rsid w:val="00751D94"/>
    <w:rsid w:val="00751DCB"/>
    <w:rsid w:val="00751E22"/>
    <w:rsid w:val="00751E57"/>
    <w:rsid w:val="0075205C"/>
    <w:rsid w:val="0075216D"/>
    <w:rsid w:val="007522AD"/>
    <w:rsid w:val="007524C7"/>
    <w:rsid w:val="00752522"/>
    <w:rsid w:val="007527E7"/>
    <w:rsid w:val="00752893"/>
    <w:rsid w:val="007528AF"/>
    <w:rsid w:val="0075291B"/>
    <w:rsid w:val="0075293E"/>
    <w:rsid w:val="00752A64"/>
    <w:rsid w:val="00752AD7"/>
    <w:rsid w:val="00752B0C"/>
    <w:rsid w:val="00752B9C"/>
    <w:rsid w:val="00752BA9"/>
    <w:rsid w:val="00752BFB"/>
    <w:rsid w:val="00752C77"/>
    <w:rsid w:val="00752C84"/>
    <w:rsid w:val="00752CDB"/>
    <w:rsid w:val="00752D25"/>
    <w:rsid w:val="00752E42"/>
    <w:rsid w:val="00752EA3"/>
    <w:rsid w:val="007533CE"/>
    <w:rsid w:val="0075373C"/>
    <w:rsid w:val="00753843"/>
    <w:rsid w:val="007539D1"/>
    <w:rsid w:val="00753A15"/>
    <w:rsid w:val="00753CC5"/>
    <w:rsid w:val="00753D45"/>
    <w:rsid w:val="00753E4C"/>
    <w:rsid w:val="00753EB5"/>
    <w:rsid w:val="00754000"/>
    <w:rsid w:val="0075412C"/>
    <w:rsid w:val="007542BF"/>
    <w:rsid w:val="0075445F"/>
    <w:rsid w:val="00754486"/>
    <w:rsid w:val="007544D3"/>
    <w:rsid w:val="0075454A"/>
    <w:rsid w:val="0075457C"/>
    <w:rsid w:val="0075463F"/>
    <w:rsid w:val="0075469F"/>
    <w:rsid w:val="007549E9"/>
    <w:rsid w:val="007549FE"/>
    <w:rsid w:val="00754B79"/>
    <w:rsid w:val="00754C07"/>
    <w:rsid w:val="00754C34"/>
    <w:rsid w:val="00754C9F"/>
    <w:rsid w:val="00754CC8"/>
    <w:rsid w:val="00754D71"/>
    <w:rsid w:val="00754DB5"/>
    <w:rsid w:val="00754DD2"/>
    <w:rsid w:val="00754E51"/>
    <w:rsid w:val="00754EDF"/>
    <w:rsid w:val="00754EFF"/>
    <w:rsid w:val="00754F26"/>
    <w:rsid w:val="00754F86"/>
    <w:rsid w:val="00755064"/>
    <w:rsid w:val="00755407"/>
    <w:rsid w:val="0075559A"/>
    <w:rsid w:val="0075559E"/>
    <w:rsid w:val="007555E9"/>
    <w:rsid w:val="007557D4"/>
    <w:rsid w:val="00755809"/>
    <w:rsid w:val="00755850"/>
    <w:rsid w:val="00755915"/>
    <w:rsid w:val="0075595E"/>
    <w:rsid w:val="007559F5"/>
    <w:rsid w:val="00755A3C"/>
    <w:rsid w:val="00755B2F"/>
    <w:rsid w:val="00755C3E"/>
    <w:rsid w:val="00755CE2"/>
    <w:rsid w:val="00755D97"/>
    <w:rsid w:val="00755E4B"/>
    <w:rsid w:val="00755EFF"/>
    <w:rsid w:val="007560B7"/>
    <w:rsid w:val="00756220"/>
    <w:rsid w:val="00756225"/>
    <w:rsid w:val="00756356"/>
    <w:rsid w:val="00756426"/>
    <w:rsid w:val="0075647F"/>
    <w:rsid w:val="00756550"/>
    <w:rsid w:val="00756766"/>
    <w:rsid w:val="007567CA"/>
    <w:rsid w:val="007567CC"/>
    <w:rsid w:val="007567E1"/>
    <w:rsid w:val="007568FA"/>
    <w:rsid w:val="00756990"/>
    <w:rsid w:val="007569D8"/>
    <w:rsid w:val="00756A09"/>
    <w:rsid w:val="00756BC9"/>
    <w:rsid w:val="00756E93"/>
    <w:rsid w:val="00756EBC"/>
    <w:rsid w:val="00756F2C"/>
    <w:rsid w:val="0075714A"/>
    <w:rsid w:val="007571C7"/>
    <w:rsid w:val="007571DF"/>
    <w:rsid w:val="00757235"/>
    <w:rsid w:val="00757267"/>
    <w:rsid w:val="007572DD"/>
    <w:rsid w:val="0075734B"/>
    <w:rsid w:val="007575CD"/>
    <w:rsid w:val="0075766A"/>
    <w:rsid w:val="00757676"/>
    <w:rsid w:val="00757678"/>
    <w:rsid w:val="007576C9"/>
    <w:rsid w:val="007577C5"/>
    <w:rsid w:val="007577E3"/>
    <w:rsid w:val="007579B9"/>
    <w:rsid w:val="00757A45"/>
    <w:rsid w:val="00757A79"/>
    <w:rsid w:val="00757B07"/>
    <w:rsid w:val="00757B8C"/>
    <w:rsid w:val="00757D81"/>
    <w:rsid w:val="00757E79"/>
    <w:rsid w:val="00757F5C"/>
    <w:rsid w:val="00760009"/>
    <w:rsid w:val="0076004E"/>
    <w:rsid w:val="00760121"/>
    <w:rsid w:val="00760135"/>
    <w:rsid w:val="0076024B"/>
    <w:rsid w:val="007603A7"/>
    <w:rsid w:val="00760409"/>
    <w:rsid w:val="00760543"/>
    <w:rsid w:val="007605D9"/>
    <w:rsid w:val="007605FD"/>
    <w:rsid w:val="007606D1"/>
    <w:rsid w:val="0076098B"/>
    <w:rsid w:val="00760A1C"/>
    <w:rsid w:val="00760A91"/>
    <w:rsid w:val="00760BF7"/>
    <w:rsid w:val="00760C4A"/>
    <w:rsid w:val="00760D21"/>
    <w:rsid w:val="00760DE8"/>
    <w:rsid w:val="00760E0D"/>
    <w:rsid w:val="00760EE2"/>
    <w:rsid w:val="00760F01"/>
    <w:rsid w:val="00760F73"/>
    <w:rsid w:val="0076110A"/>
    <w:rsid w:val="007612FD"/>
    <w:rsid w:val="007614F7"/>
    <w:rsid w:val="00761557"/>
    <w:rsid w:val="007616C4"/>
    <w:rsid w:val="007616EC"/>
    <w:rsid w:val="007616F5"/>
    <w:rsid w:val="0076172B"/>
    <w:rsid w:val="007618AA"/>
    <w:rsid w:val="00761907"/>
    <w:rsid w:val="00761949"/>
    <w:rsid w:val="0076196E"/>
    <w:rsid w:val="00761A31"/>
    <w:rsid w:val="00761A39"/>
    <w:rsid w:val="00761AB6"/>
    <w:rsid w:val="00761B23"/>
    <w:rsid w:val="00761B7B"/>
    <w:rsid w:val="00761B82"/>
    <w:rsid w:val="00761CC0"/>
    <w:rsid w:val="00761CDC"/>
    <w:rsid w:val="00761D1A"/>
    <w:rsid w:val="00761D3A"/>
    <w:rsid w:val="00761E3F"/>
    <w:rsid w:val="00761E66"/>
    <w:rsid w:val="00761E70"/>
    <w:rsid w:val="00762261"/>
    <w:rsid w:val="007622D1"/>
    <w:rsid w:val="00762304"/>
    <w:rsid w:val="00762324"/>
    <w:rsid w:val="007623A4"/>
    <w:rsid w:val="007623C8"/>
    <w:rsid w:val="007625B3"/>
    <w:rsid w:val="007625BD"/>
    <w:rsid w:val="00762612"/>
    <w:rsid w:val="00762805"/>
    <w:rsid w:val="00762812"/>
    <w:rsid w:val="0076289F"/>
    <w:rsid w:val="0076299A"/>
    <w:rsid w:val="00762B18"/>
    <w:rsid w:val="00762D0D"/>
    <w:rsid w:val="00762E09"/>
    <w:rsid w:val="00763037"/>
    <w:rsid w:val="00763168"/>
    <w:rsid w:val="007631D7"/>
    <w:rsid w:val="0076332D"/>
    <w:rsid w:val="007633A1"/>
    <w:rsid w:val="007633C2"/>
    <w:rsid w:val="00763474"/>
    <w:rsid w:val="0076348B"/>
    <w:rsid w:val="00763499"/>
    <w:rsid w:val="00763512"/>
    <w:rsid w:val="00763597"/>
    <w:rsid w:val="00763689"/>
    <w:rsid w:val="0076389B"/>
    <w:rsid w:val="0076395A"/>
    <w:rsid w:val="00763ADF"/>
    <w:rsid w:val="00763AF5"/>
    <w:rsid w:val="00763BD6"/>
    <w:rsid w:val="00763BDD"/>
    <w:rsid w:val="00763DEA"/>
    <w:rsid w:val="00763DF9"/>
    <w:rsid w:val="00763F03"/>
    <w:rsid w:val="00763F07"/>
    <w:rsid w:val="00763FB5"/>
    <w:rsid w:val="0076402B"/>
    <w:rsid w:val="00764079"/>
    <w:rsid w:val="0076407E"/>
    <w:rsid w:val="0076413E"/>
    <w:rsid w:val="0076423F"/>
    <w:rsid w:val="0076424A"/>
    <w:rsid w:val="00764256"/>
    <w:rsid w:val="0076439A"/>
    <w:rsid w:val="007643EB"/>
    <w:rsid w:val="0076443D"/>
    <w:rsid w:val="00764446"/>
    <w:rsid w:val="00764550"/>
    <w:rsid w:val="0076457F"/>
    <w:rsid w:val="00764669"/>
    <w:rsid w:val="0076485A"/>
    <w:rsid w:val="00764860"/>
    <w:rsid w:val="00764898"/>
    <w:rsid w:val="007648BA"/>
    <w:rsid w:val="007649C3"/>
    <w:rsid w:val="00764A84"/>
    <w:rsid w:val="00764B34"/>
    <w:rsid w:val="00764B65"/>
    <w:rsid w:val="00764C2B"/>
    <w:rsid w:val="00764C81"/>
    <w:rsid w:val="00764D0F"/>
    <w:rsid w:val="00764D74"/>
    <w:rsid w:val="00764E69"/>
    <w:rsid w:val="00764EB7"/>
    <w:rsid w:val="00765058"/>
    <w:rsid w:val="00765297"/>
    <w:rsid w:val="00765298"/>
    <w:rsid w:val="007652B8"/>
    <w:rsid w:val="0076534F"/>
    <w:rsid w:val="007653ED"/>
    <w:rsid w:val="007654DC"/>
    <w:rsid w:val="007656C6"/>
    <w:rsid w:val="00765750"/>
    <w:rsid w:val="00765777"/>
    <w:rsid w:val="007658BE"/>
    <w:rsid w:val="007659C9"/>
    <w:rsid w:val="00765C0E"/>
    <w:rsid w:val="00765DFE"/>
    <w:rsid w:val="00765E4E"/>
    <w:rsid w:val="00766184"/>
    <w:rsid w:val="0076625B"/>
    <w:rsid w:val="0076628C"/>
    <w:rsid w:val="00766429"/>
    <w:rsid w:val="00766437"/>
    <w:rsid w:val="0076665C"/>
    <w:rsid w:val="007667E4"/>
    <w:rsid w:val="007667F2"/>
    <w:rsid w:val="00766807"/>
    <w:rsid w:val="00766878"/>
    <w:rsid w:val="0076690E"/>
    <w:rsid w:val="0076697A"/>
    <w:rsid w:val="00766A9A"/>
    <w:rsid w:val="00766ACB"/>
    <w:rsid w:val="00766B0C"/>
    <w:rsid w:val="00766DD8"/>
    <w:rsid w:val="00766DFF"/>
    <w:rsid w:val="00766FA7"/>
    <w:rsid w:val="00766FAA"/>
    <w:rsid w:val="00767133"/>
    <w:rsid w:val="0076713E"/>
    <w:rsid w:val="0076714A"/>
    <w:rsid w:val="007672B7"/>
    <w:rsid w:val="007673D4"/>
    <w:rsid w:val="00767428"/>
    <w:rsid w:val="0076761C"/>
    <w:rsid w:val="00767664"/>
    <w:rsid w:val="00767773"/>
    <w:rsid w:val="00767863"/>
    <w:rsid w:val="00767955"/>
    <w:rsid w:val="007679C9"/>
    <w:rsid w:val="007679E6"/>
    <w:rsid w:val="00767CEF"/>
    <w:rsid w:val="00767E08"/>
    <w:rsid w:val="00767E0E"/>
    <w:rsid w:val="00767F25"/>
    <w:rsid w:val="00767F8B"/>
    <w:rsid w:val="00767FA1"/>
    <w:rsid w:val="00767FDF"/>
    <w:rsid w:val="0077004A"/>
    <w:rsid w:val="00770069"/>
    <w:rsid w:val="0077009F"/>
    <w:rsid w:val="007700A3"/>
    <w:rsid w:val="00770108"/>
    <w:rsid w:val="00770247"/>
    <w:rsid w:val="00770315"/>
    <w:rsid w:val="00770330"/>
    <w:rsid w:val="007703B9"/>
    <w:rsid w:val="007703DB"/>
    <w:rsid w:val="007703DF"/>
    <w:rsid w:val="0077062D"/>
    <w:rsid w:val="00770645"/>
    <w:rsid w:val="007706D3"/>
    <w:rsid w:val="007708ED"/>
    <w:rsid w:val="0077092B"/>
    <w:rsid w:val="0077099E"/>
    <w:rsid w:val="007709DA"/>
    <w:rsid w:val="00770BF4"/>
    <w:rsid w:val="00770CD9"/>
    <w:rsid w:val="00770F06"/>
    <w:rsid w:val="00770F1F"/>
    <w:rsid w:val="00771051"/>
    <w:rsid w:val="00771085"/>
    <w:rsid w:val="00771187"/>
    <w:rsid w:val="0077150D"/>
    <w:rsid w:val="00771551"/>
    <w:rsid w:val="00771590"/>
    <w:rsid w:val="00771658"/>
    <w:rsid w:val="00771719"/>
    <w:rsid w:val="00771796"/>
    <w:rsid w:val="00771AF6"/>
    <w:rsid w:val="00771B50"/>
    <w:rsid w:val="00771C19"/>
    <w:rsid w:val="00771D24"/>
    <w:rsid w:val="00771EF9"/>
    <w:rsid w:val="00771F69"/>
    <w:rsid w:val="00771FB0"/>
    <w:rsid w:val="00771FFA"/>
    <w:rsid w:val="007722FF"/>
    <w:rsid w:val="00772325"/>
    <w:rsid w:val="007724CC"/>
    <w:rsid w:val="00772542"/>
    <w:rsid w:val="007725B8"/>
    <w:rsid w:val="0077265F"/>
    <w:rsid w:val="007726E7"/>
    <w:rsid w:val="00772918"/>
    <w:rsid w:val="0077294F"/>
    <w:rsid w:val="007729F4"/>
    <w:rsid w:val="00772A13"/>
    <w:rsid w:val="00772A87"/>
    <w:rsid w:val="00772AAD"/>
    <w:rsid w:val="00772C6F"/>
    <w:rsid w:val="00772D87"/>
    <w:rsid w:val="00772F6F"/>
    <w:rsid w:val="00772FE3"/>
    <w:rsid w:val="007732C5"/>
    <w:rsid w:val="00773302"/>
    <w:rsid w:val="0077331E"/>
    <w:rsid w:val="007733B4"/>
    <w:rsid w:val="00773457"/>
    <w:rsid w:val="00773488"/>
    <w:rsid w:val="007735A9"/>
    <w:rsid w:val="007737A2"/>
    <w:rsid w:val="007737DD"/>
    <w:rsid w:val="00773941"/>
    <w:rsid w:val="0077394A"/>
    <w:rsid w:val="0077396E"/>
    <w:rsid w:val="00773AB3"/>
    <w:rsid w:val="00773C0E"/>
    <w:rsid w:val="00773C8F"/>
    <w:rsid w:val="00773CD3"/>
    <w:rsid w:val="00774033"/>
    <w:rsid w:val="00774040"/>
    <w:rsid w:val="007744C6"/>
    <w:rsid w:val="0077464D"/>
    <w:rsid w:val="00774698"/>
    <w:rsid w:val="007746CB"/>
    <w:rsid w:val="00774703"/>
    <w:rsid w:val="00774A16"/>
    <w:rsid w:val="00774A63"/>
    <w:rsid w:val="00774BED"/>
    <w:rsid w:val="00774BF2"/>
    <w:rsid w:val="00774CB4"/>
    <w:rsid w:val="00774E90"/>
    <w:rsid w:val="007750C5"/>
    <w:rsid w:val="007750E9"/>
    <w:rsid w:val="00775205"/>
    <w:rsid w:val="007753C9"/>
    <w:rsid w:val="00775505"/>
    <w:rsid w:val="00775541"/>
    <w:rsid w:val="00775576"/>
    <w:rsid w:val="00775647"/>
    <w:rsid w:val="0077566C"/>
    <w:rsid w:val="007759DB"/>
    <w:rsid w:val="00775B24"/>
    <w:rsid w:val="00775D00"/>
    <w:rsid w:val="00775DC0"/>
    <w:rsid w:val="00775DDD"/>
    <w:rsid w:val="00775E6F"/>
    <w:rsid w:val="00775FEC"/>
    <w:rsid w:val="00776181"/>
    <w:rsid w:val="007761FB"/>
    <w:rsid w:val="007765D5"/>
    <w:rsid w:val="00776618"/>
    <w:rsid w:val="0077674B"/>
    <w:rsid w:val="0077675F"/>
    <w:rsid w:val="00776790"/>
    <w:rsid w:val="007768AB"/>
    <w:rsid w:val="007768CA"/>
    <w:rsid w:val="00776993"/>
    <w:rsid w:val="00776A11"/>
    <w:rsid w:val="00776C1A"/>
    <w:rsid w:val="00776C4E"/>
    <w:rsid w:val="00776C91"/>
    <w:rsid w:val="00776D7E"/>
    <w:rsid w:val="00776DCB"/>
    <w:rsid w:val="00776E56"/>
    <w:rsid w:val="00776F43"/>
    <w:rsid w:val="0077705C"/>
    <w:rsid w:val="007770CD"/>
    <w:rsid w:val="00777137"/>
    <w:rsid w:val="0077715C"/>
    <w:rsid w:val="007771CB"/>
    <w:rsid w:val="007771E0"/>
    <w:rsid w:val="00777302"/>
    <w:rsid w:val="007773C7"/>
    <w:rsid w:val="007773EC"/>
    <w:rsid w:val="0077745D"/>
    <w:rsid w:val="007774AE"/>
    <w:rsid w:val="007774BB"/>
    <w:rsid w:val="007775BB"/>
    <w:rsid w:val="007779C4"/>
    <w:rsid w:val="00777B46"/>
    <w:rsid w:val="00777BE8"/>
    <w:rsid w:val="00777E9C"/>
    <w:rsid w:val="00777FAA"/>
    <w:rsid w:val="00777FC4"/>
    <w:rsid w:val="007801F7"/>
    <w:rsid w:val="0078026C"/>
    <w:rsid w:val="007802C6"/>
    <w:rsid w:val="0078036B"/>
    <w:rsid w:val="0078049B"/>
    <w:rsid w:val="00780555"/>
    <w:rsid w:val="0078065F"/>
    <w:rsid w:val="007806F8"/>
    <w:rsid w:val="00780775"/>
    <w:rsid w:val="0078089F"/>
    <w:rsid w:val="007808EB"/>
    <w:rsid w:val="00780962"/>
    <w:rsid w:val="0078099A"/>
    <w:rsid w:val="00780A53"/>
    <w:rsid w:val="00780A7F"/>
    <w:rsid w:val="00780D7D"/>
    <w:rsid w:val="00780D7E"/>
    <w:rsid w:val="00780E74"/>
    <w:rsid w:val="00781027"/>
    <w:rsid w:val="0078109D"/>
    <w:rsid w:val="00781199"/>
    <w:rsid w:val="00781213"/>
    <w:rsid w:val="00781307"/>
    <w:rsid w:val="007814A9"/>
    <w:rsid w:val="00781565"/>
    <w:rsid w:val="007815D0"/>
    <w:rsid w:val="007817AB"/>
    <w:rsid w:val="0078185E"/>
    <w:rsid w:val="007818FB"/>
    <w:rsid w:val="007819C0"/>
    <w:rsid w:val="007819D8"/>
    <w:rsid w:val="00781B7A"/>
    <w:rsid w:val="00781BAD"/>
    <w:rsid w:val="00781C7A"/>
    <w:rsid w:val="00781E21"/>
    <w:rsid w:val="00781E59"/>
    <w:rsid w:val="00781E5D"/>
    <w:rsid w:val="00781F28"/>
    <w:rsid w:val="00781F48"/>
    <w:rsid w:val="007820E2"/>
    <w:rsid w:val="0078226A"/>
    <w:rsid w:val="0078232F"/>
    <w:rsid w:val="0078239A"/>
    <w:rsid w:val="007823F1"/>
    <w:rsid w:val="00782411"/>
    <w:rsid w:val="00782420"/>
    <w:rsid w:val="007824DD"/>
    <w:rsid w:val="0078257B"/>
    <w:rsid w:val="0078265B"/>
    <w:rsid w:val="007826CD"/>
    <w:rsid w:val="00782866"/>
    <w:rsid w:val="00782968"/>
    <w:rsid w:val="007829AA"/>
    <w:rsid w:val="00782A5F"/>
    <w:rsid w:val="00782AF1"/>
    <w:rsid w:val="00782B38"/>
    <w:rsid w:val="00782CCD"/>
    <w:rsid w:val="00782E93"/>
    <w:rsid w:val="00782EF7"/>
    <w:rsid w:val="00782FAC"/>
    <w:rsid w:val="00783101"/>
    <w:rsid w:val="00783212"/>
    <w:rsid w:val="0078328D"/>
    <w:rsid w:val="0078332C"/>
    <w:rsid w:val="00783500"/>
    <w:rsid w:val="00783525"/>
    <w:rsid w:val="0078370A"/>
    <w:rsid w:val="00783719"/>
    <w:rsid w:val="007838AB"/>
    <w:rsid w:val="0078393F"/>
    <w:rsid w:val="007839F3"/>
    <w:rsid w:val="00783C5D"/>
    <w:rsid w:val="00783C90"/>
    <w:rsid w:val="00783D75"/>
    <w:rsid w:val="00783F0C"/>
    <w:rsid w:val="0078401D"/>
    <w:rsid w:val="00784067"/>
    <w:rsid w:val="0078408C"/>
    <w:rsid w:val="007840B5"/>
    <w:rsid w:val="00784102"/>
    <w:rsid w:val="00784200"/>
    <w:rsid w:val="00784277"/>
    <w:rsid w:val="007842E0"/>
    <w:rsid w:val="00784309"/>
    <w:rsid w:val="00784330"/>
    <w:rsid w:val="00784391"/>
    <w:rsid w:val="00784598"/>
    <w:rsid w:val="007846E5"/>
    <w:rsid w:val="00784719"/>
    <w:rsid w:val="0078476F"/>
    <w:rsid w:val="0078489C"/>
    <w:rsid w:val="007848AE"/>
    <w:rsid w:val="007848C8"/>
    <w:rsid w:val="00784942"/>
    <w:rsid w:val="00784B83"/>
    <w:rsid w:val="00784BD7"/>
    <w:rsid w:val="00784BDB"/>
    <w:rsid w:val="00784C0A"/>
    <w:rsid w:val="00784C15"/>
    <w:rsid w:val="00784DC3"/>
    <w:rsid w:val="00784EE4"/>
    <w:rsid w:val="00785013"/>
    <w:rsid w:val="00785050"/>
    <w:rsid w:val="0078505B"/>
    <w:rsid w:val="007851C8"/>
    <w:rsid w:val="007852ED"/>
    <w:rsid w:val="00785313"/>
    <w:rsid w:val="0078534C"/>
    <w:rsid w:val="00785381"/>
    <w:rsid w:val="00785519"/>
    <w:rsid w:val="00785549"/>
    <w:rsid w:val="007855ED"/>
    <w:rsid w:val="0078564E"/>
    <w:rsid w:val="00785911"/>
    <w:rsid w:val="00785916"/>
    <w:rsid w:val="0078592B"/>
    <w:rsid w:val="00785A27"/>
    <w:rsid w:val="00785A69"/>
    <w:rsid w:val="00785B07"/>
    <w:rsid w:val="00785B4F"/>
    <w:rsid w:val="00785CDC"/>
    <w:rsid w:val="00785CE1"/>
    <w:rsid w:val="00785EE1"/>
    <w:rsid w:val="00785FEB"/>
    <w:rsid w:val="0078617A"/>
    <w:rsid w:val="0078621B"/>
    <w:rsid w:val="007862B2"/>
    <w:rsid w:val="0078645D"/>
    <w:rsid w:val="007864BD"/>
    <w:rsid w:val="007866CD"/>
    <w:rsid w:val="00786B12"/>
    <w:rsid w:val="00786B23"/>
    <w:rsid w:val="00786C1C"/>
    <w:rsid w:val="00786F03"/>
    <w:rsid w:val="00786F6A"/>
    <w:rsid w:val="00787031"/>
    <w:rsid w:val="0078727A"/>
    <w:rsid w:val="007872A2"/>
    <w:rsid w:val="00787386"/>
    <w:rsid w:val="00787426"/>
    <w:rsid w:val="00787491"/>
    <w:rsid w:val="00787837"/>
    <w:rsid w:val="007878E1"/>
    <w:rsid w:val="007879DE"/>
    <w:rsid w:val="00787AA6"/>
    <w:rsid w:val="00787AAF"/>
    <w:rsid w:val="00787BCE"/>
    <w:rsid w:val="00787C99"/>
    <w:rsid w:val="00787CCD"/>
    <w:rsid w:val="00787CEF"/>
    <w:rsid w:val="00787D9B"/>
    <w:rsid w:val="00787EF7"/>
    <w:rsid w:val="00787F57"/>
    <w:rsid w:val="00787F8B"/>
    <w:rsid w:val="00790061"/>
    <w:rsid w:val="007903D1"/>
    <w:rsid w:val="00790483"/>
    <w:rsid w:val="00790613"/>
    <w:rsid w:val="00790623"/>
    <w:rsid w:val="0079068E"/>
    <w:rsid w:val="007908FB"/>
    <w:rsid w:val="0079099C"/>
    <w:rsid w:val="00790AA9"/>
    <w:rsid w:val="00790B40"/>
    <w:rsid w:val="00790C88"/>
    <w:rsid w:val="00790E26"/>
    <w:rsid w:val="00790EE3"/>
    <w:rsid w:val="00790F58"/>
    <w:rsid w:val="0079107C"/>
    <w:rsid w:val="0079107E"/>
    <w:rsid w:val="007912DB"/>
    <w:rsid w:val="007913A5"/>
    <w:rsid w:val="007915A8"/>
    <w:rsid w:val="0079162F"/>
    <w:rsid w:val="00791653"/>
    <w:rsid w:val="007916FD"/>
    <w:rsid w:val="00791998"/>
    <w:rsid w:val="00791A6C"/>
    <w:rsid w:val="00791A91"/>
    <w:rsid w:val="00791AE2"/>
    <w:rsid w:val="00791C19"/>
    <w:rsid w:val="00791DB7"/>
    <w:rsid w:val="00791DB9"/>
    <w:rsid w:val="00791E78"/>
    <w:rsid w:val="00791E96"/>
    <w:rsid w:val="0079202F"/>
    <w:rsid w:val="00792060"/>
    <w:rsid w:val="00792074"/>
    <w:rsid w:val="007920D4"/>
    <w:rsid w:val="0079215A"/>
    <w:rsid w:val="007921A0"/>
    <w:rsid w:val="007921D5"/>
    <w:rsid w:val="00792332"/>
    <w:rsid w:val="00792372"/>
    <w:rsid w:val="007924A4"/>
    <w:rsid w:val="007924D6"/>
    <w:rsid w:val="007924E6"/>
    <w:rsid w:val="007925A4"/>
    <w:rsid w:val="00792608"/>
    <w:rsid w:val="00792631"/>
    <w:rsid w:val="00792703"/>
    <w:rsid w:val="0079295F"/>
    <w:rsid w:val="00792AEA"/>
    <w:rsid w:val="00792BE2"/>
    <w:rsid w:val="00792BE4"/>
    <w:rsid w:val="00792D12"/>
    <w:rsid w:val="00792D46"/>
    <w:rsid w:val="00792D63"/>
    <w:rsid w:val="00792D6D"/>
    <w:rsid w:val="00792DCB"/>
    <w:rsid w:val="00792ED4"/>
    <w:rsid w:val="00792F1A"/>
    <w:rsid w:val="0079302F"/>
    <w:rsid w:val="007930C1"/>
    <w:rsid w:val="007932B6"/>
    <w:rsid w:val="007933A7"/>
    <w:rsid w:val="00793400"/>
    <w:rsid w:val="007934A8"/>
    <w:rsid w:val="0079373A"/>
    <w:rsid w:val="00793827"/>
    <w:rsid w:val="00793957"/>
    <w:rsid w:val="00793964"/>
    <w:rsid w:val="00793A40"/>
    <w:rsid w:val="00793AB6"/>
    <w:rsid w:val="00793AC7"/>
    <w:rsid w:val="00793B44"/>
    <w:rsid w:val="00793B56"/>
    <w:rsid w:val="00793B8B"/>
    <w:rsid w:val="00793B93"/>
    <w:rsid w:val="00793BC4"/>
    <w:rsid w:val="00793CF7"/>
    <w:rsid w:val="00793DA3"/>
    <w:rsid w:val="00793FF2"/>
    <w:rsid w:val="0079401C"/>
    <w:rsid w:val="00794083"/>
    <w:rsid w:val="00794108"/>
    <w:rsid w:val="007941CD"/>
    <w:rsid w:val="007944F9"/>
    <w:rsid w:val="00794546"/>
    <w:rsid w:val="0079474F"/>
    <w:rsid w:val="007947F4"/>
    <w:rsid w:val="007948E8"/>
    <w:rsid w:val="0079491C"/>
    <w:rsid w:val="00794A4C"/>
    <w:rsid w:val="00794B40"/>
    <w:rsid w:val="00794BE6"/>
    <w:rsid w:val="00794CD1"/>
    <w:rsid w:val="00794D69"/>
    <w:rsid w:val="00794D84"/>
    <w:rsid w:val="00794DF7"/>
    <w:rsid w:val="00794EBE"/>
    <w:rsid w:val="00794F85"/>
    <w:rsid w:val="00794F9B"/>
    <w:rsid w:val="007950F6"/>
    <w:rsid w:val="0079511B"/>
    <w:rsid w:val="0079511F"/>
    <w:rsid w:val="007951AA"/>
    <w:rsid w:val="0079550B"/>
    <w:rsid w:val="0079556B"/>
    <w:rsid w:val="0079558D"/>
    <w:rsid w:val="007957DB"/>
    <w:rsid w:val="007959A3"/>
    <w:rsid w:val="007959C2"/>
    <w:rsid w:val="00795A7E"/>
    <w:rsid w:val="00795A9C"/>
    <w:rsid w:val="00795BC9"/>
    <w:rsid w:val="00795D1C"/>
    <w:rsid w:val="00795EA4"/>
    <w:rsid w:val="00795ECA"/>
    <w:rsid w:val="00795F6D"/>
    <w:rsid w:val="0079619B"/>
    <w:rsid w:val="007961D3"/>
    <w:rsid w:val="00796275"/>
    <w:rsid w:val="00796390"/>
    <w:rsid w:val="00796424"/>
    <w:rsid w:val="0079652E"/>
    <w:rsid w:val="00796580"/>
    <w:rsid w:val="007965CE"/>
    <w:rsid w:val="00796773"/>
    <w:rsid w:val="00796854"/>
    <w:rsid w:val="00796886"/>
    <w:rsid w:val="007968E6"/>
    <w:rsid w:val="007969A1"/>
    <w:rsid w:val="007969A2"/>
    <w:rsid w:val="00796A1E"/>
    <w:rsid w:val="00796B09"/>
    <w:rsid w:val="00796CD4"/>
    <w:rsid w:val="00796D4A"/>
    <w:rsid w:val="00796D9A"/>
    <w:rsid w:val="00796E26"/>
    <w:rsid w:val="0079702B"/>
    <w:rsid w:val="00797036"/>
    <w:rsid w:val="00797064"/>
    <w:rsid w:val="0079708D"/>
    <w:rsid w:val="007970FF"/>
    <w:rsid w:val="00797260"/>
    <w:rsid w:val="00797284"/>
    <w:rsid w:val="0079729D"/>
    <w:rsid w:val="00797303"/>
    <w:rsid w:val="0079731B"/>
    <w:rsid w:val="0079737B"/>
    <w:rsid w:val="0079740A"/>
    <w:rsid w:val="00797488"/>
    <w:rsid w:val="007974B0"/>
    <w:rsid w:val="00797747"/>
    <w:rsid w:val="007978BB"/>
    <w:rsid w:val="00797969"/>
    <w:rsid w:val="007979A6"/>
    <w:rsid w:val="00797ACD"/>
    <w:rsid w:val="00797BDA"/>
    <w:rsid w:val="00797D85"/>
    <w:rsid w:val="00797ECA"/>
    <w:rsid w:val="00797F4A"/>
    <w:rsid w:val="00797FEC"/>
    <w:rsid w:val="007A0032"/>
    <w:rsid w:val="007A00BF"/>
    <w:rsid w:val="007A01A1"/>
    <w:rsid w:val="007A0237"/>
    <w:rsid w:val="007A0278"/>
    <w:rsid w:val="007A029E"/>
    <w:rsid w:val="007A034A"/>
    <w:rsid w:val="007A0384"/>
    <w:rsid w:val="007A0398"/>
    <w:rsid w:val="007A03DA"/>
    <w:rsid w:val="007A04AB"/>
    <w:rsid w:val="007A05AC"/>
    <w:rsid w:val="007A05D0"/>
    <w:rsid w:val="007A06C5"/>
    <w:rsid w:val="007A0702"/>
    <w:rsid w:val="007A073A"/>
    <w:rsid w:val="007A07D4"/>
    <w:rsid w:val="007A081A"/>
    <w:rsid w:val="007A085B"/>
    <w:rsid w:val="007A08B3"/>
    <w:rsid w:val="007A091C"/>
    <w:rsid w:val="007A0969"/>
    <w:rsid w:val="007A0C5B"/>
    <w:rsid w:val="007A0C95"/>
    <w:rsid w:val="007A0D26"/>
    <w:rsid w:val="007A1079"/>
    <w:rsid w:val="007A12E6"/>
    <w:rsid w:val="007A130F"/>
    <w:rsid w:val="007A138D"/>
    <w:rsid w:val="007A13F3"/>
    <w:rsid w:val="007A14E7"/>
    <w:rsid w:val="007A153A"/>
    <w:rsid w:val="007A1641"/>
    <w:rsid w:val="007A16AD"/>
    <w:rsid w:val="007A16FA"/>
    <w:rsid w:val="007A197D"/>
    <w:rsid w:val="007A198D"/>
    <w:rsid w:val="007A1A07"/>
    <w:rsid w:val="007A1A65"/>
    <w:rsid w:val="007A1A9B"/>
    <w:rsid w:val="007A1AAD"/>
    <w:rsid w:val="007A1AF9"/>
    <w:rsid w:val="007A1C10"/>
    <w:rsid w:val="007A1CCE"/>
    <w:rsid w:val="007A1E98"/>
    <w:rsid w:val="007A22A9"/>
    <w:rsid w:val="007A22CD"/>
    <w:rsid w:val="007A2467"/>
    <w:rsid w:val="007A2478"/>
    <w:rsid w:val="007A24E8"/>
    <w:rsid w:val="007A256F"/>
    <w:rsid w:val="007A26A5"/>
    <w:rsid w:val="007A26C4"/>
    <w:rsid w:val="007A2819"/>
    <w:rsid w:val="007A2872"/>
    <w:rsid w:val="007A28DD"/>
    <w:rsid w:val="007A2CB0"/>
    <w:rsid w:val="007A2DAA"/>
    <w:rsid w:val="007A2E2D"/>
    <w:rsid w:val="007A2EB2"/>
    <w:rsid w:val="007A2F0A"/>
    <w:rsid w:val="007A3013"/>
    <w:rsid w:val="007A304C"/>
    <w:rsid w:val="007A3128"/>
    <w:rsid w:val="007A3135"/>
    <w:rsid w:val="007A3154"/>
    <w:rsid w:val="007A32AE"/>
    <w:rsid w:val="007A3477"/>
    <w:rsid w:val="007A34A9"/>
    <w:rsid w:val="007A37D4"/>
    <w:rsid w:val="007A3816"/>
    <w:rsid w:val="007A39A1"/>
    <w:rsid w:val="007A3A1C"/>
    <w:rsid w:val="007A3A8D"/>
    <w:rsid w:val="007A3AE4"/>
    <w:rsid w:val="007A3C64"/>
    <w:rsid w:val="007A3CCB"/>
    <w:rsid w:val="007A3E19"/>
    <w:rsid w:val="007A3F06"/>
    <w:rsid w:val="007A3F83"/>
    <w:rsid w:val="007A415C"/>
    <w:rsid w:val="007A41D2"/>
    <w:rsid w:val="007A4371"/>
    <w:rsid w:val="007A43ED"/>
    <w:rsid w:val="007A456B"/>
    <w:rsid w:val="007A47A9"/>
    <w:rsid w:val="007A48B4"/>
    <w:rsid w:val="007A4984"/>
    <w:rsid w:val="007A49BB"/>
    <w:rsid w:val="007A4B1A"/>
    <w:rsid w:val="007A4B51"/>
    <w:rsid w:val="007A4DB6"/>
    <w:rsid w:val="007A4EB9"/>
    <w:rsid w:val="007A4EE9"/>
    <w:rsid w:val="007A51AE"/>
    <w:rsid w:val="007A5357"/>
    <w:rsid w:val="007A544E"/>
    <w:rsid w:val="007A559F"/>
    <w:rsid w:val="007A57AE"/>
    <w:rsid w:val="007A587C"/>
    <w:rsid w:val="007A5892"/>
    <w:rsid w:val="007A58EB"/>
    <w:rsid w:val="007A5A2A"/>
    <w:rsid w:val="007A5AA8"/>
    <w:rsid w:val="007A5B9F"/>
    <w:rsid w:val="007A5CAE"/>
    <w:rsid w:val="007A5CB4"/>
    <w:rsid w:val="007A5EB5"/>
    <w:rsid w:val="007A5FD4"/>
    <w:rsid w:val="007A5FE4"/>
    <w:rsid w:val="007A6006"/>
    <w:rsid w:val="007A614F"/>
    <w:rsid w:val="007A62AC"/>
    <w:rsid w:val="007A6396"/>
    <w:rsid w:val="007A63B0"/>
    <w:rsid w:val="007A63FA"/>
    <w:rsid w:val="007A66DA"/>
    <w:rsid w:val="007A67B4"/>
    <w:rsid w:val="007A67E7"/>
    <w:rsid w:val="007A6991"/>
    <w:rsid w:val="007A69B8"/>
    <w:rsid w:val="007A6A26"/>
    <w:rsid w:val="007A6AAB"/>
    <w:rsid w:val="007A6C95"/>
    <w:rsid w:val="007A6CB7"/>
    <w:rsid w:val="007A6DB0"/>
    <w:rsid w:val="007A6EB1"/>
    <w:rsid w:val="007A705A"/>
    <w:rsid w:val="007A70C1"/>
    <w:rsid w:val="007A71B5"/>
    <w:rsid w:val="007A71EF"/>
    <w:rsid w:val="007A7207"/>
    <w:rsid w:val="007A7284"/>
    <w:rsid w:val="007A730F"/>
    <w:rsid w:val="007A7420"/>
    <w:rsid w:val="007A7432"/>
    <w:rsid w:val="007A7448"/>
    <w:rsid w:val="007A74C9"/>
    <w:rsid w:val="007A756B"/>
    <w:rsid w:val="007A76E5"/>
    <w:rsid w:val="007A77DC"/>
    <w:rsid w:val="007A794E"/>
    <w:rsid w:val="007A7993"/>
    <w:rsid w:val="007A799D"/>
    <w:rsid w:val="007A79B6"/>
    <w:rsid w:val="007A7A20"/>
    <w:rsid w:val="007A7A38"/>
    <w:rsid w:val="007A7B83"/>
    <w:rsid w:val="007A7BFB"/>
    <w:rsid w:val="007A7C72"/>
    <w:rsid w:val="007A7CC9"/>
    <w:rsid w:val="007A7D6D"/>
    <w:rsid w:val="007A7DC7"/>
    <w:rsid w:val="007A7E1F"/>
    <w:rsid w:val="007A7F09"/>
    <w:rsid w:val="007B042E"/>
    <w:rsid w:val="007B04D8"/>
    <w:rsid w:val="007B05C2"/>
    <w:rsid w:val="007B06C4"/>
    <w:rsid w:val="007B0704"/>
    <w:rsid w:val="007B07A8"/>
    <w:rsid w:val="007B0877"/>
    <w:rsid w:val="007B095C"/>
    <w:rsid w:val="007B0969"/>
    <w:rsid w:val="007B09EF"/>
    <w:rsid w:val="007B0A00"/>
    <w:rsid w:val="007B0AD9"/>
    <w:rsid w:val="007B0D42"/>
    <w:rsid w:val="007B0D5C"/>
    <w:rsid w:val="007B0DAD"/>
    <w:rsid w:val="007B10AD"/>
    <w:rsid w:val="007B114C"/>
    <w:rsid w:val="007B1201"/>
    <w:rsid w:val="007B1274"/>
    <w:rsid w:val="007B131E"/>
    <w:rsid w:val="007B1382"/>
    <w:rsid w:val="007B1396"/>
    <w:rsid w:val="007B1437"/>
    <w:rsid w:val="007B1583"/>
    <w:rsid w:val="007B1691"/>
    <w:rsid w:val="007B16EB"/>
    <w:rsid w:val="007B16FB"/>
    <w:rsid w:val="007B17CD"/>
    <w:rsid w:val="007B1906"/>
    <w:rsid w:val="007B1CD9"/>
    <w:rsid w:val="007B1DE8"/>
    <w:rsid w:val="007B1E23"/>
    <w:rsid w:val="007B215C"/>
    <w:rsid w:val="007B225F"/>
    <w:rsid w:val="007B24A9"/>
    <w:rsid w:val="007B2677"/>
    <w:rsid w:val="007B26DF"/>
    <w:rsid w:val="007B27D7"/>
    <w:rsid w:val="007B27F8"/>
    <w:rsid w:val="007B28FD"/>
    <w:rsid w:val="007B2956"/>
    <w:rsid w:val="007B29A4"/>
    <w:rsid w:val="007B2B58"/>
    <w:rsid w:val="007B2B8D"/>
    <w:rsid w:val="007B2BB5"/>
    <w:rsid w:val="007B2D0D"/>
    <w:rsid w:val="007B2D6B"/>
    <w:rsid w:val="007B2DAE"/>
    <w:rsid w:val="007B2F7A"/>
    <w:rsid w:val="007B3146"/>
    <w:rsid w:val="007B3210"/>
    <w:rsid w:val="007B3290"/>
    <w:rsid w:val="007B32A8"/>
    <w:rsid w:val="007B32B8"/>
    <w:rsid w:val="007B32C8"/>
    <w:rsid w:val="007B32E5"/>
    <w:rsid w:val="007B339B"/>
    <w:rsid w:val="007B33DE"/>
    <w:rsid w:val="007B3737"/>
    <w:rsid w:val="007B37EB"/>
    <w:rsid w:val="007B3808"/>
    <w:rsid w:val="007B388A"/>
    <w:rsid w:val="007B3917"/>
    <w:rsid w:val="007B39E3"/>
    <w:rsid w:val="007B3A1F"/>
    <w:rsid w:val="007B3B35"/>
    <w:rsid w:val="007B3BB8"/>
    <w:rsid w:val="007B3C4E"/>
    <w:rsid w:val="007B3CFD"/>
    <w:rsid w:val="007B3E73"/>
    <w:rsid w:val="007B3E75"/>
    <w:rsid w:val="007B3FE4"/>
    <w:rsid w:val="007B4001"/>
    <w:rsid w:val="007B404F"/>
    <w:rsid w:val="007B4056"/>
    <w:rsid w:val="007B417C"/>
    <w:rsid w:val="007B4209"/>
    <w:rsid w:val="007B4229"/>
    <w:rsid w:val="007B42CF"/>
    <w:rsid w:val="007B433A"/>
    <w:rsid w:val="007B4359"/>
    <w:rsid w:val="007B43A3"/>
    <w:rsid w:val="007B43F0"/>
    <w:rsid w:val="007B443F"/>
    <w:rsid w:val="007B4542"/>
    <w:rsid w:val="007B4567"/>
    <w:rsid w:val="007B45D0"/>
    <w:rsid w:val="007B469D"/>
    <w:rsid w:val="007B472C"/>
    <w:rsid w:val="007B4750"/>
    <w:rsid w:val="007B4D54"/>
    <w:rsid w:val="007B4E14"/>
    <w:rsid w:val="007B4EE4"/>
    <w:rsid w:val="007B4F12"/>
    <w:rsid w:val="007B50CD"/>
    <w:rsid w:val="007B52F9"/>
    <w:rsid w:val="007B5341"/>
    <w:rsid w:val="007B5356"/>
    <w:rsid w:val="007B5726"/>
    <w:rsid w:val="007B5952"/>
    <w:rsid w:val="007B59BC"/>
    <w:rsid w:val="007B5A81"/>
    <w:rsid w:val="007B5B2F"/>
    <w:rsid w:val="007B5B4D"/>
    <w:rsid w:val="007B5BA3"/>
    <w:rsid w:val="007B5BED"/>
    <w:rsid w:val="007B5EE0"/>
    <w:rsid w:val="007B5F07"/>
    <w:rsid w:val="007B5F50"/>
    <w:rsid w:val="007B5FD3"/>
    <w:rsid w:val="007B602F"/>
    <w:rsid w:val="007B60C4"/>
    <w:rsid w:val="007B60F1"/>
    <w:rsid w:val="007B622D"/>
    <w:rsid w:val="007B62A5"/>
    <w:rsid w:val="007B661D"/>
    <w:rsid w:val="007B66C4"/>
    <w:rsid w:val="007B6720"/>
    <w:rsid w:val="007B6727"/>
    <w:rsid w:val="007B6779"/>
    <w:rsid w:val="007B67A9"/>
    <w:rsid w:val="007B6987"/>
    <w:rsid w:val="007B6999"/>
    <w:rsid w:val="007B6A8C"/>
    <w:rsid w:val="007B6AA0"/>
    <w:rsid w:val="007B6ACF"/>
    <w:rsid w:val="007B6CBE"/>
    <w:rsid w:val="007B6DA7"/>
    <w:rsid w:val="007B6DEB"/>
    <w:rsid w:val="007B6DFD"/>
    <w:rsid w:val="007B6E93"/>
    <w:rsid w:val="007B6EAE"/>
    <w:rsid w:val="007B6FB5"/>
    <w:rsid w:val="007B703B"/>
    <w:rsid w:val="007B7043"/>
    <w:rsid w:val="007B72C4"/>
    <w:rsid w:val="007B73FF"/>
    <w:rsid w:val="007B7437"/>
    <w:rsid w:val="007B743C"/>
    <w:rsid w:val="007B74A2"/>
    <w:rsid w:val="007B7593"/>
    <w:rsid w:val="007B76AB"/>
    <w:rsid w:val="007B772A"/>
    <w:rsid w:val="007B77AE"/>
    <w:rsid w:val="007B78D2"/>
    <w:rsid w:val="007B7B4C"/>
    <w:rsid w:val="007B7BB0"/>
    <w:rsid w:val="007B7E34"/>
    <w:rsid w:val="007B7ECC"/>
    <w:rsid w:val="007B7EE2"/>
    <w:rsid w:val="007C020F"/>
    <w:rsid w:val="007C02CD"/>
    <w:rsid w:val="007C03D9"/>
    <w:rsid w:val="007C0433"/>
    <w:rsid w:val="007C0516"/>
    <w:rsid w:val="007C05F8"/>
    <w:rsid w:val="007C063F"/>
    <w:rsid w:val="007C0733"/>
    <w:rsid w:val="007C09A9"/>
    <w:rsid w:val="007C09EB"/>
    <w:rsid w:val="007C0A65"/>
    <w:rsid w:val="007C0B1C"/>
    <w:rsid w:val="007C0C7E"/>
    <w:rsid w:val="007C0CE5"/>
    <w:rsid w:val="007C0CFA"/>
    <w:rsid w:val="007C0D1F"/>
    <w:rsid w:val="007C0D5A"/>
    <w:rsid w:val="007C0DA8"/>
    <w:rsid w:val="007C0E03"/>
    <w:rsid w:val="007C0EA0"/>
    <w:rsid w:val="007C0FBB"/>
    <w:rsid w:val="007C1019"/>
    <w:rsid w:val="007C109D"/>
    <w:rsid w:val="007C109F"/>
    <w:rsid w:val="007C1281"/>
    <w:rsid w:val="007C129F"/>
    <w:rsid w:val="007C12C8"/>
    <w:rsid w:val="007C13CE"/>
    <w:rsid w:val="007C13E1"/>
    <w:rsid w:val="007C146C"/>
    <w:rsid w:val="007C1571"/>
    <w:rsid w:val="007C1657"/>
    <w:rsid w:val="007C17B1"/>
    <w:rsid w:val="007C1AB8"/>
    <w:rsid w:val="007C1B2C"/>
    <w:rsid w:val="007C1CE5"/>
    <w:rsid w:val="007C1CE6"/>
    <w:rsid w:val="007C2085"/>
    <w:rsid w:val="007C21E9"/>
    <w:rsid w:val="007C22E8"/>
    <w:rsid w:val="007C230B"/>
    <w:rsid w:val="007C232E"/>
    <w:rsid w:val="007C24B6"/>
    <w:rsid w:val="007C271A"/>
    <w:rsid w:val="007C271C"/>
    <w:rsid w:val="007C2800"/>
    <w:rsid w:val="007C2889"/>
    <w:rsid w:val="007C29D6"/>
    <w:rsid w:val="007C29E7"/>
    <w:rsid w:val="007C2A03"/>
    <w:rsid w:val="007C2A09"/>
    <w:rsid w:val="007C2A36"/>
    <w:rsid w:val="007C2B2C"/>
    <w:rsid w:val="007C2D63"/>
    <w:rsid w:val="007C2E18"/>
    <w:rsid w:val="007C2F60"/>
    <w:rsid w:val="007C3286"/>
    <w:rsid w:val="007C33C2"/>
    <w:rsid w:val="007C344E"/>
    <w:rsid w:val="007C37A0"/>
    <w:rsid w:val="007C37B1"/>
    <w:rsid w:val="007C37BE"/>
    <w:rsid w:val="007C3892"/>
    <w:rsid w:val="007C396E"/>
    <w:rsid w:val="007C396F"/>
    <w:rsid w:val="007C3998"/>
    <w:rsid w:val="007C3AE3"/>
    <w:rsid w:val="007C3B24"/>
    <w:rsid w:val="007C3B4F"/>
    <w:rsid w:val="007C3C7C"/>
    <w:rsid w:val="007C3EA1"/>
    <w:rsid w:val="007C4035"/>
    <w:rsid w:val="007C40E5"/>
    <w:rsid w:val="007C4194"/>
    <w:rsid w:val="007C42D6"/>
    <w:rsid w:val="007C43CD"/>
    <w:rsid w:val="007C445F"/>
    <w:rsid w:val="007C44D4"/>
    <w:rsid w:val="007C459B"/>
    <w:rsid w:val="007C4667"/>
    <w:rsid w:val="007C46A9"/>
    <w:rsid w:val="007C46E5"/>
    <w:rsid w:val="007C471C"/>
    <w:rsid w:val="007C4991"/>
    <w:rsid w:val="007C4AEE"/>
    <w:rsid w:val="007C4B48"/>
    <w:rsid w:val="007C4BFC"/>
    <w:rsid w:val="007C4E43"/>
    <w:rsid w:val="007C4F92"/>
    <w:rsid w:val="007C5033"/>
    <w:rsid w:val="007C50B0"/>
    <w:rsid w:val="007C51DE"/>
    <w:rsid w:val="007C5224"/>
    <w:rsid w:val="007C52D8"/>
    <w:rsid w:val="007C540A"/>
    <w:rsid w:val="007C541F"/>
    <w:rsid w:val="007C5795"/>
    <w:rsid w:val="007C595A"/>
    <w:rsid w:val="007C5A64"/>
    <w:rsid w:val="007C5B43"/>
    <w:rsid w:val="007C5B73"/>
    <w:rsid w:val="007C5C55"/>
    <w:rsid w:val="007C5D1D"/>
    <w:rsid w:val="007C5D9C"/>
    <w:rsid w:val="007C5DDF"/>
    <w:rsid w:val="007C6000"/>
    <w:rsid w:val="007C6077"/>
    <w:rsid w:val="007C61EB"/>
    <w:rsid w:val="007C62B1"/>
    <w:rsid w:val="007C6307"/>
    <w:rsid w:val="007C64F3"/>
    <w:rsid w:val="007C6636"/>
    <w:rsid w:val="007C68B1"/>
    <w:rsid w:val="007C6A56"/>
    <w:rsid w:val="007C6AC5"/>
    <w:rsid w:val="007C6BCD"/>
    <w:rsid w:val="007C6BF7"/>
    <w:rsid w:val="007C6C07"/>
    <w:rsid w:val="007C6E04"/>
    <w:rsid w:val="007C6EEF"/>
    <w:rsid w:val="007C7374"/>
    <w:rsid w:val="007C738A"/>
    <w:rsid w:val="007C7395"/>
    <w:rsid w:val="007C7766"/>
    <w:rsid w:val="007C7890"/>
    <w:rsid w:val="007C7907"/>
    <w:rsid w:val="007C7B38"/>
    <w:rsid w:val="007C7B45"/>
    <w:rsid w:val="007C7B75"/>
    <w:rsid w:val="007C7BA5"/>
    <w:rsid w:val="007C7C46"/>
    <w:rsid w:val="007C7CE1"/>
    <w:rsid w:val="007C7D4C"/>
    <w:rsid w:val="007D018D"/>
    <w:rsid w:val="007D01EA"/>
    <w:rsid w:val="007D0457"/>
    <w:rsid w:val="007D053D"/>
    <w:rsid w:val="007D0607"/>
    <w:rsid w:val="007D066B"/>
    <w:rsid w:val="007D080F"/>
    <w:rsid w:val="007D082E"/>
    <w:rsid w:val="007D08C2"/>
    <w:rsid w:val="007D08C6"/>
    <w:rsid w:val="007D09F5"/>
    <w:rsid w:val="007D0A06"/>
    <w:rsid w:val="007D0A2A"/>
    <w:rsid w:val="007D0A45"/>
    <w:rsid w:val="007D0B1A"/>
    <w:rsid w:val="007D0CA2"/>
    <w:rsid w:val="007D0F1E"/>
    <w:rsid w:val="007D10E8"/>
    <w:rsid w:val="007D123C"/>
    <w:rsid w:val="007D1255"/>
    <w:rsid w:val="007D13C3"/>
    <w:rsid w:val="007D142D"/>
    <w:rsid w:val="007D1437"/>
    <w:rsid w:val="007D155B"/>
    <w:rsid w:val="007D17CB"/>
    <w:rsid w:val="007D1816"/>
    <w:rsid w:val="007D197F"/>
    <w:rsid w:val="007D1982"/>
    <w:rsid w:val="007D199C"/>
    <w:rsid w:val="007D19C4"/>
    <w:rsid w:val="007D19D1"/>
    <w:rsid w:val="007D1A17"/>
    <w:rsid w:val="007D1AFB"/>
    <w:rsid w:val="007D1B6D"/>
    <w:rsid w:val="007D1CDF"/>
    <w:rsid w:val="007D1EF5"/>
    <w:rsid w:val="007D1F0A"/>
    <w:rsid w:val="007D1F88"/>
    <w:rsid w:val="007D1FF2"/>
    <w:rsid w:val="007D203D"/>
    <w:rsid w:val="007D2086"/>
    <w:rsid w:val="007D22BE"/>
    <w:rsid w:val="007D260A"/>
    <w:rsid w:val="007D267A"/>
    <w:rsid w:val="007D28C1"/>
    <w:rsid w:val="007D2964"/>
    <w:rsid w:val="007D2AC3"/>
    <w:rsid w:val="007D2B94"/>
    <w:rsid w:val="007D2C26"/>
    <w:rsid w:val="007D2D1A"/>
    <w:rsid w:val="007D2F0C"/>
    <w:rsid w:val="007D2F4C"/>
    <w:rsid w:val="007D3254"/>
    <w:rsid w:val="007D32F9"/>
    <w:rsid w:val="007D349C"/>
    <w:rsid w:val="007D3583"/>
    <w:rsid w:val="007D35EE"/>
    <w:rsid w:val="007D3636"/>
    <w:rsid w:val="007D3664"/>
    <w:rsid w:val="007D382E"/>
    <w:rsid w:val="007D399D"/>
    <w:rsid w:val="007D3A70"/>
    <w:rsid w:val="007D3AEA"/>
    <w:rsid w:val="007D3DB9"/>
    <w:rsid w:val="007D4003"/>
    <w:rsid w:val="007D40F7"/>
    <w:rsid w:val="007D4131"/>
    <w:rsid w:val="007D4327"/>
    <w:rsid w:val="007D43FC"/>
    <w:rsid w:val="007D4584"/>
    <w:rsid w:val="007D45A2"/>
    <w:rsid w:val="007D4727"/>
    <w:rsid w:val="007D4911"/>
    <w:rsid w:val="007D4955"/>
    <w:rsid w:val="007D495F"/>
    <w:rsid w:val="007D4AE7"/>
    <w:rsid w:val="007D4B73"/>
    <w:rsid w:val="007D4B90"/>
    <w:rsid w:val="007D4C49"/>
    <w:rsid w:val="007D4CC2"/>
    <w:rsid w:val="007D4D08"/>
    <w:rsid w:val="007D4DA1"/>
    <w:rsid w:val="007D4E30"/>
    <w:rsid w:val="007D4E69"/>
    <w:rsid w:val="007D4EC0"/>
    <w:rsid w:val="007D4EEB"/>
    <w:rsid w:val="007D5011"/>
    <w:rsid w:val="007D5024"/>
    <w:rsid w:val="007D5029"/>
    <w:rsid w:val="007D502D"/>
    <w:rsid w:val="007D508E"/>
    <w:rsid w:val="007D528D"/>
    <w:rsid w:val="007D52EB"/>
    <w:rsid w:val="007D5357"/>
    <w:rsid w:val="007D5395"/>
    <w:rsid w:val="007D56D3"/>
    <w:rsid w:val="007D56EC"/>
    <w:rsid w:val="007D5836"/>
    <w:rsid w:val="007D5838"/>
    <w:rsid w:val="007D58D9"/>
    <w:rsid w:val="007D592B"/>
    <w:rsid w:val="007D5A51"/>
    <w:rsid w:val="007D5A66"/>
    <w:rsid w:val="007D5AA6"/>
    <w:rsid w:val="007D5B58"/>
    <w:rsid w:val="007D5B6A"/>
    <w:rsid w:val="007D5BC8"/>
    <w:rsid w:val="007D5C12"/>
    <w:rsid w:val="007D5CF6"/>
    <w:rsid w:val="007D5ED5"/>
    <w:rsid w:val="007D5EDC"/>
    <w:rsid w:val="007D6039"/>
    <w:rsid w:val="007D631A"/>
    <w:rsid w:val="007D63A4"/>
    <w:rsid w:val="007D63D1"/>
    <w:rsid w:val="007D65D7"/>
    <w:rsid w:val="007D665F"/>
    <w:rsid w:val="007D6681"/>
    <w:rsid w:val="007D6706"/>
    <w:rsid w:val="007D67DA"/>
    <w:rsid w:val="007D6868"/>
    <w:rsid w:val="007D6876"/>
    <w:rsid w:val="007D687F"/>
    <w:rsid w:val="007D692C"/>
    <w:rsid w:val="007D69E1"/>
    <w:rsid w:val="007D6AA1"/>
    <w:rsid w:val="007D6AB6"/>
    <w:rsid w:val="007D6B08"/>
    <w:rsid w:val="007D6D0C"/>
    <w:rsid w:val="007D6DC3"/>
    <w:rsid w:val="007D6DD3"/>
    <w:rsid w:val="007D6E35"/>
    <w:rsid w:val="007D70A2"/>
    <w:rsid w:val="007D70CA"/>
    <w:rsid w:val="007D721B"/>
    <w:rsid w:val="007D7268"/>
    <w:rsid w:val="007D72E3"/>
    <w:rsid w:val="007D73A8"/>
    <w:rsid w:val="007D74DD"/>
    <w:rsid w:val="007D74F7"/>
    <w:rsid w:val="007D75B7"/>
    <w:rsid w:val="007D75D3"/>
    <w:rsid w:val="007D774A"/>
    <w:rsid w:val="007D777D"/>
    <w:rsid w:val="007D7801"/>
    <w:rsid w:val="007D7A32"/>
    <w:rsid w:val="007D7A6B"/>
    <w:rsid w:val="007D7A91"/>
    <w:rsid w:val="007D7BE2"/>
    <w:rsid w:val="007D7C11"/>
    <w:rsid w:val="007D7C6A"/>
    <w:rsid w:val="007D7E07"/>
    <w:rsid w:val="007D7E73"/>
    <w:rsid w:val="007E0056"/>
    <w:rsid w:val="007E00CB"/>
    <w:rsid w:val="007E01D4"/>
    <w:rsid w:val="007E02D9"/>
    <w:rsid w:val="007E03C0"/>
    <w:rsid w:val="007E0510"/>
    <w:rsid w:val="007E0632"/>
    <w:rsid w:val="007E07C4"/>
    <w:rsid w:val="007E0814"/>
    <w:rsid w:val="007E092F"/>
    <w:rsid w:val="007E0A7E"/>
    <w:rsid w:val="007E0B4B"/>
    <w:rsid w:val="007E0B4E"/>
    <w:rsid w:val="007E0B9A"/>
    <w:rsid w:val="007E0BF3"/>
    <w:rsid w:val="007E0C13"/>
    <w:rsid w:val="007E0D2F"/>
    <w:rsid w:val="007E0D98"/>
    <w:rsid w:val="007E10CA"/>
    <w:rsid w:val="007E12FD"/>
    <w:rsid w:val="007E14AA"/>
    <w:rsid w:val="007E14F8"/>
    <w:rsid w:val="007E159C"/>
    <w:rsid w:val="007E15A3"/>
    <w:rsid w:val="007E15F4"/>
    <w:rsid w:val="007E174E"/>
    <w:rsid w:val="007E17BF"/>
    <w:rsid w:val="007E17EF"/>
    <w:rsid w:val="007E183F"/>
    <w:rsid w:val="007E1919"/>
    <w:rsid w:val="007E1AFB"/>
    <w:rsid w:val="007E1B48"/>
    <w:rsid w:val="007E1BA6"/>
    <w:rsid w:val="007E1BF1"/>
    <w:rsid w:val="007E1C5F"/>
    <w:rsid w:val="007E1C97"/>
    <w:rsid w:val="007E1D16"/>
    <w:rsid w:val="007E1D8B"/>
    <w:rsid w:val="007E1DBD"/>
    <w:rsid w:val="007E1DD9"/>
    <w:rsid w:val="007E1E24"/>
    <w:rsid w:val="007E1FED"/>
    <w:rsid w:val="007E2140"/>
    <w:rsid w:val="007E2416"/>
    <w:rsid w:val="007E24D2"/>
    <w:rsid w:val="007E263A"/>
    <w:rsid w:val="007E2656"/>
    <w:rsid w:val="007E2676"/>
    <w:rsid w:val="007E2815"/>
    <w:rsid w:val="007E2884"/>
    <w:rsid w:val="007E29CE"/>
    <w:rsid w:val="007E2A21"/>
    <w:rsid w:val="007E2AAE"/>
    <w:rsid w:val="007E2B48"/>
    <w:rsid w:val="007E2DFC"/>
    <w:rsid w:val="007E2EE8"/>
    <w:rsid w:val="007E2FC0"/>
    <w:rsid w:val="007E3326"/>
    <w:rsid w:val="007E33AE"/>
    <w:rsid w:val="007E33D3"/>
    <w:rsid w:val="007E33DD"/>
    <w:rsid w:val="007E34D2"/>
    <w:rsid w:val="007E34E8"/>
    <w:rsid w:val="007E3606"/>
    <w:rsid w:val="007E36CD"/>
    <w:rsid w:val="007E3700"/>
    <w:rsid w:val="007E3706"/>
    <w:rsid w:val="007E37DA"/>
    <w:rsid w:val="007E3811"/>
    <w:rsid w:val="007E3AC6"/>
    <w:rsid w:val="007E3AE7"/>
    <w:rsid w:val="007E3AF2"/>
    <w:rsid w:val="007E3E38"/>
    <w:rsid w:val="007E3F4F"/>
    <w:rsid w:val="007E3F8F"/>
    <w:rsid w:val="007E4172"/>
    <w:rsid w:val="007E4185"/>
    <w:rsid w:val="007E4318"/>
    <w:rsid w:val="007E43DE"/>
    <w:rsid w:val="007E4580"/>
    <w:rsid w:val="007E459B"/>
    <w:rsid w:val="007E45E3"/>
    <w:rsid w:val="007E467A"/>
    <w:rsid w:val="007E46DD"/>
    <w:rsid w:val="007E47B8"/>
    <w:rsid w:val="007E4898"/>
    <w:rsid w:val="007E494E"/>
    <w:rsid w:val="007E4A1B"/>
    <w:rsid w:val="007E4A1C"/>
    <w:rsid w:val="007E4AAD"/>
    <w:rsid w:val="007E4AB6"/>
    <w:rsid w:val="007E4B02"/>
    <w:rsid w:val="007E4BA0"/>
    <w:rsid w:val="007E4BA2"/>
    <w:rsid w:val="007E4BC0"/>
    <w:rsid w:val="007E4BFF"/>
    <w:rsid w:val="007E4CBD"/>
    <w:rsid w:val="007E4E10"/>
    <w:rsid w:val="007E4E23"/>
    <w:rsid w:val="007E4EB8"/>
    <w:rsid w:val="007E4F1A"/>
    <w:rsid w:val="007E4FE8"/>
    <w:rsid w:val="007E5078"/>
    <w:rsid w:val="007E50E9"/>
    <w:rsid w:val="007E530A"/>
    <w:rsid w:val="007E5524"/>
    <w:rsid w:val="007E565A"/>
    <w:rsid w:val="007E5714"/>
    <w:rsid w:val="007E5737"/>
    <w:rsid w:val="007E57E8"/>
    <w:rsid w:val="007E5821"/>
    <w:rsid w:val="007E5919"/>
    <w:rsid w:val="007E5943"/>
    <w:rsid w:val="007E597F"/>
    <w:rsid w:val="007E59AB"/>
    <w:rsid w:val="007E59F9"/>
    <w:rsid w:val="007E5BFD"/>
    <w:rsid w:val="007E5C7F"/>
    <w:rsid w:val="007E5C93"/>
    <w:rsid w:val="007E5D8D"/>
    <w:rsid w:val="007E5DE7"/>
    <w:rsid w:val="007E5E39"/>
    <w:rsid w:val="007E5F33"/>
    <w:rsid w:val="007E6182"/>
    <w:rsid w:val="007E618A"/>
    <w:rsid w:val="007E61B0"/>
    <w:rsid w:val="007E62CA"/>
    <w:rsid w:val="007E62DB"/>
    <w:rsid w:val="007E6456"/>
    <w:rsid w:val="007E6646"/>
    <w:rsid w:val="007E6727"/>
    <w:rsid w:val="007E6744"/>
    <w:rsid w:val="007E69BB"/>
    <w:rsid w:val="007E6A83"/>
    <w:rsid w:val="007E6A8A"/>
    <w:rsid w:val="007E6AB8"/>
    <w:rsid w:val="007E6BC3"/>
    <w:rsid w:val="007E6C0F"/>
    <w:rsid w:val="007E6D63"/>
    <w:rsid w:val="007E6DAB"/>
    <w:rsid w:val="007E6F2C"/>
    <w:rsid w:val="007E6FB2"/>
    <w:rsid w:val="007E701F"/>
    <w:rsid w:val="007E7350"/>
    <w:rsid w:val="007E746D"/>
    <w:rsid w:val="007E749D"/>
    <w:rsid w:val="007E74D6"/>
    <w:rsid w:val="007E7591"/>
    <w:rsid w:val="007E7605"/>
    <w:rsid w:val="007E761A"/>
    <w:rsid w:val="007E7667"/>
    <w:rsid w:val="007E767E"/>
    <w:rsid w:val="007E776B"/>
    <w:rsid w:val="007E77D9"/>
    <w:rsid w:val="007E78CA"/>
    <w:rsid w:val="007E7932"/>
    <w:rsid w:val="007E7E44"/>
    <w:rsid w:val="007E7F18"/>
    <w:rsid w:val="007F00BF"/>
    <w:rsid w:val="007F0210"/>
    <w:rsid w:val="007F0741"/>
    <w:rsid w:val="007F07C3"/>
    <w:rsid w:val="007F0803"/>
    <w:rsid w:val="007F0846"/>
    <w:rsid w:val="007F0906"/>
    <w:rsid w:val="007F09FA"/>
    <w:rsid w:val="007F0A0D"/>
    <w:rsid w:val="007F0E24"/>
    <w:rsid w:val="007F0E62"/>
    <w:rsid w:val="007F0EE6"/>
    <w:rsid w:val="007F1023"/>
    <w:rsid w:val="007F10B1"/>
    <w:rsid w:val="007F122B"/>
    <w:rsid w:val="007F1276"/>
    <w:rsid w:val="007F13C9"/>
    <w:rsid w:val="007F13CC"/>
    <w:rsid w:val="007F1490"/>
    <w:rsid w:val="007F14CB"/>
    <w:rsid w:val="007F165A"/>
    <w:rsid w:val="007F172A"/>
    <w:rsid w:val="007F1803"/>
    <w:rsid w:val="007F1887"/>
    <w:rsid w:val="007F18C2"/>
    <w:rsid w:val="007F19D9"/>
    <w:rsid w:val="007F1B99"/>
    <w:rsid w:val="007F1BA0"/>
    <w:rsid w:val="007F1BD8"/>
    <w:rsid w:val="007F1BFD"/>
    <w:rsid w:val="007F1D95"/>
    <w:rsid w:val="007F1DED"/>
    <w:rsid w:val="007F1ECA"/>
    <w:rsid w:val="007F1EE4"/>
    <w:rsid w:val="007F2010"/>
    <w:rsid w:val="007F2056"/>
    <w:rsid w:val="007F21E4"/>
    <w:rsid w:val="007F221E"/>
    <w:rsid w:val="007F228C"/>
    <w:rsid w:val="007F236B"/>
    <w:rsid w:val="007F2397"/>
    <w:rsid w:val="007F253E"/>
    <w:rsid w:val="007F2582"/>
    <w:rsid w:val="007F2676"/>
    <w:rsid w:val="007F27C4"/>
    <w:rsid w:val="007F2839"/>
    <w:rsid w:val="007F2879"/>
    <w:rsid w:val="007F28E2"/>
    <w:rsid w:val="007F2938"/>
    <w:rsid w:val="007F2998"/>
    <w:rsid w:val="007F29CB"/>
    <w:rsid w:val="007F2A21"/>
    <w:rsid w:val="007F2A6E"/>
    <w:rsid w:val="007F2B26"/>
    <w:rsid w:val="007F2C48"/>
    <w:rsid w:val="007F2C6A"/>
    <w:rsid w:val="007F2D1B"/>
    <w:rsid w:val="007F2D86"/>
    <w:rsid w:val="007F2DA5"/>
    <w:rsid w:val="007F2E8B"/>
    <w:rsid w:val="007F2FC3"/>
    <w:rsid w:val="007F3003"/>
    <w:rsid w:val="007F3073"/>
    <w:rsid w:val="007F310B"/>
    <w:rsid w:val="007F317D"/>
    <w:rsid w:val="007F31CE"/>
    <w:rsid w:val="007F31EE"/>
    <w:rsid w:val="007F3222"/>
    <w:rsid w:val="007F3387"/>
    <w:rsid w:val="007F33AC"/>
    <w:rsid w:val="007F356D"/>
    <w:rsid w:val="007F35B0"/>
    <w:rsid w:val="007F3617"/>
    <w:rsid w:val="007F363C"/>
    <w:rsid w:val="007F368F"/>
    <w:rsid w:val="007F3721"/>
    <w:rsid w:val="007F387A"/>
    <w:rsid w:val="007F395E"/>
    <w:rsid w:val="007F39C6"/>
    <w:rsid w:val="007F39D8"/>
    <w:rsid w:val="007F3A52"/>
    <w:rsid w:val="007F3A61"/>
    <w:rsid w:val="007F3A83"/>
    <w:rsid w:val="007F3C62"/>
    <w:rsid w:val="007F3CF3"/>
    <w:rsid w:val="007F3D3D"/>
    <w:rsid w:val="007F3D53"/>
    <w:rsid w:val="007F3E41"/>
    <w:rsid w:val="007F3F6A"/>
    <w:rsid w:val="007F3F94"/>
    <w:rsid w:val="007F3FB4"/>
    <w:rsid w:val="007F405D"/>
    <w:rsid w:val="007F411D"/>
    <w:rsid w:val="007F422D"/>
    <w:rsid w:val="007F4231"/>
    <w:rsid w:val="007F42FD"/>
    <w:rsid w:val="007F434E"/>
    <w:rsid w:val="007F438E"/>
    <w:rsid w:val="007F44B2"/>
    <w:rsid w:val="007F4697"/>
    <w:rsid w:val="007F47CC"/>
    <w:rsid w:val="007F48EE"/>
    <w:rsid w:val="007F4A5F"/>
    <w:rsid w:val="007F4BFF"/>
    <w:rsid w:val="007F4DB0"/>
    <w:rsid w:val="007F4DEF"/>
    <w:rsid w:val="007F4E23"/>
    <w:rsid w:val="007F4E2D"/>
    <w:rsid w:val="007F4E55"/>
    <w:rsid w:val="007F4F0F"/>
    <w:rsid w:val="007F4F44"/>
    <w:rsid w:val="007F4F86"/>
    <w:rsid w:val="007F5085"/>
    <w:rsid w:val="007F50B2"/>
    <w:rsid w:val="007F5108"/>
    <w:rsid w:val="007F51B9"/>
    <w:rsid w:val="007F51F2"/>
    <w:rsid w:val="007F530A"/>
    <w:rsid w:val="007F5504"/>
    <w:rsid w:val="007F554A"/>
    <w:rsid w:val="007F55F1"/>
    <w:rsid w:val="007F56D7"/>
    <w:rsid w:val="007F58B2"/>
    <w:rsid w:val="007F58F2"/>
    <w:rsid w:val="007F5A23"/>
    <w:rsid w:val="007F5B43"/>
    <w:rsid w:val="007F5B50"/>
    <w:rsid w:val="007F5B85"/>
    <w:rsid w:val="007F5C08"/>
    <w:rsid w:val="007F5C5E"/>
    <w:rsid w:val="007F5CBB"/>
    <w:rsid w:val="007F5F4E"/>
    <w:rsid w:val="007F5F52"/>
    <w:rsid w:val="007F5FB2"/>
    <w:rsid w:val="007F6001"/>
    <w:rsid w:val="007F61A8"/>
    <w:rsid w:val="007F6205"/>
    <w:rsid w:val="007F62E1"/>
    <w:rsid w:val="007F6452"/>
    <w:rsid w:val="007F653A"/>
    <w:rsid w:val="007F654F"/>
    <w:rsid w:val="007F6622"/>
    <w:rsid w:val="007F6691"/>
    <w:rsid w:val="007F672D"/>
    <w:rsid w:val="007F688D"/>
    <w:rsid w:val="007F694A"/>
    <w:rsid w:val="007F69E5"/>
    <w:rsid w:val="007F6A5E"/>
    <w:rsid w:val="007F6C1B"/>
    <w:rsid w:val="007F6C56"/>
    <w:rsid w:val="007F6E68"/>
    <w:rsid w:val="007F702A"/>
    <w:rsid w:val="007F7057"/>
    <w:rsid w:val="007F70CE"/>
    <w:rsid w:val="007F717D"/>
    <w:rsid w:val="007F726D"/>
    <w:rsid w:val="007F7304"/>
    <w:rsid w:val="007F747A"/>
    <w:rsid w:val="007F753E"/>
    <w:rsid w:val="007F7577"/>
    <w:rsid w:val="007F757F"/>
    <w:rsid w:val="007F7611"/>
    <w:rsid w:val="007F767D"/>
    <w:rsid w:val="007F7703"/>
    <w:rsid w:val="007F773A"/>
    <w:rsid w:val="007F7772"/>
    <w:rsid w:val="007F790F"/>
    <w:rsid w:val="007F791A"/>
    <w:rsid w:val="007F7997"/>
    <w:rsid w:val="007F7A95"/>
    <w:rsid w:val="007F7C02"/>
    <w:rsid w:val="007F7C49"/>
    <w:rsid w:val="007F7CA0"/>
    <w:rsid w:val="007F7D34"/>
    <w:rsid w:val="007F7DB4"/>
    <w:rsid w:val="007F7E93"/>
    <w:rsid w:val="007F7EEA"/>
    <w:rsid w:val="007F7EF5"/>
    <w:rsid w:val="007F7F49"/>
    <w:rsid w:val="007F7FAE"/>
    <w:rsid w:val="0080003A"/>
    <w:rsid w:val="00800076"/>
    <w:rsid w:val="008000D5"/>
    <w:rsid w:val="008001B2"/>
    <w:rsid w:val="00800252"/>
    <w:rsid w:val="00800372"/>
    <w:rsid w:val="008004B1"/>
    <w:rsid w:val="00800543"/>
    <w:rsid w:val="008007C0"/>
    <w:rsid w:val="008007C8"/>
    <w:rsid w:val="00800820"/>
    <w:rsid w:val="0080083A"/>
    <w:rsid w:val="00800865"/>
    <w:rsid w:val="008008BA"/>
    <w:rsid w:val="008008CD"/>
    <w:rsid w:val="008009F3"/>
    <w:rsid w:val="00800ACE"/>
    <w:rsid w:val="00800AF9"/>
    <w:rsid w:val="00800B6F"/>
    <w:rsid w:val="00800C1C"/>
    <w:rsid w:val="00800C76"/>
    <w:rsid w:val="00800D5A"/>
    <w:rsid w:val="00800D5F"/>
    <w:rsid w:val="00800E42"/>
    <w:rsid w:val="008010EB"/>
    <w:rsid w:val="0080111C"/>
    <w:rsid w:val="008011D7"/>
    <w:rsid w:val="00801341"/>
    <w:rsid w:val="008014DA"/>
    <w:rsid w:val="00801511"/>
    <w:rsid w:val="00801581"/>
    <w:rsid w:val="008017EF"/>
    <w:rsid w:val="0080180D"/>
    <w:rsid w:val="00801822"/>
    <w:rsid w:val="00801957"/>
    <w:rsid w:val="008019EC"/>
    <w:rsid w:val="00801A46"/>
    <w:rsid w:val="00801BD8"/>
    <w:rsid w:val="00801BFC"/>
    <w:rsid w:val="00801C15"/>
    <w:rsid w:val="00801DBB"/>
    <w:rsid w:val="00801DC6"/>
    <w:rsid w:val="00801DD2"/>
    <w:rsid w:val="00801E01"/>
    <w:rsid w:val="00801F3F"/>
    <w:rsid w:val="00801F5C"/>
    <w:rsid w:val="008020D1"/>
    <w:rsid w:val="00802104"/>
    <w:rsid w:val="0080219F"/>
    <w:rsid w:val="00802250"/>
    <w:rsid w:val="008022D9"/>
    <w:rsid w:val="0080247C"/>
    <w:rsid w:val="008026C0"/>
    <w:rsid w:val="00802716"/>
    <w:rsid w:val="0080276E"/>
    <w:rsid w:val="00802858"/>
    <w:rsid w:val="008028E9"/>
    <w:rsid w:val="00802938"/>
    <w:rsid w:val="00802B07"/>
    <w:rsid w:val="00802B39"/>
    <w:rsid w:val="00802BD6"/>
    <w:rsid w:val="00802F50"/>
    <w:rsid w:val="00803030"/>
    <w:rsid w:val="00803231"/>
    <w:rsid w:val="008033F7"/>
    <w:rsid w:val="00803420"/>
    <w:rsid w:val="008034A6"/>
    <w:rsid w:val="008037BC"/>
    <w:rsid w:val="00803921"/>
    <w:rsid w:val="00803C4A"/>
    <w:rsid w:val="00803CF3"/>
    <w:rsid w:val="00803D22"/>
    <w:rsid w:val="00803D7A"/>
    <w:rsid w:val="00803E64"/>
    <w:rsid w:val="00803E6F"/>
    <w:rsid w:val="00803EA6"/>
    <w:rsid w:val="00803FD4"/>
    <w:rsid w:val="00803FF0"/>
    <w:rsid w:val="0080401A"/>
    <w:rsid w:val="00804077"/>
    <w:rsid w:val="0080411B"/>
    <w:rsid w:val="008044E3"/>
    <w:rsid w:val="00804523"/>
    <w:rsid w:val="00804564"/>
    <w:rsid w:val="008045BC"/>
    <w:rsid w:val="00804684"/>
    <w:rsid w:val="00804733"/>
    <w:rsid w:val="00804C83"/>
    <w:rsid w:val="00804F19"/>
    <w:rsid w:val="00804F8F"/>
    <w:rsid w:val="00804FE8"/>
    <w:rsid w:val="008050DD"/>
    <w:rsid w:val="0080511E"/>
    <w:rsid w:val="00805153"/>
    <w:rsid w:val="0080515D"/>
    <w:rsid w:val="0080539C"/>
    <w:rsid w:val="008053E4"/>
    <w:rsid w:val="00805523"/>
    <w:rsid w:val="00805568"/>
    <w:rsid w:val="00805577"/>
    <w:rsid w:val="008057FB"/>
    <w:rsid w:val="0080581D"/>
    <w:rsid w:val="0080585C"/>
    <w:rsid w:val="00805AA8"/>
    <w:rsid w:val="00805B07"/>
    <w:rsid w:val="00805B24"/>
    <w:rsid w:val="00805B4A"/>
    <w:rsid w:val="00805C86"/>
    <w:rsid w:val="00805CF0"/>
    <w:rsid w:val="00805CF6"/>
    <w:rsid w:val="00805D09"/>
    <w:rsid w:val="00805E5D"/>
    <w:rsid w:val="00805F60"/>
    <w:rsid w:val="00806021"/>
    <w:rsid w:val="008060F7"/>
    <w:rsid w:val="008061F9"/>
    <w:rsid w:val="00806270"/>
    <w:rsid w:val="00806470"/>
    <w:rsid w:val="00806509"/>
    <w:rsid w:val="0080671A"/>
    <w:rsid w:val="008067D0"/>
    <w:rsid w:val="008067D1"/>
    <w:rsid w:val="008067DE"/>
    <w:rsid w:val="008068F0"/>
    <w:rsid w:val="00806977"/>
    <w:rsid w:val="00806B6D"/>
    <w:rsid w:val="00806C83"/>
    <w:rsid w:val="00806C97"/>
    <w:rsid w:val="00806CA1"/>
    <w:rsid w:val="00806D96"/>
    <w:rsid w:val="00806E3F"/>
    <w:rsid w:val="00807105"/>
    <w:rsid w:val="0080715B"/>
    <w:rsid w:val="0080718A"/>
    <w:rsid w:val="008072AB"/>
    <w:rsid w:val="0080740D"/>
    <w:rsid w:val="008074B0"/>
    <w:rsid w:val="00807793"/>
    <w:rsid w:val="00807806"/>
    <w:rsid w:val="0080794F"/>
    <w:rsid w:val="00807A8C"/>
    <w:rsid w:val="00807B7A"/>
    <w:rsid w:val="00807CF7"/>
    <w:rsid w:val="00807E0D"/>
    <w:rsid w:val="00807EEF"/>
    <w:rsid w:val="008100F1"/>
    <w:rsid w:val="00810181"/>
    <w:rsid w:val="00810216"/>
    <w:rsid w:val="0081021C"/>
    <w:rsid w:val="00810283"/>
    <w:rsid w:val="00810388"/>
    <w:rsid w:val="00810397"/>
    <w:rsid w:val="008103C9"/>
    <w:rsid w:val="00810531"/>
    <w:rsid w:val="00810597"/>
    <w:rsid w:val="008106C6"/>
    <w:rsid w:val="008106FC"/>
    <w:rsid w:val="0081078B"/>
    <w:rsid w:val="008107B7"/>
    <w:rsid w:val="0081081F"/>
    <w:rsid w:val="0081082F"/>
    <w:rsid w:val="008108C7"/>
    <w:rsid w:val="00810A08"/>
    <w:rsid w:val="00810B5B"/>
    <w:rsid w:val="00810B6A"/>
    <w:rsid w:val="00810C26"/>
    <w:rsid w:val="00810C2A"/>
    <w:rsid w:val="00810C90"/>
    <w:rsid w:val="00810E5C"/>
    <w:rsid w:val="00810F19"/>
    <w:rsid w:val="00810F28"/>
    <w:rsid w:val="00810FB3"/>
    <w:rsid w:val="008110CC"/>
    <w:rsid w:val="008112E0"/>
    <w:rsid w:val="0081148D"/>
    <w:rsid w:val="008115A7"/>
    <w:rsid w:val="008115FA"/>
    <w:rsid w:val="008118A5"/>
    <w:rsid w:val="008118C0"/>
    <w:rsid w:val="0081191F"/>
    <w:rsid w:val="00811939"/>
    <w:rsid w:val="00811943"/>
    <w:rsid w:val="00811BFD"/>
    <w:rsid w:val="00811C3D"/>
    <w:rsid w:val="00811F2C"/>
    <w:rsid w:val="00811FCC"/>
    <w:rsid w:val="0081204E"/>
    <w:rsid w:val="00812063"/>
    <w:rsid w:val="0081224B"/>
    <w:rsid w:val="00812377"/>
    <w:rsid w:val="008123C5"/>
    <w:rsid w:val="0081249F"/>
    <w:rsid w:val="008124E3"/>
    <w:rsid w:val="0081273A"/>
    <w:rsid w:val="00812907"/>
    <w:rsid w:val="00812A30"/>
    <w:rsid w:val="00812AE1"/>
    <w:rsid w:val="00812B9A"/>
    <w:rsid w:val="00812D97"/>
    <w:rsid w:val="00812E68"/>
    <w:rsid w:val="00812ED8"/>
    <w:rsid w:val="00812F24"/>
    <w:rsid w:val="00813043"/>
    <w:rsid w:val="00813109"/>
    <w:rsid w:val="008131B7"/>
    <w:rsid w:val="00813209"/>
    <w:rsid w:val="0081324B"/>
    <w:rsid w:val="008132A7"/>
    <w:rsid w:val="008132C6"/>
    <w:rsid w:val="008132EF"/>
    <w:rsid w:val="008133A7"/>
    <w:rsid w:val="00813441"/>
    <w:rsid w:val="0081369D"/>
    <w:rsid w:val="00813710"/>
    <w:rsid w:val="008138B6"/>
    <w:rsid w:val="00813948"/>
    <w:rsid w:val="008139E0"/>
    <w:rsid w:val="00813AB0"/>
    <w:rsid w:val="00813B14"/>
    <w:rsid w:val="00813BF4"/>
    <w:rsid w:val="00813CDE"/>
    <w:rsid w:val="00813DE3"/>
    <w:rsid w:val="00813F63"/>
    <w:rsid w:val="00813FCC"/>
    <w:rsid w:val="00814043"/>
    <w:rsid w:val="0081407B"/>
    <w:rsid w:val="008141C6"/>
    <w:rsid w:val="00814233"/>
    <w:rsid w:val="00814327"/>
    <w:rsid w:val="008144E5"/>
    <w:rsid w:val="008146B3"/>
    <w:rsid w:val="00814761"/>
    <w:rsid w:val="00814806"/>
    <w:rsid w:val="00814846"/>
    <w:rsid w:val="00814B68"/>
    <w:rsid w:val="00814BA1"/>
    <w:rsid w:val="00814E65"/>
    <w:rsid w:val="00815291"/>
    <w:rsid w:val="0081537B"/>
    <w:rsid w:val="00815411"/>
    <w:rsid w:val="0081545B"/>
    <w:rsid w:val="008154F1"/>
    <w:rsid w:val="008154F3"/>
    <w:rsid w:val="0081563F"/>
    <w:rsid w:val="00815641"/>
    <w:rsid w:val="0081566C"/>
    <w:rsid w:val="0081567A"/>
    <w:rsid w:val="008156DB"/>
    <w:rsid w:val="00815750"/>
    <w:rsid w:val="008157DC"/>
    <w:rsid w:val="008158E3"/>
    <w:rsid w:val="00815A19"/>
    <w:rsid w:val="00815A1D"/>
    <w:rsid w:val="00815AAE"/>
    <w:rsid w:val="00815B96"/>
    <w:rsid w:val="00815C81"/>
    <w:rsid w:val="00815E9C"/>
    <w:rsid w:val="00815EAE"/>
    <w:rsid w:val="00815F26"/>
    <w:rsid w:val="00815F27"/>
    <w:rsid w:val="0081609A"/>
    <w:rsid w:val="0081614B"/>
    <w:rsid w:val="0081632C"/>
    <w:rsid w:val="00816372"/>
    <w:rsid w:val="00816491"/>
    <w:rsid w:val="008164B6"/>
    <w:rsid w:val="008164F9"/>
    <w:rsid w:val="008165F5"/>
    <w:rsid w:val="0081662C"/>
    <w:rsid w:val="008166C0"/>
    <w:rsid w:val="008166CF"/>
    <w:rsid w:val="00816812"/>
    <w:rsid w:val="008168B8"/>
    <w:rsid w:val="00816985"/>
    <w:rsid w:val="0081699E"/>
    <w:rsid w:val="00816A03"/>
    <w:rsid w:val="00816C93"/>
    <w:rsid w:val="00816D96"/>
    <w:rsid w:val="00816ED6"/>
    <w:rsid w:val="00817023"/>
    <w:rsid w:val="00817057"/>
    <w:rsid w:val="00817073"/>
    <w:rsid w:val="0081716F"/>
    <w:rsid w:val="00817196"/>
    <w:rsid w:val="0081725E"/>
    <w:rsid w:val="0081764B"/>
    <w:rsid w:val="00817665"/>
    <w:rsid w:val="00817703"/>
    <w:rsid w:val="008177F7"/>
    <w:rsid w:val="008178D0"/>
    <w:rsid w:val="0081791F"/>
    <w:rsid w:val="00817AA3"/>
    <w:rsid w:val="00817AC0"/>
    <w:rsid w:val="00817B39"/>
    <w:rsid w:val="00817BD3"/>
    <w:rsid w:val="00817BFF"/>
    <w:rsid w:val="00817C4D"/>
    <w:rsid w:val="00817CA5"/>
    <w:rsid w:val="00817DAE"/>
    <w:rsid w:val="00817DC1"/>
    <w:rsid w:val="00817DE7"/>
    <w:rsid w:val="00817E38"/>
    <w:rsid w:val="00817F22"/>
    <w:rsid w:val="008200BE"/>
    <w:rsid w:val="0082017B"/>
    <w:rsid w:val="008201F6"/>
    <w:rsid w:val="00820300"/>
    <w:rsid w:val="00820345"/>
    <w:rsid w:val="008203E4"/>
    <w:rsid w:val="008203FA"/>
    <w:rsid w:val="00820452"/>
    <w:rsid w:val="008204DD"/>
    <w:rsid w:val="00820597"/>
    <w:rsid w:val="00820895"/>
    <w:rsid w:val="0082090A"/>
    <w:rsid w:val="008209DE"/>
    <w:rsid w:val="00820AA0"/>
    <w:rsid w:val="00820BEA"/>
    <w:rsid w:val="00820C71"/>
    <w:rsid w:val="00820D10"/>
    <w:rsid w:val="00820E14"/>
    <w:rsid w:val="00820FE4"/>
    <w:rsid w:val="008211C9"/>
    <w:rsid w:val="00821264"/>
    <w:rsid w:val="00821302"/>
    <w:rsid w:val="00821528"/>
    <w:rsid w:val="008215EA"/>
    <w:rsid w:val="00821632"/>
    <w:rsid w:val="00821681"/>
    <w:rsid w:val="0082177C"/>
    <w:rsid w:val="008218CB"/>
    <w:rsid w:val="008219DD"/>
    <w:rsid w:val="00821B08"/>
    <w:rsid w:val="00821B81"/>
    <w:rsid w:val="00821C53"/>
    <w:rsid w:val="00821D5C"/>
    <w:rsid w:val="00821F4C"/>
    <w:rsid w:val="00821FD4"/>
    <w:rsid w:val="00822239"/>
    <w:rsid w:val="0082224C"/>
    <w:rsid w:val="008223D4"/>
    <w:rsid w:val="0082244E"/>
    <w:rsid w:val="00822580"/>
    <w:rsid w:val="00822589"/>
    <w:rsid w:val="00822687"/>
    <w:rsid w:val="0082269F"/>
    <w:rsid w:val="008226F2"/>
    <w:rsid w:val="00822729"/>
    <w:rsid w:val="00822813"/>
    <w:rsid w:val="00822849"/>
    <w:rsid w:val="00822860"/>
    <w:rsid w:val="00822869"/>
    <w:rsid w:val="0082295A"/>
    <w:rsid w:val="00822BB9"/>
    <w:rsid w:val="00822C86"/>
    <w:rsid w:val="00822CDB"/>
    <w:rsid w:val="00822DC0"/>
    <w:rsid w:val="00822DE1"/>
    <w:rsid w:val="00822E89"/>
    <w:rsid w:val="00822FA3"/>
    <w:rsid w:val="00822FB6"/>
    <w:rsid w:val="00823080"/>
    <w:rsid w:val="008231FF"/>
    <w:rsid w:val="008234B5"/>
    <w:rsid w:val="00823655"/>
    <w:rsid w:val="00823716"/>
    <w:rsid w:val="00823954"/>
    <w:rsid w:val="00823973"/>
    <w:rsid w:val="00823A6B"/>
    <w:rsid w:val="00823E67"/>
    <w:rsid w:val="00824488"/>
    <w:rsid w:val="008244A2"/>
    <w:rsid w:val="008245B7"/>
    <w:rsid w:val="008246A3"/>
    <w:rsid w:val="00824936"/>
    <w:rsid w:val="00824AA4"/>
    <w:rsid w:val="00824AA6"/>
    <w:rsid w:val="00824AF3"/>
    <w:rsid w:val="00824D5A"/>
    <w:rsid w:val="00824DD2"/>
    <w:rsid w:val="00824E16"/>
    <w:rsid w:val="00824E91"/>
    <w:rsid w:val="00824F69"/>
    <w:rsid w:val="00825039"/>
    <w:rsid w:val="008251C1"/>
    <w:rsid w:val="008252D6"/>
    <w:rsid w:val="00825437"/>
    <w:rsid w:val="00825482"/>
    <w:rsid w:val="00825553"/>
    <w:rsid w:val="00825570"/>
    <w:rsid w:val="008255BE"/>
    <w:rsid w:val="008255F1"/>
    <w:rsid w:val="0082562A"/>
    <w:rsid w:val="00825687"/>
    <w:rsid w:val="008256A9"/>
    <w:rsid w:val="008256F1"/>
    <w:rsid w:val="008259A5"/>
    <w:rsid w:val="008259B9"/>
    <w:rsid w:val="008259EE"/>
    <w:rsid w:val="00825B7D"/>
    <w:rsid w:val="00825BD4"/>
    <w:rsid w:val="00825CBB"/>
    <w:rsid w:val="00825D3D"/>
    <w:rsid w:val="00825DA0"/>
    <w:rsid w:val="00825E2B"/>
    <w:rsid w:val="00825F10"/>
    <w:rsid w:val="0082621E"/>
    <w:rsid w:val="0082629A"/>
    <w:rsid w:val="0082632B"/>
    <w:rsid w:val="008263C0"/>
    <w:rsid w:val="00826425"/>
    <w:rsid w:val="0082653D"/>
    <w:rsid w:val="00826732"/>
    <w:rsid w:val="00826853"/>
    <w:rsid w:val="008268CB"/>
    <w:rsid w:val="00826AA9"/>
    <w:rsid w:val="00826C8F"/>
    <w:rsid w:val="00826D4D"/>
    <w:rsid w:val="00826D90"/>
    <w:rsid w:val="00826DC3"/>
    <w:rsid w:val="00826DF0"/>
    <w:rsid w:val="00826EE9"/>
    <w:rsid w:val="00826F93"/>
    <w:rsid w:val="00827045"/>
    <w:rsid w:val="0082707E"/>
    <w:rsid w:val="008270E0"/>
    <w:rsid w:val="008270E4"/>
    <w:rsid w:val="008271AE"/>
    <w:rsid w:val="008271C4"/>
    <w:rsid w:val="0082733A"/>
    <w:rsid w:val="00827351"/>
    <w:rsid w:val="0082738A"/>
    <w:rsid w:val="008273B8"/>
    <w:rsid w:val="008273CB"/>
    <w:rsid w:val="008273DD"/>
    <w:rsid w:val="0082740D"/>
    <w:rsid w:val="0082752B"/>
    <w:rsid w:val="0082762E"/>
    <w:rsid w:val="008278DA"/>
    <w:rsid w:val="008278EF"/>
    <w:rsid w:val="00827B1F"/>
    <w:rsid w:val="00827BD2"/>
    <w:rsid w:val="00827C95"/>
    <w:rsid w:val="00827CE9"/>
    <w:rsid w:val="00827D5D"/>
    <w:rsid w:val="00827DA8"/>
    <w:rsid w:val="00827DB1"/>
    <w:rsid w:val="00827EE7"/>
    <w:rsid w:val="00827F23"/>
    <w:rsid w:val="00827F8F"/>
    <w:rsid w:val="0083002C"/>
    <w:rsid w:val="00830090"/>
    <w:rsid w:val="0083023D"/>
    <w:rsid w:val="00830272"/>
    <w:rsid w:val="0083027C"/>
    <w:rsid w:val="0083030B"/>
    <w:rsid w:val="008303DC"/>
    <w:rsid w:val="008304D7"/>
    <w:rsid w:val="008304D9"/>
    <w:rsid w:val="00830603"/>
    <w:rsid w:val="00830952"/>
    <w:rsid w:val="00830980"/>
    <w:rsid w:val="00830AB0"/>
    <w:rsid w:val="00830AF3"/>
    <w:rsid w:val="00830C6F"/>
    <w:rsid w:val="00830C98"/>
    <w:rsid w:val="00830CEA"/>
    <w:rsid w:val="00830E4F"/>
    <w:rsid w:val="00830E5C"/>
    <w:rsid w:val="00831077"/>
    <w:rsid w:val="00831135"/>
    <w:rsid w:val="0083113A"/>
    <w:rsid w:val="008311B8"/>
    <w:rsid w:val="008311D4"/>
    <w:rsid w:val="00831269"/>
    <w:rsid w:val="0083126A"/>
    <w:rsid w:val="008312AC"/>
    <w:rsid w:val="00831391"/>
    <w:rsid w:val="008313FF"/>
    <w:rsid w:val="0083151A"/>
    <w:rsid w:val="008317C6"/>
    <w:rsid w:val="008317CD"/>
    <w:rsid w:val="00831A7D"/>
    <w:rsid w:val="00831B8F"/>
    <w:rsid w:val="00831BEA"/>
    <w:rsid w:val="00831C12"/>
    <w:rsid w:val="00831C85"/>
    <w:rsid w:val="00831C96"/>
    <w:rsid w:val="00831D06"/>
    <w:rsid w:val="00831D9C"/>
    <w:rsid w:val="00831DC3"/>
    <w:rsid w:val="00831DC9"/>
    <w:rsid w:val="00831DDD"/>
    <w:rsid w:val="00831F69"/>
    <w:rsid w:val="00831F9F"/>
    <w:rsid w:val="00832171"/>
    <w:rsid w:val="0083226F"/>
    <w:rsid w:val="00832279"/>
    <w:rsid w:val="008322BF"/>
    <w:rsid w:val="0083254F"/>
    <w:rsid w:val="00832559"/>
    <w:rsid w:val="008325C2"/>
    <w:rsid w:val="00832679"/>
    <w:rsid w:val="008326A6"/>
    <w:rsid w:val="008327C6"/>
    <w:rsid w:val="0083295C"/>
    <w:rsid w:val="00832AA5"/>
    <w:rsid w:val="00832BFF"/>
    <w:rsid w:val="00832FD5"/>
    <w:rsid w:val="008331C3"/>
    <w:rsid w:val="00833281"/>
    <w:rsid w:val="00833547"/>
    <w:rsid w:val="0083358C"/>
    <w:rsid w:val="00833761"/>
    <w:rsid w:val="008339EA"/>
    <w:rsid w:val="00833AD0"/>
    <w:rsid w:val="00833BDD"/>
    <w:rsid w:val="00833C2A"/>
    <w:rsid w:val="00833E93"/>
    <w:rsid w:val="00833FF8"/>
    <w:rsid w:val="008340F5"/>
    <w:rsid w:val="00834243"/>
    <w:rsid w:val="00834266"/>
    <w:rsid w:val="008342C5"/>
    <w:rsid w:val="008344CF"/>
    <w:rsid w:val="008344F7"/>
    <w:rsid w:val="00834543"/>
    <w:rsid w:val="008345DF"/>
    <w:rsid w:val="0083467C"/>
    <w:rsid w:val="0083476D"/>
    <w:rsid w:val="00834844"/>
    <w:rsid w:val="00834860"/>
    <w:rsid w:val="0083487D"/>
    <w:rsid w:val="00834927"/>
    <w:rsid w:val="0083497A"/>
    <w:rsid w:val="00834A1F"/>
    <w:rsid w:val="00834A41"/>
    <w:rsid w:val="00834A6D"/>
    <w:rsid w:val="00834AF0"/>
    <w:rsid w:val="00834BDB"/>
    <w:rsid w:val="00834DB6"/>
    <w:rsid w:val="00834E4A"/>
    <w:rsid w:val="00834E67"/>
    <w:rsid w:val="00834EC2"/>
    <w:rsid w:val="00834EF4"/>
    <w:rsid w:val="00834F6B"/>
    <w:rsid w:val="00834FCE"/>
    <w:rsid w:val="00834FE6"/>
    <w:rsid w:val="00835017"/>
    <w:rsid w:val="00835136"/>
    <w:rsid w:val="00835154"/>
    <w:rsid w:val="00835216"/>
    <w:rsid w:val="008352CD"/>
    <w:rsid w:val="00835401"/>
    <w:rsid w:val="008354A5"/>
    <w:rsid w:val="008354D8"/>
    <w:rsid w:val="00835524"/>
    <w:rsid w:val="008355AE"/>
    <w:rsid w:val="008356D5"/>
    <w:rsid w:val="0083577D"/>
    <w:rsid w:val="0083581A"/>
    <w:rsid w:val="008358B8"/>
    <w:rsid w:val="00835C7A"/>
    <w:rsid w:val="00835D2D"/>
    <w:rsid w:val="00835E1F"/>
    <w:rsid w:val="00835EDE"/>
    <w:rsid w:val="008361B0"/>
    <w:rsid w:val="00836389"/>
    <w:rsid w:val="00836473"/>
    <w:rsid w:val="008364CC"/>
    <w:rsid w:val="008366D5"/>
    <w:rsid w:val="00836711"/>
    <w:rsid w:val="00836718"/>
    <w:rsid w:val="0083673B"/>
    <w:rsid w:val="00836A55"/>
    <w:rsid w:val="00836BF5"/>
    <w:rsid w:val="00836CE4"/>
    <w:rsid w:val="00836E49"/>
    <w:rsid w:val="00836E9F"/>
    <w:rsid w:val="00836F79"/>
    <w:rsid w:val="0083729A"/>
    <w:rsid w:val="00837357"/>
    <w:rsid w:val="00837380"/>
    <w:rsid w:val="0083743F"/>
    <w:rsid w:val="008374C4"/>
    <w:rsid w:val="00837581"/>
    <w:rsid w:val="00837663"/>
    <w:rsid w:val="00837748"/>
    <w:rsid w:val="0083780A"/>
    <w:rsid w:val="00837820"/>
    <w:rsid w:val="0083797D"/>
    <w:rsid w:val="00837A72"/>
    <w:rsid w:val="00837B14"/>
    <w:rsid w:val="00837C24"/>
    <w:rsid w:val="00837DF4"/>
    <w:rsid w:val="00837E02"/>
    <w:rsid w:val="00837EA3"/>
    <w:rsid w:val="0084001A"/>
    <w:rsid w:val="008400C0"/>
    <w:rsid w:val="00840327"/>
    <w:rsid w:val="008404B9"/>
    <w:rsid w:val="008404C1"/>
    <w:rsid w:val="008404D7"/>
    <w:rsid w:val="0084055E"/>
    <w:rsid w:val="00840578"/>
    <w:rsid w:val="00840751"/>
    <w:rsid w:val="0084075C"/>
    <w:rsid w:val="00840783"/>
    <w:rsid w:val="008407D5"/>
    <w:rsid w:val="00840871"/>
    <w:rsid w:val="008408F1"/>
    <w:rsid w:val="00840AE4"/>
    <w:rsid w:val="00840ED3"/>
    <w:rsid w:val="00840FB2"/>
    <w:rsid w:val="00841014"/>
    <w:rsid w:val="00841177"/>
    <w:rsid w:val="00841201"/>
    <w:rsid w:val="0084120F"/>
    <w:rsid w:val="0084123C"/>
    <w:rsid w:val="008413B4"/>
    <w:rsid w:val="00841423"/>
    <w:rsid w:val="00841435"/>
    <w:rsid w:val="00841648"/>
    <w:rsid w:val="00841725"/>
    <w:rsid w:val="008417F4"/>
    <w:rsid w:val="008418ED"/>
    <w:rsid w:val="008418F4"/>
    <w:rsid w:val="008418F5"/>
    <w:rsid w:val="00841939"/>
    <w:rsid w:val="00841975"/>
    <w:rsid w:val="00841984"/>
    <w:rsid w:val="00841CE5"/>
    <w:rsid w:val="00841F17"/>
    <w:rsid w:val="00841F60"/>
    <w:rsid w:val="008420E8"/>
    <w:rsid w:val="008420F2"/>
    <w:rsid w:val="00842111"/>
    <w:rsid w:val="0084218D"/>
    <w:rsid w:val="0084222E"/>
    <w:rsid w:val="00842319"/>
    <w:rsid w:val="00842341"/>
    <w:rsid w:val="0084236D"/>
    <w:rsid w:val="0084242E"/>
    <w:rsid w:val="0084244A"/>
    <w:rsid w:val="00842492"/>
    <w:rsid w:val="008424AD"/>
    <w:rsid w:val="008424C8"/>
    <w:rsid w:val="008424C9"/>
    <w:rsid w:val="008426BA"/>
    <w:rsid w:val="008426D9"/>
    <w:rsid w:val="008426F1"/>
    <w:rsid w:val="00842818"/>
    <w:rsid w:val="00842857"/>
    <w:rsid w:val="00842888"/>
    <w:rsid w:val="008429EA"/>
    <w:rsid w:val="00842A5C"/>
    <w:rsid w:val="00842AA3"/>
    <w:rsid w:val="00842DB3"/>
    <w:rsid w:val="00842E95"/>
    <w:rsid w:val="00842FB8"/>
    <w:rsid w:val="00843249"/>
    <w:rsid w:val="0084338F"/>
    <w:rsid w:val="0084343F"/>
    <w:rsid w:val="00843440"/>
    <w:rsid w:val="008435E5"/>
    <w:rsid w:val="008436E1"/>
    <w:rsid w:val="00843876"/>
    <w:rsid w:val="008438F6"/>
    <w:rsid w:val="008439C2"/>
    <w:rsid w:val="00843A7C"/>
    <w:rsid w:val="00843C1D"/>
    <w:rsid w:val="00843CBF"/>
    <w:rsid w:val="00843E40"/>
    <w:rsid w:val="00843F7F"/>
    <w:rsid w:val="008441F2"/>
    <w:rsid w:val="0084421C"/>
    <w:rsid w:val="0084429C"/>
    <w:rsid w:val="008443AE"/>
    <w:rsid w:val="0084457D"/>
    <w:rsid w:val="00844713"/>
    <w:rsid w:val="00844731"/>
    <w:rsid w:val="00844782"/>
    <w:rsid w:val="0084491B"/>
    <w:rsid w:val="00844957"/>
    <w:rsid w:val="00844B60"/>
    <w:rsid w:val="00844BDA"/>
    <w:rsid w:val="00844C41"/>
    <w:rsid w:val="00844E8D"/>
    <w:rsid w:val="00845009"/>
    <w:rsid w:val="00845124"/>
    <w:rsid w:val="008451F0"/>
    <w:rsid w:val="0084575B"/>
    <w:rsid w:val="0084579C"/>
    <w:rsid w:val="008459A8"/>
    <w:rsid w:val="008459B4"/>
    <w:rsid w:val="00845BFA"/>
    <w:rsid w:val="00845E22"/>
    <w:rsid w:val="00845FCC"/>
    <w:rsid w:val="0084610E"/>
    <w:rsid w:val="00846134"/>
    <w:rsid w:val="008461F8"/>
    <w:rsid w:val="00846224"/>
    <w:rsid w:val="008463C5"/>
    <w:rsid w:val="0084646D"/>
    <w:rsid w:val="008465FE"/>
    <w:rsid w:val="008466CC"/>
    <w:rsid w:val="008467F1"/>
    <w:rsid w:val="008468B4"/>
    <w:rsid w:val="00846973"/>
    <w:rsid w:val="008469B3"/>
    <w:rsid w:val="00846AA3"/>
    <w:rsid w:val="00846BFD"/>
    <w:rsid w:val="00846C2D"/>
    <w:rsid w:val="00846D7F"/>
    <w:rsid w:val="00846D8C"/>
    <w:rsid w:val="00846DE1"/>
    <w:rsid w:val="00846DEF"/>
    <w:rsid w:val="00846E04"/>
    <w:rsid w:val="00846F4F"/>
    <w:rsid w:val="008470F5"/>
    <w:rsid w:val="00847146"/>
    <w:rsid w:val="008471B4"/>
    <w:rsid w:val="00847224"/>
    <w:rsid w:val="008473E3"/>
    <w:rsid w:val="00847406"/>
    <w:rsid w:val="00847454"/>
    <w:rsid w:val="0084745E"/>
    <w:rsid w:val="008474FB"/>
    <w:rsid w:val="00847516"/>
    <w:rsid w:val="0084758F"/>
    <w:rsid w:val="008478BC"/>
    <w:rsid w:val="008479AC"/>
    <w:rsid w:val="00847B83"/>
    <w:rsid w:val="00847DD2"/>
    <w:rsid w:val="00847E44"/>
    <w:rsid w:val="00850105"/>
    <w:rsid w:val="00850130"/>
    <w:rsid w:val="00850569"/>
    <w:rsid w:val="00850572"/>
    <w:rsid w:val="0085060E"/>
    <w:rsid w:val="0085072D"/>
    <w:rsid w:val="008507EC"/>
    <w:rsid w:val="00850AFA"/>
    <w:rsid w:val="00850C93"/>
    <w:rsid w:val="00850D68"/>
    <w:rsid w:val="00850F10"/>
    <w:rsid w:val="00850FBB"/>
    <w:rsid w:val="008511A0"/>
    <w:rsid w:val="00851293"/>
    <w:rsid w:val="008512D4"/>
    <w:rsid w:val="00851369"/>
    <w:rsid w:val="00851428"/>
    <w:rsid w:val="0085142C"/>
    <w:rsid w:val="008514E7"/>
    <w:rsid w:val="00851549"/>
    <w:rsid w:val="0085160F"/>
    <w:rsid w:val="0085162B"/>
    <w:rsid w:val="008516E5"/>
    <w:rsid w:val="0085172F"/>
    <w:rsid w:val="008517D3"/>
    <w:rsid w:val="008518D8"/>
    <w:rsid w:val="00851975"/>
    <w:rsid w:val="00851A38"/>
    <w:rsid w:val="00851ADC"/>
    <w:rsid w:val="00851DCA"/>
    <w:rsid w:val="00851E6F"/>
    <w:rsid w:val="00851F20"/>
    <w:rsid w:val="008520CD"/>
    <w:rsid w:val="008521AB"/>
    <w:rsid w:val="0085221A"/>
    <w:rsid w:val="0085222D"/>
    <w:rsid w:val="0085236D"/>
    <w:rsid w:val="008523F2"/>
    <w:rsid w:val="00852487"/>
    <w:rsid w:val="0085251C"/>
    <w:rsid w:val="008525AE"/>
    <w:rsid w:val="008525E8"/>
    <w:rsid w:val="008525F4"/>
    <w:rsid w:val="008526A1"/>
    <w:rsid w:val="00852700"/>
    <w:rsid w:val="00852738"/>
    <w:rsid w:val="008527C5"/>
    <w:rsid w:val="00852816"/>
    <w:rsid w:val="008529C7"/>
    <w:rsid w:val="008529CD"/>
    <w:rsid w:val="00852A55"/>
    <w:rsid w:val="00852AF4"/>
    <w:rsid w:val="00852B0C"/>
    <w:rsid w:val="00852C27"/>
    <w:rsid w:val="00852DAA"/>
    <w:rsid w:val="00852DBC"/>
    <w:rsid w:val="00852DD7"/>
    <w:rsid w:val="00852F55"/>
    <w:rsid w:val="00852F59"/>
    <w:rsid w:val="0085300E"/>
    <w:rsid w:val="008530F3"/>
    <w:rsid w:val="008531A7"/>
    <w:rsid w:val="0085330E"/>
    <w:rsid w:val="00853611"/>
    <w:rsid w:val="008536C4"/>
    <w:rsid w:val="0085378A"/>
    <w:rsid w:val="00853855"/>
    <w:rsid w:val="0085398F"/>
    <w:rsid w:val="008539BE"/>
    <w:rsid w:val="008539E1"/>
    <w:rsid w:val="008539EF"/>
    <w:rsid w:val="00853A04"/>
    <w:rsid w:val="00853A26"/>
    <w:rsid w:val="00853A39"/>
    <w:rsid w:val="00853AF8"/>
    <w:rsid w:val="00853D25"/>
    <w:rsid w:val="00853D68"/>
    <w:rsid w:val="00853E30"/>
    <w:rsid w:val="00853E74"/>
    <w:rsid w:val="00853EE0"/>
    <w:rsid w:val="00854157"/>
    <w:rsid w:val="0085430B"/>
    <w:rsid w:val="00854340"/>
    <w:rsid w:val="008543B2"/>
    <w:rsid w:val="008544B8"/>
    <w:rsid w:val="00854908"/>
    <w:rsid w:val="00854964"/>
    <w:rsid w:val="00854C54"/>
    <w:rsid w:val="00854CBB"/>
    <w:rsid w:val="00854CE2"/>
    <w:rsid w:val="00854D21"/>
    <w:rsid w:val="00854E83"/>
    <w:rsid w:val="00854E97"/>
    <w:rsid w:val="0085514C"/>
    <w:rsid w:val="008551B4"/>
    <w:rsid w:val="0085534E"/>
    <w:rsid w:val="00855376"/>
    <w:rsid w:val="0085539D"/>
    <w:rsid w:val="008553B7"/>
    <w:rsid w:val="008555AC"/>
    <w:rsid w:val="008556C3"/>
    <w:rsid w:val="00855795"/>
    <w:rsid w:val="0085582D"/>
    <w:rsid w:val="00855859"/>
    <w:rsid w:val="008558F5"/>
    <w:rsid w:val="0085590E"/>
    <w:rsid w:val="0085597E"/>
    <w:rsid w:val="00855B00"/>
    <w:rsid w:val="00855B05"/>
    <w:rsid w:val="00855E2C"/>
    <w:rsid w:val="00855EC0"/>
    <w:rsid w:val="00855F22"/>
    <w:rsid w:val="0085609B"/>
    <w:rsid w:val="0085615D"/>
    <w:rsid w:val="008561FE"/>
    <w:rsid w:val="0085626D"/>
    <w:rsid w:val="008562AD"/>
    <w:rsid w:val="00856334"/>
    <w:rsid w:val="0085640A"/>
    <w:rsid w:val="00856492"/>
    <w:rsid w:val="00856523"/>
    <w:rsid w:val="008565EF"/>
    <w:rsid w:val="00856686"/>
    <w:rsid w:val="008566A7"/>
    <w:rsid w:val="00856781"/>
    <w:rsid w:val="008568A0"/>
    <w:rsid w:val="0085692E"/>
    <w:rsid w:val="008569CC"/>
    <w:rsid w:val="00856AC0"/>
    <w:rsid w:val="00856BD1"/>
    <w:rsid w:val="00856C0E"/>
    <w:rsid w:val="00856E3B"/>
    <w:rsid w:val="00856E81"/>
    <w:rsid w:val="00857149"/>
    <w:rsid w:val="008571B7"/>
    <w:rsid w:val="00857257"/>
    <w:rsid w:val="0085728A"/>
    <w:rsid w:val="008573CE"/>
    <w:rsid w:val="00857574"/>
    <w:rsid w:val="008575F1"/>
    <w:rsid w:val="0085778D"/>
    <w:rsid w:val="008578C6"/>
    <w:rsid w:val="00857969"/>
    <w:rsid w:val="00857C4C"/>
    <w:rsid w:val="00857C81"/>
    <w:rsid w:val="00857CB6"/>
    <w:rsid w:val="00857CD4"/>
    <w:rsid w:val="00857D21"/>
    <w:rsid w:val="00857D69"/>
    <w:rsid w:val="00857DFE"/>
    <w:rsid w:val="00857F0F"/>
    <w:rsid w:val="00857F6A"/>
    <w:rsid w:val="008601BB"/>
    <w:rsid w:val="0086024C"/>
    <w:rsid w:val="00860286"/>
    <w:rsid w:val="00860448"/>
    <w:rsid w:val="00860565"/>
    <w:rsid w:val="008605CB"/>
    <w:rsid w:val="008605D1"/>
    <w:rsid w:val="0086072A"/>
    <w:rsid w:val="0086078F"/>
    <w:rsid w:val="00860945"/>
    <w:rsid w:val="00860954"/>
    <w:rsid w:val="00860A47"/>
    <w:rsid w:val="00860A52"/>
    <w:rsid w:val="00860A57"/>
    <w:rsid w:val="00860AA3"/>
    <w:rsid w:val="00860ADE"/>
    <w:rsid w:val="00860AE0"/>
    <w:rsid w:val="00860B2B"/>
    <w:rsid w:val="00860B62"/>
    <w:rsid w:val="00860BB5"/>
    <w:rsid w:val="00860DC0"/>
    <w:rsid w:val="00860EBE"/>
    <w:rsid w:val="00860EC5"/>
    <w:rsid w:val="00860FB0"/>
    <w:rsid w:val="00860FE9"/>
    <w:rsid w:val="00861227"/>
    <w:rsid w:val="00861397"/>
    <w:rsid w:val="008613BE"/>
    <w:rsid w:val="00861443"/>
    <w:rsid w:val="008614F0"/>
    <w:rsid w:val="008615B9"/>
    <w:rsid w:val="0086167D"/>
    <w:rsid w:val="00861734"/>
    <w:rsid w:val="00861743"/>
    <w:rsid w:val="00861821"/>
    <w:rsid w:val="0086183F"/>
    <w:rsid w:val="008618BD"/>
    <w:rsid w:val="008619D1"/>
    <w:rsid w:val="00861A5D"/>
    <w:rsid w:val="00861DA9"/>
    <w:rsid w:val="00861EA1"/>
    <w:rsid w:val="00861F8B"/>
    <w:rsid w:val="00861F9D"/>
    <w:rsid w:val="00861FAC"/>
    <w:rsid w:val="00862443"/>
    <w:rsid w:val="008624CD"/>
    <w:rsid w:val="00862759"/>
    <w:rsid w:val="00862782"/>
    <w:rsid w:val="00862796"/>
    <w:rsid w:val="0086297A"/>
    <w:rsid w:val="00862993"/>
    <w:rsid w:val="008629C2"/>
    <w:rsid w:val="008629F2"/>
    <w:rsid w:val="00862B1B"/>
    <w:rsid w:val="00862C54"/>
    <w:rsid w:val="00862CF3"/>
    <w:rsid w:val="00862DD8"/>
    <w:rsid w:val="00862ED5"/>
    <w:rsid w:val="00862EE6"/>
    <w:rsid w:val="00862F70"/>
    <w:rsid w:val="0086304E"/>
    <w:rsid w:val="008630A9"/>
    <w:rsid w:val="008630D4"/>
    <w:rsid w:val="00863506"/>
    <w:rsid w:val="008635BE"/>
    <w:rsid w:val="008635D7"/>
    <w:rsid w:val="008637F4"/>
    <w:rsid w:val="0086391F"/>
    <w:rsid w:val="00863B4E"/>
    <w:rsid w:val="00863BE3"/>
    <w:rsid w:val="00863D71"/>
    <w:rsid w:val="00863F40"/>
    <w:rsid w:val="00863FEF"/>
    <w:rsid w:val="00864053"/>
    <w:rsid w:val="00864118"/>
    <w:rsid w:val="0086413E"/>
    <w:rsid w:val="0086414D"/>
    <w:rsid w:val="00864274"/>
    <w:rsid w:val="0086436E"/>
    <w:rsid w:val="0086443B"/>
    <w:rsid w:val="00864457"/>
    <w:rsid w:val="008644EA"/>
    <w:rsid w:val="0086478E"/>
    <w:rsid w:val="008648CD"/>
    <w:rsid w:val="00864A3A"/>
    <w:rsid w:val="00864A50"/>
    <w:rsid w:val="00864A63"/>
    <w:rsid w:val="00864ACF"/>
    <w:rsid w:val="00864BBA"/>
    <w:rsid w:val="00864CEF"/>
    <w:rsid w:val="00864DB4"/>
    <w:rsid w:val="00864DE9"/>
    <w:rsid w:val="00864F10"/>
    <w:rsid w:val="00864F5E"/>
    <w:rsid w:val="00864FB5"/>
    <w:rsid w:val="00865014"/>
    <w:rsid w:val="008650B3"/>
    <w:rsid w:val="0086518B"/>
    <w:rsid w:val="00865407"/>
    <w:rsid w:val="0086553E"/>
    <w:rsid w:val="00865543"/>
    <w:rsid w:val="008656B3"/>
    <w:rsid w:val="00865813"/>
    <w:rsid w:val="00865814"/>
    <w:rsid w:val="008659E5"/>
    <w:rsid w:val="00865A09"/>
    <w:rsid w:val="00865A50"/>
    <w:rsid w:val="00865B0B"/>
    <w:rsid w:val="00865B8B"/>
    <w:rsid w:val="00865B9C"/>
    <w:rsid w:val="00865CB7"/>
    <w:rsid w:val="00865E95"/>
    <w:rsid w:val="00865EC8"/>
    <w:rsid w:val="00865EED"/>
    <w:rsid w:val="008660EC"/>
    <w:rsid w:val="0086629A"/>
    <w:rsid w:val="0086629B"/>
    <w:rsid w:val="0086629D"/>
    <w:rsid w:val="008662A6"/>
    <w:rsid w:val="008662E7"/>
    <w:rsid w:val="008662F8"/>
    <w:rsid w:val="0086635F"/>
    <w:rsid w:val="0086668B"/>
    <w:rsid w:val="00866767"/>
    <w:rsid w:val="008667E8"/>
    <w:rsid w:val="00866871"/>
    <w:rsid w:val="008669DC"/>
    <w:rsid w:val="008669E0"/>
    <w:rsid w:val="00866A50"/>
    <w:rsid w:val="00866ADB"/>
    <w:rsid w:val="00866B3C"/>
    <w:rsid w:val="00866D18"/>
    <w:rsid w:val="00866E0C"/>
    <w:rsid w:val="00866EB5"/>
    <w:rsid w:val="00867053"/>
    <w:rsid w:val="008671EF"/>
    <w:rsid w:val="00867224"/>
    <w:rsid w:val="008672E1"/>
    <w:rsid w:val="008673F3"/>
    <w:rsid w:val="00867517"/>
    <w:rsid w:val="008675E9"/>
    <w:rsid w:val="00867666"/>
    <w:rsid w:val="008677D1"/>
    <w:rsid w:val="00867839"/>
    <w:rsid w:val="0086785F"/>
    <w:rsid w:val="00867926"/>
    <w:rsid w:val="0086795C"/>
    <w:rsid w:val="00867A0A"/>
    <w:rsid w:val="00867A38"/>
    <w:rsid w:val="00867A5F"/>
    <w:rsid w:val="00867C11"/>
    <w:rsid w:val="00867D21"/>
    <w:rsid w:val="00867E10"/>
    <w:rsid w:val="00867E1F"/>
    <w:rsid w:val="00867E3D"/>
    <w:rsid w:val="00867ED2"/>
    <w:rsid w:val="00867FC0"/>
    <w:rsid w:val="0087013B"/>
    <w:rsid w:val="0087017B"/>
    <w:rsid w:val="008701A1"/>
    <w:rsid w:val="008701E3"/>
    <w:rsid w:val="00870212"/>
    <w:rsid w:val="0087025E"/>
    <w:rsid w:val="00870385"/>
    <w:rsid w:val="008704AD"/>
    <w:rsid w:val="00870647"/>
    <w:rsid w:val="00870692"/>
    <w:rsid w:val="0087075F"/>
    <w:rsid w:val="00870788"/>
    <w:rsid w:val="008708B7"/>
    <w:rsid w:val="008708FA"/>
    <w:rsid w:val="0087097D"/>
    <w:rsid w:val="0087099A"/>
    <w:rsid w:val="00870AAC"/>
    <w:rsid w:val="00870BAE"/>
    <w:rsid w:val="00870C73"/>
    <w:rsid w:val="00870D19"/>
    <w:rsid w:val="00870D2D"/>
    <w:rsid w:val="00870DF6"/>
    <w:rsid w:val="00870DF9"/>
    <w:rsid w:val="00870EBE"/>
    <w:rsid w:val="00870EF8"/>
    <w:rsid w:val="0087114A"/>
    <w:rsid w:val="008712D4"/>
    <w:rsid w:val="00871455"/>
    <w:rsid w:val="00871490"/>
    <w:rsid w:val="008715F1"/>
    <w:rsid w:val="008716A5"/>
    <w:rsid w:val="008716A8"/>
    <w:rsid w:val="0087177F"/>
    <w:rsid w:val="008718D6"/>
    <w:rsid w:val="00871AA5"/>
    <w:rsid w:val="00871B61"/>
    <w:rsid w:val="00871C65"/>
    <w:rsid w:val="00871CB6"/>
    <w:rsid w:val="00871DCF"/>
    <w:rsid w:val="00871E3A"/>
    <w:rsid w:val="00871E58"/>
    <w:rsid w:val="00871EEA"/>
    <w:rsid w:val="00871EF9"/>
    <w:rsid w:val="00871F61"/>
    <w:rsid w:val="008720AA"/>
    <w:rsid w:val="00872321"/>
    <w:rsid w:val="008723A4"/>
    <w:rsid w:val="008723F3"/>
    <w:rsid w:val="008724A1"/>
    <w:rsid w:val="00872792"/>
    <w:rsid w:val="00872A6D"/>
    <w:rsid w:val="00872A96"/>
    <w:rsid w:val="00872B52"/>
    <w:rsid w:val="00872BD5"/>
    <w:rsid w:val="00872BF7"/>
    <w:rsid w:val="00872C6C"/>
    <w:rsid w:val="00872ED6"/>
    <w:rsid w:val="00872F54"/>
    <w:rsid w:val="00872F92"/>
    <w:rsid w:val="008730B1"/>
    <w:rsid w:val="0087325B"/>
    <w:rsid w:val="008733F7"/>
    <w:rsid w:val="008734F9"/>
    <w:rsid w:val="0087361F"/>
    <w:rsid w:val="0087382C"/>
    <w:rsid w:val="00873855"/>
    <w:rsid w:val="0087392B"/>
    <w:rsid w:val="0087396B"/>
    <w:rsid w:val="00873B37"/>
    <w:rsid w:val="00873B82"/>
    <w:rsid w:val="00873BBD"/>
    <w:rsid w:val="00873BFD"/>
    <w:rsid w:val="00873C53"/>
    <w:rsid w:val="00873D5A"/>
    <w:rsid w:val="00873DCE"/>
    <w:rsid w:val="00873E17"/>
    <w:rsid w:val="00873E53"/>
    <w:rsid w:val="00873E69"/>
    <w:rsid w:val="00873EFF"/>
    <w:rsid w:val="00873F18"/>
    <w:rsid w:val="00874013"/>
    <w:rsid w:val="008740C0"/>
    <w:rsid w:val="00874265"/>
    <w:rsid w:val="008742EB"/>
    <w:rsid w:val="00874325"/>
    <w:rsid w:val="0087435A"/>
    <w:rsid w:val="00874398"/>
    <w:rsid w:val="00874408"/>
    <w:rsid w:val="008744CE"/>
    <w:rsid w:val="00874528"/>
    <w:rsid w:val="0087464C"/>
    <w:rsid w:val="0087468D"/>
    <w:rsid w:val="00874690"/>
    <w:rsid w:val="008746C5"/>
    <w:rsid w:val="00874745"/>
    <w:rsid w:val="008747F3"/>
    <w:rsid w:val="00874816"/>
    <w:rsid w:val="008748BC"/>
    <w:rsid w:val="00874908"/>
    <w:rsid w:val="00874919"/>
    <w:rsid w:val="00874A05"/>
    <w:rsid w:val="00874A3E"/>
    <w:rsid w:val="00874C9B"/>
    <w:rsid w:val="00874CF3"/>
    <w:rsid w:val="00874D27"/>
    <w:rsid w:val="00874D70"/>
    <w:rsid w:val="00874D9A"/>
    <w:rsid w:val="00874ECD"/>
    <w:rsid w:val="00875089"/>
    <w:rsid w:val="008754FF"/>
    <w:rsid w:val="00875587"/>
    <w:rsid w:val="008755C9"/>
    <w:rsid w:val="00875714"/>
    <w:rsid w:val="00875791"/>
    <w:rsid w:val="008757FC"/>
    <w:rsid w:val="00875851"/>
    <w:rsid w:val="0087586D"/>
    <w:rsid w:val="0087587D"/>
    <w:rsid w:val="00875D17"/>
    <w:rsid w:val="00876026"/>
    <w:rsid w:val="008761F0"/>
    <w:rsid w:val="0087633B"/>
    <w:rsid w:val="0087644E"/>
    <w:rsid w:val="008764B3"/>
    <w:rsid w:val="008766B7"/>
    <w:rsid w:val="00876735"/>
    <w:rsid w:val="0087682D"/>
    <w:rsid w:val="00876AA7"/>
    <w:rsid w:val="00876B47"/>
    <w:rsid w:val="00876BE2"/>
    <w:rsid w:val="00876C25"/>
    <w:rsid w:val="00876DF8"/>
    <w:rsid w:val="00876DFC"/>
    <w:rsid w:val="00876E81"/>
    <w:rsid w:val="00876E94"/>
    <w:rsid w:val="00876EC2"/>
    <w:rsid w:val="00876F87"/>
    <w:rsid w:val="0087701E"/>
    <w:rsid w:val="00877045"/>
    <w:rsid w:val="00877159"/>
    <w:rsid w:val="008771C3"/>
    <w:rsid w:val="008771DF"/>
    <w:rsid w:val="00877227"/>
    <w:rsid w:val="00877240"/>
    <w:rsid w:val="008772D0"/>
    <w:rsid w:val="008773A1"/>
    <w:rsid w:val="0087751F"/>
    <w:rsid w:val="008775F9"/>
    <w:rsid w:val="008776E8"/>
    <w:rsid w:val="00877814"/>
    <w:rsid w:val="008778ED"/>
    <w:rsid w:val="008779E8"/>
    <w:rsid w:val="00877AE2"/>
    <w:rsid w:val="00877AEA"/>
    <w:rsid w:val="00877B78"/>
    <w:rsid w:val="00877BC8"/>
    <w:rsid w:val="00877C14"/>
    <w:rsid w:val="00877C7C"/>
    <w:rsid w:val="00877CC4"/>
    <w:rsid w:val="00877D5C"/>
    <w:rsid w:val="00880068"/>
    <w:rsid w:val="008800E4"/>
    <w:rsid w:val="0088011D"/>
    <w:rsid w:val="008801FA"/>
    <w:rsid w:val="008802C0"/>
    <w:rsid w:val="00880422"/>
    <w:rsid w:val="008806C4"/>
    <w:rsid w:val="008808AE"/>
    <w:rsid w:val="008808DC"/>
    <w:rsid w:val="00880A09"/>
    <w:rsid w:val="00880C24"/>
    <w:rsid w:val="00880CB6"/>
    <w:rsid w:val="00880D3F"/>
    <w:rsid w:val="00880D84"/>
    <w:rsid w:val="00880DC3"/>
    <w:rsid w:val="00880DC7"/>
    <w:rsid w:val="00880DD3"/>
    <w:rsid w:val="00880DEF"/>
    <w:rsid w:val="00880E48"/>
    <w:rsid w:val="00880E64"/>
    <w:rsid w:val="00880F9F"/>
    <w:rsid w:val="00881048"/>
    <w:rsid w:val="00881214"/>
    <w:rsid w:val="00881288"/>
    <w:rsid w:val="008812CD"/>
    <w:rsid w:val="00881305"/>
    <w:rsid w:val="0088131A"/>
    <w:rsid w:val="0088133E"/>
    <w:rsid w:val="00881412"/>
    <w:rsid w:val="0088154F"/>
    <w:rsid w:val="008815D6"/>
    <w:rsid w:val="00881656"/>
    <w:rsid w:val="008816C8"/>
    <w:rsid w:val="008817CA"/>
    <w:rsid w:val="00881833"/>
    <w:rsid w:val="00881890"/>
    <w:rsid w:val="008818BE"/>
    <w:rsid w:val="00881AD9"/>
    <w:rsid w:val="00881BA7"/>
    <w:rsid w:val="00881BC1"/>
    <w:rsid w:val="00881E77"/>
    <w:rsid w:val="00881EB8"/>
    <w:rsid w:val="00881F28"/>
    <w:rsid w:val="00881F2F"/>
    <w:rsid w:val="00882163"/>
    <w:rsid w:val="008821CC"/>
    <w:rsid w:val="008822A0"/>
    <w:rsid w:val="00882523"/>
    <w:rsid w:val="00882612"/>
    <w:rsid w:val="00882A6C"/>
    <w:rsid w:val="00882B16"/>
    <w:rsid w:val="00882B66"/>
    <w:rsid w:val="00882C54"/>
    <w:rsid w:val="00882CC4"/>
    <w:rsid w:val="00882D02"/>
    <w:rsid w:val="00882D2F"/>
    <w:rsid w:val="00882E59"/>
    <w:rsid w:val="00882E5F"/>
    <w:rsid w:val="00882F0F"/>
    <w:rsid w:val="00882FD2"/>
    <w:rsid w:val="00882FE7"/>
    <w:rsid w:val="00883086"/>
    <w:rsid w:val="008830D1"/>
    <w:rsid w:val="008830DF"/>
    <w:rsid w:val="00883129"/>
    <w:rsid w:val="008834EB"/>
    <w:rsid w:val="008835A4"/>
    <w:rsid w:val="00883694"/>
    <w:rsid w:val="00883748"/>
    <w:rsid w:val="00883775"/>
    <w:rsid w:val="0088394A"/>
    <w:rsid w:val="008839A0"/>
    <w:rsid w:val="00883A4F"/>
    <w:rsid w:val="00883B8D"/>
    <w:rsid w:val="00883BD5"/>
    <w:rsid w:val="00883C82"/>
    <w:rsid w:val="00883CE8"/>
    <w:rsid w:val="00883EE2"/>
    <w:rsid w:val="00883FD0"/>
    <w:rsid w:val="008840FF"/>
    <w:rsid w:val="00884146"/>
    <w:rsid w:val="008844AC"/>
    <w:rsid w:val="0088472F"/>
    <w:rsid w:val="0088479B"/>
    <w:rsid w:val="00884857"/>
    <w:rsid w:val="00884A03"/>
    <w:rsid w:val="00884BCA"/>
    <w:rsid w:val="00884C2B"/>
    <w:rsid w:val="00884E90"/>
    <w:rsid w:val="00884EED"/>
    <w:rsid w:val="00884EFE"/>
    <w:rsid w:val="00885036"/>
    <w:rsid w:val="00885105"/>
    <w:rsid w:val="0088516F"/>
    <w:rsid w:val="008852F6"/>
    <w:rsid w:val="008853AE"/>
    <w:rsid w:val="00885433"/>
    <w:rsid w:val="00885511"/>
    <w:rsid w:val="00885643"/>
    <w:rsid w:val="00885742"/>
    <w:rsid w:val="0088597E"/>
    <w:rsid w:val="008859C7"/>
    <w:rsid w:val="00885A20"/>
    <w:rsid w:val="00885B48"/>
    <w:rsid w:val="00885B5E"/>
    <w:rsid w:val="00885B6E"/>
    <w:rsid w:val="00885BAF"/>
    <w:rsid w:val="00885C56"/>
    <w:rsid w:val="00885D75"/>
    <w:rsid w:val="00885DB0"/>
    <w:rsid w:val="00885E41"/>
    <w:rsid w:val="00885F6F"/>
    <w:rsid w:val="00885FA9"/>
    <w:rsid w:val="00886084"/>
    <w:rsid w:val="00886222"/>
    <w:rsid w:val="008863A3"/>
    <w:rsid w:val="00886454"/>
    <w:rsid w:val="0088645E"/>
    <w:rsid w:val="0088661E"/>
    <w:rsid w:val="00886649"/>
    <w:rsid w:val="0088675A"/>
    <w:rsid w:val="0088679C"/>
    <w:rsid w:val="00886808"/>
    <w:rsid w:val="00886949"/>
    <w:rsid w:val="00886958"/>
    <w:rsid w:val="008869AE"/>
    <w:rsid w:val="00886CA1"/>
    <w:rsid w:val="00886CA7"/>
    <w:rsid w:val="00886D79"/>
    <w:rsid w:val="00886DB5"/>
    <w:rsid w:val="00886E87"/>
    <w:rsid w:val="00886EF7"/>
    <w:rsid w:val="00887106"/>
    <w:rsid w:val="00887131"/>
    <w:rsid w:val="008872C2"/>
    <w:rsid w:val="00887312"/>
    <w:rsid w:val="00887415"/>
    <w:rsid w:val="008874A7"/>
    <w:rsid w:val="008874FB"/>
    <w:rsid w:val="0088751D"/>
    <w:rsid w:val="00887537"/>
    <w:rsid w:val="00887886"/>
    <w:rsid w:val="008878E3"/>
    <w:rsid w:val="00887A3D"/>
    <w:rsid w:val="00887CE6"/>
    <w:rsid w:val="00887DE6"/>
    <w:rsid w:val="00887ED7"/>
    <w:rsid w:val="00887FDF"/>
    <w:rsid w:val="00890066"/>
    <w:rsid w:val="00890068"/>
    <w:rsid w:val="00890151"/>
    <w:rsid w:val="0089015C"/>
    <w:rsid w:val="008902BC"/>
    <w:rsid w:val="00890338"/>
    <w:rsid w:val="0089034B"/>
    <w:rsid w:val="008903AE"/>
    <w:rsid w:val="008904BF"/>
    <w:rsid w:val="008905FB"/>
    <w:rsid w:val="008906B0"/>
    <w:rsid w:val="00890748"/>
    <w:rsid w:val="008907E0"/>
    <w:rsid w:val="008907E7"/>
    <w:rsid w:val="008909E2"/>
    <w:rsid w:val="00890C63"/>
    <w:rsid w:val="00890C94"/>
    <w:rsid w:val="00890CCF"/>
    <w:rsid w:val="00890D29"/>
    <w:rsid w:val="00890E28"/>
    <w:rsid w:val="00890EDA"/>
    <w:rsid w:val="00890FDF"/>
    <w:rsid w:val="00891003"/>
    <w:rsid w:val="00891045"/>
    <w:rsid w:val="008910BB"/>
    <w:rsid w:val="008910FD"/>
    <w:rsid w:val="00891117"/>
    <w:rsid w:val="0089126C"/>
    <w:rsid w:val="008912AB"/>
    <w:rsid w:val="008913EF"/>
    <w:rsid w:val="00891479"/>
    <w:rsid w:val="008918D7"/>
    <w:rsid w:val="00891A44"/>
    <w:rsid w:val="00891A4D"/>
    <w:rsid w:val="00891B09"/>
    <w:rsid w:val="00891C3A"/>
    <w:rsid w:val="00891F75"/>
    <w:rsid w:val="00891FC8"/>
    <w:rsid w:val="00892021"/>
    <w:rsid w:val="0089207E"/>
    <w:rsid w:val="008920A7"/>
    <w:rsid w:val="0089223C"/>
    <w:rsid w:val="00892259"/>
    <w:rsid w:val="00892446"/>
    <w:rsid w:val="0089244D"/>
    <w:rsid w:val="008924AD"/>
    <w:rsid w:val="00892534"/>
    <w:rsid w:val="008925F8"/>
    <w:rsid w:val="008926A4"/>
    <w:rsid w:val="00892A1B"/>
    <w:rsid w:val="00892BF1"/>
    <w:rsid w:val="00892CC5"/>
    <w:rsid w:val="00892F71"/>
    <w:rsid w:val="00893170"/>
    <w:rsid w:val="008932BA"/>
    <w:rsid w:val="008933E9"/>
    <w:rsid w:val="00893574"/>
    <w:rsid w:val="00893658"/>
    <w:rsid w:val="00893723"/>
    <w:rsid w:val="00893756"/>
    <w:rsid w:val="008937EC"/>
    <w:rsid w:val="00893840"/>
    <w:rsid w:val="0089396E"/>
    <w:rsid w:val="00893AF9"/>
    <w:rsid w:val="00893B08"/>
    <w:rsid w:val="00893B58"/>
    <w:rsid w:val="00893BEF"/>
    <w:rsid w:val="00893C28"/>
    <w:rsid w:val="00893DFB"/>
    <w:rsid w:val="00893E63"/>
    <w:rsid w:val="00893EFC"/>
    <w:rsid w:val="00893F57"/>
    <w:rsid w:val="00893FB0"/>
    <w:rsid w:val="0089414E"/>
    <w:rsid w:val="0089421B"/>
    <w:rsid w:val="00894266"/>
    <w:rsid w:val="0089427A"/>
    <w:rsid w:val="008942EE"/>
    <w:rsid w:val="0089439D"/>
    <w:rsid w:val="0089458C"/>
    <w:rsid w:val="008945A0"/>
    <w:rsid w:val="00894602"/>
    <w:rsid w:val="008946C8"/>
    <w:rsid w:val="008947E8"/>
    <w:rsid w:val="0089483A"/>
    <w:rsid w:val="0089490A"/>
    <w:rsid w:val="00894A12"/>
    <w:rsid w:val="00894B53"/>
    <w:rsid w:val="00894BA7"/>
    <w:rsid w:val="00894CE8"/>
    <w:rsid w:val="00894DB2"/>
    <w:rsid w:val="00894DF5"/>
    <w:rsid w:val="00894ECA"/>
    <w:rsid w:val="00895106"/>
    <w:rsid w:val="008951CA"/>
    <w:rsid w:val="00895224"/>
    <w:rsid w:val="0089532F"/>
    <w:rsid w:val="0089536A"/>
    <w:rsid w:val="008953AE"/>
    <w:rsid w:val="008953F0"/>
    <w:rsid w:val="008954D8"/>
    <w:rsid w:val="00895654"/>
    <w:rsid w:val="008956DD"/>
    <w:rsid w:val="0089582F"/>
    <w:rsid w:val="0089590A"/>
    <w:rsid w:val="00895A4F"/>
    <w:rsid w:val="00895BD5"/>
    <w:rsid w:val="00895BD7"/>
    <w:rsid w:val="00895D48"/>
    <w:rsid w:val="00895D8B"/>
    <w:rsid w:val="00895DB7"/>
    <w:rsid w:val="00895E0F"/>
    <w:rsid w:val="00895EA2"/>
    <w:rsid w:val="00895EAD"/>
    <w:rsid w:val="00895EC7"/>
    <w:rsid w:val="008960BC"/>
    <w:rsid w:val="008961A3"/>
    <w:rsid w:val="008963D5"/>
    <w:rsid w:val="0089659C"/>
    <w:rsid w:val="0089661F"/>
    <w:rsid w:val="0089697B"/>
    <w:rsid w:val="00896A96"/>
    <w:rsid w:val="00896C11"/>
    <w:rsid w:val="00896C46"/>
    <w:rsid w:val="00896CD4"/>
    <w:rsid w:val="00897001"/>
    <w:rsid w:val="008970C5"/>
    <w:rsid w:val="008970CE"/>
    <w:rsid w:val="008970EF"/>
    <w:rsid w:val="00897209"/>
    <w:rsid w:val="00897216"/>
    <w:rsid w:val="00897260"/>
    <w:rsid w:val="00897263"/>
    <w:rsid w:val="00897347"/>
    <w:rsid w:val="0089759E"/>
    <w:rsid w:val="00897738"/>
    <w:rsid w:val="00897772"/>
    <w:rsid w:val="0089777F"/>
    <w:rsid w:val="008978BF"/>
    <w:rsid w:val="008978E0"/>
    <w:rsid w:val="00897959"/>
    <w:rsid w:val="00897A1D"/>
    <w:rsid w:val="00897A86"/>
    <w:rsid w:val="00897AEC"/>
    <w:rsid w:val="00897B1C"/>
    <w:rsid w:val="00897BF0"/>
    <w:rsid w:val="00897BFE"/>
    <w:rsid w:val="00897EB1"/>
    <w:rsid w:val="00897F46"/>
    <w:rsid w:val="008A0112"/>
    <w:rsid w:val="008A0140"/>
    <w:rsid w:val="008A01B2"/>
    <w:rsid w:val="008A0405"/>
    <w:rsid w:val="008A0649"/>
    <w:rsid w:val="008A067B"/>
    <w:rsid w:val="008A095C"/>
    <w:rsid w:val="008A09C0"/>
    <w:rsid w:val="008A0AB0"/>
    <w:rsid w:val="008A0B41"/>
    <w:rsid w:val="008A0C7E"/>
    <w:rsid w:val="008A0D29"/>
    <w:rsid w:val="008A0F0D"/>
    <w:rsid w:val="008A104B"/>
    <w:rsid w:val="008A10C7"/>
    <w:rsid w:val="008A1220"/>
    <w:rsid w:val="008A132A"/>
    <w:rsid w:val="008A162D"/>
    <w:rsid w:val="008A178A"/>
    <w:rsid w:val="008A17FC"/>
    <w:rsid w:val="008A1827"/>
    <w:rsid w:val="008A1866"/>
    <w:rsid w:val="008A1B3F"/>
    <w:rsid w:val="008A1C5D"/>
    <w:rsid w:val="008A1CBA"/>
    <w:rsid w:val="008A1D95"/>
    <w:rsid w:val="008A1D97"/>
    <w:rsid w:val="008A1DCB"/>
    <w:rsid w:val="008A1DEA"/>
    <w:rsid w:val="008A20EE"/>
    <w:rsid w:val="008A22B4"/>
    <w:rsid w:val="008A2484"/>
    <w:rsid w:val="008A24EE"/>
    <w:rsid w:val="008A2644"/>
    <w:rsid w:val="008A2666"/>
    <w:rsid w:val="008A2805"/>
    <w:rsid w:val="008A2A05"/>
    <w:rsid w:val="008A2A5D"/>
    <w:rsid w:val="008A2A6A"/>
    <w:rsid w:val="008A2C7F"/>
    <w:rsid w:val="008A2CBC"/>
    <w:rsid w:val="008A2F51"/>
    <w:rsid w:val="008A2FE8"/>
    <w:rsid w:val="008A3199"/>
    <w:rsid w:val="008A33C7"/>
    <w:rsid w:val="008A3425"/>
    <w:rsid w:val="008A342F"/>
    <w:rsid w:val="008A343E"/>
    <w:rsid w:val="008A349A"/>
    <w:rsid w:val="008A3546"/>
    <w:rsid w:val="008A357D"/>
    <w:rsid w:val="008A35ED"/>
    <w:rsid w:val="008A36C3"/>
    <w:rsid w:val="008A38DC"/>
    <w:rsid w:val="008A3BB8"/>
    <w:rsid w:val="008A3BE1"/>
    <w:rsid w:val="008A3C42"/>
    <w:rsid w:val="008A3CA1"/>
    <w:rsid w:val="008A3D3B"/>
    <w:rsid w:val="008A3D5C"/>
    <w:rsid w:val="008A3D99"/>
    <w:rsid w:val="008A3E9B"/>
    <w:rsid w:val="008A3F12"/>
    <w:rsid w:val="008A3FF7"/>
    <w:rsid w:val="008A40D8"/>
    <w:rsid w:val="008A40F3"/>
    <w:rsid w:val="008A427A"/>
    <w:rsid w:val="008A450E"/>
    <w:rsid w:val="008A456D"/>
    <w:rsid w:val="008A4698"/>
    <w:rsid w:val="008A4786"/>
    <w:rsid w:val="008A490A"/>
    <w:rsid w:val="008A49EB"/>
    <w:rsid w:val="008A4AB3"/>
    <w:rsid w:val="008A4C07"/>
    <w:rsid w:val="008A4C44"/>
    <w:rsid w:val="008A4C6E"/>
    <w:rsid w:val="008A4DE3"/>
    <w:rsid w:val="008A4F1C"/>
    <w:rsid w:val="008A5027"/>
    <w:rsid w:val="008A5138"/>
    <w:rsid w:val="008A51FB"/>
    <w:rsid w:val="008A5275"/>
    <w:rsid w:val="008A52CA"/>
    <w:rsid w:val="008A5308"/>
    <w:rsid w:val="008A532C"/>
    <w:rsid w:val="008A5408"/>
    <w:rsid w:val="008A541D"/>
    <w:rsid w:val="008A5434"/>
    <w:rsid w:val="008A5805"/>
    <w:rsid w:val="008A5858"/>
    <w:rsid w:val="008A58B6"/>
    <w:rsid w:val="008A5914"/>
    <w:rsid w:val="008A597B"/>
    <w:rsid w:val="008A59F1"/>
    <w:rsid w:val="008A5AC1"/>
    <w:rsid w:val="008A5B22"/>
    <w:rsid w:val="008A5B29"/>
    <w:rsid w:val="008A5CCE"/>
    <w:rsid w:val="008A5D38"/>
    <w:rsid w:val="008A5EAF"/>
    <w:rsid w:val="008A5EC4"/>
    <w:rsid w:val="008A5F7F"/>
    <w:rsid w:val="008A6038"/>
    <w:rsid w:val="008A60AC"/>
    <w:rsid w:val="008A60B0"/>
    <w:rsid w:val="008A61DC"/>
    <w:rsid w:val="008A6201"/>
    <w:rsid w:val="008A62E7"/>
    <w:rsid w:val="008A62F2"/>
    <w:rsid w:val="008A6440"/>
    <w:rsid w:val="008A64B0"/>
    <w:rsid w:val="008A64E4"/>
    <w:rsid w:val="008A6630"/>
    <w:rsid w:val="008A663E"/>
    <w:rsid w:val="008A670D"/>
    <w:rsid w:val="008A67BB"/>
    <w:rsid w:val="008A6835"/>
    <w:rsid w:val="008A6843"/>
    <w:rsid w:val="008A6848"/>
    <w:rsid w:val="008A6920"/>
    <w:rsid w:val="008A6931"/>
    <w:rsid w:val="008A69C9"/>
    <w:rsid w:val="008A6B24"/>
    <w:rsid w:val="008A6B69"/>
    <w:rsid w:val="008A6C6C"/>
    <w:rsid w:val="008A6F05"/>
    <w:rsid w:val="008A6F30"/>
    <w:rsid w:val="008A6F3A"/>
    <w:rsid w:val="008A6F9D"/>
    <w:rsid w:val="008A701D"/>
    <w:rsid w:val="008A7192"/>
    <w:rsid w:val="008A721B"/>
    <w:rsid w:val="008A72B7"/>
    <w:rsid w:val="008A746F"/>
    <w:rsid w:val="008A74F4"/>
    <w:rsid w:val="008A76E0"/>
    <w:rsid w:val="008A7835"/>
    <w:rsid w:val="008A78BD"/>
    <w:rsid w:val="008A7A0B"/>
    <w:rsid w:val="008A7B0E"/>
    <w:rsid w:val="008A7B1E"/>
    <w:rsid w:val="008A7C40"/>
    <w:rsid w:val="008A7C77"/>
    <w:rsid w:val="008A7CBD"/>
    <w:rsid w:val="008A7D46"/>
    <w:rsid w:val="008A7D54"/>
    <w:rsid w:val="008A7F38"/>
    <w:rsid w:val="008B0044"/>
    <w:rsid w:val="008B00C5"/>
    <w:rsid w:val="008B0262"/>
    <w:rsid w:val="008B028A"/>
    <w:rsid w:val="008B03E4"/>
    <w:rsid w:val="008B05AD"/>
    <w:rsid w:val="008B0647"/>
    <w:rsid w:val="008B076C"/>
    <w:rsid w:val="008B0815"/>
    <w:rsid w:val="008B0860"/>
    <w:rsid w:val="008B0C57"/>
    <w:rsid w:val="008B0C78"/>
    <w:rsid w:val="008B0CAF"/>
    <w:rsid w:val="008B0E32"/>
    <w:rsid w:val="008B0E55"/>
    <w:rsid w:val="008B0EB2"/>
    <w:rsid w:val="008B0F66"/>
    <w:rsid w:val="008B0FF6"/>
    <w:rsid w:val="008B1061"/>
    <w:rsid w:val="008B10AB"/>
    <w:rsid w:val="008B1398"/>
    <w:rsid w:val="008B1433"/>
    <w:rsid w:val="008B1571"/>
    <w:rsid w:val="008B15AA"/>
    <w:rsid w:val="008B16DE"/>
    <w:rsid w:val="008B1776"/>
    <w:rsid w:val="008B17E6"/>
    <w:rsid w:val="008B1A11"/>
    <w:rsid w:val="008B1AA6"/>
    <w:rsid w:val="008B1BB5"/>
    <w:rsid w:val="008B1C92"/>
    <w:rsid w:val="008B1F62"/>
    <w:rsid w:val="008B1FFD"/>
    <w:rsid w:val="008B21EC"/>
    <w:rsid w:val="008B2263"/>
    <w:rsid w:val="008B23A4"/>
    <w:rsid w:val="008B2719"/>
    <w:rsid w:val="008B2782"/>
    <w:rsid w:val="008B2905"/>
    <w:rsid w:val="008B297D"/>
    <w:rsid w:val="008B29A0"/>
    <w:rsid w:val="008B29A5"/>
    <w:rsid w:val="008B2AD4"/>
    <w:rsid w:val="008B2C40"/>
    <w:rsid w:val="008B2EFF"/>
    <w:rsid w:val="008B319B"/>
    <w:rsid w:val="008B31E2"/>
    <w:rsid w:val="008B3219"/>
    <w:rsid w:val="008B3260"/>
    <w:rsid w:val="008B32FA"/>
    <w:rsid w:val="008B35E5"/>
    <w:rsid w:val="008B3607"/>
    <w:rsid w:val="008B3713"/>
    <w:rsid w:val="008B3A27"/>
    <w:rsid w:val="008B3A30"/>
    <w:rsid w:val="008B3CC3"/>
    <w:rsid w:val="008B3D37"/>
    <w:rsid w:val="008B3D56"/>
    <w:rsid w:val="008B3D9F"/>
    <w:rsid w:val="008B3E59"/>
    <w:rsid w:val="008B3E99"/>
    <w:rsid w:val="008B3F92"/>
    <w:rsid w:val="008B4077"/>
    <w:rsid w:val="008B40DF"/>
    <w:rsid w:val="008B41F7"/>
    <w:rsid w:val="008B4218"/>
    <w:rsid w:val="008B4250"/>
    <w:rsid w:val="008B4266"/>
    <w:rsid w:val="008B42CB"/>
    <w:rsid w:val="008B441D"/>
    <w:rsid w:val="008B45FB"/>
    <w:rsid w:val="008B4894"/>
    <w:rsid w:val="008B48CA"/>
    <w:rsid w:val="008B48EA"/>
    <w:rsid w:val="008B4B8E"/>
    <w:rsid w:val="008B4BD7"/>
    <w:rsid w:val="008B4C1A"/>
    <w:rsid w:val="008B4CD9"/>
    <w:rsid w:val="008B4D01"/>
    <w:rsid w:val="008B4D49"/>
    <w:rsid w:val="008B4D4A"/>
    <w:rsid w:val="008B5020"/>
    <w:rsid w:val="008B538C"/>
    <w:rsid w:val="008B53C3"/>
    <w:rsid w:val="008B54CE"/>
    <w:rsid w:val="008B55BB"/>
    <w:rsid w:val="008B581B"/>
    <w:rsid w:val="008B5903"/>
    <w:rsid w:val="008B5A40"/>
    <w:rsid w:val="008B5E95"/>
    <w:rsid w:val="008B5F64"/>
    <w:rsid w:val="008B5F88"/>
    <w:rsid w:val="008B6013"/>
    <w:rsid w:val="008B6063"/>
    <w:rsid w:val="008B61D9"/>
    <w:rsid w:val="008B6256"/>
    <w:rsid w:val="008B629E"/>
    <w:rsid w:val="008B64C4"/>
    <w:rsid w:val="008B64E3"/>
    <w:rsid w:val="008B6782"/>
    <w:rsid w:val="008B68AC"/>
    <w:rsid w:val="008B68BD"/>
    <w:rsid w:val="008B69B8"/>
    <w:rsid w:val="008B69E2"/>
    <w:rsid w:val="008B6A9A"/>
    <w:rsid w:val="008B6BAA"/>
    <w:rsid w:val="008B6CB3"/>
    <w:rsid w:val="008B6DA9"/>
    <w:rsid w:val="008B6E5E"/>
    <w:rsid w:val="008B6EBC"/>
    <w:rsid w:val="008B6FBC"/>
    <w:rsid w:val="008B70AC"/>
    <w:rsid w:val="008B711F"/>
    <w:rsid w:val="008B7173"/>
    <w:rsid w:val="008B71DB"/>
    <w:rsid w:val="008B720E"/>
    <w:rsid w:val="008B7250"/>
    <w:rsid w:val="008B7252"/>
    <w:rsid w:val="008B72F4"/>
    <w:rsid w:val="008B733E"/>
    <w:rsid w:val="008B7584"/>
    <w:rsid w:val="008B76AE"/>
    <w:rsid w:val="008B7771"/>
    <w:rsid w:val="008B786B"/>
    <w:rsid w:val="008B7975"/>
    <w:rsid w:val="008B7AEB"/>
    <w:rsid w:val="008B7B09"/>
    <w:rsid w:val="008B7BEB"/>
    <w:rsid w:val="008B7C5B"/>
    <w:rsid w:val="008B7D22"/>
    <w:rsid w:val="008B7D77"/>
    <w:rsid w:val="008B7D81"/>
    <w:rsid w:val="008B7F6F"/>
    <w:rsid w:val="008B7FAA"/>
    <w:rsid w:val="008B7FC4"/>
    <w:rsid w:val="008C0013"/>
    <w:rsid w:val="008C002E"/>
    <w:rsid w:val="008C0044"/>
    <w:rsid w:val="008C0318"/>
    <w:rsid w:val="008C0338"/>
    <w:rsid w:val="008C0341"/>
    <w:rsid w:val="008C03DB"/>
    <w:rsid w:val="008C04A5"/>
    <w:rsid w:val="008C04E5"/>
    <w:rsid w:val="008C0595"/>
    <w:rsid w:val="008C05BB"/>
    <w:rsid w:val="008C06FD"/>
    <w:rsid w:val="008C0766"/>
    <w:rsid w:val="008C0784"/>
    <w:rsid w:val="008C0845"/>
    <w:rsid w:val="008C089D"/>
    <w:rsid w:val="008C0918"/>
    <w:rsid w:val="008C096F"/>
    <w:rsid w:val="008C09E2"/>
    <w:rsid w:val="008C0A49"/>
    <w:rsid w:val="008C0A4E"/>
    <w:rsid w:val="008C0A55"/>
    <w:rsid w:val="008C0B18"/>
    <w:rsid w:val="008C0C42"/>
    <w:rsid w:val="008C0DDB"/>
    <w:rsid w:val="008C0E3F"/>
    <w:rsid w:val="008C0EDD"/>
    <w:rsid w:val="008C0F1B"/>
    <w:rsid w:val="008C102D"/>
    <w:rsid w:val="008C112C"/>
    <w:rsid w:val="008C1207"/>
    <w:rsid w:val="008C14AA"/>
    <w:rsid w:val="008C16BD"/>
    <w:rsid w:val="008C170D"/>
    <w:rsid w:val="008C17A2"/>
    <w:rsid w:val="008C17B7"/>
    <w:rsid w:val="008C1926"/>
    <w:rsid w:val="008C1998"/>
    <w:rsid w:val="008C19BE"/>
    <w:rsid w:val="008C1A82"/>
    <w:rsid w:val="008C1A9B"/>
    <w:rsid w:val="008C1C7B"/>
    <w:rsid w:val="008C1ED2"/>
    <w:rsid w:val="008C1F53"/>
    <w:rsid w:val="008C23A0"/>
    <w:rsid w:val="008C2400"/>
    <w:rsid w:val="008C2414"/>
    <w:rsid w:val="008C26B1"/>
    <w:rsid w:val="008C26EA"/>
    <w:rsid w:val="008C26EC"/>
    <w:rsid w:val="008C273F"/>
    <w:rsid w:val="008C29CD"/>
    <w:rsid w:val="008C2B32"/>
    <w:rsid w:val="008C2D25"/>
    <w:rsid w:val="008C2DC7"/>
    <w:rsid w:val="008C2E0F"/>
    <w:rsid w:val="008C2EF3"/>
    <w:rsid w:val="008C2F2D"/>
    <w:rsid w:val="008C2F60"/>
    <w:rsid w:val="008C2FDD"/>
    <w:rsid w:val="008C30AB"/>
    <w:rsid w:val="008C34A8"/>
    <w:rsid w:val="008C3501"/>
    <w:rsid w:val="008C3570"/>
    <w:rsid w:val="008C3654"/>
    <w:rsid w:val="008C37A1"/>
    <w:rsid w:val="008C394A"/>
    <w:rsid w:val="008C3A67"/>
    <w:rsid w:val="008C3A86"/>
    <w:rsid w:val="008C3B05"/>
    <w:rsid w:val="008C3B1B"/>
    <w:rsid w:val="008C3B4F"/>
    <w:rsid w:val="008C3B5B"/>
    <w:rsid w:val="008C3C28"/>
    <w:rsid w:val="008C3C4B"/>
    <w:rsid w:val="008C3CF6"/>
    <w:rsid w:val="008C3DD1"/>
    <w:rsid w:val="008C3E71"/>
    <w:rsid w:val="008C3F39"/>
    <w:rsid w:val="008C4226"/>
    <w:rsid w:val="008C4294"/>
    <w:rsid w:val="008C4300"/>
    <w:rsid w:val="008C4306"/>
    <w:rsid w:val="008C43AC"/>
    <w:rsid w:val="008C4503"/>
    <w:rsid w:val="008C4526"/>
    <w:rsid w:val="008C4633"/>
    <w:rsid w:val="008C46DE"/>
    <w:rsid w:val="008C4707"/>
    <w:rsid w:val="008C4771"/>
    <w:rsid w:val="008C4814"/>
    <w:rsid w:val="008C4972"/>
    <w:rsid w:val="008C4996"/>
    <w:rsid w:val="008C4BD4"/>
    <w:rsid w:val="008C4BD5"/>
    <w:rsid w:val="008C4CB5"/>
    <w:rsid w:val="008C4ED3"/>
    <w:rsid w:val="008C4FA7"/>
    <w:rsid w:val="008C50CC"/>
    <w:rsid w:val="008C5187"/>
    <w:rsid w:val="008C5296"/>
    <w:rsid w:val="008C5358"/>
    <w:rsid w:val="008C53FC"/>
    <w:rsid w:val="008C5405"/>
    <w:rsid w:val="008C54C8"/>
    <w:rsid w:val="008C559A"/>
    <w:rsid w:val="008C55A1"/>
    <w:rsid w:val="008C56DC"/>
    <w:rsid w:val="008C5848"/>
    <w:rsid w:val="008C5882"/>
    <w:rsid w:val="008C58B8"/>
    <w:rsid w:val="008C5940"/>
    <w:rsid w:val="008C599B"/>
    <w:rsid w:val="008C59E3"/>
    <w:rsid w:val="008C5B08"/>
    <w:rsid w:val="008C5B20"/>
    <w:rsid w:val="008C5B36"/>
    <w:rsid w:val="008C5B3F"/>
    <w:rsid w:val="008C5BED"/>
    <w:rsid w:val="008C5C54"/>
    <w:rsid w:val="008C607D"/>
    <w:rsid w:val="008C60A8"/>
    <w:rsid w:val="008C60AC"/>
    <w:rsid w:val="008C60E2"/>
    <w:rsid w:val="008C6179"/>
    <w:rsid w:val="008C62EB"/>
    <w:rsid w:val="008C6368"/>
    <w:rsid w:val="008C639A"/>
    <w:rsid w:val="008C639E"/>
    <w:rsid w:val="008C63CF"/>
    <w:rsid w:val="008C63DE"/>
    <w:rsid w:val="008C63FB"/>
    <w:rsid w:val="008C6485"/>
    <w:rsid w:val="008C65D9"/>
    <w:rsid w:val="008C65FD"/>
    <w:rsid w:val="008C6651"/>
    <w:rsid w:val="008C687F"/>
    <w:rsid w:val="008C68DC"/>
    <w:rsid w:val="008C6923"/>
    <w:rsid w:val="008C699A"/>
    <w:rsid w:val="008C6A0F"/>
    <w:rsid w:val="008C6AD6"/>
    <w:rsid w:val="008C6AF3"/>
    <w:rsid w:val="008C6C47"/>
    <w:rsid w:val="008C6D5D"/>
    <w:rsid w:val="008C6F07"/>
    <w:rsid w:val="008C6FDF"/>
    <w:rsid w:val="008C6FFD"/>
    <w:rsid w:val="008C7262"/>
    <w:rsid w:val="008C7352"/>
    <w:rsid w:val="008C73FA"/>
    <w:rsid w:val="008C7404"/>
    <w:rsid w:val="008C7412"/>
    <w:rsid w:val="008C7501"/>
    <w:rsid w:val="008C750E"/>
    <w:rsid w:val="008C7764"/>
    <w:rsid w:val="008C787D"/>
    <w:rsid w:val="008C78A7"/>
    <w:rsid w:val="008C79CA"/>
    <w:rsid w:val="008C7A0F"/>
    <w:rsid w:val="008C7B44"/>
    <w:rsid w:val="008C7BE7"/>
    <w:rsid w:val="008C7F71"/>
    <w:rsid w:val="008D0128"/>
    <w:rsid w:val="008D017A"/>
    <w:rsid w:val="008D0229"/>
    <w:rsid w:val="008D022C"/>
    <w:rsid w:val="008D02C3"/>
    <w:rsid w:val="008D033F"/>
    <w:rsid w:val="008D036D"/>
    <w:rsid w:val="008D03E8"/>
    <w:rsid w:val="008D051E"/>
    <w:rsid w:val="008D0592"/>
    <w:rsid w:val="008D05DA"/>
    <w:rsid w:val="008D05F1"/>
    <w:rsid w:val="008D0651"/>
    <w:rsid w:val="008D0710"/>
    <w:rsid w:val="008D0762"/>
    <w:rsid w:val="008D0872"/>
    <w:rsid w:val="008D08DB"/>
    <w:rsid w:val="008D0A4D"/>
    <w:rsid w:val="008D0DF0"/>
    <w:rsid w:val="008D0EAD"/>
    <w:rsid w:val="008D10BD"/>
    <w:rsid w:val="008D116C"/>
    <w:rsid w:val="008D117C"/>
    <w:rsid w:val="008D1204"/>
    <w:rsid w:val="008D120B"/>
    <w:rsid w:val="008D124D"/>
    <w:rsid w:val="008D140B"/>
    <w:rsid w:val="008D14E7"/>
    <w:rsid w:val="008D15F7"/>
    <w:rsid w:val="008D1668"/>
    <w:rsid w:val="008D179C"/>
    <w:rsid w:val="008D17C6"/>
    <w:rsid w:val="008D17FA"/>
    <w:rsid w:val="008D18BE"/>
    <w:rsid w:val="008D1926"/>
    <w:rsid w:val="008D1AA9"/>
    <w:rsid w:val="008D1AE5"/>
    <w:rsid w:val="008D1C6F"/>
    <w:rsid w:val="008D1CE5"/>
    <w:rsid w:val="008D1E92"/>
    <w:rsid w:val="008D1F43"/>
    <w:rsid w:val="008D1F8C"/>
    <w:rsid w:val="008D1FA4"/>
    <w:rsid w:val="008D2058"/>
    <w:rsid w:val="008D209F"/>
    <w:rsid w:val="008D2136"/>
    <w:rsid w:val="008D2276"/>
    <w:rsid w:val="008D232A"/>
    <w:rsid w:val="008D2396"/>
    <w:rsid w:val="008D23F4"/>
    <w:rsid w:val="008D2411"/>
    <w:rsid w:val="008D24CD"/>
    <w:rsid w:val="008D2680"/>
    <w:rsid w:val="008D280D"/>
    <w:rsid w:val="008D28C8"/>
    <w:rsid w:val="008D29DC"/>
    <w:rsid w:val="008D2A8F"/>
    <w:rsid w:val="008D2B05"/>
    <w:rsid w:val="008D2B11"/>
    <w:rsid w:val="008D2C54"/>
    <w:rsid w:val="008D2CE7"/>
    <w:rsid w:val="008D2CF3"/>
    <w:rsid w:val="008D2DC3"/>
    <w:rsid w:val="008D2DF7"/>
    <w:rsid w:val="008D2EFD"/>
    <w:rsid w:val="008D2F05"/>
    <w:rsid w:val="008D3076"/>
    <w:rsid w:val="008D30F5"/>
    <w:rsid w:val="008D31B4"/>
    <w:rsid w:val="008D32E9"/>
    <w:rsid w:val="008D3395"/>
    <w:rsid w:val="008D339F"/>
    <w:rsid w:val="008D3438"/>
    <w:rsid w:val="008D345E"/>
    <w:rsid w:val="008D3480"/>
    <w:rsid w:val="008D3547"/>
    <w:rsid w:val="008D354D"/>
    <w:rsid w:val="008D3729"/>
    <w:rsid w:val="008D3742"/>
    <w:rsid w:val="008D37DE"/>
    <w:rsid w:val="008D3905"/>
    <w:rsid w:val="008D3928"/>
    <w:rsid w:val="008D39CD"/>
    <w:rsid w:val="008D3A16"/>
    <w:rsid w:val="008D3CA9"/>
    <w:rsid w:val="008D3CB8"/>
    <w:rsid w:val="008D3D7A"/>
    <w:rsid w:val="008D3DC3"/>
    <w:rsid w:val="008D3EA2"/>
    <w:rsid w:val="008D3EBE"/>
    <w:rsid w:val="008D3F06"/>
    <w:rsid w:val="008D3FBB"/>
    <w:rsid w:val="008D409B"/>
    <w:rsid w:val="008D42F6"/>
    <w:rsid w:val="008D4394"/>
    <w:rsid w:val="008D4519"/>
    <w:rsid w:val="008D4688"/>
    <w:rsid w:val="008D46ED"/>
    <w:rsid w:val="008D487D"/>
    <w:rsid w:val="008D48AF"/>
    <w:rsid w:val="008D48DE"/>
    <w:rsid w:val="008D491C"/>
    <w:rsid w:val="008D4A39"/>
    <w:rsid w:val="008D4A9F"/>
    <w:rsid w:val="008D4BB2"/>
    <w:rsid w:val="008D4C66"/>
    <w:rsid w:val="008D4DD9"/>
    <w:rsid w:val="008D4ED8"/>
    <w:rsid w:val="008D4F74"/>
    <w:rsid w:val="008D4F8E"/>
    <w:rsid w:val="008D521F"/>
    <w:rsid w:val="008D5320"/>
    <w:rsid w:val="008D53D9"/>
    <w:rsid w:val="008D5449"/>
    <w:rsid w:val="008D54DE"/>
    <w:rsid w:val="008D5811"/>
    <w:rsid w:val="008D5883"/>
    <w:rsid w:val="008D58BB"/>
    <w:rsid w:val="008D5900"/>
    <w:rsid w:val="008D5BFE"/>
    <w:rsid w:val="008D5C1A"/>
    <w:rsid w:val="008D5D6F"/>
    <w:rsid w:val="008D5E94"/>
    <w:rsid w:val="008D5EA5"/>
    <w:rsid w:val="008D6072"/>
    <w:rsid w:val="008D6171"/>
    <w:rsid w:val="008D619E"/>
    <w:rsid w:val="008D6223"/>
    <w:rsid w:val="008D639F"/>
    <w:rsid w:val="008D6478"/>
    <w:rsid w:val="008D6493"/>
    <w:rsid w:val="008D6619"/>
    <w:rsid w:val="008D677F"/>
    <w:rsid w:val="008D6893"/>
    <w:rsid w:val="008D69A1"/>
    <w:rsid w:val="008D6AD0"/>
    <w:rsid w:val="008D6BDF"/>
    <w:rsid w:val="008D6C88"/>
    <w:rsid w:val="008D6D30"/>
    <w:rsid w:val="008D6D32"/>
    <w:rsid w:val="008D6DCD"/>
    <w:rsid w:val="008D6E32"/>
    <w:rsid w:val="008D6EF1"/>
    <w:rsid w:val="008D6FB1"/>
    <w:rsid w:val="008D70B5"/>
    <w:rsid w:val="008D7139"/>
    <w:rsid w:val="008D7160"/>
    <w:rsid w:val="008D71F1"/>
    <w:rsid w:val="008D721E"/>
    <w:rsid w:val="008D7274"/>
    <w:rsid w:val="008D73A5"/>
    <w:rsid w:val="008D7468"/>
    <w:rsid w:val="008D75CE"/>
    <w:rsid w:val="008D7687"/>
    <w:rsid w:val="008D76C1"/>
    <w:rsid w:val="008D7757"/>
    <w:rsid w:val="008D7840"/>
    <w:rsid w:val="008D786E"/>
    <w:rsid w:val="008D78A6"/>
    <w:rsid w:val="008D78FE"/>
    <w:rsid w:val="008D7912"/>
    <w:rsid w:val="008D7B02"/>
    <w:rsid w:val="008D7B64"/>
    <w:rsid w:val="008D7BFB"/>
    <w:rsid w:val="008D7C26"/>
    <w:rsid w:val="008D7C77"/>
    <w:rsid w:val="008D7CF2"/>
    <w:rsid w:val="008D7D07"/>
    <w:rsid w:val="008D7D2A"/>
    <w:rsid w:val="008D7E5A"/>
    <w:rsid w:val="008D7F13"/>
    <w:rsid w:val="008E0029"/>
    <w:rsid w:val="008E0058"/>
    <w:rsid w:val="008E01E5"/>
    <w:rsid w:val="008E037A"/>
    <w:rsid w:val="008E03CB"/>
    <w:rsid w:val="008E03E3"/>
    <w:rsid w:val="008E043B"/>
    <w:rsid w:val="008E068D"/>
    <w:rsid w:val="008E06A8"/>
    <w:rsid w:val="008E0725"/>
    <w:rsid w:val="008E07AC"/>
    <w:rsid w:val="008E08E4"/>
    <w:rsid w:val="008E08F5"/>
    <w:rsid w:val="008E0A1C"/>
    <w:rsid w:val="008E0A34"/>
    <w:rsid w:val="008E0A8C"/>
    <w:rsid w:val="008E0A95"/>
    <w:rsid w:val="008E0AD8"/>
    <w:rsid w:val="008E0AEC"/>
    <w:rsid w:val="008E0BCD"/>
    <w:rsid w:val="008E0BD8"/>
    <w:rsid w:val="008E0D1C"/>
    <w:rsid w:val="008E0D71"/>
    <w:rsid w:val="008E0EFA"/>
    <w:rsid w:val="008E0FBE"/>
    <w:rsid w:val="008E102D"/>
    <w:rsid w:val="008E116F"/>
    <w:rsid w:val="008E11C2"/>
    <w:rsid w:val="008E1486"/>
    <w:rsid w:val="008E148B"/>
    <w:rsid w:val="008E1497"/>
    <w:rsid w:val="008E15E1"/>
    <w:rsid w:val="008E1667"/>
    <w:rsid w:val="008E176F"/>
    <w:rsid w:val="008E1802"/>
    <w:rsid w:val="008E1AF8"/>
    <w:rsid w:val="008E1BDE"/>
    <w:rsid w:val="008E1D43"/>
    <w:rsid w:val="008E1D95"/>
    <w:rsid w:val="008E1F35"/>
    <w:rsid w:val="008E2109"/>
    <w:rsid w:val="008E210B"/>
    <w:rsid w:val="008E2168"/>
    <w:rsid w:val="008E21BE"/>
    <w:rsid w:val="008E222B"/>
    <w:rsid w:val="008E22DB"/>
    <w:rsid w:val="008E2401"/>
    <w:rsid w:val="008E2432"/>
    <w:rsid w:val="008E24D2"/>
    <w:rsid w:val="008E2563"/>
    <w:rsid w:val="008E25E6"/>
    <w:rsid w:val="008E2661"/>
    <w:rsid w:val="008E2667"/>
    <w:rsid w:val="008E279B"/>
    <w:rsid w:val="008E281A"/>
    <w:rsid w:val="008E2952"/>
    <w:rsid w:val="008E2AA8"/>
    <w:rsid w:val="008E2B09"/>
    <w:rsid w:val="008E2B3B"/>
    <w:rsid w:val="008E2B91"/>
    <w:rsid w:val="008E2C04"/>
    <w:rsid w:val="008E2D52"/>
    <w:rsid w:val="008E2E80"/>
    <w:rsid w:val="008E2FC7"/>
    <w:rsid w:val="008E2FD4"/>
    <w:rsid w:val="008E3005"/>
    <w:rsid w:val="008E3078"/>
    <w:rsid w:val="008E3201"/>
    <w:rsid w:val="008E328A"/>
    <w:rsid w:val="008E32DB"/>
    <w:rsid w:val="008E33FD"/>
    <w:rsid w:val="008E3475"/>
    <w:rsid w:val="008E361D"/>
    <w:rsid w:val="008E3A9C"/>
    <w:rsid w:val="008E3C82"/>
    <w:rsid w:val="008E3D1B"/>
    <w:rsid w:val="008E3E11"/>
    <w:rsid w:val="008E41EC"/>
    <w:rsid w:val="008E4286"/>
    <w:rsid w:val="008E43CF"/>
    <w:rsid w:val="008E442F"/>
    <w:rsid w:val="008E44C0"/>
    <w:rsid w:val="008E44ED"/>
    <w:rsid w:val="008E452A"/>
    <w:rsid w:val="008E455E"/>
    <w:rsid w:val="008E45B1"/>
    <w:rsid w:val="008E4607"/>
    <w:rsid w:val="008E471F"/>
    <w:rsid w:val="008E47B5"/>
    <w:rsid w:val="008E486E"/>
    <w:rsid w:val="008E495A"/>
    <w:rsid w:val="008E4977"/>
    <w:rsid w:val="008E4A84"/>
    <w:rsid w:val="008E4B55"/>
    <w:rsid w:val="008E4E55"/>
    <w:rsid w:val="008E5062"/>
    <w:rsid w:val="008E5318"/>
    <w:rsid w:val="008E5348"/>
    <w:rsid w:val="008E53EE"/>
    <w:rsid w:val="008E5522"/>
    <w:rsid w:val="008E56C3"/>
    <w:rsid w:val="008E5721"/>
    <w:rsid w:val="008E577B"/>
    <w:rsid w:val="008E57D3"/>
    <w:rsid w:val="008E585B"/>
    <w:rsid w:val="008E5880"/>
    <w:rsid w:val="008E58E8"/>
    <w:rsid w:val="008E5914"/>
    <w:rsid w:val="008E5A69"/>
    <w:rsid w:val="008E5ABA"/>
    <w:rsid w:val="008E5B11"/>
    <w:rsid w:val="008E5BBC"/>
    <w:rsid w:val="008E5CE4"/>
    <w:rsid w:val="008E5E0E"/>
    <w:rsid w:val="008E60E2"/>
    <w:rsid w:val="008E615E"/>
    <w:rsid w:val="008E6227"/>
    <w:rsid w:val="008E6292"/>
    <w:rsid w:val="008E631F"/>
    <w:rsid w:val="008E63D5"/>
    <w:rsid w:val="008E655B"/>
    <w:rsid w:val="008E663F"/>
    <w:rsid w:val="008E668B"/>
    <w:rsid w:val="008E6807"/>
    <w:rsid w:val="008E68C6"/>
    <w:rsid w:val="008E6A16"/>
    <w:rsid w:val="008E6A38"/>
    <w:rsid w:val="008E6B44"/>
    <w:rsid w:val="008E6B8D"/>
    <w:rsid w:val="008E6C40"/>
    <w:rsid w:val="008E6D09"/>
    <w:rsid w:val="008E6D20"/>
    <w:rsid w:val="008E6D4D"/>
    <w:rsid w:val="008E6E16"/>
    <w:rsid w:val="008E6E65"/>
    <w:rsid w:val="008E6EFE"/>
    <w:rsid w:val="008E6F41"/>
    <w:rsid w:val="008E6FF9"/>
    <w:rsid w:val="008E71D8"/>
    <w:rsid w:val="008E7330"/>
    <w:rsid w:val="008E74DC"/>
    <w:rsid w:val="008E74FB"/>
    <w:rsid w:val="008E75A7"/>
    <w:rsid w:val="008E7753"/>
    <w:rsid w:val="008E782F"/>
    <w:rsid w:val="008E785F"/>
    <w:rsid w:val="008E78A7"/>
    <w:rsid w:val="008E78D7"/>
    <w:rsid w:val="008E7A31"/>
    <w:rsid w:val="008E7A77"/>
    <w:rsid w:val="008E7A7D"/>
    <w:rsid w:val="008E7B73"/>
    <w:rsid w:val="008E7B7E"/>
    <w:rsid w:val="008E7D71"/>
    <w:rsid w:val="008E7D96"/>
    <w:rsid w:val="008E7DBC"/>
    <w:rsid w:val="008E7EA5"/>
    <w:rsid w:val="008F01A7"/>
    <w:rsid w:val="008F0246"/>
    <w:rsid w:val="008F0354"/>
    <w:rsid w:val="008F0466"/>
    <w:rsid w:val="008F05E7"/>
    <w:rsid w:val="008F0609"/>
    <w:rsid w:val="008F0611"/>
    <w:rsid w:val="008F06C9"/>
    <w:rsid w:val="008F0898"/>
    <w:rsid w:val="008F091B"/>
    <w:rsid w:val="008F09DB"/>
    <w:rsid w:val="008F0A6B"/>
    <w:rsid w:val="008F0AB4"/>
    <w:rsid w:val="008F0BF2"/>
    <w:rsid w:val="008F0D46"/>
    <w:rsid w:val="008F0DD0"/>
    <w:rsid w:val="008F0E88"/>
    <w:rsid w:val="008F0F5B"/>
    <w:rsid w:val="008F10B7"/>
    <w:rsid w:val="008F1139"/>
    <w:rsid w:val="008F116D"/>
    <w:rsid w:val="008F11B1"/>
    <w:rsid w:val="008F11CC"/>
    <w:rsid w:val="008F1222"/>
    <w:rsid w:val="008F1244"/>
    <w:rsid w:val="008F12A7"/>
    <w:rsid w:val="008F13C1"/>
    <w:rsid w:val="008F1415"/>
    <w:rsid w:val="008F148B"/>
    <w:rsid w:val="008F1497"/>
    <w:rsid w:val="008F14B2"/>
    <w:rsid w:val="008F1593"/>
    <w:rsid w:val="008F15FA"/>
    <w:rsid w:val="008F1611"/>
    <w:rsid w:val="008F17F7"/>
    <w:rsid w:val="008F180C"/>
    <w:rsid w:val="008F18AC"/>
    <w:rsid w:val="008F1C11"/>
    <w:rsid w:val="008F1C45"/>
    <w:rsid w:val="008F1D0B"/>
    <w:rsid w:val="008F1D14"/>
    <w:rsid w:val="008F1DDA"/>
    <w:rsid w:val="008F1ECA"/>
    <w:rsid w:val="008F1ED0"/>
    <w:rsid w:val="008F1F59"/>
    <w:rsid w:val="008F1F91"/>
    <w:rsid w:val="008F206A"/>
    <w:rsid w:val="008F20FC"/>
    <w:rsid w:val="008F210B"/>
    <w:rsid w:val="008F214D"/>
    <w:rsid w:val="008F215F"/>
    <w:rsid w:val="008F220F"/>
    <w:rsid w:val="008F23EB"/>
    <w:rsid w:val="008F24AB"/>
    <w:rsid w:val="008F25B5"/>
    <w:rsid w:val="008F26FE"/>
    <w:rsid w:val="008F27A6"/>
    <w:rsid w:val="008F28CA"/>
    <w:rsid w:val="008F2911"/>
    <w:rsid w:val="008F2930"/>
    <w:rsid w:val="008F2AA6"/>
    <w:rsid w:val="008F2BD6"/>
    <w:rsid w:val="008F2D8E"/>
    <w:rsid w:val="008F2E2A"/>
    <w:rsid w:val="008F2E78"/>
    <w:rsid w:val="008F2E91"/>
    <w:rsid w:val="008F2EBA"/>
    <w:rsid w:val="008F2F42"/>
    <w:rsid w:val="008F2FA4"/>
    <w:rsid w:val="008F2FC4"/>
    <w:rsid w:val="008F303B"/>
    <w:rsid w:val="008F3096"/>
    <w:rsid w:val="008F30EB"/>
    <w:rsid w:val="008F3168"/>
    <w:rsid w:val="008F31C5"/>
    <w:rsid w:val="008F3393"/>
    <w:rsid w:val="008F33CD"/>
    <w:rsid w:val="008F367A"/>
    <w:rsid w:val="008F36C8"/>
    <w:rsid w:val="008F3997"/>
    <w:rsid w:val="008F3A40"/>
    <w:rsid w:val="008F3AC1"/>
    <w:rsid w:val="008F3B8B"/>
    <w:rsid w:val="008F3D72"/>
    <w:rsid w:val="008F4094"/>
    <w:rsid w:val="008F4154"/>
    <w:rsid w:val="008F431C"/>
    <w:rsid w:val="008F435E"/>
    <w:rsid w:val="008F455B"/>
    <w:rsid w:val="008F46D1"/>
    <w:rsid w:val="008F4760"/>
    <w:rsid w:val="008F477E"/>
    <w:rsid w:val="008F4913"/>
    <w:rsid w:val="008F495F"/>
    <w:rsid w:val="008F4A0B"/>
    <w:rsid w:val="008F4EE9"/>
    <w:rsid w:val="008F50C6"/>
    <w:rsid w:val="008F518D"/>
    <w:rsid w:val="008F51F5"/>
    <w:rsid w:val="008F5241"/>
    <w:rsid w:val="008F53F9"/>
    <w:rsid w:val="008F5516"/>
    <w:rsid w:val="008F5674"/>
    <w:rsid w:val="008F5699"/>
    <w:rsid w:val="008F5745"/>
    <w:rsid w:val="008F575E"/>
    <w:rsid w:val="008F57E8"/>
    <w:rsid w:val="008F58ED"/>
    <w:rsid w:val="008F5988"/>
    <w:rsid w:val="008F59A9"/>
    <w:rsid w:val="008F59F2"/>
    <w:rsid w:val="008F5A1D"/>
    <w:rsid w:val="008F5B2F"/>
    <w:rsid w:val="008F5BD6"/>
    <w:rsid w:val="008F5BE5"/>
    <w:rsid w:val="008F5BEE"/>
    <w:rsid w:val="008F5BF4"/>
    <w:rsid w:val="008F5C36"/>
    <w:rsid w:val="008F5E17"/>
    <w:rsid w:val="008F5E92"/>
    <w:rsid w:val="008F60C8"/>
    <w:rsid w:val="008F61B5"/>
    <w:rsid w:val="008F6279"/>
    <w:rsid w:val="008F6553"/>
    <w:rsid w:val="008F667E"/>
    <w:rsid w:val="008F66EB"/>
    <w:rsid w:val="008F675A"/>
    <w:rsid w:val="008F681A"/>
    <w:rsid w:val="008F6898"/>
    <w:rsid w:val="008F69D2"/>
    <w:rsid w:val="008F6C20"/>
    <w:rsid w:val="008F6C8C"/>
    <w:rsid w:val="008F6D2E"/>
    <w:rsid w:val="008F6DB1"/>
    <w:rsid w:val="008F6F0B"/>
    <w:rsid w:val="008F6FB6"/>
    <w:rsid w:val="008F70BE"/>
    <w:rsid w:val="008F711C"/>
    <w:rsid w:val="008F73EF"/>
    <w:rsid w:val="008F7419"/>
    <w:rsid w:val="008F75DB"/>
    <w:rsid w:val="008F7610"/>
    <w:rsid w:val="008F7647"/>
    <w:rsid w:val="008F7777"/>
    <w:rsid w:val="008F7813"/>
    <w:rsid w:val="008F7887"/>
    <w:rsid w:val="008F797E"/>
    <w:rsid w:val="008F79A0"/>
    <w:rsid w:val="008F7A59"/>
    <w:rsid w:val="008F7B93"/>
    <w:rsid w:val="008F7B99"/>
    <w:rsid w:val="008F7C3E"/>
    <w:rsid w:val="008F7D48"/>
    <w:rsid w:val="008F7D77"/>
    <w:rsid w:val="008F7E33"/>
    <w:rsid w:val="008F7EBF"/>
    <w:rsid w:val="008F7EDF"/>
    <w:rsid w:val="008F7EEB"/>
    <w:rsid w:val="008F7F13"/>
    <w:rsid w:val="008F7FFD"/>
    <w:rsid w:val="009003DF"/>
    <w:rsid w:val="0090045F"/>
    <w:rsid w:val="009004BB"/>
    <w:rsid w:val="00900575"/>
    <w:rsid w:val="00900662"/>
    <w:rsid w:val="00900667"/>
    <w:rsid w:val="009006A7"/>
    <w:rsid w:val="0090077A"/>
    <w:rsid w:val="009007C9"/>
    <w:rsid w:val="009007D4"/>
    <w:rsid w:val="009007E1"/>
    <w:rsid w:val="009007E4"/>
    <w:rsid w:val="00900808"/>
    <w:rsid w:val="00900895"/>
    <w:rsid w:val="00900935"/>
    <w:rsid w:val="00900A08"/>
    <w:rsid w:val="00900A3F"/>
    <w:rsid w:val="00900AC0"/>
    <w:rsid w:val="00900BE4"/>
    <w:rsid w:val="00900C22"/>
    <w:rsid w:val="00900C60"/>
    <w:rsid w:val="00900FDC"/>
    <w:rsid w:val="009012F2"/>
    <w:rsid w:val="00901496"/>
    <w:rsid w:val="00901541"/>
    <w:rsid w:val="00901616"/>
    <w:rsid w:val="009016DE"/>
    <w:rsid w:val="0090189D"/>
    <w:rsid w:val="00901B0B"/>
    <w:rsid w:val="00901BA0"/>
    <w:rsid w:val="00901BA6"/>
    <w:rsid w:val="00901C9F"/>
    <w:rsid w:val="00901CC5"/>
    <w:rsid w:val="00901DDD"/>
    <w:rsid w:val="00901E8C"/>
    <w:rsid w:val="0090214D"/>
    <w:rsid w:val="00902226"/>
    <w:rsid w:val="00902257"/>
    <w:rsid w:val="00902455"/>
    <w:rsid w:val="00902649"/>
    <w:rsid w:val="009026F3"/>
    <w:rsid w:val="009027D1"/>
    <w:rsid w:val="009028EC"/>
    <w:rsid w:val="009028F8"/>
    <w:rsid w:val="00902934"/>
    <w:rsid w:val="009029A4"/>
    <w:rsid w:val="00902A88"/>
    <w:rsid w:val="00902AAE"/>
    <w:rsid w:val="00902ADF"/>
    <w:rsid w:val="00902CA3"/>
    <w:rsid w:val="00902DCD"/>
    <w:rsid w:val="00902FD1"/>
    <w:rsid w:val="00902FD5"/>
    <w:rsid w:val="00902FFC"/>
    <w:rsid w:val="00903104"/>
    <w:rsid w:val="0090322B"/>
    <w:rsid w:val="0090325F"/>
    <w:rsid w:val="00903271"/>
    <w:rsid w:val="009032FD"/>
    <w:rsid w:val="009033C4"/>
    <w:rsid w:val="00903409"/>
    <w:rsid w:val="009034AB"/>
    <w:rsid w:val="00903602"/>
    <w:rsid w:val="0090360D"/>
    <w:rsid w:val="00903644"/>
    <w:rsid w:val="00903782"/>
    <w:rsid w:val="009039A3"/>
    <w:rsid w:val="00903C35"/>
    <w:rsid w:val="00903E91"/>
    <w:rsid w:val="00903EC3"/>
    <w:rsid w:val="00903F8A"/>
    <w:rsid w:val="00904063"/>
    <w:rsid w:val="0090411A"/>
    <w:rsid w:val="009041E8"/>
    <w:rsid w:val="0090440A"/>
    <w:rsid w:val="00904482"/>
    <w:rsid w:val="00904565"/>
    <w:rsid w:val="0090478F"/>
    <w:rsid w:val="009047BC"/>
    <w:rsid w:val="009047E6"/>
    <w:rsid w:val="009047FE"/>
    <w:rsid w:val="00904881"/>
    <w:rsid w:val="009048D9"/>
    <w:rsid w:val="00904969"/>
    <w:rsid w:val="00904A19"/>
    <w:rsid w:val="00904B39"/>
    <w:rsid w:val="00904B50"/>
    <w:rsid w:val="00904B5B"/>
    <w:rsid w:val="00904C3A"/>
    <w:rsid w:val="00904CBE"/>
    <w:rsid w:val="00904DBD"/>
    <w:rsid w:val="00904EF1"/>
    <w:rsid w:val="00904F53"/>
    <w:rsid w:val="00904FA3"/>
    <w:rsid w:val="0090517A"/>
    <w:rsid w:val="009051CA"/>
    <w:rsid w:val="00905204"/>
    <w:rsid w:val="00905263"/>
    <w:rsid w:val="009054E6"/>
    <w:rsid w:val="00905607"/>
    <w:rsid w:val="00905614"/>
    <w:rsid w:val="00905792"/>
    <w:rsid w:val="00905864"/>
    <w:rsid w:val="009058A0"/>
    <w:rsid w:val="00905AB6"/>
    <w:rsid w:val="00905ACE"/>
    <w:rsid w:val="00905B1B"/>
    <w:rsid w:val="00905B9A"/>
    <w:rsid w:val="00905BAB"/>
    <w:rsid w:val="00905BC6"/>
    <w:rsid w:val="00905C76"/>
    <w:rsid w:val="00905CC8"/>
    <w:rsid w:val="00905D4A"/>
    <w:rsid w:val="00905E8B"/>
    <w:rsid w:val="009062B5"/>
    <w:rsid w:val="009062E6"/>
    <w:rsid w:val="00906387"/>
    <w:rsid w:val="0090654F"/>
    <w:rsid w:val="00906576"/>
    <w:rsid w:val="009065BA"/>
    <w:rsid w:val="00906631"/>
    <w:rsid w:val="00906773"/>
    <w:rsid w:val="009067B6"/>
    <w:rsid w:val="0090685C"/>
    <w:rsid w:val="00906999"/>
    <w:rsid w:val="00906AA5"/>
    <w:rsid w:val="00906AB7"/>
    <w:rsid w:val="00906B01"/>
    <w:rsid w:val="00906BD4"/>
    <w:rsid w:val="00906BF0"/>
    <w:rsid w:val="00906C46"/>
    <w:rsid w:val="00906C9D"/>
    <w:rsid w:val="00906DA9"/>
    <w:rsid w:val="00906E61"/>
    <w:rsid w:val="00906ED7"/>
    <w:rsid w:val="0090703E"/>
    <w:rsid w:val="009071B9"/>
    <w:rsid w:val="00907550"/>
    <w:rsid w:val="009075FF"/>
    <w:rsid w:val="00907634"/>
    <w:rsid w:val="00907637"/>
    <w:rsid w:val="009076C8"/>
    <w:rsid w:val="009076EB"/>
    <w:rsid w:val="009076F4"/>
    <w:rsid w:val="00907799"/>
    <w:rsid w:val="0090781A"/>
    <w:rsid w:val="00907856"/>
    <w:rsid w:val="00907933"/>
    <w:rsid w:val="00907AFB"/>
    <w:rsid w:val="00907B54"/>
    <w:rsid w:val="00907C0C"/>
    <w:rsid w:val="00907D73"/>
    <w:rsid w:val="00907F45"/>
    <w:rsid w:val="00910061"/>
    <w:rsid w:val="009102B6"/>
    <w:rsid w:val="009102EB"/>
    <w:rsid w:val="00910382"/>
    <w:rsid w:val="009103B7"/>
    <w:rsid w:val="00910468"/>
    <w:rsid w:val="009105BB"/>
    <w:rsid w:val="009105F7"/>
    <w:rsid w:val="0091069E"/>
    <w:rsid w:val="009107DC"/>
    <w:rsid w:val="0091099B"/>
    <w:rsid w:val="00910AF3"/>
    <w:rsid w:val="00910BDE"/>
    <w:rsid w:val="00910E01"/>
    <w:rsid w:val="00910E11"/>
    <w:rsid w:val="00910F20"/>
    <w:rsid w:val="0091106C"/>
    <w:rsid w:val="009111E7"/>
    <w:rsid w:val="00911235"/>
    <w:rsid w:val="0091129E"/>
    <w:rsid w:val="009112D0"/>
    <w:rsid w:val="00911390"/>
    <w:rsid w:val="009114BA"/>
    <w:rsid w:val="00911555"/>
    <w:rsid w:val="009115A6"/>
    <w:rsid w:val="009115FB"/>
    <w:rsid w:val="0091177A"/>
    <w:rsid w:val="00911789"/>
    <w:rsid w:val="009117A7"/>
    <w:rsid w:val="00911890"/>
    <w:rsid w:val="0091199A"/>
    <w:rsid w:val="009119ED"/>
    <w:rsid w:val="00911AC6"/>
    <w:rsid w:val="00911EB1"/>
    <w:rsid w:val="00911FE6"/>
    <w:rsid w:val="00912236"/>
    <w:rsid w:val="00912253"/>
    <w:rsid w:val="009123E1"/>
    <w:rsid w:val="00912430"/>
    <w:rsid w:val="009124B0"/>
    <w:rsid w:val="00912566"/>
    <w:rsid w:val="00912574"/>
    <w:rsid w:val="009125A9"/>
    <w:rsid w:val="009125DC"/>
    <w:rsid w:val="00912803"/>
    <w:rsid w:val="00912973"/>
    <w:rsid w:val="00912980"/>
    <w:rsid w:val="00912A47"/>
    <w:rsid w:val="00912A8E"/>
    <w:rsid w:val="00912ABD"/>
    <w:rsid w:val="00912B09"/>
    <w:rsid w:val="00912C6E"/>
    <w:rsid w:val="00912D2F"/>
    <w:rsid w:val="00912D4C"/>
    <w:rsid w:val="009130BF"/>
    <w:rsid w:val="009130D4"/>
    <w:rsid w:val="00913163"/>
    <w:rsid w:val="009133BC"/>
    <w:rsid w:val="0091348F"/>
    <w:rsid w:val="00913680"/>
    <w:rsid w:val="009138CA"/>
    <w:rsid w:val="009138DF"/>
    <w:rsid w:val="009138EE"/>
    <w:rsid w:val="00913991"/>
    <w:rsid w:val="009139ED"/>
    <w:rsid w:val="00913A4D"/>
    <w:rsid w:val="00913A82"/>
    <w:rsid w:val="00913C9A"/>
    <w:rsid w:val="00913D70"/>
    <w:rsid w:val="00913E1F"/>
    <w:rsid w:val="00913E95"/>
    <w:rsid w:val="00913E96"/>
    <w:rsid w:val="00913E99"/>
    <w:rsid w:val="00913ED4"/>
    <w:rsid w:val="0091405D"/>
    <w:rsid w:val="00914116"/>
    <w:rsid w:val="00914222"/>
    <w:rsid w:val="009142DE"/>
    <w:rsid w:val="009143A3"/>
    <w:rsid w:val="009143B4"/>
    <w:rsid w:val="00914429"/>
    <w:rsid w:val="009144C5"/>
    <w:rsid w:val="0091456F"/>
    <w:rsid w:val="00914570"/>
    <w:rsid w:val="00914665"/>
    <w:rsid w:val="00914781"/>
    <w:rsid w:val="0091481F"/>
    <w:rsid w:val="00914875"/>
    <w:rsid w:val="009149C9"/>
    <w:rsid w:val="00914B71"/>
    <w:rsid w:val="00914BB2"/>
    <w:rsid w:val="00914D81"/>
    <w:rsid w:val="00914DCA"/>
    <w:rsid w:val="00914DCF"/>
    <w:rsid w:val="00914E24"/>
    <w:rsid w:val="00914E2A"/>
    <w:rsid w:val="00914F1E"/>
    <w:rsid w:val="00914FA2"/>
    <w:rsid w:val="009150A9"/>
    <w:rsid w:val="00915283"/>
    <w:rsid w:val="009152B9"/>
    <w:rsid w:val="0091545E"/>
    <w:rsid w:val="0091553A"/>
    <w:rsid w:val="0091558F"/>
    <w:rsid w:val="00915630"/>
    <w:rsid w:val="009157CA"/>
    <w:rsid w:val="009157E8"/>
    <w:rsid w:val="009158AF"/>
    <w:rsid w:val="009158BB"/>
    <w:rsid w:val="00915916"/>
    <w:rsid w:val="009159E3"/>
    <w:rsid w:val="00915B4B"/>
    <w:rsid w:val="00915BA4"/>
    <w:rsid w:val="00915C76"/>
    <w:rsid w:val="00915CB6"/>
    <w:rsid w:val="00915CF5"/>
    <w:rsid w:val="00915D11"/>
    <w:rsid w:val="00915D33"/>
    <w:rsid w:val="00915F79"/>
    <w:rsid w:val="0091606A"/>
    <w:rsid w:val="009160B4"/>
    <w:rsid w:val="009160E3"/>
    <w:rsid w:val="00916111"/>
    <w:rsid w:val="009161D6"/>
    <w:rsid w:val="009161E9"/>
    <w:rsid w:val="009162F3"/>
    <w:rsid w:val="00916373"/>
    <w:rsid w:val="009163C4"/>
    <w:rsid w:val="00916466"/>
    <w:rsid w:val="0091649D"/>
    <w:rsid w:val="009165AA"/>
    <w:rsid w:val="0091667B"/>
    <w:rsid w:val="00916776"/>
    <w:rsid w:val="0091679F"/>
    <w:rsid w:val="00916964"/>
    <w:rsid w:val="00916A16"/>
    <w:rsid w:val="00916A89"/>
    <w:rsid w:val="00916BCA"/>
    <w:rsid w:val="00916C52"/>
    <w:rsid w:val="00916CFF"/>
    <w:rsid w:val="00916D05"/>
    <w:rsid w:val="00916E0D"/>
    <w:rsid w:val="00916F3E"/>
    <w:rsid w:val="00917012"/>
    <w:rsid w:val="0091709D"/>
    <w:rsid w:val="009172D4"/>
    <w:rsid w:val="00917399"/>
    <w:rsid w:val="009173DC"/>
    <w:rsid w:val="009175A6"/>
    <w:rsid w:val="009175C2"/>
    <w:rsid w:val="009176D6"/>
    <w:rsid w:val="00917834"/>
    <w:rsid w:val="00917A30"/>
    <w:rsid w:val="00917B14"/>
    <w:rsid w:val="00917B3A"/>
    <w:rsid w:val="00917C23"/>
    <w:rsid w:val="00917CEF"/>
    <w:rsid w:val="00917E28"/>
    <w:rsid w:val="00917F06"/>
    <w:rsid w:val="00917FF3"/>
    <w:rsid w:val="00920003"/>
    <w:rsid w:val="0092006A"/>
    <w:rsid w:val="0092008C"/>
    <w:rsid w:val="0092025C"/>
    <w:rsid w:val="009202C6"/>
    <w:rsid w:val="009202ED"/>
    <w:rsid w:val="00920308"/>
    <w:rsid w:val="0092042D"/>
    <w:rsid w:val="00920432"/>
    <w:rsid w:val="0092049E"/>
    <w:rsid w:val="009204F4"/>
    <w:rsid w:val="00920596"/>
    <w:rsid w:val="009207B6"/>
    <w:rsid w:val="009207EE"/>
    <w:rsid w:val="009208AD"/>
    <w:rsid w:val="00920AAD"/>
    <w:rsid w:val="00920ACB"/>
    <w:rsid w:val="00920AE1"/>
    <w:rsid w:val="00920B41"/>
    <w:rsid w:val="00920C62"/>
    <w:rsid w:val="00920DC5"/>
    <w:rsid w:val="00920DCF"/>
    <w:rsid w:val="00920E2C"/>
    <w:rsid w:val="00920E71"/>
    <w:rsid w:val="00920F1F"/>
    <w:rsid w:val="0092115E"/>
    <w:rsid w:val="009211E1"/>
    <w:rsid w:val="009211FA"/>
    <w:rsid w:val="009212BC"/>
    <w:rsid w:val="009213E6"/>
    <w:rsid w:val="009213F3"/>
    <w:rsid w:val="009214CE"/>
    <w:rsid w:val="009214ED"/>
    <w:rsid w:val="00921555"/>
    <w:rsid w:val="00921608"/>
    <w:rsid w:val="00921799"/>
    <w:rsid w:val="00921847"/>
    <w:rsid w:val="00921889"/>
    <w:rsid w:val="00921907"/>
    <w:rsid w:val="009219DB"/>
    <w:rsid w:val="00921A51"/>
    <w:rsid w:val="00921B3B"/>
    <w:rsid w:val="00921B9A"/>
    <w:rsid w:val="00921BEC"/>
    <w:rsid w:val="00921C4B"/>
    <w:rsid w:val="00921CC8"/>
    <w:rsid w:val="00921D84"/>
    <w:rsid w:val="00921DF4"/>
    <w:rsid w:val="00921EC1"/>
    <w:rsid w:val="009220B9"/>
    <w:rsid w:val="009220CC"/>
    <w:rsid w:val="0092217E"/>
    <w:rsid w:val="009222DB"/>
    <w:rsid w:val="009223B9"/>
    <w:rsid w:val="009224AD"/>
    <w:rsid w:val="009224DC"/>
    <w:rsid w:val="009225E6"/>
    <w:rsid w:val="00922701"/>
    <w:rsid w:val="0092272B"/>
    <w:rsid w:val="0092279F"/>
    <w:rsid w:val="00922863"/>
    <w:rsid w:val="009228A1"/>
    <w:rsid w:val="00922A33"/>
    <w:rsid w:val="00922BB9"/>
    <w:rsid w:val="00922D38"/>
    <w:rsid w:val="00922D66"/>
    <w:rsid w:val="00922E6C"/>
    <w:rsid w:val="00922E84"/>
    <w:rsid w:val="00922EB1"/>
    <w:rsid w:val="00922EDE"/>
    <w:rsid w:val="00922F8B"/>
    <w:rsid w:val="0092316C"/>
    <w:rsid w:val="0092319A"/>
    <w:rsid w:val="0092320E"/>
    <w:rsid w:val="00923235"/>
    <w:rsid w:val="0092323F"/>
    <w:rsid w:val="00923462"/>
    <w:rsid w:val="0092367B"/>
    <w:rsid w:val="009236C0"/>
    <w:rsid w:val="00923707"/>
    <w:rsid w:val="00923719"/>
    <w:rsid w:val="00923731"/>
    <w:rsid w:val="0092384C"/>
    <w:rsid w:val="009239FF"/>
    <w:rsid w:val="00923A14"/>
    <w:rsid w:val="00923B7E"/>
    <w:rsid w:val="00923D22"/>
    <w:rsid w:val="00923D59"/>
    <w:rsid w:val="00923DE5"/>
    <w:rsid w:val="00923DF6"/>
    <w:rsid w:val="00923E1A"/>
    <w:rsid w:val="00923EC5"/>
    <w:rsid w:val="00923EF4"/>
    <w:rsid w:val="00923EF9"/>
    <w:rsid w:val="00924262"/>
    <w:rsid w:val="00924407"/>
    <w:rsid w:val="009247B7"/>
    <w:rsid w:val="009247C6"/>
    <w:rsid w:val="00924A0E"/>
    <w:rsid w:val="00924AB0"/>
    <w:rsid w:val="00924BFA"/>
    <w:rsid w:val="00924CB4"/>
    <w:rsid w:val="00924CFB"/>
    <w:rsid w:val="00924FED"/>
    <w:rsid w:val="00925187"/>
    <w:rsid w:val="00925485"/>
    <w:rsid w:val="009255BA"/>
    <w:rsid w:val="00925A91"/>
    <w:rsid w:val="00925AA5"/>
    <w:rsid w:val="00925C90"/>
    <w:rsid w:val="00925D6D"/>
    <w:rsid w:val="00925D90"/>
    <w:rsid w:val="00925F5C"/>
    <w:rsid w:val="00925FF2"/>
    <w:rsid w:val="0092606A"/>
    <w:rsid w:val="00926081"/>
    <w:rsid w:val="009260C0"/>
    <w:rsid w:val="009260D7"/>
    <w:rsid w:val="00926181"/>
    <w:rsid w:val="00926214"/>
    <w:rsid w:val="009262F1"/>
    <w:rsid w:val="0092641B"/>
    <w:rsid w:val="00926650"/>
    <w:rsid w:val="00926786"/>
    <w:rsid w:val="00926A45"/>
    <w:rsid w:val="00926A4E"/>
    <w:rsid w:val="00926B88"/>
    <w:rsid w:val="00926BB4"/>
    <w:rsid w:val="00926E21"/>
    <w:rsid w:val="00926ECF"/>
    <w:rsid w:val="00926FD7"/>
    <w:rsid w:val="00926FEC"/>
    <w:rsid w:val="0092700C"/>
    <w:rsid w:val="00927028"/>
    <w:rsid w:val="009270E3"/>
    <w:rsid w:val="0092712D"/>
    <w:rsid w:val="009271B8"/>
    <w:rsid w:val="009273D1"/>
    <w:rsid w:val="0092754E"/>
    <w:rsid w:val="0092757F"/>
    <w:rsid w:val="00927655"/>
    <w:rsid w:val="0092772D"/>
    <w:rsid w:val="009278CC"/>
    <w:rsid w:val="009278F7"/>
    <w:rsid w:val="00927A13"/>
    <w:rsid w:val="00927A1A"/>
    <w:rsid w:val="00927C38"/>
    <w:rsid w:val="00927CF6"/>
    <w:rsid w:val="00927D2A"/>
    <w:rsid w:val="00927D4E"/>
    <w:rsid w:val="00927D62"/>
    <w:rsid w:val="0093005D"/>
    <w:rsid w:val="009300CE"/>
    <w:rsid w:val="009300D3"/>
    <w:rsid w:val="009301A1"/>
    <w:rsid w:val="00930292"/>
    <w:rsid w:val="009304B1"/>
    <w:rsid w:val="009305AB"/>
    <w:rsid w:val="0093063C"/>
    <w:rsid w:val="00930697"/>
    <w:rsid w:val="009307D6"/>
    <w:rsid w:val="00930898"/>
    <w:rsid w:val="00930900"/>
    <w:rsid w:val="00930987"/>
    <w:rsid w:val="00930A67"/>
    <w:rsid w:val="00930BCE"/>
    <w:rsid w:val="00930C05"/>
    <w:rsid w:val="00930C2E"/>
    <w:rsid w:val="00930CA2"/>
    <w:rsid w:val="00930CC7"/>
    <w:rsid w:val="00930CEC"/>
    <w:rsid w:val="00930DAF"/>
    <w:rsid w:val="00930DB7"/>
    <w:rsid w:val="00930DD6"/>
    <w:rsid w:val="00930E37"/>
    <w:rsid w:val="00930EC5"/>
    <w:rsid w:val="00930F9B"/>
    <w:rsid w:val="0093103C"/>
    <w:rsid w:val="0093111B"/>
    <w:rsid w:val="009311E9"/>
    <w:rsid w:val="0093133F"/>
    <w:rsid w:val="0093134A"/>
    <w:rsid w:val="009313ED"/>
    <w:rsid w:val="0093146E"/>
    <w:rsid w:val="00931505"/>
    <w:rsid w:val="00931534"/>
    <w:rsid w:val="00931540"/>
    <w:rsid w:val="009316C5"/>
    <w:rsid w:val="009316ED"/>
    <w:rsid w:val="009316F6"/>
    <w:rsid w:val="009318B7"/>
    <w:rsid w:val="0093193B"/>
    <w:rsid w:val="00931A75"/>
    <w:rsid w:val="00931AF6"/>
    <w:rsid w:val="00931B11"/>
    <w:rsid w:val="00931BFE"/>
    <w:rsid w:val="00931C10"/>
    <w:rsid w:val="00931D1F"/>
    <w:rsid w:val="00932103"/>
    <w:rsid w:val="00932127"/>
    <w:rsid w:val="00932134"/>
    <w:rsid w:val="00932369"/>
    <w:rsid w:val="0093236A"/>
    <w:rsid w:val="009323D7"/>
    <w:rsid w:val="00932493"/>
    <w:rsid w:val="00932828"/>
    <w:rsid w:val="00932A54"/>
    <w:rsid w:val="00932B31"/>
    <w:rsid w:val="00932BA3"/>
    <w:rsid w:val="00932C6A"/>
    <w:rsid w:val="00932D75"/>
    <w:rsid w:val="00932DBF"/>
    <w:rsid w:val="00932DC2"/>
    <w:rsid w:val="00932E67"/>
    <w:rsid w:val="00932FB3"/>
    <w:rsid w:val="00932FEB"/>
    <w:rsid w:val="00933057"/>
    <w:rsid w:val="009330A1"/>
    <w:rsid w:val="00933136"/>
    <w:rsid w:val="00933142"/>
    <w:rsid w:val="00933179"/>
    <w:rsid w:val="0093335D"/>
    <w:rsid w:val="0093338C"/>
    <w:rsid w:val="009333E4"/>
    <w:rsid w:val="009333E9"/>
    <w:rsid w:val="00933416"/>
    <w:rsid w:val="0093347F"/>
    <w:rsid w:val="00933571"/>
    <w:rsid w:val="009335BB"/>
    <w:rsid w:val="00933728"/>
    <w:rsid w:val="00933800"/>
    <w:rsid w:val="0093385F"/>
    <w:rsid w:val="0093398D"/>
    <w:rsid w:val="00933BD2"/>
    <w:rsid w:val="00933C50"/>
    <w:rsid w:val="00933D4A"/>
    <w:rsid w:val="00933DC5"/>
    <w:rsid w:val="00933EE3"/>
    <w:rsid w:val="00933F28"/>
    <w:rsid w:val="00933F9E"/>
    <w:rsid w:val="0093417C"/>
    <w:rsid w:val="009341BF"/>
    <w:rsid w:val="00934479"/>
    <w:rsid w:val="009344DE"/>
    <w:rsid w:val="009347BD"/>
    <w:rsid w:val="00934884"/>
    <w:rsid w:val="00934A99"/>
    <w:rsid w:val="00934B1F"/>
    <w:rsid w:val="00934B60"/>
    <w:rsid w:val="00934CA0"/>
    <w:rsid w:val="00934CDD"/>
    <w:rsid w:val="00934D6D"/>
    <w:rsid w:val="00934FAF"/>
    <w:rsid w:val="0093500D"/>
    <w:rsid w:val="0093507D"/>
    <w:rsid w:val="0093510F"/>
    <w:rsid w:val="009351B3"/>
    <w:rsid w:val="009352E0"/>
    <w:rsid w:val="0093532E"/>
    <w:rsid w:val="0093540D"/>
    <w:rsid w:val="00935525"/>
    <w:rsid w:val="0093562C"/>
    <w:rsid w:val="00935B65"/>
    <w:rsid w:val="00935CC9"/>
    <w:rsid w:val="00935CDE"/>
    <w:rsid w:val="00935DAE"/>
    <w:rsid w:val="00935DC2"/>
    <w:rsid w:val="00935E28"/>
    <w:rsid w:val="00935F3B"/>
    <w:rsid w:val="0093606D"/>
    <w:rsid w:val="00936072"/>
    <w:rsid w:val="0093609E"/>
    <w:rsid w:val="009360A0"/>
    <w:rsid w:val="00936164"/>
    <w:rsid w:val="0093635F"/>
    <w:rsid w:val="00936434"/>
    <w:rsid w:val="00936584"/>
    <w:rsid w:val="00936585"/>
    <w:rsid w:val="00936587"/>
    <w:rsid w:val="00936789"/>
    <w:rsid w:val="009368AD"/>
    <w:rsid w:val="00936909"/>
    <w:rsid w:val="009369E8"/>
    <w:rsid w:val="00936AF8"/>
    <w:rsid w:val="00936DB2"/>
    <w:rsid w:val="00936E6A"/>
    <w:rsid w:val="00936EBD"/>
    <w:rsid w:val="00936FFB"/>
    <w:rsid w:val="0093701D"/>
    <w:rsid w:val="00937113"/>
    <w:rsid w:val="0093715B"/>
    <w:rsid w:val="00937231"/>
    <w:rsid w:val="009372E8"/>
    <w:rsid w:val="009378EE"/>
    <w:rsid w:val="00937B83"/>
    <w:rsid w:val="00937C49"/>
    <w:rsid w:val="00937E46"/>
    <w:rsid w:val="00937E47"/>
    <w:rsid w:val="00937EC4"/>
    <w:rsid w:val="00937FAC"/>
    <w:rsid w:val="0094005C"/>
    <w:rsid w:val="009400B3"/>
    <w:rsid w:val="0094019D"/>
    <w:rsid w:val="009401AD"/>
    <w:rsid w:val="009401CA"/>
    <w:rsid w:val="0094024E"/>
    <w:rsid w:val="00940280"/>
    <w:rsid w:val="009402A5"/>
    <w:rsid w:val="009402C1"/>
    <w:rsid w:val="009402DD"/>
    <w:rsid w:val="009403B0"/>
    <w:rsid w:val="009404EB"/>
    <w:rsid w:val="00940536"/>
    <w:rsid w:val="00940538"/>
    <w:rsid w:val="0094055A"/>
    <w:rsid w:val="00940616"/>
    <w:rsid w:val="00940780"/>
    <w:rsid w:val="009407C6"/>
    <w:rsid w:val="00940831"/>
    <w:rsid w:val="009409F6"/>
    <w:rsid w:val="00940A9F"/>
    <w:rsid w:val="00940AD7"/>
    <w:rsid w:val="00940B00"/>
    <w:rsid w:val="00940BA3"/>
    <w:rsid w:val="00940BCB"/>
    <w:rsid w:val="00940CCD"/>
    <w:rsid w:val="00940CD0"/>
    <w:rsid w:val="00940D7F"/>
    <w:rsid w:val="00940F1C"/>
    <w:rsid w:val="00940F75"/>
    <w:rsid w:val="009410F2"/>
    <w:rsid w:val="00941178"/>
    <w:rsid w:val="0094117F"/>
    <w:rsid w:val="009411A0"/>
    <w:rsid w:val="00941332"/>
    <w:rsid w:val="00941459"/>
    <w:rsid w:val="0094149B"/>
    <w:rsid w:val="00941525"/>
    <w:rsid w:val="00941667"/>
    <w:rsid w:val="009416E6"/>
    <w:rsid w:val="00941719"/>
    <w:rsid w:val="009417B3"/>
    <w:rsid w:val="009417BD"/>
    <w:rsid w:val="009419BD"/>
    <w:rsid w:val="00941AE6"/>
    <w:rsid w:val="00941D4B"/>
    <w:rsid w:val="00941EC2"/>
    <w:rsid w:val="00941F4C"/>
    <w:rsid w:val="00942077"/>
    <w:rsid w:val="009420DD"/>
    <w:rsid w:val="009423AD"/>
    <w:rsid w:val="0094254D"/>
    <w:rsid w:val="009427BA"/>
    <w:rsid w:val="00942A06"/>
    <w:rsid w:val="00942BE7"/>
    <w:rsid w:val="00942C11"/>
    <w:rsid w:val="00942F02"/>
    <w:rsid w:val="00942F12"/>
    <w:rsid w:val="00942F7B"/>
    <w:rsid w:val="009431AD"/>
    <w:rsid w:val="0094324A"/>
    <w:rsid w:val="009433B8"/>
    <w:rsid w:val="00943515"/>
    <w:rsid w:val="0094351F"/>
    <w:rsid w:val="00943553"/>
    <w:rsid w:val="009436D1"/>
    <w:rsid w:val="009437AC"/>
    <w:rsid w:val="009437B7"/>
    <w:rsid w:val="0094388C"/>
    <w:rsid w:val="00943A64"/>
    <w:rsid w:val="00943A76"/>
    <w:rsid w:val="00943C1E"/>
    <w:rsid w:val="00943CD6"/>
    <w:rsid w:val="00943D57"/>
    <w:rsid w:val="00943DE3"/>
    <w:rsid w:val="00943EBA"/>
    <w:rsid w:val="00943EC1"/>
    <w:rsid w:val="00943EFE"/>
    <w:rsid w:val="00943F01"/>
    <w:rsid w:val="00943F84"/>
    <w:rsid w:val="00943FDE"/>
    <w:rsid w:val="009441F9"/>
    <w:rsid w:val="0094420F"/>
    <w:rsid w:val="0094425D"/>
    <w:rsid w:val="009442CC"/>
    <w:rsid w:val="009442E0"/>
    <w:rsid w:val="0094444A"/>
    <w:rsid w:val="0094446F"/>
    <w:rsid w:val="0094452E"/>
    <w:rsid w:val="0094477F"/>
    <w:rsid w:val="009448C8"/>
    <w:rsid w:val="00944904"/>
    <w:rsid w:val="00944A29"/>
    <w:rsid w:val="00944B46"/>
    <w:rsid w:val="00944B47"/>
    <w:rsid w:val="00944CD0"/>
    <w:rsid w:val="00944CDA"/>
    <w:rsid w:val="00944CE3"/>
    <w:rsid w:val="00944E53"/>
    <w:rsid w:val="00944F07"/>
    <w:rsid w:val="00944F61"/>
    <w:rsid w:val="00944FAF"/>
    <w:rsid w:val="009451B2"/>
    <w:rsid w:val="009451CE"/>
    <w:rsid w:val="0094554D"/>
    <w:rsid w:val="00945991"/>
    <w:rsid w:val="009459C5"/>
    <w:rsid w:val="00945D5F"/>
    <w:rsid w:val="00945F91"/>
    <w:rsid w:val="009460B1"/>
    <w:rsid w:val="00946143"/>
    <w:rsid w:val="0094614D"/>
    <w:rsid w:val="00946211"/>
    <w:rsid w:val="00946355"/>
    <w:rsid w:val="0094636B"/>
    <w:rsid w:val="009463AB"/>
    <w:rsid w:val="00946496"/>
    <w:rsid w:val="00946557"/>
    <w:rsid w:val="00946560"/>
    <w:rsid w:val="00946606"/>
    <w:rsid w:val="009466AE"/>
    <w:rsid w:val="009467A4"/>
    <w:rsid w:val="0094682E"/>
    <w:rsid w:val="00946915"/>
    <w:rsid w:val="00946968"/>
    <w:rsid w:val="00946A1F"/>
    <w:rsid w:val="00946BC3"/>
    <w:rsid w:val="009470A4"/>
    <w:rsid w:val="009472C3"/>
    <w:rsid w:val="009473A4"/>
    <w:rsid w:val="009473C9"/>
    <w:rsid w:val="00947477"/>
    <w:rsid w:val="00947636"/>
    <w:rsid w:val="009476AE"/>
    <w:rsid w:val="0094775C"/>
    <w:rsid w:val="009477AB"/>
    <w:rsid w:val="00947969"/>
    <w:rsid w:val="009479BE"/>
    <w:rsid w:val="009479D5"/>
    <w:rsid w:val="009479D9"/>
    <w:rsid w:val="00947A0C"/>
    <w:rsid w:val="00947AAD"/>
    <w:rsid w:val="00947DB6"/>
    <w:rsid w:val="00947E64"/>
    <w:rsid w:val="00947FB5"/>
    <w:rsid w:val="00950121"/>
    <w:rsid w:val="0095013B"/>
    <w:rsid w:val="009501F2"/>
    <w:rsid w:val="0095039E"/>
    <w:rsid w:val="00950568"/>
    <w:rsid w:val="009505D8"/>
    <w:rsid w:val="00950624"/>
    <w:rsid w:val="00950773"/>
    <w:rsid w:val="0095088F"/>
    <w:rsid w:val="009508BB"/>
    <w:rsid w:val="00950908"/>
    <w:rsid w:val="00950958"/>
    <w:rsid w:val="00950A62"/>
    <w:rsid w:val="00950A6E"/>
    <w:rsid w:val="00950BE4"/>
    <w:rsid w:val="00950BF5"/>
    <w:rsid w:val="00950C9F"/>
    <w:rsid w:val="00950EB5"/>
    <w:rsid w:val="00950EE6"/>
    <w:rsid w:val="00950F9C"/>
    <w:rsid w:val="00950FFE"/>
    <w:rsid w:val="0095100E"/>
    <w:rsid w:val="0095112E"/>
    <w:rsid w:val="009511AC"/>
    <w:rsid w:val="009511C2"/>
    <w:rsid w:val="009512D4"/>
    <w:rsid w:val="0095139C"/>
    <w:rsid w:val="009514A6"/>
    <w:rsid w:val="0095169F"/>
    <w:rsid w:val="00951B5A"/>
    <w:rsid w:val="00951B86"/>
    <w:rsid w:val="00951BF9"/>
    <w:rsid w:val="00951C67"/>
    <w:rsid w:val="00951D04"/>
    <w:rsid w:val="00951D42"/>
    <w:rsid w:val="00951D70"/>
    <w:rsid w:val="00951F08"/>
    <w:rsid w:val="009521BB"/>
    <w:rsid w:val="009521CE"/>
    <w:rsid w:val="0095235F"/>
    <w:rsid w:val="00952424"/>
    <w:rsid w:val="0095250C"/>
    <w:rsid w:val="009527BF"/>
    <w:rsid w:val="0095280D"/>
    <w:rsid w:val="00952AC7"/>
    <w:rsid w:val="00952C48"/>
    <w:rsid w:val="00952CA9"/>
    <w:rsid w:val="00952D1C"/>
    <w:rsid w:val="00952ECD"/>
    <w:rsid w:val="00952F40"/>
    <w:rsid w:val="00953014"/>
    <w:rsid w:val="00953169"/>
    <w:rsid w:val="009531F2"/>
    <w:rsid w:val="009531FC"/>
    <w:rsid w:val="009533FF"/>
    <w:rsid w:val="009534B7"/>
    <w:rsid w:val="00953562"/>
    <w:rsid w:val="00953587"/>
    <w:rsid w:val="00953734"/>
    <w:rsid w:val="00953771"/>
    <w:rsid w:val="009538DF"/>
    <w:rsid w:val="00953AE0"/>
    <w:rsid w:val="00953AF2"/>
    <w:rsid w:val="00953CFA"/>
    <w:rsid w:val="00953E77"/>
    <w:rsid w:val="00953E7B"/>
    <w:rsid w:val="00953F94"/>
    <w:rsid w:val="009540B4"/>
    <w:rsid w:val="009540EE"/>
    <w:rsid w:val="00954128"/>
    <w:rsid w:val="0095421E"/>
    <w:rsid w:val="00954296"/>
    <w:rsid w:val="00954364"/>
    <w:rsid w:val="00954379"/>
    <w:rsid w:val="00954387"/>
    <w:rsid w:val="009543C8"/>
    <w:rsid w:val="009544F0"/>
    <w:rsid w:val="0095450D"/>
    <w:rsid w:val="0095454B"/>
    <w:rsid w:val="00954552"/>
    <w:rsid w:val="00954719"/>
    <w:rsid w:val="009547F8"/>
    <w:rsid w:val="00954977"/>
    <w:rsid w:val="00954996"/>
    <w:rsid w:val="00954A01"/>
    <w:rsid w:val="00954B69"/>
    <w:rsid w:val="00954C6A"/>
    <w:rsid w:val="00954D11"/>
    <w:rsid w:val="00954D2F"/>
    <w:rsid w:val="00954D67"/>
    <w:rsid w:val="00954FDA"/>
    <w:rsid w:val="00955008"/>
    <w:rsid w:val="0095514C"/>
    <w:rsid w:val="00955170"/>
    <w:rsid w:val="00955174"/>
    <w:rsid w:val="00955224"/>
    <w:rsid w:val="009552AE"/>
    <w:rsid w:val="00955450"/>
    <w:rsid w:val="0095547D"/>
    <w:rsid w:val="0095553C"/>
    <w:rsid w:val="00955555"/>
    <w:rsid w:val="00955658"/>
    <w:rsid w:val="00955821"/>
    <w:rsid w:val="00955894"/>
    <w:rsid w:val="00955AFB"/>
    <w:rsid w:val="00955B8F"/>
    <w:rsid w:val="00955CA6"/>
    <w:rsid w:val="00955CAD"/>
    <w:rsid w:val="00955CD2"/>
    <w:rsid w:val="00955D3A"/>
    <w:rsid w:val="00955D94"/>
    <w:rsid w:val="00955E2B"/>
    <w:rsid w:val="00955EC0"/>
    <w:rsid w:val="00955EDC"/>
    <w:rsid w:val="00955FAC"/>
    <w:rsid w:val="0095613B"/>
    <w:rsid w:val="009563C7"/>
    <w:rsid w:val="00956535"/>
    <w:rsid w:val="0095681F"/>
    <w:rsid w:val="00956A16"/>
    <w:rsid w:val="00956A74"/>
    <w:rsid w:val="00956ABF"/>
    <w:rsid w:val="00956BEA"/>
    <w:rsid w:val="00956D42"/>
    <w:rsid w:val="00956D93"/>
    <w:rsid w:val="00956E95"/>
    <w:rsid w:val="00956FA3"/>
    <w:rsid w:val="0095718C"/>
    <w:rsid w:val="009571E2"/>
    <w:rsid w:val="00957207"/>
    <w:rsid w:val="0095734B"/>
    <w:rsid w:val="009573F9"/>
    <w:rsid w:val="009574C8"/>
    <w:rsid w:val="00957566"/>
    <w:rsid w:val="009575FF"/>
    <w:rsid w:val="00957694"/>
    <w:rsid w:val="009576D7"/>
    <w:rsid w:val="00957823"/>
    <w:rsid w:val="00957944"/>
    <w:rsid w:val="00957A2B"/>
    <w:rsid w:val="00957B4E"/>
    <w:rsid w:val="00957BB3"/>
    <w:rsid w:val="00957DA9"/>
    <w:rsid w:val="00957E43"/>
    <w:rsid w:val="00957ECA"/>
    <w:rsid w:val="00957F2D"/>
    <w:rsid w:val="00957F88"/>
    <w:rsid w:val="00957FC8"/>
    <w:rsid w:val="00960233"/>
    <w:rsid w:val="0096026F"/>
    <w:rsid w:val="009602DD"/>
    <w:rsid w:val="0096033C"/>
    <w:rsid w:val="0096042B"/>
    <w:rsid w:val="0096056C"/>
    <w:rsid w:val="009605B4"/>
    <w:rsid w:val="00960886"/>
    <w:rsid w:val="0096089E"/>
    <w:rsid w:val="009608F7"/>
    <w:rsid w:val="00960C2E"/>
    <w:rsid w:val="00960D4F"/>
    <w:rsid w:val="00960EEB"/>
    <w:rsid w:val="00960FC0"/>
    <w:rsid w:val="00961043"/>
    <w:rsid w:val="0096117A"/>
    <w:rsid w:val="009611FC"/>
    <w:rsid w:val="009612A7"/>
    <w:rsid w:val="00961340"/>
    <w:rsid w:val="0096138E"/>
    <w:rsid w:val="009613C1"/>
    <w:rsid w:val="009613FA"/>
    <w:rsid w:val="009614B0"/>
    <w:rsid w:val="0096164B"/>
    <w:rsid w:val="00961654"/>
    <w:rsid w:val="00961795"/>
    <w:rsid w:val="00961873"/>
    <w:rsid w:val="0096191E"/>
    <w:rsid w:val="009619C1"/>
    <w:rsid w:val="009619F2"/>
    <w:rsid w:val="00961C00"/>
    <w:rsid w:val="00961C0E"/>
    <w:rsid w:val="00961C81"/>
    <w:rsid w:val="00961CFE"/>
    <w:rsid w:val="00961E30"/>
    <w:rsid w:val="00961F45"/>
    <w:rsid w:val="00962249"/>
    <w:rsid w:val="009622BE"/>
    <w:rsid w:val="00962358"/>
    <w:rsid w:val="00962375"/>
    <w:rsid w:val="00962549"/>
    <w:rsid w:val="00962626"/>
    <w:rsid w:val="00962797"/>
    <w:rsid w:val="009627E4"/>
    <w:rsid w:val="009627E7"/>
    <w:rsid w:val="0096280C"/>
    <w:rsid w:val="00962A71"/>
    <w:rsid w:val="00962ACF"/>
    <w:rsid w:val="00962B8C"/>
    <w:rsid w:val="00962BB6"/>
    <w:rsid w:val="00962BBE"/>
    <w:rsid w:val="00962DD7"/>
    <w:rsid w:val="00962EEF"/>
    <w:rsid w:val="00962FFF"/>
    <w:rsid w:val="009630AD"/>
    <w:rsid w:val="0096321D"/>
    <w:rsid w:val="009632F3"/>
    <w:rsid w:val="00963375"/>
    <w:rsid w:val="00963385"/>
    <w:rsid w:val="009634D1"/>
    <w:rsid w:val="00963760"/>
    <w:rsid w:val="00963849"/>
    <w:rsid w:val="009638B7"/>
    <w:rsid w:val="009639C2"/>
    <w:rsid w:val="00963A85"/>
    <w:rsid w:val="00963CD6"/>
    <w:rsid w:val="00963EB3"/>
    <w:rsid w:val="00963F20"/>
    <w:rsid w:val="00963FB6"/>
    <w:rsid w:val="00964023"/>
    <w:rsid w:val="00964112"/>
    <w:rsid w:val="009643F1"/>
    <w:rsid w:val="009643FE"/>
    <w:rsid w:val="00964460"/>
    <w:rsid w:val="0096448B"/>
    <w:rsid w:val="0096465D"/>
    <w:rsid w:val="00964666"/>
    <w:rsid w:val="0096471B"/>
    <w:rsid w:val="009647F8"/>
    <w:rsid w:val="00964805"/>
    <w:rsid w:val="009648E7"/>
    <w:rsid w:val="009649A0"/>
    <w:rsid w:val="00964A14"/>
    <w:rsid w:val="00964C9D"/>
    <w:rsid w:val="00964DBA"/>
    <w:rsid w:val="00964F9D"/>
    <w:rsid w:val="0096515B"/>
    <w:rsid w:val="0096528C"/>
    <w:rsid w:val="009652B3"/>
    <w:rsid w:val="0096532E"/>
    <w:rsid w:val="0096536D"/>
    <w:rsid w:val="00965462"/>
    <w:rsid w:val="00965546"/>
    <w:rsid w:val="009655EA"/>
    <w:rsid w:val="009655F2"/>
    <w:rsid w:val="00965625"/>
    <w:rsid w:val="0096564F"/>
    <w:rsid w:val="00965652"/>
    <w:rsid w:val="0096567A"/>
    <w:rsid w:val="00965749"/>
    <w:rsid w:val="009657CC"/>
    <w:rsid w:val="00965847"/>
    <w:rsid w:val="00965B59"/>
    <w:rsid w:val="00965B82"/>
    <w:rsid w:val="00965BE8"/>
    <w:rsid w:val="00965C71"/>
    <w:rsid w:val="00965DCF"/>
    <w:rsid w:val="00965E2B"/>
    <w:rsid w:val="00965E5D"/>
    <w:rsid w:val="00965FB7"/>
    <w:rsid w:val="0096611D"/>
    <w:rsid w:val="009662F2"/>
    <w:rsid w:val="009663BF"/>
    <w:rsid w:val="0096649B"/>
    <w:rsid w:val="0096653A"/>
    <w:rsid w:val="009665A9"/>
    <w:rsid w:val="00966627"/>
    <w:rsid w:val="00966664"/>
    <w:rsid w:val="009666FA"/>
    <w:rsid w:val="009669BE"/>
    <w:rsid w:val="00966AF0"/>
    <w:rsid w:val="00966B3A"/>
    <w:rsid w:val="00966B50"/>
    <w:rsid w:val="00966D15"/>
    <w:rsid w:val="00966F54"/>
    <w:rsid w:val="0096713D"/>
    <w:rsid w:val="00967214"/>
    <w:rsid w:val="009672E1"/>
    <w:rsid w:val="00967317"/>
    <w:rsid w:val="009674BC"/>
    <w:rsid w:val="009674E2"/>
    <w:rsid w:val="00967589"/>
    <w:rsid w:val="00967595"/>
    <w:rsid w:val="00967597"/>
    <w:rsid w:val="009675A9"/>
    <w:rsid w:val="00967647"/>
    <w:rsid w:val="00967677"/>
    <w:rsid w:val="009676F6"/>
    <w:rsid w:val="00967707"/>
    <w:rsid w:val="0096771E"/>
    <w:rsid w:val="009677B7"/>
    <w:rsid w:val="0096794D"/>
    <w:rsid w:val="00967995"/>
    <w:rsid w:val="00967A88"/>
    <w:rsid w:val="00967B20"/>
    <w:rsid w:val="00967CA6"/>
    <w:rsid w:val="00967E08"/>
    <w:rsid w:val="00967F65"/>
    <w:rsid w:val="00967FF1"/>
    <w:rsid w:val="009704FE"/>
    <w:rsid w:val="00970659"/>
    <w:rsid w:val="0097090D"/>
    <w:rsid w:val="009709ED"/>
    <w:rsid w:val="009709F1"/>
    <w:rsid w:val="00970A02"/>
    <w:rsid w:val="00970B3F"/>
    <w:rsid w:val="00970FD5"/>
    <w:rsid w:val="00971225"/>
    <w:rsid w:val="00971246"/>
    <w:rsid w:val="0097128F"/>
    <w:rsid w:val="0097146D"/>
    <w:rsid w:val="009714D9"/>
    <w:rsid w:val="00971644"/>
    <w:rsid w:val="00971871"/>
    <w:rsid w:val="009718D7"/>
    <w:rsid w:val="00971C73"/>
    <w:rsid w:val="00971CC4"/>
    <w:rsid w:val="00971E39"/>
    <w:rsid w:val="00971ED4"/>
    <w:rsid w:val="00971F44"/>
    <w:rsid w:val="00971FF7"/>
    <w:rsid w:val="00972083"/>
    <w:rsid w:val="00972129"/>
    <w:rsid w:val="00972224"/>
    <w:rsid w:val="009722DF"/>
    <w:rsid w:val="0097240C"/>
    <w:rsid w:val="0097255E"/>
    <w:rsid w:val="00972617"/>
    <w:rsid w:val="00972653"/>
    <w:rsid w:val="009727E2"/>
    <w:rsid w:val="009727E9"/>
    <w:rsid w:val="009728CD"/>
    <w:rsid w:val="00972976"/>
    <w:rsid w:val="009729AF"/>
    <w:rsid w:val="009729D4"/>
    <w:rsid w:val="009729FB"/>
    <w:rsid w:val="00972AF1"/>
    <w:rsid w:val="00972B1C"/>
    <w:rsid w:val="00972CBE"/>
    <w:rsid w:val="00973038"/>
    <w:rsid w:val="009730E2"/>
    <w:rsid w:val="009732CE"/>
    <w:rsid w:val="00973304"/>
    <w:rsid w:val="0097345E"/>
    <w:rsid w:val="0097347B"/>
    <w:rsid w:val="009734A9"/>
    <w:rsid w:val="009736CD"/>
    <w:rsid w:val="00973737"/>
    <w:rsid w:val="0097385A"/>
    <w:rsid w:val="009738DC"/>
    <w:rsid w:val="00973984"/>
    <w:rsid w:val="009739B0"/>
    <w:rsid w:val="00973AAD"/>
    <w:rsid w:val="00973BB2"/>
    <w:rsid w:val="00973C27"/>
    <w:rsid w:val="00973D83"/>
    <w:rsid w:val="00973E29"/>
    <w:rsid w:val="00973F3E"/>
    <w:rsid w:val="0097414F"/>
    <w:rsid w:val="0097419A"/>
    <w:rsid w:val="00974211"/>
    <w:rsid w:val="00974228"/>
    <w:rsid w:val="00974301"/>
    <w:rsid w:val="00974650"/>
    <w:rsid w:val="009747BD"/>
    <w:rsid w:val="009748A4"/>
    <w:rsid w:val="00974929"/>
    <w:rsid w:val="00974A31"/>
    <w:rsid w:val="00974A76"/>
    <w:rsid w:val="00974ADF"/>
    <w:rsid w:val="00974B84"/>
    <w:rsid w:val="00974BF1"/>
    <w:rsid w:val="00974D01"/>
    <w:rsid w:val="00974DEA"/>
    <w:rsid w:val="00974DF9"/>
    <w:rsid w:val="00974F23"/>
    <w:rsid w:val="00974F32"/>
    <w:rsid w:val="00975091"/>
    <w:rsid w:val="0097509A"/>
    <w:rsid w:val="009751C8"/>
    <w:rsid w:val="00975255"/>
    <w:rsid w:val="009752B6"/>
    <w:rsid w:val="009753B5"/>
    <w:rsid w:val="009753E7"/>
    <w:rsid w:val="00975546"/>
    <w:rsid w:val="009755C9"/>
    <w:rsid w:val="009757A8"/>
    <w:rsid w:val="0097588E"/>
    <w:rsid w:val="009758EA"/>
    <w:rsid w:val="00975965"/>
    <w:rsid w:val="00975BD1"/>
    <w:rsid w:val="00975BF5"/>
    <w:rsid w:val="00975C05"/>
    <w:rsid w:val="00975D2A"/>
    <w:rsid w:val="00975E92"/>
    <w:rsid w:val="00975F75"/>
    <w:rsid w:val="00976152"/>
    <w:rsid w:val="00976188"/>
    <w:rsid w:val="00976331"/>
    <w:rsid w:val="00976423"/>
    <w:rsid w:val="00976550"/>
    <w:rsid w:val="00976627"/>
    <w:rsid w:val="009766D7"/>
    <w:rsid w:val="00976886"/>
    <w:rsid w:val="0097691A"/>
    <w:rsid w:val="00976945"/>
    <w:rsid w:val="00976984"/>
    <w:rsid w:val="00976B08"/>
    <w:rsid w:val="00976B3F"/>
    <w:rsid w:val="00976B89"/>
    <w:rsid w:val="00976D8E"/>
    <w:rsid w:val="009770E0"/>
    <w:rsid w:val="00977218"/>
    <w:rsid w:val="00977282"/>
    <w:rsid w:val="009772CC"/>
    <w:rsid w:val="00977367"/>
    <w:rsid w:val="00977396"/>
    <w:rsid w:val="0097767E"/>
    <w:rsid w:val="009777CB"/>
    <w:rsid w:val="009778AF"/>
    <w:rsid w:val="00977A61"/>
    <w:rsid w:val="00977B37"/>
    <w:rsid w:val="00977DAF"/>
    <w:rsid w:val="00977DC5"/>
    <w:rsid w:val="00977E6C"/>
    <w:rsid w:val="00977EF4"/>
    <w:rsid w:val="00977FC5"/>
    <w:rsid w:val="00980015"/>
    <w:rsid w:val="0098003D"/>
    <w:rsid w:val="009801BC"/>
    <w:rsid w:val="00980228"/>
    <w:rsid w:val="009802C2"/>
    <w:rsid w:val="009802FA"/>
    <w:rsid w:val="0098035B"/>
    <w:rsid w:val="0098040B"/>
    <w:rsid w:val="0098057F"/>
    <w:rsid w:val="00980717"/>
    <w:rsid w:val="00980759"/>
    <w:rsid w:val="00980790"/>
    <w:rsid w:val="009809E2"/>
    <w:rsid w:val="00980A6A"/>
    <w:rsid w:val="00980A99"/>
    <w:rsid w:val="00980AD9"/>
    <w:rsid w:val="00980BF3"/>
    <w:rsid w:val="00980CCB"/>
    <w:rsid w:val="00980CD1"/>
    <w:rsid w:val="00980D87"/>
    <w:rsid w:val="00980EFF"/>
    <w:rsid w:val="00980F81"/>
    <w:rsid w:val="00980FBF"/>
    <w:rsid w:val="00980FDC"/>
    <w:rsid w:val="00980FFF"/>
    <w:rsid w:val="00981064"/>
    <w:rsid w:val="00981175"/>
    <w:rsid w:val="00981233"/>
    <w:rsid w:val="00981366"/>
    <w:rsid w:val="009814BF"/>
    <w:rsid w:val="0098152B"/>
    <w:rsid w:val="00981596"/>
    <w:rsid w:val="00981750"/>
    <w:rsid w:val="009817B0"/>
    <w:rsid w:val="00981864"/>
    <w:rsid w:val="0098186D"/>
    <w:rsid w:val="00981B32"/>
    <w:rsid w:val="00981CE3"/>
    <w:rsid w:val="00981DC9"/>
    <w:rsid w:val="00981DDE"/>
    <w:rsid w:val="00981FA4"/>
    <w:rsid w:val="0098209E"/>
    <w:rsid w:val="009821C9"/>
    <w:rsid w:val="009821CE"/>
    <w:rsid w:val="00982277"/>
    <w:rsid w:val="00982295"/>
    <w:rsid w:val="0098231F"/>
    <w:rsid w:val="00982341"/>
    <w:rsid w:val="00982345"/>
    <w:rsid w:val="00982608"/>
    <w:rsid w:val="0098271D"/>
    <w:rsid w:val="00982759"/>
    <w:rsid w:val="00982818"/>
    <w:rsid w:val="0098283D"/>
    <w:rsid w:val="00982904"/>
    <w:rsid w:val="0098291F"/>
    <w:rsid w:val="0098299B"/>
    <w:rsid w:val="009829E8"/>
    <w:rsid w:val="00982A39"/>
    <w:rsid w:val="00982AFD"/>
    <w:rsid w:val="00982B45"/>
    <w:rsid w:val="00982BE2"/>
    <w:rsid w:val="00982DC3"/>
    <w:rsid w:val="00982DDA"/>
    <w:rsid w:val="00982F69"/>
    <w:rsid w:val="00982FA7"/>
    <w:rsid w:val="0098304D"/>
    <w:rsid w:val="009830B7"/>
    <w:rsid w:val="009831FF"/>
    <w:rsid w:val="00983205"/>
    <w:rsid w:val="009832BA"/>
    <w:rsid w:val="009832E0"/>
    <w:rsid w:val="00983349"/>
    <w:rsid w:val="0098339A"/>
    <w:rsid w:val="009833AD"/>
    <w:rsid w:val="00983572"/>
    <w:rsid w:val="009835BC"/>
    <w:rsid w:val="00983610"/>
    <w:rsid w:val="00983733"/>
    <w:rsid w:val="00983776"/>
    <w:rsid w:val="00983786"/>
    <w:rsid w:val="009837B9"/>
    <w:rsid w:val="009837E5"/>
    <w:rsid w:val="009837ED"/>
    <w:rsid w:val="0098381A"/>
    <w:rsid w:val="00983969"/>
    <w:rsid w:val="00983ADC"/>
    <w:rsid w:val="00983B4E"/>
    <w:rsid w:val="00983BAE"/>
    <w:rsid w:val="00983BE9"/>
    <w:rsid w:val="00983C2C"/>
    <w:rsid w:val="00983C9C"/>
    <w:rsid w:val="00983E42"/>
    <w:rsid w:val="00983F99"/>
    <w:rsid w:val="00983FF8"/>
    <w:rsid w:val="009842D5"/>
    <w:rsid w:val="00984320"/>
    <w:rsid w:val="00984357"/>
    <w:rsid w:val="009843E0"/>
    <w:rsid w:val="009843FC"/>
    <w:rsid w:val="00984448"/>
    <w:rsid w:val="0098444E"/>
    <w:rsid w:val="009844AB"/>
    <w:rsid w:val="0098452F"/>
    <w:rsid w:val="0098468C"/>
    <w:rsid w:val="009848AA"/>
    <w:rsid w:val="00984935"/>
    <w:rsid w:val="00984A29"/>
    <w:rsid w:val="00984B04"/>
    <w:rsid w:val="00984BD2"/>
    <w:rsid w:val="00984BFD"/>
    <w:rsid w:val="00984CF7"/>
    <w:rsid w:val="00984DFB"/>
    <w:rsid w:val="00984E31"/>
    <w:rsid w:val="00984EC3"/>
    <w:rsid w:val="0098502B"/>
    <w:rsid w:val="0098515C"/>
    <w:rsid w:val="009851C3"/>
    <w:rsid w:val="0098521C"/>
    <w:rsid w:val="00985222"/>
    <w:rsid w:val="009853FD"/>
    <w:rsid w:val="00985448"/>
    <w:rsid w:val="00985572"/>
    <w:rsid w:val="009856B9"/>
    <w:rsid w:val="00985891"/>
    <w:rsid w:val="00985897"/>
    <w:rsid w:val="00985A31"/>
    <w:rsid w:val="00985B42"/>
    <w:rsid w:val="00985B93"/>
    <w:rsid w:val="00985C1D"/>
    <w:rsid w:val="00985DC9"/>
    <w:rsid w:val="00985F7A"/>
    <w:rsid w:val="009860B4"/>
    <w:rsid w:val="00986239"/>
    <w:rsid w:val="0098629E"/>
    <w:rsid w:val="009862B0"/>
    <w:rsid w:val="00986362"/>
    <w:rsid w:val="009864FF"/>
    <w:rsid w:val="009865B0"/>
    <w:rsid w:val="009867B8"/>
    <w:rsid w:val="0098695A"/>
    <w:rsid w:val="009869D9"/>
    <w:rsid w:val="00986A25"/>
    <w:rsid w:val="00986A4D"/>
    <w:rsid w:val="00986B45"/>
    <w:rsid w:val="00986CBD"/>
    <w:rsid w:val="00986D14"/>
    <w:rsid w:val="00986D92"/>
    <w:rsid w:val="00986DFD"/>
    <w:rsid w:val="00986E65"/>
    <w:rsid w:val="00986F11"/>
    <w:rsid w:val="00986F72"/>
    <w:rsid w:val="00986F7F"/>
    <w:rsid w:val="00986F94"/>
    <w:rsid w:val="0098705F"/>
    <w:rsid w:val="009870E3"/>
    <w:rsid w:val="00987168"/>
    <w:rsid w:val="00987211"/>
    <w:rsid w:val="009872F5"/>
    <w:rsid w:val="00987378"/>
    <w:rsid w:val="0098737E"/>
    <w:rsid w:val="00987446"/>
    <w:rsid w:val="009874A1"/>
    <w:rsid w:val="00987639"/>
    <w:rsid w:val="009876BE"/>
    <w:rsid w:val="009876E4"/>
    <w:rsid w:val="0098782C"/>
    <w:rsid w:val="0098791D"/>
    <w:rsid w:val="00987A36"/>
    <w:rsid w:val="00987AA9"/>
    <w:rsid w:val="00987ACD"/>
    <w:rsid w:val="00987E01"/>
    <w:rsid w:val="00987E16"/>
    <w:rsid w:val="00987E31"/>
    <w:rsid w:val="00987EED"/>
    <w:rsid w:val="00987F48"/>
    <w:rsid w:val="00987F8D"/>
    <w:rsid w:val="0099018F"/>
    <w:rsid w:val="009901B1"/>
    <w:rsid w:val="009902AD"/>
    <w:rsid w:val="0099030B"/>
    <w:rsid w:val="0099041A"/>
    <w:rsid w:val="0099070E"/>
    <w:rsid w:val="00990ACD"/>
    <w:rsid w:val="00990B24"/>
    <w:rsid w:val="00990BE3"/>
    <w:rsid w:val="00990CD7"/>
    <w:rsid w:val="00990F78"/>
    <w:rsid w:val="0099107E"/>
    <w:rsid w:val="0099109D"/>
    <w:rsid w:val="009910FC"/>
    <w:rsid w:val="0099113F"/>
    <w:rsid w:val="009911C7"/>
    <w:rsid w:val="00991236"/>
    <w:rsid w:val="00991338"/>
    <w:rsid w:val="009915A6"/>
    <w:rsid w:val="009916A4"/>
    <w:rsid w:val="009916E9"/>
    <w:rsid w:val="009917B6"/>
    <w:rsid w:val="009917C9"/>
    <w:rsid w:val="0099187E"/>
    <w:rsid w:val="00991899"/>
    <w:rsid w:val="009918CF"/>
    <w:rsid w:val="0099196E"/>
    <w:rsid w:val="00991BA6"/>
    <w:rsid w:val="00991C06"/>
    <w:rsid w:val="00991C0E"/>
    <w:rsid w:val="00991CA7"/>
    <w:rsid w:val="00991F44"/>
    <w:rsid w:val="00991F83"/>
    <w:rsid w:val="00992022"/>
    <w:rsid w:val="00992295"/>
    <w:rsid w:val="009922E5"/>
    <w:rsid w:val="00992372"/>
    <w:rsid w:val="00992398"/>
    <w:rsid w:val="00992479"/>
    <w:rsid w:val="009924AA"/>
    <w:rsid w:val="009927FF"/>
    <w:rsid w:val="00992815"/>
    <w:rsid w:val="00992889"/>
    <w:rsid w:val="00992890"/>
    <w:rsid w:val="00992ABE"/>
    <w:rsid w:val="00992B12"/>
    <w:rsid w:val="00992BAA"/>
    <w:rsid w:val="00992CB2"/>
    <w:rsid w:val="00992D9A"/>
    <w:rsid w:val="00992D9E"/>
    <w:rsid w:val="00992DA5"/>
    <w:rsid w:val="00992E03"/>
    <w:rsid w:val="00992E64"/>
    <w:rsid w:val="00992EC4"/>
    <w:rsid w:val="0099308F"/>
    <w:rsid w:val="0099318C"/>
    <w:rsid w:val="009931A3"/>
    <w:rsid w:val="0099324F"/>
    <w:rsid w:val="00993251"/>
    <w:rsid w:val="00993342"/>
    <w:rsid w:val="00993398"/>
    <w:rsid w:val="009934B3"/>
    <w:rsid w:val="00993516"/>
    <w:rsid w:val="00993710"/>
    <w:rsid w:val="00993A7C"/>
    <w:rsid w:val="00993B9C"/>
    <w:rsid w:val="00993C48"/>
    <w:rsid w:val="00993CFB"/>
    <w:rsid w:val="00993DF8"/>
    <w:rsid w:val="00993EF1"/>
    <w:rsid w:val="00994060"/>
    <w:rsid w:val="00994090"/>
    <w:rsid w:val="009940A4"/>
    <w:rsid w:val="00994281"/>
    <w:rsid w:val="009942A9"/>
    <w:rsid w:val="009942E7"/>
    <w:rsid w:val="0099432A"/>
    <w:rsid w:val="00994341"/>
    <w:rsid w:val="009945D1"/>
    <w:rsid w:val="009947C6"/>
    <w:rsid w:val="0099497D"/>
    <w:rsid w:val="00994993"/>
    <w:rsid w:val="0099499B"/>
    <w:rsid w:val="00994ABF"/>
    <w:rsid w:val="00994B1E"/>
    <w:rsid w:val="00994BD3"/>
    <w:rsid w:val="00994C29"/>
    <w:rsid w:val="00994CC4"/>
    <w:rsid w:val="00994DF1"/>
    <w:rsid w:val="00994E17"/>
    <w:rsid w:val="00994F3E"/>
    <w:rsid w:val="00994F75"/>
    <w:rsid w:val="00994FA5"/>
    <w:rsid w:val="009951E3"/>
    <w:rsid w:val="0099527F"/>
    <w:rsid w:val="009952A8"/>
    <w:rsid w:val="009952AB"/>
    <w:rsid w:val="009952C2"/>
    <w:rsid w:val="0099531A"/>
    <w:rsid w:val="0099533B"/>
    <w:rsid w:val="009954C2"/>
    <w:rsid w:val="009954F3"/>
    <w:rsid w:val="0099558E"/>
    <w:rsid w:val="0099571B"/>
    <w:rsid w:val="00995860"/>
    <w:rsid w:val="00995933"/>
    <w:rsid w:val="009959B6"/>
    <w:rsid w:val="00995A1B"/>
    <w:rsid w:val="00995AC8"/>
    <w:rsid w:val="00995B80"/>
    <w:rsid w:val="00995C3A"/>
    <w:rsid w:val="00995C63"/>
    <w:rsid w:val="00995D1E"/>
    <w:rsid w:val="00995E68"/>
    <w:rsid w:val="00995E8A"/>
    <w:rsid w:val="00995F27"/>
    <w:rsid w:val="00995F44"/>
    <w:rsid w:val="009960D9"/>
    <w:rsid w:val="0099632F"/>
    <w:rsid w:val="0099633B"/>
    <w:rsid w:val="009963DA"/>
    <w:rsid w:val="00996415"/>
    <w:rsid w:val="0099642D"/>
    <w:rsid w:val="009964FC"/>
    <w:rsid w:val="009965F0"/>
    <w:rsid w:val="009966EB"/>
    <w:rsid w:val="009967E0"/>
    <w:rsid w:val="0099681D"/>
    <w:rsid w:val="009969F8"/>
    <w:rsid w:val="00996A54"/>
    <w:rsid w:val="00996C74"/>
    <w:rsid w:val="00996D31"/>
    <w:rsid w:val="00996DE7"/>
    <w:rsid w:val="00996E20"/>
    <w:rsid w:val="00996E35"/>
    <w:rsid w:val="00996EF9"/>
    <w:rsid w:val="00996F86"/>
    <w:rsid w:val="0099710A"/>
    <w:rsid w:val="0099718C"/>
    <w:rsid w:val="009971B6"/>
    <w:rsid w:val="00997200"/>
    <w:rsid w:val="0099728B"/>
    <w:rsid w:val="009972A7"/>
    <w:rsid w:val="009972C0"/>
    <w:rsid w:val="009972FE"/>
    <w:rsid w:val="009973B3"/>
    <w:rsid w:val="0099755D"/>
    <w:rsid w:val="00997603"/>
    <w:rsid w:val="00997616"/>
    <w:rsid w:val="00997674"/>
    <w:rsid w:val="00997705"/>
    <w:rsid w:val="00997706"/>
    <w:rsid w:val="0099774A"/>
    <w:rsid w:val="00997773"/>
    <w:rsid w:val="00997904"/>
    <w:rsid w:val="00997A04"/>
    <w:rsid w:val="00997AE1"/>
    <w:rsid w:val="00997B00"/>
    <w:rsid w:val="00997C21"/>
    <w:rsid w:val="00997C29"/>
    <w:rsid w:val="00997C72"/>
    <w:rsid w:val="00997CC2"/>
    <w:rsid w:val="00997D1E"/>
    <w:rsid w:val="00997DF1"/>
    <w:rsid w:val="009A00A3"/>
    <w:rsid w:val="009A01E7"/>
    <w:rsid w:val="009A0249"/>
    <w:rsid w:val="009A0368"/>
    <w:rsid w:val="009A039A"/>
    <w:rsid w:val="009A0404"/>
    <w:rsid w:val="009A043D"/>
    <w:rsid w:val="009A0539"/>
    <w:rsid w:val="009A060F"/>
    <w:rsid w:val="009A0696"/>
    <w:rsid w:val="009A0733"/>
    <w:rsid w:val="009A07CD"/>
    <w:rsid w:val="009A088F"/>
    <w:rsid w:val="009A0973"/>
    <w:rsid w:val="009A09E3"/>
    <w:rsid w:val="009A0A54"/>
    <w:rsid w:val="009A0A60"/>
    <w:rsid w:val="009A0AEB"/>
    <w:rsid w:val="009A0B58"/>
    <w:rsid w:val="009A0BAE"/>
    <w:rsid w:val="009A0C31"/>
    <w:rsid w:val="009A0CD3"/>
    <w:rsid w:val="009A0CFD"/>
    <w:rsid w:val="009A0D4D"/>
    <w:rsid w:val="009A0E99"/>
    <w:rsid w:val="009A0EA2"/>
    <w:rsid w:val="009A0F14"/>
    <w:rsid w:val="009A1090"/>
    <w:rsid w:val="009A10E3"/>
    <w:rsid w:val="009A1338"/>
    <w:rsid w:val="009A135E"/>
    <w:rsid w:val="009A15BF"/>
    <w:rsid w:val="009A1BE6"/>
    <w:rsid w:val="009A1D72"/>
    <w:rsid w:val="009A20BB"/>
    <w:rsid w:val="009A213A"/>
    <w:rsid w:val="009A234D"/>
    <w:rsid w:val="009A23CA"/>
    <w:rsid w:val="009A251E"/>
    <w:rsid w:val="009A2646"/>
    <w:rsid w:val="009A2674"/>
    <w:rsid w:val="009A2712"/>
    <w:rsid w:val="009A271D"/>
    <w:rsid w:val="009A2765"/>
    <w:rsid w:val="009A277C"/>
    <w:rsid w:val="009A27C8"/>
    <w:rsid w:val="009A27D0"/>
    <w:rsid w:val="009A28E2"/>
    <w:rsid w:val="009A2997"/>
    <w:rsid w:val="009A2AB5"/>
    <w:rsid w:val="009A2B16"/>
    <w:rsid w:val="009A2B1E"/>
    <w:rsid w:val="009A309F"/>
    <w:rsid w:val="009A311E"/>
    <w:rsid w:val="009A3354"/>
    <w:rsid w:val="009A3385"/>
    <w:rsid w:val="009A3394"/>
    <w:rsid w:val="009A345D"/>
    <w:rsid w:val="009A34B8"/>
    <w:rsid w:val="009A35C3"/>
    <w:rsid w:val="009A363B"/>
    <w:rsid w:val="009A3724"/>
    <w:rsid w:val="009A38C8"/>
    <w:rsid w:val="009A38D9"/>
    <w:rsid w:val="009A39E0"/>
    <w:rsid w:val="009A3A68"/>
    <w:rsid w:val="009A3D67"/>
    <w:rsid w:val="009A40D8"/>
    <w:rsid w:val="009A41CA"/>
    <w:rsid w:val="009A420A"/>
    <w:rsid w:val="009A4325"/>
    <w:rsid w:val="009A44FC"/>
    <w:rsid w:val="009A45F5"/>
    <w:rsid w:val="009A4666"/>
    <w:rsid w:val="009A46FB"/>
    <w:rsid w:val="009A486C"/>
    <w:rsid w:val="009A4AD6"/>
    <w:rsid w:val="009A4AD7"/>
    <w:rsid w:val="009A4AEA"/>
    <w:rsid w:val="009A4B2F"/>
    <w:rsid w:val="009A4C00"/>
    <w:rsid w:val="009A4D68"/>
    <w:rsid w:val="009A4DE7"/>
    <w:rsid w:val="009A4E7B"/>
    <w:rsid w:val="009A4E9F"/>
    <w:rsid w:val="009A50D3"/>
    <w:rsid w:val="009A5125"/>
    <w:rsid w:val="009A5139"/>
    <w:rsid w:val="009A528F"/>
    <w:rsid w:val="009A5298"/>
    <w:rsid w:val="009A5515"/>
    <w:rsid w:val="009A5558"/>
    <w:rsid w:val="009A55D0"/>
    <w:rsid w:val="009A56C6"/>
    <w:rsid w:val="009A5A0D"/>
    <w:rsid w:val="009A5ACF"/>
    <w:rsid w:val="009A5AF5"/>
    <w:rsid w:val="009A5BC6"/>
    <w:rsid w:val="009A5C6F"/>
    <w:rsid w:val="009A5CF8"/>
    <w:rsid w:val="009A5DDA"/>
    <w:rsid w:val="009A5EF8"/>
    <w:rsid w:val="009A5F17"/>
    <w:rsid w:val="009A5FB5"/>
    <w:rsid w:val="009A6025"/>
    <w:rsid w:val="009A60AF"/>
    <w:rsid w:val="009A60E0"/>
    <w:rsid w:val="009A6120"/>
    <w:rsid w:val="009A6216"/>
    <w:rsid w:val="009A62A5"/>
    <w:rsid w:val="009A6320"/>
    <w:rsid w:val="009A648E"/>
    <w:rsid w:val="009A658F"/>
    <w:rsid w:val="009A6702"/>
    <w:rsid w:val="009A6A35"/>
    <w:rsid w:val="009A6A4F"/>
    <w:rsid w:val="009A6B58"/>
    <w:rsid w:val="009A6B6B"/>
    <w:rsid w:val="009A6CCE"/>
    <w:rsid w:val="009A6CD1"/>
    <w:rsid w:val="009A6CD2"/>
    <w:rsid w:val="009A6D36"/>
    <w:rsid w:val="009A6D3C"/>
    <w:rsid w:val="009A6DED"/>
    <w:rsid w:val="009A6DF3"/>
    <w:rsid w:val="009A6DFD"/>
    <w:rsid w:val="009A6E28"/>
    <w:rsid w:val="009A6EF8"/>
    <w:rsid w:val="009A70CA"/>
    <w:rsid w:val="009A719E"/>
    <w:rsid w:val="009A730A"/>
    <w:rsid w:val="009A7318"/>
    <w:rsid w:val="009A7409"/>
    <w:rsid w:val="009A74C9"/>
    <w:rsid w:val="009A7536"/>
    <w:rsid w:val="009A7548"/>
    <w:rsid w:val="009A755F"/>
    <w:rsid w:val="009A759D"/>
    <w:rsid w:val="009A76BA"/>
    <w:rsid w:val="009A7719"/>
    <w:rsid w:val="009A7757"/>
    <w:rsid w:val="009A775F"/>
    <w:rsid w:val="009A776A"/>
    <w:rsid w:val="009A778A"/>
    <w:rsid w:val="009A7807"/>
    <w:rsid w:val="009A787A"/>
    <w:rsid w:val="009A78AB"/>
    <w:rsid w:val="009A7991"/>
    <w:rsid w:val="009A7997"/>
    <w:rsid w:val="009A7D8B"/>
    <w:rsid w:val="009B0017"/>
    <w:rsid w:val="009B01AA"/>
    <w:rsid w:val="009B01B6"/>
    <w:rsid w:val="009B01D3"/>
    <w:rsid w:val="009B0208"/>
    <w:rsid w:val="009B02C5"/>
    <w:rsid w:val="009B039F"/>
    <w:rsid w:val="009B03FD"/>
    <w:rsid w:val="009B0474"/>
    <w:rsid w:val="009B0636"/>
    <w:rsid w:val="009B06E6"/>
    <w:rsid w:val="009B088F"/>
    <w:rsid w:val="009B08EA"/>
    <w:rsid w:val="009B0D2D"/>
    <w:rsid w:val="009B0E92"/>
    <w:rsid w:val="009B0EF0"/>
    <w:rsid w:val="009B0F08"/>
    <w:rsid w:val="009B1012"/>
    <w:rsid w:val="009B102D"/>
    <w:rsid w:val="009B10B0"/>
    <w:rsid w:val="009B1120"/>
    <w:rsid w:val="009B11F3"/>
    <w:rsid w:val="009B123A"/>
    <w:rsid w:val="009B13C8"/>
    <w:rsid w:val="009B146A"/>
    <w:rsid w:val="009B1556"/>
    <w:rsid w:val="009B17B8"/>
    <w:rsid w:val="009B18D4"/>
    <w:rsid w:val="009B1A40"/>
    <w:rsid w:val="009B1B22"/>
    <w:rsid w:val="009B1CC9"/>
    <w:rsid w:val="009B1CFE"/>
    <w:rsid w:val="009B1D5C"/>
    <w:rsid w:val="009B1DD7"/>
    <w:rsid w:val="009B1E22"/>
    <w:rsid w:val="009B1E6D"/>
    <w:rsid w:val="009B1EC8"/>
    <w:rsid w:val="009B1EFD"/>
    <w:rsid w:val="009B1F9E"/>
    <w:rsid w:val="009B208E"/>
    <w:rsid w:val="009B2249"/>
    <w:rsid w:val="009B2526"/>
    <w:rsid w:val="009B261F"/>
    <w:rsid w:val="009B2671"/>
    <w:rsid w:val="009B2717"/>
    <w:rsid w:val="009B27CD"/>
    <w:rsid w:val="009B2933"/>
    <w:rsid w:val="009B2A6F"/>
    <w:rsid w:val="009B2A87"/>
    <w:rsid w:val="009B2AC3"/>
    <w:rsid w:val="009B2B28"/>
    <w:rsid w:val="009B2B45"/>
    <w:rsid w:val="009B2B5E"/>
    <w:rsid w:val="009B2C0D"/>
    <w:rsid w:val="009B2C9E"/>
    <w:rsid w:val="009B2DC3"/>
    <w:rsid w:val="009B2F8A"/>
    <w:rsid w:val="009B3273"/>
    <w:rsid w:val="009B33E4"/>
    <w:rsid w:val="009B3432"/>
    <w:rsid w:val="009B3453"/>
    <w:rsid w:val="009B3467"/>
    <w:rsid w:val="009B34A5"/>
    <w:rsid w:val="009B36C0"/>
    <w:rsid w:val="009B3A11"/>
    <w:rsid w:val="009B3A61"/>
    <w:rsid w:val="009B3B77"/>
    <w:rsid w:val="009B3F4F"/>
    <w:rsid w:val="009B3F85"/>
    <w:rsid w:val="009B4123"/>
    <w:rsid w:val="009B4249"/>
    <w:rsid w:val="009B430C"/>
    <w:rsid w:val="009B441A"/>
    <w:rsid w:val="009B4870"/>
    <w:rsid w:val="009B48BD"/>
    <w:rsid w:val="009B49F9"/>
    <w:rsid w:val="009B4A31"/>
    <w:rsid w:val="009B4AF6"/>
    <w:rsid w:val="009B4B56"/>
    <w:rsid w:val="009B4BC8"/>
    <w:rsid w:val="009B4DA1"/>
    <w:rsid w:val="009B4F3F"/>
    <w:rsid w:val="009B4FA1"/>
    <w:rsid w:val="009B4FF9"/>
    <w:rsid w:val="009B5049"/>
    <w:rsid w:val="009B52DE"/>
    <w:rsid w:val="009B53F6"/>
    <w:rsid w:val="009B5493"/>
    <w:rsid w:val="009B54A7"/>
    <w:rsid w:val="009B5586"/>
    <w:rsid w:val="009B5663"/>
    <w:rsid w:val="009B5850"/>
    <w:rsid w:val="009B5B7A"/>
    <w:rsid w:val="009B5BA9"/>
    <w:rsid w:val="009B5C96"/>
    <w:rsid w:val="009B5D1E"/>
    <w:rsid w:val="009B5DD5"/>
    <w:rsid w:val="009B5EA5"/>
    <w:rsid w:val="009B5FC0"/>
    <w:rsid w:val="009B6078"/>
    <w:rsid w:val="009B607E"/>
    <w:rsid w:val="009B618E"/>
    <w:rsid w:val="009B624C"/>
    <w:rsid w:val="009B62F7"/>
    <w:rsid w:val="009B6666"/>
    <w:rsid w:val="009B6694"/>
    <w:rsid w:val="009B66FA"/>
    <w:rsid w:val="009B6980"/>
    <w:rsid w:val="009B6999"/>
    <w:rsid w:val="009B6A1A"/>
    <w:rsid w:val="009B6A2A"/>
    <w:rsid w:val="009B6A74"/>
    <w:rsid w:val="009B6C54"/>
    <w:rsid w:val="009B6D70"/>
    <w:rsid w:val="009B6DB4"/>
    <w:rsid w:val="009B6E51"/>
    <w:rsid w:val="009B6EBD"/>
    <w:rsid w:val="009B6F74"/>
    <w:rsid w:val="009B70DE"/>
    <w:rsid w:val="009B70E5"/>
    <w:rsid w:val="009B71E9"/>
    <w:rsid w:val="009B71ED"/>
    <w:rsid w:val="009B728E"/>
    <w:rsid w:val="009B72B3"/>
    <w:rsid w:val="009B734A"/>
    <w:rsid w:val="009B7350"/>
    <w:rsid w:val="009B747F"/>
    <w:rsid w:val="009B76F8"/>
    <w:rsid w:val="009B78BE"/>
    <w:rsid w:val="009B7B52"/>
    <w:rsid w:val="009B7B67"/>
    <w:rsid w:val="009B7BC1"/>
    <w:rsid w:val="009B7CBF"/>
    <w:rsid w:val="009B7E01"/>
    <w:rsid w:val="009C00A0"/>
    <w:rsid w:val="009C0103"/>
    <w:rsid w:val="009C01BA"/>
    <w:rsid w:val="009C025D"/>
    <w:rsid w:val="009C0284"/>
    <w:rsid w:val="009C065B"/>
    <w:rsid w:val="009C076D"/>
    <w:rsid w:val="009C07BF"/>
    <w:rsid w:val="009C08D2"/>
    <w:rsid w:val="009C08F6"/>
    <w:rsid w:val="009C0901"/>
    <w:rsid w:val="009C0CA6"/>
    <w:rsid w:val="009C0E27"/>
    <w:rsid w:val="009C0F21"/>
    <w:rsid w:val="009C0F84"/>
    <w:rsid w:val="009C0FFA"/>
    <w:rsid w:val="009C131C"/>
    <w:rsid w:val="009C14A2"/>
    <w:rsid w:val="009C14E9"/>
    <w:rsid w:val="009C151C"/>
    <w:rsid w:val="009C154A"/>
    <w:rsid w:val="009C1561"/>
    <w:rsid w:val="009C1592"/>
    <w:rsid w:val="009C15DA"/>
    <w:rsid w:val="009C1634"/>
    <w:rsid w:val="009C17FC"/>
    <w:rsid w:val="009C1845"/>
    <w:rsid w:val="009C18F7"/>
    <w:rsid w:val="009C1935"/>
    <w:rsid w:val="009C1959"/>
    <w:rsid w:val="009C1A25"/>
    <w:rsid w:val="009C1AD0"/>
    <w:rsid w:val="009C1BB2"/>
    <w:rsid w:val="009C1BDD"/>
    <w:rsid w:val="009C1C25"/>
    <w:rsid w:val="009C1C77"/>
    <w:rsid w:val="009C1CC6"/>
    <w:rsid w:val="009C1E33"/>
    <w:rsid w:val="009C1EE0"/>
    <w:rsid w:val="009C1EFD"/>
    <w:rsid w:val="009C20A0"/>
    <w:rsid w:val="009C20FD"/>
    <w:rsid w:val="009C210B"/>
    <w:rsid w:val="009C211A"/>
    <w:rsid w:val="009C226A"/>
    <w:rsid w:val="009C2313"/>
    <w:rsid w:val="009C2328"/>
    <w:rsid w:val="009C2392"/>
    <w:rsid w:val="009C2541"/>
    <w:rsid w:val="009C2621"/>
    <w:rsid w:val="009C2715"/>
    <w:rsid w:val="009C27C9"/>
    <w:rsid w:val="009C28D5"/>
    <w:rsid w:val="009C292D"/>
    <w:rsid w:val="009C29A8"/>
    <w:rsid w:val="009C2B40"/>
    <w:rsid w:val="009C2B54"/>
    <w:rsid w:val="009C2D36"/>
    <w:rsid w:val="009C304E"/>
    <w:rsid w:val="009C30EA"/>
    <w:rsid w:val="009C313E"/>
    <w:rsid w:val="009C3399"/>
    <w:rsid w:val="009C34DC"/>
    <w:rsid w:val="009C357A"/>
    <w:rsid w:val="009C37FB"/>
    <w:rsid w:val="009C390E"/>
    <w:rsid w:val="009C3945"/>
    <w:rsid w:val="009C39CD"/>
    <w:rsid w:val="009C3A17"/>
    <w:rsid w:val="009C3A8F"/>
    <w:rsid w:val="009C3AFC"/>
    <w:rsid w:val="009C3BF3"/>
    <w:rsid w:val="009C3BFA"/>
    <w:rsid w:val="009C3C00"/>
    <w:rsid w:val="009C3C31"/>
    <w:rsid w:val="009C3C63"/>
    <w:rsid w:val="009C3D2A"/>
    <w:rsid w:val="009C3D30"/>
    <w:rsid w:val="009C3F0D"/>
    <w:rsid w:val="009C3FB9"/>
    <w:rsid w:val="009C4097"/>
    <w:rsid w:val="009C4181"/>
    <w:rsid w:val="009C421E"/>
    <w:rsid w:val="009C4239"/>
    <w:rsid w:val="009C424F"/>
    <w:rsid w:val="009C4274"/>
    <w:rsid w:val="009C4384"/>
    <w:rsid w:val="009C4524"/>
    <w:rsid w:val="009C458D"/>
    <w:rsid w:val="009C45B4"/>
    <w:rsid w:val="009C4698"/>
    <w:rsid w:val="009C46B6"/>
    <w:rsid w:val="009C472E"/>
    <w:rsid w:val="009C4767"/>
    <w:rsid w:val="009C4875"/>
    <w:rsid w:val="009C4956"/>
    <w:rsid w:val="009C4A0C"/>
    <w:rsid w:val="009C4B88"/>
    <w:rsid w:val="009C4B9C"/>
    <w:rsid w:val="009C4BAF"/>
    <w:rsid w:val="009C4C9C"/>
    <w:rsid w:val="009C4CA7"/>
    <w:rsid w:val="009C4E33"/>
    <w:rsid w:val="009C4EF1"/>
    <w:rsid w:val="009C4F61"/>
    <w:rsid w:val="009C5319"/>
    <w:rsid w:val="009C537E"/>
    <w:rsid w:val="009C53A1"/>
    <w:rsid w:val="009C554E"/>
    <w:rsid w:val="009C557D"/>
    <w:rsid w:val="009C5580"/>
    <w:rsid w:val="009C55BC"/>
    <w:rsid w:val="009C56BC"/>
    <w:rsid w:val="009C56DB"/>
    <w:rsid w:val="009C56FB"/>
    <w:rsid w:val="009C585A"/>
    <w:rsid w:val="009C5A3C"/>
    <w:rsid w:val="009C5C57"/>
    <w:rsid w:val="009C5D8C"/>
    <w:rsid w:val="009C5D9C"/>
    <w:rsid w:val="009C5F0C"/>
    <w:rsid w:val="009C5FB5"/>
    <w:rsid w:val="009C5FD6"/>
    <w:rsid w:val="009C6090"/>
    <w:rsid w:val="009C60F0"/>
    <w:rsid w:val="009C6199"/>
    <w:rsid w:val="009C622E"/>
    <w:rsid w:val="009C6312"/>
    <w:rsid w:val="009C63E1"/>
    <w:rsid w:val="009C6452"/>
    <w:rsid w:val="009C6640"/>
    <w:rsid w:val="009C66DD"/>
    <w:rsid w:val="009C6970"/>
    <w:rsid w:val="009C6A34"/>
    <w:rsid w:val="009C6AEE"/>
    <w:rsid w:val="009C6B68"/>
    <w:rsid w:val="009C6BA1"/>
    <w:rsid w:val="009C6D9E"/>
    <w:rsid w:val="009C6F98"/>
    <w:rsid w:val="009C70B1"/>
    <w:rsid w:val="009C7621"/>
    <w:rsid w:val="009C773A"/>
    <w:rsid w:val="009C785C"/>
    <w:rsid w:val="009C7882"/>
    <w:rsid w:val="009C78F5"/>
    <w:rsid w:val="009C7938"/>
    <w:rsid w:val="009C79D7"/>
    <w:rsid w:val="009C7A0A"/>
    <w:rsid w:val="009C7A96"/>
    <w:rsid w:val="009C7AEB"/>
    <w:rsid w:val="009C7BBF"/>
    <w:rsid w:val="009C7BC4"/>
    <w:rsid w:val="009C7BF6"/>
    <w:rsid w:val="009C7DA2"/>
    <w:rsid w:val="009C7DB9"/>
    <w:rsid w:val="009D0036"/>
    <w:rsid w:val="009D01B1"/>
    <w:rsid w:val="009D0270"/>
    <w:rsid w:val="009D0324"/>
    <w:rsid w:val="009D0406"/>
    <w:rsid w:val="009D04A6"/>
    <w:rsid w:val="009D0524"/>
    <w:rsid w:val="009D0588"/>
    <w:rsid w:val="009D070B"/>
    <w:rsid w:val="009D0756"/>
    <w:rsid w:val="009D085E"/>
    <w:rsid w:val="009D0919"/>
    <w:rsid w:val="009D0941"/>
    <w:rsid w:val="009D0B82"/>
    <w:rsid w:val="009D0C7E"/>
    <w:rsid w:val="009D0FCE"/>
    <w:rsid w:val="009D10B7"/>
    <w:rsid w:val="009D10BE"/>
    <w:rsid w:val="009D12AD"/>
    <w:rsid w:val="009D1437"/>
    <w:rsid w:val="009D1452"/>
    <w:rsid w:val="009D14C9"/>
    <w:rsid w:val="009D1539"/>
    <w:rsid w:val="009D154F"/>
    <w:rsid w:val="009D1694"/>
    <w:rsid w:val="009D1821"/>
    <w:rsid w:val="009D187F"/>
    <w:rsid w:val="009D1A04"/>
    <w:rsid w:val="009D1A08"/>
    <w:rsid w:val="009D1A52"/>
    <w:rsid w:val="009D1CAF"/>
    <w:rsid w:val="009D1D11"/>
    <w:rsid w:val="009D1ECF"/>
    <w:rsid w:val="009D2081"/>
    <w:rsid w:val="009D20C3"/>
    <w:rsid w:val="009D218B"/>
    <w:rsid w:val="009D21FA"/>
    <w:rsid w:val="009D23ED"/>
    <w:rsid w:val="009D242C"/>
    <w:rsid w:val="009D27D8"/>
    <w:rsid w:val="009D2B93"/>
    <w:rsid w:val="009D2BEF"/>
    <w:rsid w:val="009D2CFF"/>
    <w:rsid w:val="009D2DA5"/>
    <w:rsid w:val="009D2DAE"/>
    <w:rsid w:val="009D2DF8"/>
    <w:rsid w:val="009D2E3B"/>
    <w:rsid w:val="009D2E61"/>
    <w:rsid w:val="009D2FAE"/>
    <w:rsid w:val="009D30BE"/>
    <w:rsid w:val="009D30E5"/>
    <w:rsid w:val="009D317D"/>
    <w:rsid w:val="009D31D6"/>
    <w:rsid w:val="009D3217"/>
    <w:rsid w:val="009D327B"/>
    <w:rsid w:val="009D32CA"/>
    <w:rsid w:val="009D32D5"/>
    <w:rsid w:val="009D33CC"/>
    <w:rsid w:val="009D3584"/>
    <w:rsid w:val="009D36C8"/>
    <w:rsid w:val="009D3742"/>
    <w:rsid w:val="009D3816"/>
    <w:rsid w:val="009D3935"/>
    <w:rsid w:val="009D3986"/>
    <w:rsid w:val="009D3AD0"/>
    <w:rsid w:val="009D3B1C"/>
    <w:rsid w:val="009D3B9B"/>
    <w:rsid w:val="009D3BF6"/>
    <w:rsid w:val="009D3C23"/>
    <w:rsid w:val="009D3C95"/>
    <w:rsid w:val="009D4197"/>
    <w:rsid w:val="009D425D"/>
    <w:rsid w:val="009D42B6"/>
    <w:rsid w:val="009D44A1"/>
    <w:rsid w:val="009D44AC"/>
    <w:rsid w:val="009D44C8"/>
    <w:rsid w:val="009D4584"/>
    <w:rsid w:val="009D4591"/>
    <w:rsid w:val="009D47EF"/>
    <w:rsid w:val="009D498C"/>
    <w:rsid w:val="009D49BC"/>
    <w:rsid w:val="009D4A41"/>
    <w:rsid w:val="009D4CA2"/>
    <w:rsid w:val="009D4D47"/>
    <w:rsid w:val="009D4EED"/>
    <w:rsid w:val="009D4F20"/>
    <w:rsid w:val="009D4F3A"/>
    <w:rsid w:val="009D50B8"/>
    <w:rsid w:val="009D5123"/>
    <w:rsid w:val="009D5165"/>
    <w:rsid w:val="009D52D3"/>
    <w:rsid w:val="009D5340"/>
    <w:rsid w:val="009D537B"/>
    <w:rsid w:val="009D55FC"/>
    <w:rsid w:val="009D5661"/>
    <w:rsid w:val="009D56FC"/>
    <w:rsid w:val="009D574B"/>
    <w:rsid w:val="009D57F6"/>
    <w:rsid w:val="009D5863"/>
    <w:rsid w:val="009D58C7"/>
    <w:rsid w:val="009D59C9"/>
    <w:rsid w:val="009D5AA6"/>
    <w:rsid w:val="009D5BDD"/>
    <w:rsid w:val="009D5C46"/>
    <w:rsid w:val="009D5E44"/>
    <w:rsid w:val="009D5E4C"/>
    <w:rsid w:val="009D5EFB"/>
    <w:rsid w:val="009D5FDC"/>
    <w:rsid w:val="009D60B7"/>
    <w:rsid w:val="009D636D"/>
    <w:rsid w:val="009D63FF"/>
    <w:rsid w:val="009D643B"/>
    <w:rsid w:val="009D6446"/>
    <w:rsid w:val="009D6564"/>
    <w:rsid w:val="009D6649"/>
    <w:rsid w:val="009D66C7"/>
    <w:rsid w:val="009D6768"/>
    <w:rsid w:val="009D6780"/>
    <w:rsid w:val="009D67DF"/>
    <w:rsid w:val="009D6947"/>
    <w:rsid w:val="009D6978"/>
    <w:rsid w:val="009D6AAD"/>
    <w:rsid w:val="009D6AC4"/>
    <w:rsid w:val="009D6B09"/>
    <w:rsid w:val="009D6CD4"/>
    <w:rsid w:val="009D6D72"/>
    <w:rsid w:val="009D6D91"/>
    <w:rsid w:val="009D6FBC"/>
    <w:rsid w:val="009D7042"/>
    <w:rsid w:val="009D7045"/>
    <w:rsid w:val="009D70CB"/>
    <w:rsid w:val="009D7185"/>
    <w:rsid w:val="009D71DA"/>
    <w:rsid w:val="009D72C5"/>
    <w:rsid w:val="009D7327"/>
    <w:rsid w:val="009D758B"/>
    <w:rsid w:val="009D7649"/>
    <w:rsid w:val="009D774E"/>
    <w:rsid w:val="009D7753"/>
    <w:rsid w:val="009D77B4"/>
    <w:rsid w:val="009D77DE"/>
    <w:rsid w:val="009D7944"/>
    <w:rsid w:val="009D7A4E"/>
    <w:rsid w:val="009D7AC6"/>
    <w:rsid w:val="009D7BD3"/>
    <w:rsid w:val="009D7CA8"/>
    <w:rsid w:val="009D7F46"/>
    <w:rsid w:val="009D7FC1"/>
    <w:rsid w:val="009E00A5"/>
    <w:rsid w:val="009E03E1"/>
    <w:rsid w:val="009E04B5"/>
    <w:rsid w:val="009E0653"/>
    <w:rsid w:val="009E068A"/>
    <w:rsid w:val="009E07D5"/>
    <w:rsid w:val="009E0973"/>
    <w:rsid w:val="009E09A0"/>
    <w:rsid w:val="009E09D5"/>
    <w:rsid w:val="009E0A01"/>
    <w:rsid w:val="009E0C7F"/>
    <w:rsid w:val="009E0CA5"/>
    <w:rsid w:val="009E0CB3"/>
    <w:rsid w:val="009E0CF0"/>
    <w:rsid w:val="009E0D7F"/>
    <w:rsid w:val="009E0E79"/>
    <w:rsid w:val="009E0FB0"/>
    <w:rsid w:val="009E1013"/>
    <w:rsid w:val="009E1141"/>
    <w:rsid w:val="009E11B9"/>
    <w:rsid w:val="009E12B7"/>
    <w:rsid w:val="009E1372"/>
    <w:rsid w:val="009E13AB"/>
    <w:rsid w:val="009E154D"/>
    <w:rsid w:val="009E160B"/>
    <w:rsid w:val="009E1613"/>
    <w:rsid w:val="009E1653"/>
    <w:rsid w:val="009E171B"/>
    <w:rsid w:val="009E1B0D"/>
    <w:rsid w:val="009E1B86"/>
    <w:rsid w:val="009E1CF3"/>
    <w:rsid w:val="009E1ED1"/>
    <w:rsid w:val="009E1F52"/>
    <w:rsid w:val="009E228C"/>
    <w:rsid w:val="009E229E"/>
    <w:rsid w:val="009E2519"/>
    <w:rsid w:val="009E2568"/>
    <w:rsid w:val="009E2597"/>
    <w:rsid w:val="009E2631"/>
    <w:rsid w:val="009E26AD"/>
    <w:rsid w:val="009E2786"/>
    <w:rsid w:val="009E2953"/>
    <w:rsid w:val="009E2A1F"/>
    <w:rsid w:val="009E2B97"/>
    <w:rsid w:val="009E2BEA"/>
    <w:rsid w:val="009E2CD5"/>
    <w:rsid w:val="009E2DFE"/>
    <w:rsid w:val="009E2F65"/>
    <w:rsid w:val="009E3044"/>
    <w:rsid w:val="009E3210"/>
    <w:rsid w:val="009E3226"/>
    <w:rsid w:val="009E3261"/>
    <w:rsid w:val="009E32A8"/>
    <w:rsid w:val="009E3503"/>
    <w:rsid w:val="009E3565"/>
    <w:rsid w:val="009E3751"/>
    <w:rsid w:val="009E3A95"/>
    <w:rsid w:val="009E3B92"/>
    <w:rsid w:val="009E3B99"/>
    <w:rsid w:val="009E3C98"/>
    <w:rsid w:val="009E3D6F"/>
    <w:rsid w:val="009E3D87"/>
    <w:rsid w:val="009E3EB0"/>
    <w:rsid w:val="009E41A2"/>
    <w:rsid w:val="009E42F0"/>
    <w:rsid w:val="009E44D7"/>
    <w:rsid w:val="009E4514"/>
    <w:rsid w:val="009E4589"/>
    <w:rsid w:val="009E45F0"/>
    <w:rsid w:val="009E465B"/>
    <w:rsid w:val="009E4661"/>
    <w:rsid w:val="009E4877"/>
    <w:rsid w:val="009E4895"/>
    <w:rsid w:val="009E49BC"/>
    <w:rsid w:val="009E49ED"/>
    <w:rsid w:val="009E4BE7"/>
    <w:rsid w:val="009E4C6C"/>
    <w:rsid w:val="009E4CF0"/>
    <w:rsid w:val="009E4D6C"/>
    <w:rsid w:val="009E4E7A"/>
    <w:rsid w:val="009E4EC5"/>
    <w:rsid w:val="009E4EC9"/>
    <w:rsid w:val="009E4FA6"/>
    <w:rsid w:val="009E4FFC"/>
    <w:rsid w:val="009E507D"/>
    <w:rsid w:val="009E509B"/>
    <w:rsid w:val="009E52A3"/>
    <w:rsid w:val="009E52CD"/>
    <w:rsid w:val="009E5608"/>
    <w:rsid w:val="009E5712"/>
    <w:rsid w:val="009E57E5"/>
    <w:rsid w:val="009E582B"/>
    <w:rsid w:val="009E58E3"/>
    <w:rsid w:val="009E59C8"/>
    <w:rsid w:val="009E5B39"/>
    <w:rsid w:val="009E5C67"/>
    <w:rsid w:val="009E5DD1"/>
    <w:rsid w:val="009E5E5F"/>
    <w:rsid w:val="009E5E91"/>
    <w:rsid w:val="009E6241"/>
    <w:rsid w:val="009E6421"/>
    <w:rsid w:val="009E646B"/>
    <w:rsid w:val="009E6522"/>
    <w:rsid w:val="009E656C"/>
    <w:rsid w:val="009E65C7"/>
    <w:rsid w:val="009E66CE"/>
    <w:rsid w:val="009E66D0"/>
    <w:rsid w:val="009E66EF"/>
    <w:rsid w:val="009E66FF"/>
    <w:rsid w:val="009E6773"/>
    <w:rsid w:val="009E682C"/>
    <w:rsid w:val="009E6A38"/>
    <w:rsid w:val="009E6C32"/>
    <w:rsid w:val="009E6D21"/>
    <w:rsid w:val="009E6D78"/>
    <w:rsid w:val="009E6DC9"/>
    <w:rsid w:val="009E6E87"/>
    <w:rsid w:val="009E6F93"/>
    <w:rsid w:val="009E6FAE"/>
    <w:rsid w:val="009E7045"/>
    <w:rsid w:val="009E7054"/>
    <w:rsid w:val="009E707C"/>
    <w:rsid w:val="009E7098"/>
    <w:rsid w:val="009E70D7"/>
    <w:rsid w:val="009E7112"/>
    <w:rsid w:val="009E7190"/>
    <w:rsid w:val="009E71DF"/>
    <w:rsid w:val="009E734C"/>
    <w:rsid w:val="009E7372"/>
    <w:rsid w:val="009E74F0"/>
    <w:rsid w:val="009E7687"/>
    <w:rsid w:val="009E76F1"/>
    <w:rsid w:val="009E7729"/>
    <w:rsid w:val="009E77C6"/>
    <w:rsid w:val="009E77F0"/>
    <w:rsid w:val="009E7924"/>
    <w:rsid w:val="009E7AF0"/>
    <w:rsid w:val="009E7C09"/>
    <w:rsid w:val="009E7C67"/>
    <w:rsid w:val="009E7CCB"/>
    <w:rsid w:val="009E7DBD"/>
    <w:rsid w:val="009E7F96"/>
    <w:rsid w:val="009F00FA"/>
    <w:rsid w:val="009F0110"/>
    <w:rsid w:val="009F0140"/>
    <w:rsid w:val="009F0178"/>
    <w:rsid w:val="009F0217"/>
    <w:rsid w:val="009F03A7"/>
    <w:rsid w:val="009F0404"/>
    <w:rsid w:val="009F052B"/>
    <w:rsid w:val="009F0652"/>
    <w:rsid w:val="009F06C7"/>
    <w:rsid w:val="009F070B"/>
    <w:rsid w:val="009F0744"/>
    <w:rsid w:val="009F088E"/>
    <w:rsid w:val="009F08AF"/>
    <w:rsid w:val="009F0909"/>
    <w:rsid w:val="009F097A"/>
    <w:rsid w:val="009F09A5"/>
    <w:rsid w:val="009F0A31"/>
    <w:rsid w:val="009F0A54"/>
    <w:rsid w:val="009F0BEF"/>
    <w:rsid w:val="009F0E16"/>
    <w:rsid w:val="009F0E2B"/>
    <w:rsid w:val="009F1057"/>
    <w:rsid w:val="009F10B0"/>
    <w:rsid w:val="009F11CB"/>
    <w:rsid w:val="009F127C"/>
    <w:rsid w:val="009F1402"/>
    <w:rsid w:val="009F1485"/>
    <w:rsid w:val="009F14FB"/>
    <w:rsid w:val="009F1516"/>
    <w:rsid w:val="009F16BE"/>
    <w:rsid w:val="009F1719"/>
    <w:rsid w:val="009F192D"/>
    <w:rsid w:val="009F198A"/>
    <w:rsid w:val="009F1A11"/>
    <w:rsid w:val="009F1CD1"/>
    <w:rsid w:val="009F1DC7"/>
    <w:rsid w:val="009F1DED"/>
    <w:rsid w:val="009F1E7C"/>
    <w:rsid w:val="009F1EA5"/>
    <w:rsid w:val="009F1F65"/>
    <w:rsid w:val="009F1FC8"/>
    <w:rsid w:val="009F204E"/>
    <w:rsid w:val="009F2051"/>
    <w:rsid w:val="009F20C0"/>
    <w:rsid w:val="009F21A7"/>
    <w:rsid w:val="009F220B"/>
    <w:rsid w:val="009F22A6"/>
    <w:rsid w:val="009F26CE"/>
    <w:rsid w:val="009F290C"/>
    <w:rsid w:val="009F2987"/>
    <w:rsid w:val="009F2B1D"/>
    <w:rsid w:val="009F2BCF"/>
    <w:rsid w:val="009F2BD4"/>
    <w:rsid w:val="009F2D60"/>
    <w:rsid w:val="009F2D97"/>
    <w:rsid w:val="009F2E22"/>
    <w:rsid w:val="009F304E"/>
    <w:rsid w:val="009F3126"/>
    <w:rsid w:val="009F3141"/>
    <w:rsid w:val="009F324F"/>
    <w:rsid w:val="009F32F1"/>
    <w:rsid w:val="009F34CE"/>
    <w:rsid w:val="009F3725"/>
    <w:rsid w:val="009F3742"/>
    <w:rsid w:val="009F396C"/>
    <w:rsid w:val="009F3B09"/>
    <w:rsid w:val="009F3C98"/>
    <w:rsid w:val="009F3ED3"/>
    <w:rsid w:val="009F40AA"/>
    <w:rsid w:val="009F4102"/>
    <w:rsid w:val="009F41C5"/>
    <w:rsid w:val="009F425C"/>
    <w:rsid w:val="009F43CA"/>
    <w:rsid w:val="009F43FD"/>
    <w:rsid w:val="009F4507"/>
    <w:rsid w:val="009F454A"/>
    <w:rsid w:val="009F4662"/>
    <w:rsid w:val="009F46A7"/>
    <w:rsid w:val="009F4703"/>
    <w:rsid w:val="009F486D"/>
    <w:rsid w:val="009F4A2C"/>
    <w:rsid w:val="009F4ACD"/>
    <w:rsid w:val="009F4B24"/>
    <w:rsid w:val="009F4D6D"/>
    <w:rsid w:val="009F4F0A"/>
    <w:rsid w:val="009F4F76"/>
    <w:rsid w:val="009F5036"/>
    <w:rsid w:val="009F505E"/>
    <w:rsid w:val="009F5327"/>
    <w:rsid w:val="009F5435"/>
    <w:rsid w:val="009F5483"/>
    <w:rsid w:val="009F555B"/>
    <w:rsid w:val="009F5643"/>
    <w:rsid w:val="009F5940"/>
    <w:rsid w:val="009F59AB"/>
    <w:rsid w:val="009F5CBD"/>
    <w:rsid w:val="009F5D9F"/>
    <w:rsid w:val="009F6024"/>
    <w:rsid w:val="009F6059"/>
    <w:rsid w:val="009F6182"/>
    <w:rsid w:val="009F634C"/>
    <w:rsid w:val="009F643D"/>
    <w:rsid w:val="009F64F6"/>
    <w:rsid w:val="009F6505"/>
    <w:rsid w:val="009F65B9"/>
    <w:rsid w:val="009F6643"/>
    <w:rsid w:val="009F66A7"/>
    <w:rsid w:val="009F6745"/>
    <w:rsid w:val="009F68F8"/>
    <w:rsid w:val="009F6994"/>
    <w:rsid w:val="009F69DB"/>
    <w:rsid w:val="009F6B0B"/>
    <w:rsid w:val="009F6BAA"/>
    <w:rsid w:val="009F6C48"/>
    <w:rsid w:val="009F6C77"/>
    <w:rsid w:val="009F6E3B"/>
    <w:rsid w:val="009F6EE6"/>
    <w:rsid w:val="009F7000"/>
    <w:rsid w:val="009F71A2"/>
    <w:rsid w:val="009F723D"/>
    <w:rsid w:val="009F726D"/>
    <w:rsid w:val="009F72F4"/>
    <w:rsid w:val="009F7327"/>
    <w:rsid w:val="009F73A7"/>
    <w:rsid w:val="009F73D4"/>
    <w:rsid w:val="009F7447"/>
    <w:rsid w:val="009F75FE"/>
    <w:rsid w:val="009F764B"/>
    <w:rsid w:val="009F76E8"/>
    <w:rsid w:val="009F7794"/>
    <w:rsid w:val="009F7A34"/>
    <w:rsid w:val="009F7ABA"/>
    <w:rsid w:val="009F7D95"/>
    <w:rsid w:val="009F7DBD"/>
    <w:rsid w:val="009F7ED1"/>
    <w:rsid w:val="009F7FA1"/>
    <w:rsid w:val="009F7FAE"/>
    <w:rsid w:val="00A00177"/>
    <w:rsid w:val="00A001A3"/>
    <w:rsid w:val="00A0021D"/>
    <w:rsid w:val="00A0040A"/>
    <w:rsid w:val="00A004BD"/>
    <w:rsid w:val="00A00522"/>
    <w:rsid w:val="00A00620"/>
    <w:rsid w:val="00A00641"/>
    <w:rsid w:val="00A00651"/>
    <w:rsid w:val="00A006A7"/>
    <w:rsid w:val="00A007D5"/>
    <w:rsid w:val="00A00842"/>
    <w:rsid w:val="00A00844"/>
    <w:rsid w:val="00A008D5"/>
    <w:rsid w:val="00A00924"/>
    <w:rsid w:val="00A00945"/>
    <w:rsid w:val="00A009D8"/>
    <w:rsid w:val="00A00B70"/>
    <w:rsid w:val="00A00CA9"/>
    <w:rsid w:val="00A00DA0"/>
    <w:rsid w:val="00A00DE8"/>
    <w:rsid w:val="00A00E2E"/>
    <w:rsid w:val="00A00E2F"/>
    <w:rsid w:val="00A00ED8"/>
    <w:rsid w:val="00A00F82"/>
    <w:rsid w:val="00A01028"/>
    <w:rsid w:val="00A012D8"/>
    <w:rsid w:val="00A012F7"/>
    <w:rsid w:val="00A013A2"/>
    <w:rsid w:val="00A013F8"/>
    <w:rsid w:val="00A01428"/>
    <w:rsid w:val="00A01446"/>
    <w:rsid w:val="00A015E8"/>
    <w:rsid w:val="00A0164A"/>
    <w:rsid w:val="00A01681"/>
    <w:rsid w:val="00A0177B"/>
    <w:rsid w:val="00A01836"/>
    <w:rsid w:val="00A01857"/>
    <w:rsid w:val="00A018B0"/>
    <w:rsid w:val="00A018CF"/>
    <w:rsid w:val="00A01911"/>
    <w:rsid w:val="00A01C4F"/>
    <w:rsid w:val="00A01CF6"/>
    <w:rsid w:val="00A01E76"/>
    <w:rsid w:val="00A01F13"/>
    <w:rsid w:val="00A01FA2"/>
    <w:rsid w:val="00A01FA3"/>
    <w:rsid w:val="00A02112"/>
    <w:rsid w:val="00A021B9"/>
    <w:rsid w:val="00A021F4"/>
    <w:rsid w:val="00A02222"/>
    <w:rsid w:val="00A0245B"/>
    <w:rsid w:val="00A024C2"/>
    <w:rsid w:val="00A02522"/>
    <w:rsid w:val="00A0256D"/>
    <w:rsid w:val="00A0266E"/>
    <w:rsid w:val="00A02694"/>
    <w:rsid w:val="00A02697"/>
    <w:rsid w:val="00A02854"/>
    <w:rsid w:val="00A02964"/>
    <w:rsid w:val="00A02A4B"/>
    <w:rsid w:val="00A02A8B"/>
    <w:rsid w:val="00A02ABE"/>
    <w:rsid w:val="00A02D17"/>
    <w:rsid w:val="00A02D2F"/>
    <w:rsid w:val="00A02D81"/>
    <w:rsid w:val="00A02E4E"/>
    <w:rsid w:val="00A02E94"/>
    <w:rsid w:val="00A02F90"/>
    <w:rsid w:val="00A02FB7"/>
    <w:rsid w:val="00A030E3"/>
    <w:rsid w:val="00A03408"/>
    <w:rsid w:val="00A03415"/>
    <w:rsid w:val="00A03613"/>
    <w:rsid w:val="00A036A8"/>
    <w:rsid w:val="00A03861"/>
    <w:rsid w:val="00A038DA"/>
    <w:rsid w:val="00A038DE"/>
    <w:rsid w:val="00A03A44"/>
    <w:rsid w:val="00A03B33"/>
    <w:rsid w:val="00A03C3E"/>
    <w:rsid w:val="00A03E7E"/>
    <w:rsid w:val="00A03FB8"/>
    <w:rsid w:val="00A03FC4"/>
    <w:rsid w:val="00A03FD7"/>
    <w:rsid w:val="00A03FEE"/>
    <w:rsid w:val="00A0400F"/>
    <w:rsid w:val="00A04013"/>
    <w:rsid w:val="00A04132"/>
    <w:rsid w:val="00A041BB"/>
    <w:rsid w:val="00A044B2"/>
    <w:rsid w:val="00A04551"/>
    <w:rsid w:val="00A04554"/>
    <w:rsid w:val="00A04594"/>
    <w:rsid w:val="00A045E0"/>
    <w:rsid w:val="00A0462F"/>
    <w:rsid w:val="00A047F8"/>
    <w:rsid w:val="00A048DE"/>
    <w:rsid w:val="00A0499D"/>
    <w:rsid w:val="00A049FC"/>
    <w:rsid w:val="00A04A86"/>
    <w:rsid w:val="00A04AA1"/>
    <w:rsid w:val="00A04C08"/>
    <w:rsid w:val="00A04CE3"/>
    <w:rsid w:val="00A04DE0"/>
    <w:rsid w:val="00A04E4D"/>
    <w:rsid w:val="00A04E87"/>
    <w:rsid w:val="00A05031"/>
    <w:rsid w:val="00A0505C"/>
    <w:rsid w:val="00A050B8"/>
    <w:rsid w:val="00A05162"/>
    <w:rsid w:val="00A05241"/>
    <w:rsid w:val="00A0539B"/>
    <w:rsid w:val="00A05422"/>
    <w:rsid w:val="00A05437"/>
    <w:rsid w:val="00A054A6"/>
    <w:rsid w:val="00A0552E"/>
    <w:rsid w:val="00A05640"/>
    <w:rsid w:val="00A05686"/>
    <w:rsid w:val="00A056B2"/>
    <w:rsid w:val="00A056C3"/>
    <w:rsid w:val="00A05766"/>
    <w:rsid w:val="00A057E0"/>
    <w:rsid w:val="00A058BE"/>
    <w:rsid w:val="00A058D3"/>
    <w:rsid w:val="00A05979"/>
    <w:rsid w:val="00A059A7"/>
    <w:rsid w:val="00A059F5"/>
    <w:rsid w:val="00A059FF"/>
    <w:rsid w:val="00A05A23"/>
    <w:rsid w:val="00A05A83"/>
    <w:rsid w:val="00A05B48"/>
    <w:rsid w:val="00A05C3C"/>
    <w:rsid w:val="00A05C5C"/>
    <w:rsid w:val="00A05CAA"/>
    <w:rsid w:val="00A05CBB"/>
    <w:rsid w:val="00A05E91"/>
    <w:rsid w:val="00A05E9B"/>
    <w:rsid w:val="00A05EE3"/>
    <w:rsid w:val="00A05F88"/>
    <w:rsid w:val="00A05F8E"/>
    <w:rsid w:val="00A06074"/>
    <w:rsid w:val="00A06112"/>
    <w:rsid w:val="00A061E2"/>
    <w:rsid w:val="00A0626D"/>
    <w:rsid w:val="00A06275"/>
    <w:rsid w:val="00A06307"/>
    <w:rsid w:val="00A064E1"/>
    <w:rsid w:val="00A06615"/>
    <w:rsid w:val="00A068A7"/>
    <w:rsid w:val="00A06CEA"/>
    <w:rsid w:val="00A06D29"/>
    <w:rsid w:val="00A06F22"/>
    <w:rsid w:val="00A0706A"/>
    <w:rsid w:val="00A070FC"/>
    <w:rsid w:val="00A071CA"/>
    <w:rsid w:val="00A07357"/>
    <w:rsid w:val="00A0735C"/>
    <w:rsid w:val="00A073B1"/>
    <w:rsid w:val="00A07468"/>
    <w:rsid w:val="00A07473"/>
    <w:rsid w:val="00A075B7"/>
    <w:rsid w:val="00A077DB"/>
    <w:rsid w:val="00A07A12"/>
    <w:rsid w:val="00A07BD2"/>
    <w:rsid w:val="00A07C01"/>
    <w:rsid w:val="00A07C2C"/>
    <w:rsid w:val="00A07D39"/>
    <w:rsid w:val="00A07D47"/>
    <w:rsid w:val="00A07DC9"/>
    <w:rsid w:val="00A07DCF"/>
    <w:rsid w:val="00A100CB"/>
    <w:rsid w:val="00A1025E"/>
    <w:rsid w:val="00A103CA"/>
    <w:rsid w:val="00A104BD"/>
    <w:rsid w:val="00A104DB"/>
    <w:rsid w:val="00A10593"/>
    <w:rsid w:val="00A1061E"/>
    <w:rsid w:val="00A10675"/>
    <w:rsid w:val="00A106A8"/>
    <w:rsid w:val="00A107DB"/>
    <w:rsid w:val="00A108EB"/>
    <w:rsid w:val="00A1092A"/>
    <w:rsid w:val="00A10949"/>
    <w:rsid w:val="00A109E0"/>
    <w:rsid w:val="00A10AA1"/>
    <w:rsid w:val="00A10E2C"/>
    <w:rsid w:val="00A10E62"/>
    <w:rsid w:val="00A10E8F"/>
    <w:rsid w:val="00A11044"/>
    <w:rsid w:val="00A110E9"/>
    <w:rsid w:val="00A111D9"/>
    <w:rsid w:val="00A1128C"/>
    <w:rsid w:val="00A112A0"/>
    <w:rsid w:val="00A11372"/>
    <w:rsid w:val="00A1137D"/>
    <w:rsid w:val="00A114FE"/>
    <w:rsid w:val="00A116B7"/>
    <w:rsid w:val="00A117EC"/>
    <w:rsid w:val="00A11882"/>
    <w:rsid w:val="00A119CD"/>
    <w:rsid w:val="00A11CC4"/>
    <w:rsid w:val="00A11D5A"/>
    <w:rsid w:val="00A11DC5"/>
    <w:rsid w:val="00A11ED7"/>
    <w:rsid w:val="00A11FBA"/>
    <w:rsid w:val="00A12057"/>
    <w:rsid w:val="00A122C5"/>
    <w:rsid w:val="00A12533"/>
    <w:rsid w:val="00A126CA"/>
    <w:rsid w:val="00A12878"/>
    <w:rsid w:val="00A1289D"/>
    <w:rsid w:val="00A12B53"/>
    <w:rsid w:val="00A12B8A"/>
    <w:rsid w:val="00A12B9C"/>
    <w:rsid w:val="00A12C1F"/>
    <w:rsid w:val="00A12C6B"/>
    <w:rsid w:val="00A12F62"/>
    <w:rsid w:val="00A12FE9"/>
    <w:rsid w:val="00A13026"/>
    <w:rsid w:val="00A13310"/>
    <w:rsid w:val="00A1331D"/>
    <w:rsid w:val="00A1339F"/>
    <w:rsid w:val="00A133CE"/>
    <w:rsid w:val="00A133E3"/>
    <w:rsid w:val="00A13596"/>
    <w:rsid w:val="00A13608"/>
    <w:rsid w:val="00A13931"/>
    <w:rsid w:val="00A13A5B"/>
    <w:rsid w:val="00A13B54"/>
    <w:rsid w:val="00A13B7F"/>
    <w:rsid w:val="00A13C4D"/>
    <w:rsid w:val="00A13CD1"/>
    <w:rsid w:val="00A13E53"/>
    <w:rsid w:val="00A13E8B"/>
    <w:rsid w:val="00A13EBD"/>
    <w:rsid w:val="00A13ED3"/>
    <w:rsid w:val="00A13FAD"/>
    <w:rsid w:val="00A1409F"/>
    <w:rsid w:val="00A140B0"/>
    <w:rsid w:val="00A142A2"/>
    <w:rsid w:val="00A142D3"/>
    <w:rsid w:val="00A142F9"/>
    <w:rsid w:val="00A143B5"/>
    <w:rsid w:val="00A14500"/>
    <w:rsid w:val="00A14655"/>
    <w:rsid w:val="00A146BB"/>
    <w:rsid w:val="00A1491B"/>
    <w:rsid w:val="00A1498D"/>
    <w:rsid w:val="00A14A1A"/>
    <w:rsid w:val="00A14B30"/>
    <w:rsid w:val="00A14BF3"/>
    <w:rsid w:val="00A14C85"/>
    <w:rsid w:val="00A14C87"/>
    <w:rsid w:val="00A14D31"/>
    <w:rsid w:val="00A14DB8"/>
    <w:rsid w:val="00A14E40"/>
    <w:rsid w:val="00A14E48"/>
    <w:rsid w:val="00A14EAA"/>
    <w:rsid w:val="00A14F91"/>
    <w:rsid w:val="00A14FE9"/>
    <w:rsid w:val="00A152BD"/>
    <w:rsid w:val="00A154AA"/>
    <w:rsid w:val="00A154D1"/>
    <w:rsid w:val="00A15586"/>
    <w:rsid w:val="00A15590"/>
    <w:rsid w:val="00A155F0"/>
    <w:rsid w:val="00A15612"/>
    <w:rsid w:val="00A15665"/>
    <w:rsid w:val="00A15776"/>
    <w:rsid w:val="00A157D9"/>
    <w:rsid w:val="00A158F2"/>
    <w:rsid w:val="00A15A0C"/>
    <w:rsid w:val="00A15BC5"/>
    <w:rsid w:val="00A15D1F"/>
    <w:rsid w:val="00A15D38"/>
    <w:rsid w:val="00A15DB0"/>
    <w:rsid w:val="00A15E16"/>
    <w:rsid w:val="00A15E1E"/>
    <w:rsid w:val="00A15E29"/>
    <w:rsid w:val="00A15E5C"/>
    <w:rsid w:val="00A15F16"/>
    <w:rsid w:val="00A15F73"/>
    <w:rsid w:val="00A15FDB"/>
    <w:rsid w:val="00A15FE9"/>
    <w:rsid w:val="00A16029"/>
    <w:rsid w:val="00A16095"/>
    <w:rsid w:val="00A16177"/>
    <w:rsid w:val="00A161C7"/>
    <w:rsid w:val="00A1694C"/>
    <w:rsid w:val="00A16BAF"/>
    <w:rsid w:val="00A16BE2"/>
    <w:rsid w:val="00A16BE5"/>
    <w:rsid w:val="00A16BE7"/>
    <w:rsid w:val="00A16CBF"/>
    <w:rsid w:val="00A16D0E"/>
    <w:rsid w:val="00A16D12"/>
    <w:rsid w:val="00A16DA9"/>
    <w:rsid w:val="00A16DED"/>
    <w:rsid w:val="00A16E26"/>
    <w:rsid w:val="00A16E7A"/>
    <w:rsid w:val="00A16E85"/>
    <w:rsid w:val="00A16ECA"/>
    <w:rsid w:val="00A16ED6"/>
    <w:rsid w:val="00A16EDB"/>
    <w:rsid w:val="00A16F21"/>
    <w:rsid w:val="00A170ED"/>
    <w:rsid w:val="00A17237"/>
    <w:rsid w:val="00A17343"/>
    <w:rsid w:val="00A174C2"/>
    <w:rsid w:val="00A17567"/>
    <w:rsid w:val="00A178CE"/>
    <w:rsid w:val="00A178D7"/>
    <w:rsid w:val="00A178F5"/>
    <w:rsid w:val="00A17B31"/>
    <w:rsid w:val="00A17BAC"/>
    <w:rsid w:val="00A17E56"/>
    <w:rsid w:val="00A17F81"/>
    <w:rsid w:val="00A17F9D"/>
    <w:rsid w:val="00A20092"/>
    <w:rsid w:val="00A20198"/>
    <w:rsid w:val="00A201BB"/>
    <w:rsid w:val="00A201F7"/>
    <w:rsid w:val="00A20208"/>
    <w:rsid w:val="00A202D9"/>
    <w:rsid w:val="00A203A6"/>
    <w:rsid w:val="00A20442"/>
    <w:rsid w:val="00A2046B"/>
    <w:rsid w:val="00A204E3"/>
    <w:rsid w:val="00A20541"/>
    <w:rsid w:val="00A20611"/>
    <w:rsid w:val="00A2068C"/>
    <w:rsid w:val="00A206D5"/>
    <w:rsid w:val="00A206E5"/>
    <w:rsid w:val="00A20718"/>
    <w:rsid w:val="00A2075B"/>
    <w:rsid w:val="00A208EA"/>
    <w:rsid w:val="00A209B1"/>
    <w:rsid w:val="00A20CD6"/>
    <w:rsid w:val="00A20D58"/>
    <w:rsid w:val="00A20DBA"/>
    <w:rsid w:val="00A20EEE"/>
    <w:rsid w:val="00A20F8B"/>
    <w:rsid w:val="00A2104D"/>
    <w:rsid w:val="00A21175"/>
    <w:rsid w:val="00A2133A"/>
    <w:rsid w:val="00A2135D"/>
    <w:rsid w:val="00A21386"/>
    <w:rsid w:val="00A21399"/>
    <w:rsid w:val="00A21429"/>
    <w:rsid w:val="00A21474"/>
    <w:rsid w:val="00A214C0"/>
    <w:rsid w:val="00A218F2"/>
    <w:rsid w:val="00A21B5E"/>
    <w:rsid w:val="00A21BFD"/>
    <w:rsid w:val="00A21D25"/>
    <w:rsid w:val="00A21D4F"/>
    <w:rsid w:val="00A221E2"/>
    <w:rsid w:val="00A22274"/>
    <w:rsid w:val="00A2233C"/>
    <w:rsid w:val="00A223B9"/>
    <w:rsid w:val="00A22507"/>
    <w:rsid w:val="00A22570"/>
    <w:rsid w:val="00A226DB"/>
    <w:rsid w:val="00A227CF"/>
    <w:rsid w:val="00A22866"/>
    <w:rsid w:val="00A22904"/>
    <w:rsid w:val="00A22932"/>
    <w:rsid w:val="00A22D73"/>
    <w:rsid w:val="00A22E2E"/>
    <w:rsid w:val="00A22E46"/>
    <w:rsid w:val="00A22E7D"/>
    <w:rsid w:val="00A23043"/>
    <w:rsid w:val="00A23163"/>
    <w:rsid w:val="00A23264"/>
    <w:rsid w:val="00A23292"/>
    <w:rsid w:val="00A23469"/>
    <w:rsid w:val="00A234D3"/>
    <w:rsid w:val="00A234E7"/>
    <w:rsid w:val="00A23559"/>
    <w:rsid w:val="00A23735"/>
    <w:rsid w:val="00A2374D"/>
    <w:rsid w:val="00A2381D"/>
    <w:rsid w:val="00A23849"/>
    <w:rsid w:val="00A238A7"/>
    <w:rsid w:val="00A238F8"/>
    <w:rsid w:val="00A2395A"/>
    <w:rsid w:val="00A239CB"/>
    <w:rsid w:val="00A239EF"/>
    <w:rsid w:val="00A23A53"/>
    <w:rsid w:val="00A23AAC"/>
    <w:rsid w:val="00A23AEF"/>
    <w:rsid w:val="00A23B15"/>
    <w:rsid w:val="00A23B8D"/>
    <w:rsid w:val="00A23CF0"/>
    <w:rsid w:val="00A23E26"/>
    <w:rsid w:val="00A23E8C"/>
    <w:rsid w:val="00A23E96"/>
    <w:rsid w:val="00A24013"/>
    <w:rsid w:val="00A24043"/>
    <w:rsid w:val="00A2408C"/>
    <w:rsid w:val="00A242B1"/>
    <w:rsid w:val="00A242D9"/>
    <w:rsid w:val="00A242E3"/>
    <w:rsid w:val="00A24301"/>
    <w:rsid w:val="00A2434F"/>
    <w:rsid w:val="00A24376"/>
    <w:rsid w:val="00A24482"/>
    <w:rsid w:val="00A2451D"/>
    <w:rsid w:val="00A2453C"/>
    <w:rsid w:val="00A24675"/>
    <w:rsid w:val="00A24732"/>
    <w:rsid w:val="00A249DB"/>
    <w:rsid w:val="00A24AA2"/>
    <w:rsid w:val="00A24B42"/>
    <w:rsid w:val="00A24C20"/>
    <w:rsid w:val="00A24D9E"/>
    <w:rsid w:val="00A24E05"/>
    <w:rsid w:val="00A24E26"/>
    <w:rsid w:val="00A24FE0"/>
    <w:rsid w:val="00A25043"/>
    <w:rsid w:val="00A2507F"/>
    <w:rsid w:val="00A250F5"/>
    <w:rsid w:val="00A2513D"/>
    <w:rsid w:val="00A255D4"/>
    <w:rsid w:val="00A25705"/>
    <w:rsid w:val="00A25725"/>
    <w:rsid w:val="00A25779"/>
    <w:rsid w:val="00A25869"/>
    <w:rsid w:val="00A258C2"/>
    <w:rsid w:val="00A259CE"/>
    <w:rsid w:val="00A25A8F"/>
    <w:rsid w:val="00A25AFC"/>
    <w:rsid w:val="00A25B83"/>
    <w:rsid w:val="00A25BE6"/>
    <w:rsid w:val="00A25C24"/>
    <w:rsid w:val="00A25C53"/>
    <w:rsid w:val="00A25CBF"/>
    <w:rsid w:val="00A25D13"/>
    <w:rsid w:val="00A25DE1"/>
    <w:rsid w:val="00A25E44"/>
    <w:rsid w:val="00A26057"/>
    <w:rsid w:val="00A260C9"/>
    <w:rsid w:val="00A26255"/>
    <w:rsid w:val="00A26278"/>
    <w:rsid w:val="00A2635B"/>
    <w:rsid w:val="00A2650D"/>
    <w:rsid w:val="00A26577"/>
    <w:rsid w:val="00A265DA"/>
    <w:rsid w:val="00A266C7"/>
    <w:rsid w:val="00A267A7"/>
    <w:rsid w:val="00A26882"/>
    <w:rsid w:val="00A26904"/>
    <w:rsid w:val="00A26941"/>
    <w:rsid w:val="00A26A74"/>
    <w:rsid w:val="00A26DB9"/>
    <w:rsid w:val="00A26F52"/>
    <w:rsid w:val="00A26F9E"/>
    <w:rsid w:val="00A26FA5"/>
    <w:rsid w:val="00A26FB5"/>
    <w:rsid w:val="00A27537"/>
    <w:rsid w:val="00A27604"/>
    <w:rsid w:val="00A27634"/>
    <w:rsid w:val="00A2766E"/>
    <w:rsid w:val="00A27683"/>
    <w:rsid w:val="00A277BB"/>
    <w:rsid w:val="00A2784D"/>
    <w:rsid w:val="00A27BDA"/>
    <w:rsid w:val="00A27C8F"/>
    <w:rsid w:val="00A27E09"/>
    <w:rsid w:val="00A27E17"/>
    <w:rsid w:val="00A27EB7"/>
    <w:rsid w:val="00A27EF6"/>
    <w:rsid w:val="00A27F29"/>
    <w:rsid w:val="00A301BF"/>
    <w:rsid w:val="00A3020A"/>
    <w:rsid w:val="00A30225"/>
    <w:rsid w:val="00A303CD"/>
    <w:rsid w:val="00A303EA"/>
    <w:rsid w:val="00A3044F"/>
    <w:rsid w:val="00A30473"/>
    <w:rsid w:val="00A3048B"/>
    <w:rsid w:val="00A3050B"/>
    <w:rsid w:val="00A30679"/>
    <w:rsid w:val="00A306B5"/>
    <w:rsid w:val="00A306C0"/>
    <w:rsid w:val="00A306F8"/>
    <w:rsid w:val="00A308BE"/>
    <w:rsid w:val="00A308E7"/>
    <w:rsid w:val="00A309C6"/>
    <w:rsid w:val="00A30B43"/>
    <w:rsid w:val="00A30C9F"/>
    <w:rsid w:val="00A30EC6"/>
    <w:rsid w:val="00A30F06"/>
    <w:rsid w:val="00A30F09"/>
    <w:rsid w:val="00A30F29"/>
    <w:rsid w:val="00A313E8"/>
    <w:rsid w:val="00A313F2"/>
    <w:rsid w:val="00A31489"/>
    <w:rsid w:val="00A3150D"/>
    <w:rsid w:val="00A31698"/>
    <w:rsid w:val="00A316C0"/>
    <w:rsid w:val="00A317C9"/>
    <w:rsid w:val="00A31822"/>
    <w:rsid w:val="00A31868"/>
    <w:rsid w:val="00A31954"/>
    <w:rsid w:val="00A319E4"/>
    <w:rsid w:val="00A31A77"/>
    <w:rsid w:val="00A31AD4"/>
    <w:rsid w:val="00A31C00"/>
    <w:rsid w:val="00A31D48"/>
    <w:rsid w:val="00A31DDF"/>
    <w:rsid w:val="00A31F0D"/>
    <w:rsid w:val="00A32053"/>
    <w:rsid w:val="00A32081"/>
    <w:rsid w:val="00A320FE"/>
    <w:rsid w:val="00A323A3"/>
    <w:rsid w:val="00A3245B"/>
    <w:rsid w:val="00A3256E"/>
    <w:rsid w:val="00A326E4"/>
    <w:rsid w:val="00A32784"/>
    <w:rsid w:val="00A327AA"/>
    <w:rsid w:val="00A327FD"/>
    <w:rsid w:val="00A329CF"/>
    <w:rsid w:val="00A32B8C"/>
    <w:rsid w:val="00A32F84"/>
    <w:rsid w:val="00A330D7"/>
    <w:rsid w:val="00A331AB"/>
    <w:rsid w:val="00A3334E"/>
    <w:rsid w:val="00A33585"/>
    <w:rsid w:val="00A33714"/>
    <w:rsid w:val="00A33716"/>
    <w:rsid w:val="00A33793"/>
    <w:rsid w:val="00A33800"/>
    <w:rsid w:val="00A338B8"/>
    <w:rsid w:val="00A33D30"/>
    <w:rsid w:val="00A33D4F"/>
    <w:rsid w:val="00A34034"/>
    <w:rsid w:val="00A3439B"/>
    <w:rsid w:val="00A343D5"/>
    <w:rsid w:val="00A34457"/>
    <w:rsid w:val="00A34480"/>
    <w:rsid w:val="00A3465A"/>
    <w:rsid w:val="00A34664"/>
    <w:rsid w:val="00A3470F"/>
    <w:rsid w:val="00A3474C"/>
    <w:rsid w:val="00A347B7"/>
    <w:rsid w:val="00A349C6"/>
    <w:rsid w:val="00A34A16"/>
    <w:rsid w:val="00A34A43"/>
    <w:rsid w:val="00A34AD0"/>
    <w:rsid w:val="00A34D33"/>
    <w:rsid w:val="00A34D71"/>
    <w:rsid w:val="00A34E1C"/>
    <w:rsid w:val="00A34E74"/>
    <w:rsid w:val="00A34FB7"/>
    <w:rsid w:val="00A3515F"/>
    <w:rsid w:val="00A353B2"/>
    <w:rsid w:val="00A353C5"/>
    <w:rsid w:val="00A353CC"/>
    <w:rsid w:val="00A35449"/>
    <w:rsid w:val="00A3549B"/>
    <w:rsid w:val="00A355A3"/>
    <w:rsid w:val="00A35751"/>
    <w:rsid w:val="00A358D8"/>
    <w:rsid w:val="00A3598B"/>
    <w:rsid w:val="00A359AE"/>
    <w:rsid w:val="00A35CD5"/>
    <w:rsid w:val="00A35D83"/>
    <w:rsid w:val="00A35D8E"/>
    <w:rsid w:val="00A35E29"/>
    <w:rsid w:val="00A35F1D"/>
    <w:rsid w:val="00A35F6D"/>
    <w:rsid w:val="00A35FC6"/>
    <w:rsid w:val="00A35FD3"/>
    <w:rsid w:val="00A36040"/>
    <w:rsid w:val="00A360DD"/>
    <w:rsid w:val="00A361EC"/>
    <w:rsid w:val="00A3620D"/>
    <w:rsid w:val="00A36273"/>
    <w:rsid w:val="00A364CF"/>
    <w:rsid w:val="00A365C3"/>
    <w:rsid w:val="00A365DF"/>
    <w:rsid w:val="00A36655"/>
    <w:rsid w:val="00A3673A"/>
    <w:rsid w:val="00A36768"/>
    <w:rsid w:val="00A367D5"/>
    <w:rsid w:val="00A369CE"/>
    <w:rsid w:val="00A369DD"/>
    <w:rsid w:val="00A369E9"/>
    <w:rsid w:val="00A36A47"/>
    <w:rsid w:val="00A36B5F"/>
    <w:rsid w:val="00A36BE8"/>
    <w:rsid w:val="00A36F41"/>
    <w:rsid w:val="00A370D5"/>
    <w:rsid w:val="00A3721E"/>
    <w:rsid w:val="00A372A2"/>
    <w:rsid w:val="00A373E1"/>
    <w:rsid w:val="00A37406"/>
    <w:rsid w:val="00A3749B"/>
    <w:rsid w:val="00A375AE"/>
    <w:rsid w:val="00A3770C"/>
    <w:rsid w:val="00A37710"/>
    <w:rsid w:val="00A378A8"/>
    <w:rsid w:val="00A37A0B"/>
    <w:rsid w:val="00A37A6A"/>
    <w:rsid w:val="00A37B45"/>
    <w:rsid w:val="00A37BD7"/>
    <w:rsid w:val="00A37C51"/>
    <w:rsid w:val="00A37C5D"/>
    <w:rsid w:val="00A37D87"/>
    <w:rsid w:val="00A37DD3"/>
    <w:rsid w:val="00A37DDA"/>
    <w:rsid w:val="00A37F6D"/>
    <w:rsid w:val="00A40009"/>
    <w:rsid w:val="00A40012"/>
    <w:rsid w:val="00A400F6"/>
    <w:rsid w:val="00A40103"/>
    <w:rsid w:val="00A402F2"/>
    <w:rsid w:val="00A4034E"/>
    <w:rsid w:val="00A40606"/>
    <w:rsid w:val="00A406DB"/>
    <w:rsid w:val="00A40720"/>
    <w:rsid w:val="00A40736"/>
    <w:rsid w:val="00A407E0"/>
    <w:rsid w:val="00A409B1"/>
    <w:rsid w:val="00A409D4"/>
    <w:rsid w:val="00A40A78"/>
    <w:rsid w:val="00A40AA5"/>
    <w:rsid w:val="00A40B54"/>
    <w:rsid w:val="00A40C13"/>
    <w:rsid w:val="00A40C4B"/>
    <w:rsid w:val="00A40E1E"/>
    <w:rsid w:val="00A40EC6"/>
    <w:rsid w:val="00A40EEC"/>
    <w:rsid w:val="00A40FFC"/>
    <w:rsid w:val="00A41046"/>
    <w:rsid w:val="00A410F5"/>
    <w:rsid w:val="00A411E5"/>
    <w:rsid w:val="00A412D4"/>
    <w:rsid w:val="00A41331"/>
    <w:rsid w:val="00A41338"/>
    <w:rsid w:val="00A41548"/>
    <w:rsid w:val="00A4157A"/>
    <w:rsid w:val="00A417F7"/>
    <w:rsid w:val="00A41875"/>
    <w:rsid w:val="00A418B6"/>
    <w:rsid w:val="00A41A44"/>
    <w:rsid w:val="00A41B84"/>
    <w:rsid w:val="00A41C41"/>
    <w:rsid w:val="00A41C7C"/>
    <w:rsid w:val="00A41F65"/>
    <w:rsid w:val="00A41F85"/>
    <w:rsid w:val="00A41FE0"/>
    <w:rsid w:val="00A4205B"/>
    <w:rsid w:val="00A4263A"/>
    <w:rsid w:val="00A426E1"/>
    <w:rsid w:val="00A427C1"/>
    <w:rsid w:val="00A42A69"/>
    <w:rsid w:val="00A42A78"/>
    <w:rsid w:val="00A42A9D"/>
    <w:rsid w:val="00A42B14"/>
    <w:rsid w:val="00A42B6E"/>
    <w:rsid w:val="00A42C00"/>
    <w:rsid w:val="00A42DBE"/>
    <w:rsid w:val="00A42DF1"/>
    <w:rsid w:val="00A42F28"/>
    <w:rsid w:val="00A4302F"/>
    <w:rsid w:val="00A430E1"/>
    <w:rsid w:val="00A430FB"/>
    <w:rsid w:val="00A431BF"/>
    <w:rsid w:val="00A43226"/>
    <w:rsid w:val="00A43248"/>
    <w:rsid w:val="00A432AB"/>
    <w:rsid w:val="00A43351"/>
    <w:rsid w:val="00A43560"/>
    <w:rsid w:val="00A4360A"/>
    <w:rsid w:val="00A43943"/>
    <w:rsid w:val="00A43A15"/>
    <w:rsid w:val="00A43B32"/>
    <w:rsid w:val="00A43CF6"/>
    <w:rsid w:val="00A43FC5"/>
    <w:rsid w:val="00A4400F"/>
    <w:rsid w:val="00A44035"/>
    <w:rsid w:val="00A44060"/>
    <w:rsid w:val="00A440A8"/>
    <w:rsid w:val="00A4439A"/>
    <w:rsid w:val="00A44459"/>
    <w:rsid w:val="00A4445F"/>
    <w:rsid w:val="00A444A2"/>
    <w:rsid w:val="00A4456A"/>
    <w:rsid w:val="00A44648"/>
    <w:rsid w:val="00A44755"/>
    <w:rsid w:val="00A44768"/>
    <w:rsid w:val="00A4476E"/>
    <w:rsid w:val="00A44838"/>
    <w:rsid w:val="00A44840"/>
    <w:rsid w:val="00A44859"/>
    <w:rsid w:val="00A448D7"/>
    <w:rsid w:val="00A44A41"/>
    <w:rsid w:val="00A44AAB"/>
    <w:rsid w:val="00A44BC5"/>
    <w:rsid w:val="00A45114"/>
    <w:rsid w:val="00A4534D"/>
    <w:rsid w:val="00A45369"/>
    <w:rsid w:val="00A4550A"/>
    <w:rsid w:val="00A4561F"/>
    <w:rsid w:val="00A4566A"/>
    <w:rsid w:val="00A4599E"/>
    <w:rsid w:val="00A45A0D"/>
    <w:rsid w:val="00A45A13"/>
    <w:rsid w:val="00A45ACB"/>
    <w:rsid w:val="00A45ACD"/>
    <w:rsid w:val="00A45B05"/>
    <w:rsid w:val="00A45B96"/>
    <w:rsid w:val="00A45CEA"/>
    <w:rsid w:val="00A45D5B"/>
    <w:rsid w:val="00A45D7C"/>
    <w:rsid w:val="00A45DD5"/>
    <w:rsid w:val="00A45F3B"/>
    <w:rsid w:val="00A45F8F"/>
    <w:rsid w:val="00A45FA2"/>
    <w:rsid w:val="00A46008"/>
    <w:rsid w:val="00A46039"/>
    <w:rsid w:val="00A46212"/>
    <w:rsid w:val="00A46244"/>
    <w:rsid w:val="00A4650C"/>
    <w:rsid w:val="00A4658E"/>
    <w:rsid w:val="00A46675"/>
    <w:rsid w:val="00A46779"/>
    <w:rsid w:val="00A46864"/>
    <w:rsid w:val="00A4696C"/>
    <w:rsid w:val="00A46A87"/>
    <w:rsid w:val="00A46AAD"/>
    <w:rsid w:val="00A46BDF"/>
    <w:rsid w:val="00A46C60"/>
    <w:rsid w:val="00A46CF5"/>
    <w:rsid w:val="00A46DD9"/>
    <w:rsid w:val="00A46F65"/>
    <w:rsid w:val="00A46FE7"/>
    <w:rsid w:val="00A47087"/>
    <w:rsid w:val="00A470FC"/>
    <w:rsid w:val="00A47136"/>
    <w:rsid w:val="00A4718B"/>
    <w:rsid w:val="00A47291"/>
    <w:rsid w:val="00A47320"/>
    <w:rsid w:val="00A4740C"/>
    <w:rsid w:val="00A4741C"/>
    <w:rsid w:val="00A4743E"/>
    <w:rsid w:val="00A47573"/>
    <w:rsid w:val="00A476C7"/>
    <w:rsid w:val="00A4778C"/>
    <w:rsid w:val="00A478E5"/>
    <w:rsid w:val="00A47A42"/>
    <w:rsid w:val="00A47A90"/>
    <w:rsid w:val="00A47A9A"/>
    <w:rsid w:val="00A47C82"/>
    <w:rsid w:val="00A47C9D"/>
    <w:rsid w:val="00A47CF0"/>
    <w:rsid w:val="00A47DA4"/>
    <w:rsid w:val="00A47E14"/>
    <w:rsid w:val="00A50112"/>
    <w:rsid w:val="00A501A4"/>
    <w:rsid w:val="00A5031B"/>
    <w:rsid w:val="00A503BE"/>
    <w:rsid w:val="00A5041B"/>
    <w:rsid w:val="00A5054F"/>
    <w:rsid w:val="00A5055D"/>
    <w:rsid w:val="00A50593"/>
    <w:rsid w:val="00A50612"/>
    <w:rsid w:val="00A50693"/>
    <w:rsid w:val="00A506C1"/>
    <w:rsid w:val="00A506D4"/>
    <w:rsid w:val="00A5090F"/>
    <w:rsid w:val="00A50A5B"/>
    <w:rsid w:val="00A50B66"/>
    <w:rsid w:val="00A50D23"/>
    <w:rsid w:val="00A50D3F"/>
    <w:rsid w:val="00A50D88"/>
    <w:rsid w:val="00A50E05"/>
    <w:rsid w:val="00A50E72"/>
    <w:rsid w:val="00A50F7D"/>
    <w:rsid w:val="00A510C8"/>
    <w:rsid w:val="00A5116C"/>
    <w:rsid w:val="00A512DD"/>
    <w:rsid w:val="00A513A6"/>
    <w:rsid w:val="00A51436"/>
    <w:rsid w:val="00A51439"/>
    <w:rsid w:val="00A514E1"/>
    <w:rsid w:val="00A5153A"/>
    <w:rsid w:val="00A5164E"/>
    <w:rsid w:val="00A517DA"/>
    <w:rsid w:val="00A51822"/>
    <w:rsid w:val="00A51935"/>
    <w:rsid w:val="00A51943"/>
    <w:rsid w:val="00A5195B"/>
    <w:rsid w:val="00A5198C"/>
    <w:rsid w:val="00A51B48"/>
    <w:rsid w:val="00A51B80"/>
    <w:rsid w:val="00A51B9E"/>
    <w:rsid w:val="00A51BBF"/>
    <w:rsid w:val="00A51E8D"/>
    <w:rsid w:val="00A51EB1"/>
    <w:rsid w:val="00A51F01"/>
    <w:rsid w:val="00A52190"/>
    <w:rsid w:val="00A52513"/>
    <w:rsid w:val="00A52544"/>
    <w:rsid w:val="00A52842"/>
    <w:rsid w:val="00A52859"/>
    <w:rsid w:val="00A5287E"/>
    <w:rsid w:val="00A52937"/>
    <w:rsid w:val="00A52AA1"/>
    <w:rsid w:val="00A52ACF"/>
    <w:rsid w:val="00A52BCB"/>
    <w:rsid w:val="00A52D05"/>
    <w:rsid w:val="00A52FC6"/>
    <w:rsid w:val="00A53292"/>
    <w:rsid w:val="00A5335C"/>
    <w:rsid w:val="00A5338C"/>
    <w:rsid w:val="00A53449"/>
    <w:rsid w:val="00A534EE"/>
    <w:rsid w:val="00A53579"/>
    <w:rsid w:val="00A53655"/>
    <w:rsid w:val="00A536FA"/>
    <w:rsid w:val="00A53706"/>
    <w:rsid w:val="00A53859"/>
    <w:rsid w:val="00A53890"/>
    <w:rsid w:val="00A53930"/>
    <w:rsid w:val="00A539BE"/>
    <w:rsid w:val="00A53B3B"/>
    <w:rsid w:val="00A53D54"/>
    <w:rsid w:val="00A53DDA"/>
    <w:rsid w:val="00A53E1C"/>
    <w:rsid w:val="00A53E36"/>
    <w:rsid w:val="00A53F80"/>
    <w:rsid w:val="00A53FDD"/>
    <w:rsid w:val="00A540BA"/>
    <w:rsid w:val="00A54235"/>
    <w:rsid w:val="00A5428C"/>
    <w:rsid w:val="00A54337"/>
    <w:rsid w:val="00A5447F"/>
    <w:rsid w:val="00A544D6"/>
    <w:rsid w:val="00A5452C"/>
    <w:rsid w:val="00A54574"/>
    <w:rsid w:val="00A54654"/>
    <w:rsid w:val="00A54658"/>
    <w:rsid w:val="00A54670"/>
    <w:rsid w:val="00A54716"/>
    <w:rsid w:val="00A5472E"/>
    <w:rsid w:val="00A54806"/>
    <w:rsid w:val="00A54843"/>
    <w:rsid w:val="00A549A4"/>
    <w:rsid w:val="00A54AD1"/>
    <w:rsid w:val="00A54C98"/>
    <w:rsid w:val="00A54CF6"/>
    <w:rsid w:val="00A54E3B"/>
    <w:rsid w:val="00A54E83"/>
    <w:rsid w:val="00A54F96"/>
    <w:rsid w:val="00A5502A"/>
    <w:rsid w:val="00A551AE"/>
    <w:rsid w:val="00A551C3"/>
    <w:rsid w:val="00A551CA"/>
    <w:rsid w:val="00A5521E"/>
    <w:rsid w:val="00A55384"/>
    <w:rsid w:val="00A553A1"/>
    <w:rsid w:val="00A553AA"/>
    <w:rsid w:val="00A553CD"/>
    <w:rsid w:val="00A55422"/>
    <w:rsid w:val="00A55574"/>
    <w:rsid w:val="00A5569C"/>
    <w:rsid w:val="00A5572E"/>
    <w:rsid w:val="00A5577F"/>
    <w:rsid w:val="00A55964"/>
    <w:rsid w:val="00A559CE"/>
    <w:rsid w:val="00A55A35"/>
    <w:rsid w:val="00A55B22"/>
    <w:rsid w:val="00A55DFE"/>
    <w:rsid w:val="00A55F3A"/>
    <w:rsid w:val="00A55FB2"/>
    <w:rsid w:val="00A56001"/>
    <w:rsid w:val="00A5600F"/>
    <w:rsid w:val="00A561A7"/>
    <w:rsid w:val="00A562A0"/>
    <w:rsid w:val="00A56368"/>
    <w:rsid w:val="00A56436"/>
    <w:rsid w:val="00A564A2"/>
    <w:rsid w:val="00A564B2"/>
    <w:rsid w:val="00A56656"/>
    <w:rsid w:val="00A566C4"/>
    <w:rsid w:val="00A56790"/>
    <w:rsid w:val="00A567A4"/>
    <w:rsid w:val="00A568AE"/>
    <w:rsid w:val="00A56923"/>
    <w:rsid w:val="00A5695A"/>
    <w:rsid w:val="00A5697F"/>
    <w:rsid w:val="00A569E7"/>
    <w:rsid w:val="00A56D33"/>
    <w:rsid w:val="00A56D7F"/>
    <w:rsid w:val="00A56D83"/>
    <w:rsid w:val="00A56E23"/>
    <w:rsid w:val="00A570CC"/>
    <w:rsid w:val="00A57319"/>
    <w:rsid w:val="00A573A7"/>
    <w:rsid w:val="00A57404"/>
    <w:rsid w:val="00A57406"/>
    <w:rsid w:val="00A57429"/>
    <w:rsid w:val="00A5756E"/>
    <w:rsid w:val="00A5776B"/>
    <w:rsid w:val="00A5783E"/>
    <w:rsid w:val="00A57869"/>
    <w:rsid w:val="00A578DB"/>
    <w:rsid w:val="00A578E6"/>
    <w:rsid w:val="00A57A1E"/>
    <w:rsid w:val="00A57C30"/>
    <w:rsid w:val="00A57CEE"/>
    <w:rsid w:val="00A57F7E"/>
    <w:rsid w:val="00A57FDD"/>
    <w:rsid w:val="00A6011B"/>
    <w:rsid w:val="00A60152"/>
    <w:rsid w:val="00A602E6"/>
    <w:rsid w:val="00A60595"/>
    <w:rsid w:val="00A607B8"/>
    <w:rsid w:val="00A60880"/>
    <w:rsid w:val="00A6098A"/>
    <w:rsid w:val="00A60B63"/>
    <w:rsid w:val="00A60B98"/>
    <w:rsid w:val="00A60BBE"/>
    <w:rsid w:val="00A60CE6"/>
    <w:rsid w:val="00A60F47"/>
    <w:rsid w:val="00A610FC"/>
    <w:rsid w:val="00A61109"/>
    <w:rsid w:val="00A61150"/>
    <w:rsid w:val="00A6124C"/>
    <w:rsid w:val="00A614E3"/>
    <w:rsid w:val="00A617DF"/>
    <w:rsid w:val="00A6181D"/>
    <w:rsid w:val="00A6182B"/>
    <w:rsid w:val="00A61936"/>
    <w:rsid w:val="00A619C7"/>
    <w:rsid w:val="00A619E7"/>
    <w:rsid w:val="00A619EE"/>
    <w:rsid w:val="00A61CA9"/>
    <w:rsid w:val="00A61CD3"/>
    <w:rsid w:val="00A61D04"/>
    <w:rsid w:val="00A61D87"/>
    <w:rsid w:val="00A61D8B"/>
    <w:rsid w:val="00A61E0B"/>
    <w:rsid w:val="00A61E23"/>
    <w:rsid w:val="00A61F14"/>
    <w:rsid w:val="00A61FAE"/>
    <w:rsid w:val="00A62162"/>
    <w:rsid w:val="00A6225A"/>
    <w:rsid w:val="00A62265"/>
    <w:rsid w:val="00A6229D"/>
    <w:rsid w:val="00A622BA"/>
    <w:rsid w:val="00A62359"/>
    <w:rsid w:val="00A62382"/>
    <w:rsid w:val="00A6243A"/>
    <w:rsid w:val="00A6245B"/>
    <w:rsid w:val="00A62468"/>
    <w:rsid w:val="00A6246C"/>
    <w:rsid w:val="00A625EA"/>
    <w:rsid w:val="00A625F3"/>
    <w:rsid w:val="00A62693"/>
    <w:rsid w:val="00A6274B"/>
    <w:rsid w:val="00A62973"/>
    <w:rsid w:val="00A62977"/>
    <w:rsid w:val="00A62A31"/>
    <w:rsid w:val="00A62CB4"/>
    <w:rsid w:val="00A62DAC"/>
    <w:rsid w:val="00A62DF3"/>
    <w:rsid w:val="00A62E42"/>
    <w:rsid w:val="00A62EFA"/>
    <w:rsid w:val="00A63031"/>
    <w:rsid w:val="00A6307F"/>
    <w:rsid w:val="00A630C9"/>
    <w:rsid w:val="00A63282"/>
    <w:rsid w:val="00A632D0"/>
    <w:rsid w:val="00A634A5"/>
    <w:rsid w:val="00A6354F"/>
    <w:rsid w:val="00A63675"/>
    <w:rsid w:val="00A63707"/>
    <w:rsid w:val="00A6387F"/>
    <w:rsid w:val="00A638A5"/>
    <w:rsid w:val="00A638B3"/>
    <w:rsid w:val="00A6396D"/>
    <w:rsid w:val="00A639EB"/>
    <w:rsid w:val="00A63A4A"/>
    <w:rsid w:val="00A63A51"/>
    <w:rsid w:val="00A63BE0"/>
    <w:rsid w:val="00A63E37"/>
    <w:rsid w:val="00A63E8E"/>
    <w:rsid w:val="00A63E8F"/>
    <w:rsid w:val="00A6407A"/>
    <w:rsid w:val="00A640D9"/>
    <w:rsid w:val="00A64124"/>
    <w:rsid w:val="00A64129"/>
    <w:rsid w:val="00A641A6"/>
    <w:rsid w:val="00A642CC"/>
    <w:rsid w:val="00A642E1"/>
    <w:rsid w:val="00A6438D"/>
    <w:rsid w:val="00A6446F"/>
    <w:rsid w:val="00A645B0"/>
    <w:rsid w:val="00A646D8"/>
    <w:rsid w:val="00A64866"/>
    <w:rsid w:val="00A64A71"/>
    <w:rsid w:val="00A64AC2"/>
    <w:rsid w:val="00A64B32"/>
    <w:rsid w:val="00A64B5B"/>
    <w:rsid w:val="00A64B81"/>
    <w:rsid w:val="00A64BD2"/>
    <w:rsid w:val="00A64D54"/>
    <w:rsid w:val="00A64D8C"/>
    <w:rsid w:val="00A64F4C"/>
    <w:rsid w:val="00A64F84"/>
    <w:rsid w:val="00A64FE7"/>
    <w:rsid w:val="00A65089"/>
    <w:rsid w:val="00A650D0"/>
    <w:rsid w:val="00A6518A"/>
    <w:rsid w:val="00A651FB"/>
    <w:rsid w:val="00A65279"/>
    <w:rsid w:val="00A652B8"/>
    <w:rsid w:val="00A652F2"/>
    <w:rsid w:val="00A65308"/>
    <w:rsid w:val="00A6545B"/>
    <w:rsid w:val="00A656F7"/>
    <w:rsid w:val="00A65769"/>
    <w:rsid w:val="00A657ED"/>
    <w:rsid w:val="00A658C7"/>
    <w:rsid w:val="00A65AAE"/>
    <w:rsid w:val="00A65B02"/>
    <w:rsid w:val="00A65D92"/>
    <w:rsid w:val="00A65E5C"/>
    <w:rsid w:val="00A65E70"/>
    <w:rsid w:val="00A65F3D"/>
    <w:rsid w:val="00A65FED"/>
    <w:rsid w:val="00A6625C"/>
    <w:rsid w:val="00A663AD"/>
    <w:rsid w:val="00A663F0"/>
    <w:rsid w:val="00A66522"/>
    <w:rsid w:val="00A66658"/>
    <w:rsid w:val="00A6674B"/>
    <w:rsid w:val="00A66899"/>
    <w:rsid w:val="00A668AA"/>
    <w:rsid w:val="00A669DA"/>
    <w:rsid w:val="00A66A21"/>
    <w:rsid w:val="00A66A5F"/>
    <w:rsid w:val="00A66AC4"/>
    <w:rsid w:val="00A66B5F"/>
    <w:rsid w:val="00A66F10"/>
    <w:rsid w:val="00A66F5C"/>
    <w:rsid w:val="00A66FB7"/>
    <w:rsid w:val="00A67091"/>
    <w:rsid w:val="00A670F5"/>
    <w:rsid w:val="00A671B1"/>
    <w:rsid w:val="00A67358"/>
    <w:rsid w:val="00A6766D"/>
    <w:rsid w:val="00A676E8"/>
    <w:rsid w:val="00A67740"/>
    <w:rsid w:val="00A6775F"/>
    <w:rsid w:val="00A6797E"/>
    <w:rsid w:val="00A679D9"/>
    <w:rsid w:val="00A67A6C"/>
    <w:rsid w:val="00A67A81"/>
    <w:rsid w:val="00A67BED"/>
    <w:rsid w:val="00A67C85"/>
    <w:rsid w:val="00A67D5B"/>
    <w:rsid w:val="00A70059"/>
    <w:rsid w:val="00A7013C"/>
    <w:rsid w:val="00A70181"/>
    <w:rsid w:val="00A70185"/>
    <w:rsid w:val="00A70196"/>
    <w:rsid w:val="00A701A5"/>
    <w:rsid w:val="00A701B8"/>
    <w:rsid w:val="00A70594"/>
    <w:rsid w:val="00A706E5"/>
    <w:rsid w:val="00A7072C"/>
    <w:rsid w:val="00A70755"/>
    <w:rsid w:val="00A70788"/>
    <w:rsid w:val="00A7094F"/>
    <w:rsid w:val="00A70A34"/>
    <w:rsid w:val="00A70A66"/>
    <w:rsid w:val="00A70AD6"/>
    <w:rsid w:val="00A70C45"/>
    <w:rsid w:val="00A70E22"/>
    <w:rsid w:val="00A70E44"/>
    <w:rsid w:val="00A70F8E"/>
    <w:rsid w:val="00A70FA4"/>
    <w:rsid w:val="00A71036"/>
    <w:rsid w:val="00A71047"/>
    <w:rsid w:val="00A710D1"/>
    <w:rsid w:val="00A7119C"/>
    <w:rsid w:val="00A711CB"/>
    <w:rsid w:val="00A7124C"/>
    <w:rsid w:val="00A71400"/>
    <w:rsid w:val="00A714E7"/>
    <w:rsid w:val="00A716B6"/>
    <w:rsid w:val="00A7171B"/>
    <w:rsid w:val="00A71764"/>
    <w:rsid w:val="00A717BC"/>
    <w:rsid w:val="00A718DE"/>
    <w:rsid w:val="00A7199E"/>
    <w:rsid w:val="00A71BAD"/>
    <w:rsid w:val="00A71C2F"/>
    <w:rsid w:val="00A71CC9"/>
    <w:rsid w:val="00A71EC9"/>
    <w:rsid w:val="00A71F0F"/>
    <w:rsid w:val="00A71F51"/>
    <w:rsid w:val="00A7203E"/>
    <w:rsid w:val="00A721FF"/>
    <w:rsid w:val="00A722B7"/>
    <w:rsid w:val="00A722ED"/>
    <w:rsid w:val="00A7236C"/>
    <w:rsid w:val="00A7237A"/>
    <w:rsid w:val="00A724A3"/>
    <w:rsid w:val="00A7267F"/>
    <w:rsid w:val="00A7268C"/>
    <w:rsid w:val="00A726F4"/>
    <w:rsid w:val="00A72739"/>
    <w:rsid w:val="00A728BA"/>
    <w:rsid w:val="00A728C1"/>
    <w:rsid w:val="00A72960"/>
    <w:rsid w:val="00A72B57"/>
    <w:rsid w:val="00A72D4E"/>
    <w:rsid w:val="00A72D8F"/>
    <w:rsid w:val="00A72DF1"/>
    <w:rsid w:val="00A72E5B"/>
    <w:rsid w:val="00A7309F"/>
    <w:rsid w:val="00A7328A"/>
    <w:rsid w:val="00A7332D"/>
    <w:rsid w:val="00A736D0"/>
    <w:rsid w:val="00A73707"/>
    <w:rsid w:val="00A73853"/>
    <w:rsid w:val="00A7392B"/>
    <w:rsid w:val="00A73A36"/>
    <w:rsid w:val="00A73B25"/>
    <w:rsid w:val="00A73BB9"/>
    <w:rsid w:val="00A73BDC"/>
    <w:rsid w:val="00A73C58"/>
    <w:rsid w:val="00A73D4B"/>
    <w:rsid w:val="00A73DA8"/>
    <w:rsid w:val="00A73DBA"/>
    <w:rsid w:val="00A73E2E"/>
    <w:rsid w:val="00A74011"/>
    <w:rsid w:val="00A740AD"/>
    <w:rsid w:val="00A7411A"/>
    <w:rsid w:val="00A74328"/>
    <w:rsid w:val="00A74341"/>
    <w:rsid w:val="00A74523"/>
    <w:rsid w:val="00A745E9"/>
    <w:rsid w:val="00A74663"/>
    <w:rsid w:val="00A74815"/>
    <w:rsid w:val="00A74990"/>
    <w:rsid w:val="00A749B1"/>
    <w:rsid w:val="00A74A33"/>
    <w:rsid w:val="00A74A6E"/>
    <w:rsid w:val="00A74AB6"/>
    <w:rsid w:val="00A74DB5"/>
    <w:rsid w:val="00A74DBF"/>
    <w:rsid w:val="00A74E54"/>
    <w:rsid w:val="00A75029"/>
    <w:rsid w:val="00A7518F"/>
    <w:rsid w:val="00A752BF"/>
    <w:rsid w:val="00A7534D"/>
    <w:rsid w:val="00A753A0"/>
    <w:rsid w:val="00A75491"/>
    <w:rsid w:val="00A754CB"/>
    <w:rsid w:val="00A754E4"/>
    <w:rsid w:val="00A755B0"/>
    <w:rsid w:val="00A755FF"/>
    <w:rsid w:val="00A75691"/>
    <w:rsid w:val="00A75788"/>
    <w:rsid w:val="00A757C9"/>
    <w:rsid w:val="00A75875"/>
    <w:rsid w:val="00A758B9"/>
    <w:rsid w:val="00A758D2"/>
    <w:rsid w:val="00A758D6"/>
    <w:rsid w:val="00A75914"/>
    <w:rsid w:val="00A7594B"/>
    <w:rsid w:val="00A75AD5"/>
    <w:rsid w:val="00A75B56"/>
    <w:rsid w:val="00A75CF9"/>
    <w:rsid w:val="00A75D5E"/>
    <w:rsid w:val="00A75DC4"/>
    <w:rsid w:val="00A75FC3"/>
    <w:rsid w:val="00A760D6"/>
    <w:rsid w:val="00A76100"/>
    <w:rsid w:val="00A76155"/>
    <w:rsid w:val="00A761EA"/>
    <w:rsid w:val="00A761EB"/>
    <w:rsid w:val="00A76460"/>
    <w:rsid w:val="00A76491"/>
    <w:rsid w:val="00A76702"/>
    <w:rsid w:val="00A76A5E"/>
    <w:rsid w:val="00A76A90"/>
    <w:rsid w:val="00A76AA0"/>
    <w:rsid w:val="00A76BA1"/>
    <w:rsid w:val="00A76CE6"/>
    <w:rsid w:val="00A76D80"/>
    <w:rsid w:val="00A76E00"/>
    <w:rsid w:val="00A76EBC"/>
    <w:rsid w:val="00A76EDD"/>
    <w:rsid w:val="00A76EE7"/>
    <w:rsid w:val="00A76F49"/>
    <w:rsid w:val="00A76FF9"/>
    <w:rsid w:val="00A77098"/>
    <w:rsid w:val="00A771FA"/>
    <w:rsid w:val="00A772C7"/>
    <w:rsid w:val="00A7736A"/>
    <w:rsid w:val="00A773A1"/>
    <w:rsid w:val="00A774B7"/>
    <w:rsid w:val="00A774F7"/>
    <w:rsid w:val="00A777A8"/>
    <w:rsid w:val="00A777C3"/>
    <w:rsid w:val="00A777F0"/>
    <w:rsid w:val="00A77885"/>
    <w:rsid w:val="00A778AC"/>
    <w:rsid w:val="00A778B7"/>
    <w:rsid w:val="00A77AD0"/>
    <w:rsid w:val="00A77C3F"/>
    <w:rsid w:val="00A77C53"/>
    <w:rsid w:val="00A77D89"/>
    <w:rsid w:val="00A77EAE"/>
    <w:rsid w:val="00A77EF5"/>
    <w:rsid w:val="00A77F10"/>
    <w:rsid w:val="00A80007"/>
    <w:rsid w:val="00A80173"/>
    <w:rsid w:val="00A801FB"/>
    <w:rsid w:val="00A80254"/>
    <w:rsid w:val="00A8032A"/>
    <w:rsid w:val="00A804AD"/>
    <w:rsid w:val="00A80598"/>
    <w:rsid w:val="00A80612"/>
    <w:rsid w:val="00A8072D"/>
    <w:rsid w:val="00A807A7"/>
    <w:rsid w:val="00A808EE"/>
    <w:rsid w:val="00A809E9"/>
    <w:rsid w:val="00A80A0A"/>
    <w:rsid w:val="00A80A19"/>
    <w:rsid w:val="00A80C9A"/>
    <w:rsid w:val="00A80CA7"/>
    <w:rsid w:val="00A80D19"/>
    <w:rsid w:val="00A80F0E"/>
    <w:rsid w:val="00A80F7D"/>
    <w:rsid w:val="00A811B1"/>
    <w:rsid w:val="00A811C2"/>
    <w:rsid w:val="00A812BE"/>
    <w:rsid w:val="00A812D9"/>
    <w:rsid w:val="00A81366"/>
    <w:rsid w:val="00A813E1"/>
    <w:rsid w:val="00A81496"/>
    <w:rsid w:val="00A815D8"/>
    <w:rsid w:val="00A816CF"/>
    <w:rsid w:val="00A81798"/>
    <w:rsid w:val="00A817CC"/>
    <w:rsid w:val="00A81882"/>
    <w:rsid w:val="00A81977"/>
    <w:rsid w:val="00A81AE3"/>
    <w:rsid w:val="00A81AEE"/>
    <w:rsid w:val="00A81C36"/>
    <w:rsid w:val="00A81EFA"/>
    <w:rsid w:val="00A81F59"/>
    <w:rsid w:val="00A821F5"/>
    <w:rsid w:val="00A822B9"/>
    <w:rsid w:val="00A8233C"/>
    <w:rsid w:val="00A8237D"/>
    <w:rsid w:val="00A82429"/>
    <w:rsid w:val="00A82440"/>
    <w:rsid w:val="00A82581"/>
    <w:rsid w:val="00A8264B"/>
    <w:rsid w:val="00A826A8"/>
    <w:rsid w:val="00A826B9"/>
    <w:rsid w:val="00A82727"/>
    <w:rsid w:val="00A82817"/>
    <w:rsid w:val="00A82A69"/>
    <w:rsid w:val="00A82C22"/>
    <w:rsid w:val="00A82CAA"/>
    <w:rsid w:val="00A82CAF"/>
    <w:rsid w:val="00A82CC8"/>
    <w:rsid w:val="00A82D7B"/>
    <w:rsid w:val="00A82E32"/>
    <w:rsid w:val="00A82EBA"/>
    <w:rsid w:val="00A82F5A"/>
    <w:rsid w:val="00A82F6F"/>
    <w:rsid w:val="00A83175"/>
    <w:rsid w:val="00A83211"/>
    <w:rsid w:val="00A83499"/>
    <w:rsid w:val="00A8360E"/>
    <w:rsid w:val="00A8384B"/>
    <w:rsid w:val="00A83896"/>
    <w:rsid w:val="00A83A3A"/>
    <w:rsid w:val="00A83AAE"/>
    <w:rsid w:val="00A83E74"/>
    <w:rsid w:val="00A83E86"/>
    <w:rsid w:val="00A84060"/>
    <w:rsid w:val="00A84110"/>
    <w:rsid w:val="00A84153"/>
    <w:rsid w:val="00A84185"/>
    <w:rsid w:val="00A8440A"/>
    <w:rsid w:val="00A845FD"/>
    <w:rsid w:val="00A84746"/>
    <w:rsid w:val="00A8481F"/>
    <w:rsid w:val="00A84887"/>
    <w:rsid w:val="00A849AE"/>
    <w:rsid w:val="00A849C7"/>
    <w:rsid w:val="00A84AF0"/>
    <w:rsid w:val="00A84C06"/>
    <w:rsid w:val="00A84D80"/>
    <w:rsid w:val="00A84EFF"/>
    <w:rsid w:val="00A8509A"/>
    <w:rsid w:val="00A851D0"/>
    <w:rsid w:val="00A85314"/>
    <w:rsid w:val="00A85347"/>
    <w:rsid w:val="00A853BD"/>
    <w:rsid w:val="00A85525"/>
    <w:rsid w:val="00A8577E"/>
    <w:rsid w:val="00A85978"/>
    <w:rsid w:val="00A859E1"/>
    <w:rsid w:val="00A85A27"/>
    <w:rsid w:val="00A85BA2"/>
    <w:rsid w:val="00A85C5F"/>
    <w:rsid w:val="00A85CBC"/>
    <w:rsid w:val="00A85EB2"/>
    <w:rsid w:val="00A85EBD"/>
    <w:rsid w:val="00A85EDF"/>
    <w:rsid w:val="00A85EE9"/>
    <w:rsid w:val="00A86012"/>
    <w:rsid w:val="00A860CF"/>
    <w:rsid w:val="00A8616B"/>
    <w:rsid w:val="00A862F0"/>
    <w:rsid w:val="00A86314"/>
    <w:rsid w:val="00A865D0"/>
    <w:rsid w:val="00A8661D"/>
    <w:rsid w:val="00A8673F"/>
    <w:rsid w:val="00A867CF"/>
    <w:rsid w:val="00A86806"/>
    <w:rsid w:val="00A86856"/>
    <w:rsid w:val="00A86868"/>
    <w:rsid w:val="00A86950"/>
    <w:rsid w:val="00A8695B"/>
    <w:rsid w:val="00A86982"/>
    <w:rsid w:val="00A86C12"/>
    <w:rsid w:val="00A87097"/>
    <w:rsid w:val="00A8710B"/>
    <w:rsid w:val="00A8718C"/>
    <w:rsid w:val="00A871F0"/>
    <w:rsid w:val="00A872B0"/>
    <w:rsid w:val="00A87326"/>
    <w:rsid w:val="00A87495"/>
    <w:rsid w:val="00A87675"/>
    <w:rsid w:val="00A8775A"/>
    <w:rsid w:val="00A8783F"/>
    <w:rsid w:val="00A87873"/>
    <w:rsid w:val="00A879C8"/>
    <w:rsid w:val="00A87ACF"/>
    <w:rsid w:val="00A87C44"/>
    <w:rsid w:val="00A87CDC"/>
    <w:rsid w:val="00A87EFB"/>
    <w:rsid w:val="00A87F87"/>
    <w:rsid w:val="00A901AC"/>
    <w:rsid w:val="00A9023C"/>
    <w:rsid w:val="00A902FD"/>
    <w:rsid w:val="00A90316"/>
    <w:rsid w:val="00A903B0"/>
    <w:rsid w:val="00A904B8"/>
    <w:rsid w:val="00A905D5"/>
    <w:rsid w:val="00A9060D"/>
    <w:rsid w:val="00A906A5"/>
    <w:rsid w:val="00A906CC"/>
    <w:rsid w:val="00A9071E"/>
    <w:rsid w:val="00A9073D"/>
    <w:rsid w:val="00A907A3"/>
    <w:rsid w:val="00A908B1"/>
    <w:rsid w:val="00A9095D"/>
    <w:rsid w:val="00A9096B"/>
    <w:rsid w:val="00A90A08"/>
    <w:rsid w:val="00A90B5E"/>
    <w:rsid w:val="00A90C98"/>
    <w:rsid w:val="00A90D21"/>
    <w:rsid w:val="00A90EA4"/>
    <w:rsid w:val="00A90F09"/>
    <w:rsid w:val="00A90F1D"/>
    <w:rsid w:val="00A914FA"/>
    <w:rsid w:val="00A91599"/>
    <w:rsid w:val="00A915F5"/>
    <w:rsid w:val="00A916D0"/>
    <w:rsid w:val="00A91BF8"/>
    <w:rsid w:val="00A91C5A"/>
    <w:rsid w:val="00A92285"/>
    <w:rsid w:val="00A92419"/>
    <w:rsid w:val="00A9243E"/>
    <w:rsid w:val="00A924F8"/>
    <w:rsid w:val="00A92657"/>
    <w:rsid w:val="00A92706"/>
    <w:rsid w:val="00A928A6"/>
    <w:rsid w:val="00A928C7"/>
    <w:rsid w:val="00A92A2A"/>
    <w:rsid w:val="00A92A50"/>
    <w:rsid w:val="00A92B30"/>
    <w:rsid w:val="00A92C3D"/>
    <w:rsid w:val="00A92D2A"/>
    <w:rsid w:val="00A92E54"/>
    <w:rsid w:val="00A92F66"/>
    <w:rsid w:val="00A92FD4"/>
    <w:rsid w:val="00A930CB"/>
    <w:rsid w:val="00A932F0"/>
    <w:rsid w:val="00A93373"/>
    <w:rsid w:val="00A933D3"/>
    <w:rsid w:val="00A93401"/>
    <w:rsid w:val="00A9347A"/>
    <w:rsid w:val="00A934C8"/>
    <w:rsid w:val="00A93504"/>
    <w:rsid w:val="00A9353A"/>
    <w:rsid w:val="00A93570"/>
    <w:rsid w:val="00A93577"/>
    <w:rsid w:val="00A9366F"/>
    <w:rsid w:val="00A93806"/>
    <w:rsid w:val="00A93817"/>
    <w:rsid w:val="00A939C0"/>
    <w:rsid w:val="00A93A56"/>
    <w:rsid w:val="00A93AE8"/>
    <w:rsid w:val="00A93B0C"/>
    <w:rsid w:val="00A93BD3"/>
    <w:rsid w:val="00A93D3E"/>
    <w:rsid w:val="00A93D41"/>
    <w:rsid w:val="00A93F62"/>
    <w:rsid w:val="00A9417B"/>
    <w:rsid w:val="00A941C5"/>
    <w:rsid w:val="00A942D4"/>
    <w:rsid w:val="00A942EA"/>
    <w:rsid w:val="00A94320"/>
    <w:rsid w:val="00A943D3"/>
    <w:rsid w:val="00A94531"/>
    <w:rsid w:val="00A94653"/>
    <w:rsid w:val="00A946D1"/>
    <w:rsid w:val="00A946D3"/>
    <w:rsid w:val="00A9494A"/>
    <w:rsid w:val="00A94985"/>
    <w:rsid w:val="00A949C2"/>
    <w:rsid w:val="00A94BC3"/>
    <w:rsid w:val="00A94C41"/>
    <w:rsid w:val="00A94CFD"/>
    <w:rsid w:val="00A94D01"/>
    <w:rsid w:val="00A94D8D"/>
    <w:rsid w:val="00A94DA1"/>
    <w:rsid w:val="00A94DAF"/>
    <w:rsid w:val="00A94DD1"/>
    <w:rsid w:val="00A94E35"/>
    <w:rsid w:val="00A950FF"/>
    <w:rsid w:val="00A9526D"/>
    <w:rsid w:val="00A952ED"/>
    <w:rsid w:val="00A95343"/>
    <w:rsid w:val="00A9534F"/>
    <w:rsid w:val="00A953B9"/>
    <w:rsid w:val="00A95419"/>
    <w:rsid w:val="00A95484"/>
    <w:rsid w:val="00A954A5"/>
    <w:rsid w:val="00A954B7"/>
    <w:rsid w:val="00A95526"/>
    <w:rsid w:val="00A956DD"/>
    <w:rsid w:val="00A95936"/>
    <w:rsid w:val="00A95CBA"/>
    <w:rsid w:val="00A95CFB"/>
    <w:rsid w:val="00A95D6B"/>
    <w:rsid w:val="00A95F27"/>
    <w:rsid w:val="00A95F3F"/>
    <w:rsid w:val="00A95F54"/>
    <w:rsid w:val="00A95F74"/>
    <w:rsid w:val="00A960B8"/>
    <w:rsid w:val="00A960DF"/>
    <w:rsid w:val="00A96165"/>
    <w:rsid w:val="00A962EA"/>
    <w:rsid w:val="00A963B6"/>
    <w:rsid w:val="00A963D5"/>
    <w:rsid w:val="00A9648B"/>
    <w:rsid w:val="00A9649F"/>
    <w:rsid w:val="00A964D6"/>
    <w:rsid w:val="00A964FE"/>
    <w:rsid w:val="00A965F9"/>
    <w:rsid w:val="00A967D9"/>
    <w:rsid w:val="00A9694C"/>
    <w:rsid w:val="00A9698B"/>
    <w:rsid w:val="00A96A36"/>
    <w:rsid w:val="00A96B2E"/>
    <w:rsid w:val="00A96D2A"/>
    <w:rsid w:val="00A96EB2"/>
    <w:rsid w:val="00A96EFF"/>
    <w:rsid w:val="00A9707A"/>
    <w:rsid w:val="00A970CB"/>
    <w:rsid w:val="00A970E7"/>
    <w:rsid w:val="00A97160"/>
    <w:rsid w:val="00A97171"/>
    <w:rsid w:val="00A9735D"/>
    <w:rsid w:val="00A97410"/>
    <w:rsid w:val="00A9747F"/>
    <w:rsid w:val="00A97515"/>
    <w:rsid w:val="00A97516"/>
    <w:rsid w:val="00A975AF"/>
    <w:rsid w:val="00A976AE"/>
    <w:rsid w:val="00A976B8"/>
    <w:rsid w:val="00A97878"/>
    <w:rsid w:val="00A97955"/>
    <w:rsid w:val="00A9797B"/>
    <w:rsid w:val="00A979A7"/>
    <w:rsid w:val="00A979B4"/>
    <w:rsid w:val="00A97B00"/>
    <w:rsid w:val="00A97C97"/>
    <w:rsid w:val="00A97EB8"/>
    <w:rsid w:val="00A97F18"/>
    <w:rsid w:val="00A97FCC"/>
    <w:rsid w:val="00AA010F"/>
    <w:rsid w:val="00AA030F"/>
    <w:rsid w:val="00AA036C"/>
    <w:rsid w:val="00AA03D4"/>
    <w:rsid w:val="00AA0457"/>
    <w:rsid w:val="00AA0489"/>
    <w:rsid w:val="00AA04FE"/>
    <w:rsid w:val="00AA05FE"/>
    <w:rsid w:val="00AA0644"/>
    <w:rsid w:val="00AA0659"/>
    <w:rsid w:val="00AA074D"/>
    <w:rsid w:val="00AA08D4"/>
    <w:rsid w:val="00AA08D7"/>
    <w:rsid w:val="00AA0948"/>
    <w:rsid w:val="00AA0988"/>
    <w:rsid w:val="00AA09F4"/>
    <w:rsid w:val="00AA0B49"/>
    <w:rsid w:val="00AA0B9F"/>
    <w:rsid w:val="00AA0C04"/>
    <w:rsid w:val="00AA0D46"/>
    <w:rsid w:val="00AA0DA2"/>
    <w:rsid w:val="00AA0E05"/>
    <w:rsid w:val="00AA0E5A"/>
    <w:rsid w:val="00AA0EA9"/>
    <w:rsid w:val="00AA0F9E"/>
    <w:rsid w:val="00AA109A"/>
    <w:rsid w:val="00AA111C"/>
    <w:rsid w:val="00AA126E"/>
    <w:rsid w:val="00AA12D2"/>
    <w:rsid w:val="00AA14A3"/>
    <w:rsid w:val="00AA14DF"/>
    <w:rsid w:val="00AA1615"/>
    <w:rsid w:val="00AA16F0"/>
    <w:rsid w:val="00AA1715"/>
    <w:rsid w:val="00AA17E8"/>
    <w:rsid w:val="00AA18F9"/>
    <w:rsid w:val="00AA1988"/>
    <w:rsid w:val="00AA19A4"/>
    <w:rsid w:val="00AA19D1"/>
    <w:rsid w:val="00AA1A8C"/>
    <w:rsid w:val="00AA1DF3"/>
    <w:rsid w:val="00AA1F4D"/>
    <w:rsid w:val="00AA2291"/>
    <w:rsid w:val="00AA23D1"/>
    <w:rsid w:val="00AA23F5"/>
    <w:rsid w:val="00AA24B0"/>
    <w:rsid w:val="00AA2557"/>
    <w:rsid w:val="00AA2598"/>
    <w:rsid w:val="00AA2758"/>
    <w:rsid w:val="00AA28EF"/>
    <w:rsid w:val="00AA28FC"/>
    <w:rsid w:val="00AA29B1"/>
    <w:rsid w:val="00AA2B71"/>
    <w:rsid w:val="00AA2C18"/>
    <w:rsid w:val="00AA2C8A"/>
    <w:rsid w:val="00AA2D36"/>
    <w:rsid w:val="00AA2EA9"/>
    <w:rsid w:val="00AA2EDF"/>
    <w:rsid w:val="00AA302E"/>
    <w:rsid w:val="00AA34B8"/>
    <w:rsid w:val="00AA3542"/>
    <w:rsid w:val="00AA356E"/>
    <w:rsid w:val="00AA35D0"/>
    <w:rsid w:val="00AA374F"/>
    <w:rsid w:val="00AA3853"/>
    <w:rsid w:val="00AA38B0"/>
    <w:rsid w:val="00AA3995"/>
    <w:rsid w:val="00AA3A51"/>
    <w:rsid w:val="00AA3A71"/>
    <w:rsid w:val="00AA3A97"/>
    <w:rsid w:val="00AA3D6F"/>
    <w:rsid w:val="00AA3DD8"/>
    <w:rsid w:val="00AA3FE3"/>
    <w:rsid w:val="00AA4010"/>
    <w:rsid w:val="00AA4082"/>
    <w:rsid w:val="00AA409A"/>
    <w:rsid w:val="00AA40C4"/>
    <w:rsid w:val="00AA42B2"/>
    <w:rsid w:val="00AA42F2"/>
    <w:rsid w:val="00AA4350"/>
    <w:rsid w:val="00AA43C3"/>
    <w:rsid w:val="00AA43C8"/>
    <w:rsid w:val="00AA4569"/>
    <w:rsid w:val="00AA45A9"/>
    <w:rsid w:val="00AA45C8"/>
    <w:rsid w:val="00AA4624"/>
    <w:rsid w:val="00AA4723"/>
    <w:rsid w:val="00AA4BDA"/>
    <w:rsid w:val="00AA4C87"/>
    <w:rsid w:val="00AA4CD9"/>
    <w:rsid w:val="00AA4E21"/>
    <w:rsid w:val="00AA5198"/>
    <w:rsid w:val="00AA5230"/>
    <w:rsid w:val="00AA539C"/>
    <w:rsid w:val="00AA5441"/>
    <w:rsid w:val="00AA54E8"/>
    <w:rsid w:val="00AA55A8"/>
    <w:rsid w:val="00AA586B"/>
    <w:rsid w:val="00AA5977"/>
    <w:rsid w:val="00AA5AC4"/>
    <w:rsid w:val="00AA5ACC"/>
    <w:rsid w:val="00AA5B12"/>
    <w:rsid w:val="00AA5CE9"/>
    <w:rsid w:val="00AA5E00"/>
    <w:rsid w:val="00AA5E44"/>
    <w:rsid w:val="00AA5F2E"/>
    <w:rsid w:val="00AA603E"/>
    <w:rsid w:val="00AA606D"/>
    <w:rsid w:val="00AA612C"/>
    <w:rsid w:val="00AA612E"/>
    <w:rsid w:val="00AA617A"/>
    <w:rsid w:val="00AA6336"/>
    <w:rsid w:val="00AA63B6"/>
    <w:rsid w:val="00AA6442"/>
    <w:rsid w:val="00AA644E"/>
    <w:rsid w:val="00AA653D"/>
    <w:rsid w:val="00AA6615"/>
    <w:rsid w:val="00AA666F"/>
    <w:rsid w:val="00AA6696"/>
    <w:rsid w:val="00AA6719"/>
    <w:rsid w:val="00AA6766"/>
    <w:rsid w:val="00AA67F6"/>
    <w:rsid w:val="00AA684D"/>
    <w:rsid w:val="00AA69C9"/>
    <w:rsid w:val="00AA6C4C"/>
    <w:rsid w:val="00AA6C80"/>
    <w:rsid w:val="00AA6D78"/>
    <w:rsid w:val="00AA6DC7"/>
    <w:rsid w:val="00AA6F11"/>
    <w:rsid w:val="00AA7012"/>
    <w:rsid w:val="00AA705E"/>
    <w:rsid w:val="00AA729E"/>
    <w:rsid w:val="00AA72FB"/>
    <w:rsid w:val="00AA7387"/>
    <w:rsid w:val="00AA73D4"/>
    <w:rsid w:val="00AA74DA"/>
    <w:rsid w:val="00AA7502"/>
    <w:rsid w:val="00AA759C"/>
    <w:rsid w:val="00AA75A3"/>
    <w:rsid w:val="00AA77D9"/>
    <w:rsid w:val="00AA77F0"/>
    <w:rsid w:val="00AA7953"/>
    <w:rsid w:val="00AA7EAE"/>
    <w:rsid w:val="00AA7EFD"/>
    <w:rsid w:val="00AA7F82"/>
    <w:rsid w:val="00AB010F"/>
    <w:rsid w:val="00AB017D"/>
    <w:rsid w:val="00AB02BF"/>
    <w:rsid w:val="00AB04F5"/>
    <w:rsid w:val="00AB05A2"/>
    <w:rsid w:val="00AB069C"/>
    <w:rsid w:val="00AB06A4"/>
    <w:rsid w:val="00AB06F6"/>
    <w:rsid w:val="00AB0730"/>
    <w:rsid w:val="00AB099C"/>
    <w:rsid w:val="00AB0A7F"/>
    <w:rsid w:val="00AB0AA0"/>
    <w:rsid w:val="00AB0CC9"/>
    <w:rsid w:val="00AB0D49"/>
    <w:rsid w:val="00AB0D8D"/>
    <w:rsid w:val="00AB0E3D"/>
    <w:rsid w:val="00AB0E57"/>
    <w:rsid w:val="00AB0EE6"/>
    <w:rsid w:val="00AB0FC2"/>
    <w:rsid w:val="00AB13A4"/>
    <w:rsid w:val="00AB149B"/>
    <w:rsid w:val="00AB1689"/>
    <w:rsid w:val="00AB16B6"/>
    <w:rsid w:val="00AB1740"/>
    <w:rsid w:val="00AB1826"/>
    <w:rsid w:val="00AB1AEC"/>
    <w:rsid w:val="00AB1AED"/>
    <w:rsid w:val="00AB1B15"/>
    <w:rsid w:val="00AB1CEF"/>
    <w:rsid w:val="00AB1CF7"/>
    <w:rsid w:val="00AB1DC1"/>
    <w:rsid w:val="00AB1E0A"/>
    <w:rsid w:val="00AB1E77"/>
    <w:rsid w:val="00AB2065"/>
    <w:rsid w:val="00AB2123"/>
    <w:rsid w:val="00AB2148"/>
    <w:rsid w:val="00AB22E3"/>
    <w:rsid w:val="00AB2388"/>
    <w:rsid w:val="00AB2573"/>
    <w:rsid w:val="00AB2593"/>
    <w:rsid w:val="00AB26C6"/>
    <w:rsid w:val="00AB280C"/>
    <w:rsid w:val="00AB28DC"/>
    <w:rsid w:val="00AB2A76"/>
    <w:rsid w:val="00AB2C30"/>
    <w:rsid w:val="00AB2C46"/>
    <w:rsid w:val="00AB2C81"/>
    <w:rsid w:val="00AB2CE1"/>
    <w:rsid w:val="00AB2D44"/>
    <w:rsid w:val="00AB2DAB"/>
    <w:rsid w:val="00AB2DE0"/>
    <w:rsid w:val="00AB2E2F"/>
    <w:rsid w:val="00AB306F"/>
    <w:rsid w:val="00AB319C"/>
    <w:rsid w:val="00AB31A3"/>
    <w:rsid w:val="00AB322E"/>
    <w:rsid w:val="00AB3257"/>
    <w:rsid w:val="00AB3361"/>
    <w:rsid w:val="00AB3538"/>
    <w:rsid w:val="00AB3549"/>
    <w:rsid w:val="00AB3A5D"/>
    <w:rsid w:val="00AB3BC4"/>
    <w:rsid w:val="00AB3C4C"/>
    <w:rsid w:val="00AB3CBA"/>
    <w:rsid w:val="00AB3D1F"/>
    <w:rsid w:val="00AB3E20"/>
    <w:rsid w:val="00AB3EDC"/>
    <w:rsid w:val="00AB4135"/>
    <w:rsid w:val="00AB426B"/>
    <w:rsid w:val="00AB427B"/>
    <w:rsid w:val="00AB4302"/>
    <w:rsid w:val="00AB43EF"/>
    <w:rsid w:val="00AB4535"/>
    <w:rsid w:val="00AB4547"/>
    <w:rsid w:val="00AB4564"/>
    <w:rsid w:val="00AB48E5"/>
    <w:rsid w:val="00AB4917"/>
    <w:rsid w:val="00AB4994"/>
    <w:rsid w:val="00AB4BC2"/>
    <w:rsid w:val="00AB4CF9"/>
    <w:rsid w:val="00AB4E64"/>
    <w:rsid w:val="00AB4E8A"/>
    <w:rsid w:val="00AB4EC8"/>
    <w:rsid w:val="00AB5067"/>
    <w:rsid w:val="00AB5068"/>
    <w:rsid w:val="00AB569B"/>
    <w:rsid w:val="00AB56A5"/>
    <w:rsid w:val="00AB56C5"/>
    <w:rsid w:val="00AB57EC"/>
    <w:rsid w:val="00AB5883"/>
    <w:rsid w:val="00AB58AE"/>
    <w:rsid w:val="00AB58E9"/>
    <w:rsid w:val="00AB5A0A"/>
    <w:rsid w:val="00AB5ACC"/>
    <w:rsid w:val="00AB5BE9"/>
    <w:rsid w:val="00AB5C18"/>
    <w:rsid w:val="00AB5D83"/>
    <w:rsid w:val="00AB5E4C"/>
    <w:rsid w:val="00AB5F58"/>
    <w:rsid w:val="00AB61C1"/>
    <w:rsid w:val="00AB6211"/>
    <w:rsid w:val="00AB6339"/>
    <w:rsid w:val="00AB6365"/>
    <w:rsid w:val="00AB641F"/>
    <w:rsid w:val="00AB66B9"/>
    <w:rsid w:val="00AB6774"/>
    <w:rsid w:val="00AB690B"/>
    <w:rsid w:val="00AB6A7F"/>
    <w:rsid w:val="00AB6AB2"/>
    <w:rsid w:val="00AB6AD3"/>
    <w:rsid w:val="00AB6B23"/>
    <w:rsid w:val="00AB6B25"/>
    <w:rsid w:val="00AB6B61"/>
    <w:rsid w:val="00AB6B85"/>
    <w:rsid w:val="00AB6D19"/>
    <w:rsid w:val="00AB70C3"/>
    <w:rsid w:val="00AB715E"/>
    <w:rsid w:val="00AB721F"/>
    <w:rsid w:val="00AB72A3"/>
    <w:rsid w:val="00AB7369"/>
    <w:rsid w:val="00AB7407"/>
    <w:rsid w:val="00AB742D"/>
    <w:rsid w:val="00AB7540"/>
    <w:rsid w:val="00AB7584"/>
    <w:rsid w:val="00AB75A7"/>
    <w:rsid w:val="00AB76C9"/>
    <w:rsid w:val="00AB7778"/>
    <w:rsid w:val="00AB77D0"/>
    <w:rsid w:val="00AB7955"/>
    <w:rsid w:val="00AB79FC"/>
    <w:rsid w:val="00AB7A9A"/>
    <w:rsid w:val="00AB7C45"/>
    <w:rsid w:val="00AB7D6B"/>
    <w:rsid w:val="00AB7F45"/>
    <w:rsid w:val="00AB7FA8"/>
    <w:rsid w:val="00AC007E"/>
    <w:rsid w:val="00AC00C7"/>
    <w:rsid w:val="00AC022C"/>
    <w:rsid w:val="00AC0364"/>
    <w:rsid w:val="00AC03D4"/>
    <w:rsid w:val="00AC04F5"/>
    <w:rsid w:val="00AC051B"/>
    <w:rsid w:val="00AC0546"/>
    <w:rsid w:val="00AC05B3"/>
    <w:rsid w:val="00AC0610"/>
    <w:rsid w:val="00AC0650"/>
    <w:rsid w:val="00AC0877"/>
    <w:rsid w:val="00AC09E6"/>
    <w:rsid w:val="00AC0B8A"/>
    <w:rsid w:val="00AC0BCB"/>
    <w:rsid w:val="00AC0DCA"/>
    <w:rsid w:val="00AC0EED"/>
    <w:rsid w:val="00AC1146"/>
    <w:rsid w:val="00AC1171"/>
    <w:rsid w:val="00AC1378"/>
    <w:rsid w:val="00AC1702"/>
    <w:rsid w:val="00AC1A74"/>
    <w:rsid w:val="00AC1AB3"/>
    <w:rsid w:val="00AC1AC0"/>
    <w:rsid w:val="00AC1C3F"/>
    <w:rsid w:val="00AC1C77"/>
    <w:rsid w:val="00AC1CBC"/>
    <w:rsid w:val="00AC1E0A"/>
    <w:rsid w:val="00AC1EA9"/>
    <w:rsid w:val="00AC1EAA"/>
    <w:rsid w:val="00AC1EB4"/>
    <w:rsid w:val="00AC1EC2"/>
    <w:rsid w:val="00AC1EF3"/>
    <w:rsid w:val="00AC20F3"/>
    <w:rsid w:val="00AC21EF"/>
    <w:rsid w:val="00AC2410"/>
    <w:rsid w:val="00AC2505"/>
    <w:rsid w:val="00AC2527"/>
    <w:rsid w:val="00AC2572"/>
    <w:rsid w:val="00AC259B"/>
    <w:rsid w:val="00AC26D8"/>
    <w:rsid w:val="00AC26DB"/>
    <w:rsid w:val="00AC2767"/>
    <w:rsid w:val="00AC27B0"/>
    <w:rsid w:val="00AC28C7"/>
    <w:rsid w:val="00AC291F"/>
    <w:rsid w:val="00AC2B24"/>
    <w:rsid w:val="00AC2B58"/>
    <w:rsid w:val="00AC2C12"/>
    <w:rsid w:val="00AC2C1F"/>
    <w:rsid w:val="00AC2DB7"/>
    <w:rsid w:val="00AC2F2B"/>
    <w:rsid w:val="00AC2F9C"/>
    <w:rsid w:val="00AC306F"/>
    <w:rsid w:val="00AC3196"/>
    <w:rsid w:val="00AC32D7"/>
    <w:rsid w:val="00AC342F"/>
    <w:rsid w:val="00AC347B"/>
    <w:rsid w:val="00AC3749"/>
    <w:rsid w:val="00AC3795"/>
    <w:rsid w:val="00AC3865"/>
    <w:rsid w:val="00AC389E"/>
    <w:rsid w:val="00AC38B5"/>
    <w:rsid w:val="00AC3A05"/>
    <w:rsid w:val="00AC3A98"/>
    <w:rsid w:val="00AC3BE9"/>
    <w:rsid w:val="00AC3D41"/>
    <w:rsid w:val="00AC3D4C"/>
    <w:rsid w:val="00AC3D85"/>
    <w:rsid w:val="00AC3DA5"/>
    <w:rsid w:val="00AC3E6C"/>
    <w:rsid w:val="00AC3F04"/>
    <w:rsid w:val="00AC3FDB"/>
    <w:rsid w:val="00AC4065"/>
    <w:rsid w:val="00AC40B4"/>
    <w:rsid w:val="00AC40CE"/>
    <w:rsid w:val="00AC40DC"/>
    <w:rsid w:val="00AC418E"/>
    <w:rsid w:val="00AC43C1"/>
    <w:rsid w:val="00AC43D0"/>
    <w:rsid w:val="00AC4597"/>
    <w:rsid w:val="00AC45BC"/>
    <w:rsid w:val="00AC46A5"/>
    <w:rsid w:val="00AC476A"/>
    <w:rsid w:val="00AC48A5"/>
    <w:rsid w:val="00AC4931"/>
    <w:rsid w:val="00AC49C8"/>
    <w:rsid w:val="00AC4A69"/>
    <w:rsid w:val="00AC4A8B"/>
    <w:rsid w:val="00AC4D2B"/>
    <w:rsid w:val="00AC4E01"/>
    <w:rsid w:val="00AC4E1C"/>
    <w:rsid w:val="00AC4E32"/>
    <w:rsid w:val="00AC4E4B"/>
    <w:rsid w:val="00AC4EAC"/>
    <w:rsid w:val="00AC51AB"/>
    <w:rsid w:val="00AC51CC"/>
    <w:rsid w:val="00AC522B"/>
    <w:rsid w:val="00AC523A"/>
    <w:rsid w:val="00AC5313"/>
    <w:rsid w:val="00AC5421"/>
    <w:rsid w:val="00AC542E"/>
    <w:rsid w:val="00AC549E"/>
    <w:rsid w:val="00AC5621"/>
    <w:rsid w:val="00AC571B"/>
    <w:rsid w:val="00AC5914"/>
    <w:rsid w:val="00AC5AA6"/>
    <w:rsid w:val="00AC5AF2"/>
    <w:rsid w:val="00AC5B51"/>
    <w:rsid w:val="00AC5BA7"/>
    <w:rsid w:val="00AC5BDB"/>
    <w:rsid w:val="00AC5BDC"/>
    <w:rsid w:val="00AC5CFD"/>
    <w:rsid w:val="00AC5DC3"/>
    <w:rsid w:val="00AC5F37"/>
    <w:rsid w:val="00AC5F73"/>
    <w:rsid w:val="00AC5FE7"/>
    <w:rsid w:val="00AC6183"/>
    <w:rsid w:val="00AC61D1"/>
    <w:rsid w:val="00AC61EA"/>
    <w:rsid w:val="00AC620C"/>
    <w:rsid w:val="00AC637C"/>
    <w:rsid w:val="00AC650D"/>
    <w:rsid w:val="00AC65B6"/>
    <w:rsid w:val="00AC68C2"/>
    <w:rsid w:val="00AC69AC"/>
    <w:rsid w:val="00AC6A24"/>
    <w:rsid w:val="00AC6A8A"/>
    <w:rsid w:val="00AC6C45"/>
    <w:rsid w:val="00AC6DA4"/>
    <w:rsid w:val="00AC6E19"/>
    <w:rsid w:val="00AC70F4"/>
    <w:rsid w:val="00AC7346"/>
    <w:rsid w:val="00AC73AB"/>
    <w:rsid w:val="00AC7439"/>
    <w:rsid w:val="00AC752A"/>
    <w:rsid w:val="00AC75E2"/>
    <w:rsid w:val="00AC771E"/>
    <w:rsid w:val="00AC7775"/>
    <w:rsid w:val="00AC79BC"/>
    <w:rsid w:val="00AC7A05"/>
    <w:rsid w:val="00AC7A1C"/>
    <w:rsid w:val="00AC7ADF"/>
    <w:rsid w:val="00AC7AEA"/>
    <w:rsid w:val="00AC7B08"/>
    <w:rsid w:val="00AC7B62"/>
    <w:rsid w:val="00AC7BB4"/>
    <w:rsid w:val="00AC7F95"/>
    <w:rsid w:val="00AD0018"/>
    <w:rsid w:val="00AD00F7"/>
    <w:rsid w:val="00AD0216"/>
    <w:rsid w:val="00AD0349"/>
    <w:rsid w:val="00AD0460"/>
    <w:rsid w:val="00AD04D1"/>
    <w:rsid w:val="00AD053B"/>
    <w:rsid w:val="00AD0540"/>
    <w:rsid w:val="00AD05F1"/>
    <w:rsid w:val="00AD06F6"/>
    <w:rsid w:val="00AD0927"/>
    <w:rsid w:val="00AD0A6F"/>
    <w:rsid w:val="00AD0B02"/>
    <w:rsid w:val="00AD0B4E"/>
    <w:rsid w:val="00AD0B75"/>
    <w:rsid w:val="00AD0BB3"/>
    <w:rsid w:val="00AD0BF4"/>
    <w:rsid w:val="00AD0C19"/>
    <w:rsid w:val="00AD0D21"/>
    <w:rsid w:val="00AD0D36"/>
    <w:rsid w:val="00AD0E7E"/>
    <w:rsid w:val="00AD0FA5"/>
    <w:rsid w:val="00AD1059"/>
    <w:rsid w:val="00AD10B5"/>
    <w:rsid w:val="00AD1149"/>
    <w:rsid w:val="00AD122C"/>
    <w:rsid w:val="00AD1356"/>
    <w:rsid w:val="00AD1367"/>
    <w:rsid w:val="00AD1466"/>
    <w:rsid w:val="00AD1715"/>
    <w:rsid w:val="00AD1769"/>
    <w:rsid w:val="00AD19F9"/>
    <w:rsid w:val="00AD1BA9"/>
    <w:rsid w:val="00AD1BF3"/>
    <w:rsid w:val="00AD1C5E"/>
    <w:rsid w:val="00AD1C74"/>
    <w:rsid w:val="00AD1D2A"/>
    <w:rsid w:val="00AD1D76"/>
    <w:rsid w:val="00AD1F65"/>
    <w:rsid w:val="00AD2042"/>
    <w:rsid w:val="00AD2114"/>
    <w:rsid w:val="00AD216F"/>
    <w:rsid w:val="00AD2266"/>
    <w:rsid w:val="00AD2374"/>
    <w:rsid w:val="00AD24A5"/>
    <w:rsid w:val="00AD25CE"/>
    <w:rsid w:val="00AD26B6"/>
    <w:rsid w:val="00AD26F6"/>
    <w:rsid w:val="00AD289F"/>
    <w:rsid w:val="00AD28E3"/>
    <w:rsid w:val="00AD2B67"/>
    <w:rsid w:val="00AD2B8D"/>
    <w:rsid w:val="00AD2C4A"/>
    <w:rsid w:val="00AD2C9B"/>
    <w:rsid w:val="00AD2EA1"/>
    <w:rsid w:val="00AD2EBB"/>
    <w:rsid w:val="00AD2F3C"/>
    <w:rsid w:val="00AD3017"/>
    <w:rsid w:val="00AD30DE"/>
    <w:rsid w:val="00AD32C4"/>
    <w:rsid w:val="00AD334E"/>
    <w:rsid w:val="00AD3374"/>
    <w:rsid w:val="00AD3378"/>
    <w:rsid w:val="00AD33B9"/>
    <w:rsid w:val="00AD3412"/>
    <w:rsid w:val="00AD3440"/>
    <w:rsid w:val="00AD3577"/>
    <w:rsid w:val="00AD363B"/>
    <w:rsid w:val="00AD36EC"/>
    <w:rsid w:val="00AD37A8"/>
    <w:rsid w:val="00AD384A"/>
    <w:rsid w:val="00AD38D1"/>
    <w:rsid w:val="00AD38EE"/>
    <w:rsid w:val="00AD3AA6"/>
    <w:rsid w:val="00AD3AB9"/>
    <w:rsid w:val="00AD3F8F"/>
    <w:rsid w:val="00AD4016"/>
    <w:rsid w:val="00AD40CD"/>
    <w:rsid w:val="00AD412B"/>
    <w:rsid w:val="00AD4426"/>
    <w:rsid w:val="00AD45BE"/>
    <w:rsid w:val="00AD45DB"/>
    <w:rsid w:val="00AD45F4"/>
    <w:rsid w:val="00AD465B"/>
    <w:rsid w:val="00AD4698"/>
    <w:rsid w:val="00AD46C2"/>
    <w:rsid w:val="00AD47F6"/>
    <w:rsid w:val="00AD4800"/>
    <w:rsid w:val="00AD4938"/>
    <w:rsid w:val="00AD4986"/>
    <w:rsid w:val="00AD4B28"/>
    <w:rsid w:val="00AD4C5E"/>
    <w:rsid w:val="00AD4D59"/>
    <w:rsid w:val="00AD4E3E"/>
    <w:rsid w:val="00AD4E54"/>
    <w:rsid w:val="00AD4E55"/>
    <w:rsid w:val="00AD4EBF"/>
    <w:rsid w:val="00AD4FC3"/>
    <w:rsid w:val="00AD50E1"/>
    <w:rsid w:val="00AD5231"/>
    <w:rsid w:val="00AD526D"/>
    <w:rsid w:val="00AD541B"/>
    <w:rsid w:val="00AD54C6"/>
    <w:rsid w:val="00AD54E5"/>
    <w:rsid w:val="00AD558E"/>
    <w:rsid w:val="00AD55C8"/>
    <w:rsid w:val="00AD5675"/>
    <w:rsid w:val="00AD5830"/>
    <w:rsid w:val="00AD58E5"/>
    <w:rsid w:val="00AD58F0"/>
    <w:rsid w:val="00AD5973"/>
    <w:rsid w:val="00AD5C78"/>
    <w:rsid w:val="00AD5ED1"/>
    <w:rsid w:val="00AD604E"/>
    <w:rsid w:val="00AD605F"/>
    <w:rsid w:val="00AD6238"/>
    <w:rsid w:val="00AD623D"/>
    <w:rsid w:val="00AD6259"/>
    <w:rsid w:val="00AD6331"/>
    <w:rsid w:val="00AD640E"/>
    <w:rsid w:val="00AD64B5"/>
    <w:rsid w:val="00AD65DB"/>
    <w:rsid w:val="00AD6751"/>
    <w:rsid w:val="00AD67B2"/>
    <w:rsid w:val="00AD680F"/>
    <w:rsid w:val="00AD6896"/>
    <w:rsid w:val="00AD699F"/>
    <w:rsid w:val="00AD6A85"/>
    <w:rsid w:val="00AD6AE0"/>
    <w:rsid w:val="00AD6C99"/>
    <w:rsid w:val="00AD6F2E"/>
    <w:rsid w:val="00AD6FF6"/>
    <w:rsid w:val="00AD706D"/>
    <w:rsid w:val="00AD70C0"/>
    <w:rsid w:val="00AD712D"/>
    <w:rsid w:val="00AD71B3"/>
    <w:rsid w:val="00AD71D2"/>
    <w:rsid w:val="00AD71F3"/>
    <w:rsid w:val="00AD7206"/>
    <w:rsid w:val="00AD7240"/>
    <w:rsid w:val="00AD72B0"/>
    <w:rsid w:val="00AD72B6"/>
    <w:rsid w:val="00AD745B"/>
    <w:rsid w:val="00AD746F"/>
    <w:rsid w:val="00AD75ED"/>
    <w:rsid w:val="00AD76CB"/>
    <w:rsid w:val="00AD78BD"/>
    <w:rsid w:val="00AD7BF0"/>
    <w:rsid w:val="00AD7C87"/>
    <w:rsid w:val="00AD7E23"/>
    <w:rsid w:val="00AD7E47"/>
    <w:rsid w:val="00AD7EA0"/>
    <w:rsid w:val="00AD7F64"/>
    <w:rsid w:val="00AE0008"/>
    <w:rsid w:val="00AE034C"/>
    <w:rsid w:val="00AE03E4"/>
    <w:rsid w:val="00AE03FB"/>
    <w:rsid w:val="00AE0545"/>
    <w:rsid w:val="00AE0630"/>
    <w:rsid w:val="00AE0840"/>
    <w:rsid w:val="00AE0A5C"/>
    <w:rsid w:val="00AE0A9E"/>
    <w:rsid w:val="00AE0B5E"/>
    <w:rsid w:val="00AE0C02"/>
    <w:rsid w:val="00AE0C49"/>
    <w:rsid w:val="00AE0D3A"/>
    <w:rsid w:val="00AE0E3D"/>
    <w:rsid w:val="00AE0EB3"/>
    <w:rsid w:val="00AE0F2F"/>
    <w:rsid w:val="00AE10E4"/>
    <w:rsid w:val="00AE10F2"/>
    <w:rsid w:val="00AE11A5"/>
    <w:rsid w:val="00AE1256"/>
    <w:rsid w:val="00AE1483"/>
    <w:rsid w:val="00AE1631"/>
    <w:rsid w:val="00AE16B9"/>
    <w:rsid w:val="00AE17A7"/>
    <w:rsid w:val="00AE17F9"/>
    <w:rsid w:val="00AE1A8C"/>
    <w:rsid w:val="00AE1A99"/>
    <w:rsid w:val="00AE1B1A"/>
    <w:rsid w:val="00AE1C98"/>
    <w:rsid w:val="00AE1DD5"/>
    <w:rsid w:val="00AE1DDB"/>
    <w:rsid w:val="00AE1E1E"/>
    <w:rsid w:val="00AE1F58"/>
    <w:rsid w:val="00AE1F96"/>
    <w:rsid w:val="00AE2021"/>
    <w:rsid w:val="00AE21A5"/>
    <w:rsid w:val="00AE21C9"/>
    <w:rsid w:val="00AE22E8"/>
    <w:rsid w:val="00AE23C4"/>
    <w:rsid w:val="00AE2403"/>
    <w:rsid w:val="00AE2436"/>
    <w:rsid w:val="00AE27B2"/>
    <w:rsid w:val="00AE27D3"/>
    <w:rsid w:val="00AE29BF"/>
    <w:rsid w:val="00AE2A20"/>
    <w:rsid w:val="00AE2A7D"/>
    <w:rsid w:val="00AE2BAB"/>
    <w:rsid w:val="00AE2DB3"/>
    <w:rsid w:val="00AE2DCE"/>
    <w:rsid w:val="00AE2E36"/>
    <w:rsid w:val="00AE2F90"/>
    <w:rsid w:val="00AE2F9A"/>
    <w:rsid w:val="00AE31DB"/>
    <w:rsid w:val="00AE3226"/>
    <w:rsid w:val="00AE3227"/>
    <w:rsid w:val="00AE323A"/>
    <w:rsid w:val="00AE3243"/>
    <w:rsid w:val="00AE32A6"/>
    <w:rsid w:val="00AE32BE"/>
    <w:rsid w:val="00AE33AC"/>
    <w:rsid w:val="00AE33EE"/>
    <w:rsid w:val="00AE35DE"/>
    <w:rsid w:val="00AE374C"/>
    <w:rsid w:val="00AE37FE"/>
    <w:rsid w:val="00AE38E8"/>
    <w:rsid w:val="00AE398B"/>
    <w:rsid w:val="00AE3A7B"/>
    <w:rsid w:val="00AE3A8A"/>
    <w:rsid w:val="00AE3AC2"/>
    <w:rsid w:val="00AE3B09"/>
    <w:rsid w:val="00AE3B18"/>
    <w:rsid w:val="00AE3B2A"/>
    <w:rsid w:val="00AE3B91"/>
    <w:rsid w:val="00AE3B99"/>
    <w:rsid w:val="00AE3C3E"/>
    <w:rsid w:val="00AE3D36"/>
    <w:rsid w:val="00AE3EC8"/>
    <w:rsid w:val="00AE3F2A"/>
    <w:rsid w:val="00AE4038"/>
    <w:rsid w:val="00AE4206"/>
    <w:rsid w:val="00AE4224"/>
    <w:rsid w:val="00AE42E5"/>
    <w:rsid w:val="00AE4374"/>
    <w:rsid w:val="00AE44D1"/>
    <w:rsid w:val="00AE46D0"/>
    <w:rsid w:val="00AE4769"/>
    <w:rsid w:val="00AE488F"/>
    <w:rsid w:val="00AE489E"/>
    <w:rsid w:val="00AE48E0"/>
    <w:rsid w:val="00AE4942"/>
    <w:rsid w:val="00AE4AD6"/>
    <w:rsid w:val="00AE4C4E"/>
    <w:rsid w:val="00AE4D41"/>
    <w:rsid w:val="00AE4D8D"/>
    <w:rsid w:val="00AE4F6F"/>
    <w:rsid w:val="00AE4F8C"/>
    <w:rsid w:val="00AE522B"/>
    <w:rsid w:val="00AE5232"/>
    <w:rsid w:val="00AE52FF"/>
    <w:rsid w:val="00AE5413"/>
    <w:rsid w:val="00AE552A"/>
    <w:rsid w:val="00AE557A"/>
    <w:rsid w:val="00AE576D"/>
    <w:rsid w:val="00AE5820"/>
    <w:rsid w:val="00AE58AF"/>
    <w:rsid w:val="00AE5952"/>
    <w:rsid w:val="00AE5A83"/>
    <w:rsid w:val="00AE5B00"/>
    <w:rsid w:val="00AE5B6B"/>
    <w:rsid w:val="00AE5B9E"/>
    <w:rsid w:val="00AE5BB2"/>
    <w:rsid w:val="00AE5BBF"/>
    <w:rsid w:val="00AE5CAE"/>
    <w:rsid w:val="00AE5D40"/>
    <w:rsid w:val="00AE5DB7"/>
    <w:rsid w:val="00AE5E70"/>
    <w:rsid w:val="00AE5F0C"/>
    <w:rsid w:val="00AE616B"/>
    <w:rsid w:val="00AE61F9"/>
    <w:rsid w:val="00AE6394"/>
    <w:rsid w:val="00AE64D2"/>
    <w:rsid w:val="00AE656D"/>
    <w:rsid w:val="00AE6627"/>
    <w:rsid w:val="00AE66C2"/>
    <w:rsid w:val="00AE66CE"/>
    <w:rsid w:val="00AE670F"/>
    <w:rsid w:val="00AE67BA"/>
    <w:rsid w:val="00AE695E"/>
    <w:rsid w:val="00AE69A9"/>
    <w:rsid w:val="00AE6B10"/>
    <w:rsid w:val="00AE6BE9"/>
    <w:rsid w:val="00AE6C45"/>
    <w:rsid w:val="00AE6CE0"/>
    <w:rsid w:val="00AE6D37"/>
    <w:rsid w:val="00AE6E5B"/>
    <w:rsid w:val="00AE6EEC"/>
    <w:rsid w:val="00AE70E9"/>
    <w:rsid w:val="00AE7277"/>
    <w:rsid w:val="00AE72A5"/>
    <w:rsid w:val="00AE72EA"/>
    <w:rsid w:val="00AE7454"/>
    <w:rsid w:val="00AE748F"/>
    <w:rsid w:val="00AE75B8"/>
    <w:rsid w:val="00AE76F4"/>
    <w:rsid w:val="00AE77DA"/>
    <w:rsid w:val="00AE77E1"/>
    <w:rsid w:val="00AE77F0"/>
    <w:rsid w:val="00AE781D"/>
    <w:rsid w:val="00AE7903"/>
    <w:rsid w:val="00AE79A8"/>
    <w:rsid w:val="00AE79C3"/>
    <w:rsid w:val="00AE79F2"/>
    <w:rsid w:val="00AE7A70"/>
    <w:rsid w:val="00AE7C0A"/>
    <w:rsid w:val="00AE7E29"/>
    <w:rsid w:val="00AE7EE3"/>
    <w:rsid w:val="00AE7F03"/>
    <w:rsid w:val="00AF007C"/>
    <w:rsid w:val="00AF0382"/>
    <w:rsid w:val="00AF04C7"/>
    <w:rsid w:val="00AF051A"/>
    <w:rsid w:val="00AF0557"/>
    <w:rsid w:val="00AF0574"/>
    <w:rsid w:val="00AF062C"/>
    <w:rsid w:val="00AF06BC"/>
    <w:rsid w:val="00AF0A10"/>
    <w:rsid w:val="00AF0A80"/>
    <w:rsid w:val="00AF0C40"/>
    <w:rsid w:val="00AF0D5F"/>
    <w:rsid w:val="00AF0D9B"/>
    <w:rsid w:val="00AF0DBD"/>
    <w:rsid w:val="00AF0E33"/>
    <w:rsid w:val="00AF0ECF"/>
    <w:rsid w:val="00AF10B4"/>
    <w:rsid w:val="00AF1103"/>
    <w:rsid w:val="00AF12D5"/>
    <w:rsid w:val="00AF13D1"/>
    <w:rsid w:val="00AF1569"/>
    <w:rsid w:val="00AF15A9"/>
    <w:rsid w:val="00AF162E"/>
    <w:rsid w:val="00AF1676"/>
    <w:rsid w:val="00AF1688"/>
    <w:rsid w:val="00AF17DF"/>
    <w:rsid w:val="00AF1933"/>
    <w:rsid w:val="00AF1ADE"/>
    <w:rsid w:val="00AF1B5A"/>
    <w:rsid w:val="00AF1D06"/>
    <w:rsid w:val="00AF1E2F"/>
    <w:rsid w:val="00AF1F71"/>
    <w:rsid w:val="00AF1F87"/>
    <w:rsid w:val="00AF2043"/>
    <w:rsid w:val="00AF2219"/>
    <w:rsid w:val="00AF22FF"/>
    <w:rsid w:val="00AF2315"/>
    <w:rsid w:val="00AF238E"/>
    <w:rsid w:val="00AF240A"/>
    <w:rsid w:val="00AF24EA"/>
    <w:rsid w:val="00AF2573"/>
    <w:rsid w:val="00AF262B"/>
    <w:rsid w:val="00AF2686"/>
    <w:rsid w:val="00AF279C"/>
    <w:rsid w:val="00AF2819"/>
    <w:rsid w:val="00AF2900"/>
    <w:rsid w:val="00AF2937"/>
    <w:rsid w:val="00AF2949"/>
    <w:rsid w:val="00AF2B3C"/>
    <w:rsid w:val="00AF2BC1"/>
    <w:rsid w:val="00AF2C39"/>
    <w:rsid w:val="00AF2CE6"/>
    <w:rsid w:val="00AF2D41"/>
    <w:rsid w:val="00AF2DA6"/>
    <w:rsid w:val="00AF2F33"/>
    <w:rsid w:val="00AF3111"/>
    <w:rsid w:val="00AF3129"/>
    <w:rsid w:val="00AF3150"/>
    <w:rsid w:val="00AF31ED"/>
    <w:rsid w:val="00AF333A"/>
    <w:rsid w:val="00AF336B"/>
    <w:rsid w:val="00AF3408"/>
    <w:rsid w:val="00AF3417"/>
    <w:rsid w:val="00AF34DF"/>
    <w:rsid w:val="00AF35A0"/>
    <w:rsid w:val="00AF3952"/>
    <w:rsid w:val="00AF3967"/>
    <w:rsid w:val="00AF3AA5"/>
    <w:rsid w:val="00AF3D98"/>
    <w:rsid w:val="00AF3E56"/>
    <w:rsid w:val="00AF3EF5"/>
    <w:rsid w:val="00AF3FAE"/>
    <w:rsid w:val="00AF3FB1"/>
    <w:rsid w:val="00AF408D"/>
    <w:rsid w:val="00AF40E2"/>
    <w:rsid w:val="00AF4107"/>
    <w:rsid w:val="00AF414A"/>
    <w:rsid w:val="00AF4215"/>
    <w:rsid w:val="00AF4378"/>
    <w:rsid w:val="00AF45B2"/>
    <w:rsid w:val="00AF4684"/>
    <w:rsid w:val="00AF49B6"/>
    <w:rsid w:val="00AF4A7C"/>
    <w:rsid w:val="00AF4A85"/>
    <w:rsid w:val="00AF4DCC"/>
    <w:rsid w:val="00AF4E0A"/>
    <w:rsid w:val="00AF4F5A"/>
    <w:rsid w:val="00AF527E"/>
    <w:rsid w:val="00AF52AD"/>
    <w:rsid w:val="00AF52B8"/>
    <w:rsid w:val="00AF5325"/>
    <w:rsid w:val="00AF535D"/>
    <w:rsid w:val="00AF5439"/>
    <w:rsid w:val="00AF5518"/>
    <w:rsid w:val="00AF55AE"/>
    <w:rsid w:val="00AF5606"/>
    <w:rsid w:val="00AF5645"/>
    <w:rsid w:val="00AF5652"/>
    <w:rsid w:val="00AF57FA"/>
    <w:rsid w:val="00AF58A6"/>
    <w:rsid w:val="00AF5975"/>
    <w:rsid w:val="00AF598B"/>
    <w:rsid w:val="00AF5C08"/>
    <w:rsid w:val="00AF5C75"/>
    <w:rsid w:val="00AF5CF2"/>
    <w:rsid w:val="00AF5CFA"/>
    <w:rsid w:val="00AF5DB7"/>
    <w:rsid w:val="00AF5F0D"/>
    <w:rsid w:val="00AF5FD4"/>
    <w:rsid w:val="00AF6038"/>
    <w:rsid w:val="00AF627C"/>
    <w:rsid w:val="00AF638F"/>
    <w:rsid w:val="00AF63F2"/>
    <w:rsid w:val="00AF6622"/>
    <w:rsid w:val="00AF667C"/>
    <w:rsid w:val="00AF69CE"/>
    <w:rsid w:val="00AF6B18"/>
    <w:rsid w:val="00AF6D01"/>
    <w:rsid w:val="00AF6E09"/>
    <w:rsid w:val="00AF6F2E"/>
    <w:rsid w:val="00AF6FCD"/>
    <w:rsid w:val="00AF7036"/>
    <w:rsid w:val="00AF7087"/>
    <w:rsid w:val="00AF70BE"/>
    <w:rsid w:val="00AF70E2"/>
    <w:rsid w:val="00AF72B4"/>
    <w:rsid w:val="00AF7380"/>
    <w:rsid w:val="00AF7455"/>
    <w:rsid w:val="00AF7491"/>
    <w:rsid w:val="00AF7563"/>
    <w:rsid w:val="00AF7614"/>
    <w:rsid w:val="00AF76F9"/>
    <w:rsid w:val="00AF774B"/>
    <w:rsid w:val="00AF78B2"/>
    <w:rsid w:val="00AF7A11"/>
    <w:rsid w:val="00AF7A87"/>
    <w:rsid w:val="00AF7A8A"/>
    <w:rsid w:val="00AF7AD1"/>
    <w:rsid w:val="00AF7DA4"/>
    <w:rsid w:val="00AF7DD9"/>
    <w:rsid w:val="00AF7DE0"/>
    <w:rsid w:val="00AF7F55"/>
    <w:rsid w:val="00AF7F5E"/>
    <w:rsid w:val="00B00019"/>
    <w:rsid w:val="00B0027F"/>
    <w:rsid w:val="00B002C0"/>
    <w:rsid w:val="00B0034C"/>
    <w:rsid w:val="00B00437"/>
    <w:rsid w:val="00B00661"/>
    <w:rsid w:val="00B0079C"/>
    <w:rsid w:val="00B0082C"/>
    <w:rsid w:val="00B00884"/>
    <w:rsid w:val="00B00C1D"/>
    <w:rsid w:val="00B01116"/>
    <w:rsid w:val="00B01146"/>
    <w:rsid w:val="00B012B1"/>
    <w:rsid w:val="00B012D4"/>
    <w:rsid w:val="00B013DA"/>
    <w:rsid w:val="00B01628"/>
    <w:rsid w:val="00B01763"/>
    <w:rsid w:val="00B01778"/>
    <w:rsid w:val="00B01848"/>
    <w:rsid w:val="00B01878"/>
    <w:rsid w:val="00B01A3E"/>
    <w:rsid w:val="00B01AF0"/>
    <w:rsid w:val="00B01CE5"/>
    <w:rsid w:val="00B01F72"/>
    <w:rsid w:val="00B01FAF"/>
    <w:rsid w:val="00B020D6"/>
    <w:rsid w:val="00B021AF"/>
    <w:rsid w:val="00B021D5"/>
    <w:rsid w:val="00B02254"/>
    <w:rsid w:val="00B022FE"/>
    <w:rsid w:val="00B0232D"/>
    <w:rsid w:val="00B0245D"/>
    <w:rsid w:val="00B024DE"/>
    <w:rsid w:val="00B024E1"/>
    <w:rsid w:val="00B02612"/>
    <w:rsid w:val="00B0275E"/>
    <w:rsid w:val="00B027B5"/>
    <w:rsid w:val="00B0281C"/>
    <w:rsid w:val="00B02C44"/>
    <w:rsid w:val="00B02CFB"/>
    <w:rsid w:val="00B02D39"/>
    <w:rsid w:val="00B02DF1"/>
    <w:rsid w:val="00B02E18"/>
    <w:rsid w:val="00B02EFD"/>
    <w:rsid w:val="00B0322A"/>
    <w:rsid w:val="00B03390"/>
    <w:rsid w:val="00B033A9"/>
    <w:rsid w:val="00B03469"/>
    <w:rsid w:val="00B034BB"/>
    <w:rsid w:val="00B034BF"/>
    <w:rsid w:val="00B034FD"/>
    <w:rsid w:val="00B03503"/>
    <w:rsid w:val="00B0392B"/>
    <w:rsid w:val="00B03939"/>
    <w:rsid w:val="00B03A96"/>
    <w:rsid w:val="00B03ABD"/>
    <w:rsid w:val="00B03B07"/>
    <w:rsid w:val="00B03C01"/>
    <w:rsid w:val="00B03C39"/>
    <w:rsid w:val="00B03D47"/>
    <w:rsid w:val="00B03D78"/>
    <w:rsid w:val="00B03DD6"/>
    <w:rsid w:val="00B03FA2"/>
    <w:rsid w:val="00B040EA"/>
    <w:rsid w:val="00B041AB"/>
    <w:rsid w:val="00B04204"/>
    <w:rsid w:val="00B04251"/>
    <w:rsid w:val="00B04272"/>
    <w:rsid w:val="00B042DB"/>
    <w:rsid w:val="00B0431B"/>
    <w:rsid w:val="00B04462"/>
    <w:rsid w:val="00B044C4"/>
    <w:rsid w:val="00B04536"/>
    <w:rsid w:val="00B04585"/>
    <w:rsid w:val="00B045FC"/>
    <w:rsid w:val="00B04674"/>
    <w:rsid w:val="00B04802"/>
    <w:rsid w:val="00B0482E"/>
    <w:rsid w:val="00B04882"/>
    <w:rsid w:val="00B04884"/>
    <w:rsid w:val="00B04893"/>
    <w:rsid w:val="00B04A77"/>
    <w:rsid w:val="00B04BE7"/>
    <w:rsid w:val="00B04C40"/>
    <w:rsid w:val="00B04D36"/>
    <w:rsid w:val="00B04D66"/>
    <w:rsid w:val="00B04EA3"/>
    <w:rsid w:val="00B04EB2"/>
    <w:rsid w:val="00B04F6D"/>
    <w:rsid w:val="00B04F73"/>
    <w:rsid w:val="00B04F85"/>
    <w:rsid w:val="00B05289"/>
    <w:rsid w:val="00B052EB"/>
    <w:rsid w:val="00B0540C"/>
    <w:rsid w:val="00B0545E"/>
    <w:rsid w:val="00B05500"/>
    <w:rsid w:val="00B05733"/>
    <w:rsid w:val="00B057BE"/>
    <w:rsid w:val="00B057E2"/>
    <w:rsid w:val="00B057E4"/>
    <w:rsid w:val="00B05809"/>
    <w:rsid w:val="00B05873"/>
    <w:rsid w:val="00B058E3"/>
    <w:rsid w:val="00B05C90"/>
    <w:rsid w:val="00B05D93"/>
    <w:rsid w:val="00B05EB3"/>
    <w:rsid w:val="00B05F3F"/>
    <w:rsid w:val="00B05FAB"/>
    <w:rsid w:val="00B06039"/>
    <w:rsid w:val="00B06064"/>
    <w:rsid w:val="00B060EF"/>
    <w:rsid w:val="00B0619F"/>
    <w:rsid w:val="00B0622D"/>
    <w:rsid w:val="00B0639B"/>
    <w:rsid w:val="00B06494"/>
    <w:rsid w:val="00B06520"/>
    <w:rsid w:val="00B065ED"/>
    <w:rsid w:val="00B0673C"/>
    <w:rsid w:val="00B06781"/>
    <w:rsid w:val="00B067FB"/>
    <w:rsid w:val="00B06836"/>
    <w:rsid w:val="00B068B0"/>
    <w:rsid w:val="00B06A95"/>
    <w:rsid w:val="00B06B8C"/>
    <w:rsid w:val="00B06C32"/>
    <w:rsid w:val="00B06C9D"/>
    <w:rsid w:val="00B06D67"/>
    <w:rsid w:val="00B06EC3"/>
    <w:rsid w:val="00B07055"/>
    <w:rsid w:val="00B070C4"/>
    <w:rsid w:val="00B071BB"/>
    <w:rsid w:val="00B0726B"/>
    <w:rsid w:val="00B0727D"/>
    <w:rsid w:val="00B07308"/>
    <w:rsid w:val="00B073EE"/>
    <w:rsid w:val="00B07469"/>
    <w:rsid w:val="00B075B5"/>
    <w:rsid w:val="00B075D4"/>
    <w:rsid w:val="00B07608"/>
    <w:rsid w:val="00B0767A"/>
    <w:rsid w:val="00B07C4D"/>
    <w:rsid w:val="00B07D57"/>
    <w:rsid w:val="00B07DAA"/>
    <w:rsid w:val="00B07DCA"/>
    <w:rsid w:val="00B07DD5"/>
    <w:rsid w:val="00B07EF6"/>
    <w:rsid w:val="00B07FDE"/>
    <w:rsid w:val="00B10074"/>
    <w:rsid w:val="00B10131"/>
    <w:rsid w:val="00B10208"/>
    <w:rsid w:val="00B10239"/>
    <w:rsid w:val="00B102A4"/>
    <w:rsid w:val="00B10392"/>
    <w:rsid w:val="00B10483"/>
    <w:rsid w:val="00B10524"/>
    <w:rsid w:val="00B1054B"/>
    <w:rsid w:val="00B1056F"/>
    <w:rsid w:val="00B105BC"/>
    <w:rsid w:val="00B10667"/>
    <w:rsid w:val="00B10699"/>
    <w:rsid w:val="00B1069D"/>
    <w:rsid w:val="00B1070E"/>
    <w:rsid w:val="00B10852"/>
    <w:rsid w:val="00B108B0"/>
    <w:rsid w:val="00B10986"/>
    <w:rsid w:val="00B10A0B"/>
    <w:rsid w:val="00B10B31"/>
    <w:rsid w:val="00B10B32"/>
    <w:rsid w:val="00B10B9D"/>
    <w:rsid w:val="00B10BBD"/>
    <w:rsid w:val="00B10D7F"/>
    <w:rsid w:val="00B10D8D"/>
    <w:rsid w:val="00B10F2B"/>
    <w:rsid w:val="00B10F63"/>
    <w:rsid w:val="00B10F7B"/>
    <w:rsid w:val="00B10F99"/>
    <w:rsid w:val="00B11073"/>
    <w:rsid w:val="00B111D9"/>
    <w:rsid w:val="00B1123B"/>
    <w:rsid w:val="00B11282"/>
    <w:rsid w:val="00B1135B"/>
    <w:rsid w:val="00B11377"/>
    <w:rsid w:val="00B113AE"/>
    <w:rsid w:val="00B1159E"/>
    <w:rsid w:val="00B11743"/>
    <w:rsid w:val="00B11782"/>
    <w:rsid w:val="00B11798"/>
    <w:rsid w:val="00B117E1"/>
    <w:rsid w:val="00B117F2"/>
    <w:rsid w:val="00B11815"/>
    <w:rsid w:val="00B11A5F"/>
    <w:rsid w:val="00B11C86"/>
    <w:rsid w:val="00B11D42"/>
    <w:rsid w:val="00B1202B"/>
    <w:rsid w:val="00B121CA"/>
    <w:rsid w:val="00B123BF"/>
    <w:rsid w:val="00B124DA"/>
    <w:rsid w:val="00B12613"/>
    <w:rsid w:val="00B12623"/>
    <w:rsid w:val="00B12632"/>
    <w:rsid w:val="00B1278E"/>
    <w:rsid w:val="00B127A5"/>
    <w:rsid w:val="00B12835"/>
    <w:rsid w:val="00B12857"/>
    <w:rsid w:val="00B12909"/>
    <w:rsid w:val="00B12920"/>
    <w:rsid w:val="00B1292D"/>
    <w:rsid w:val="00B12974"/>
    <w:rsid w:val="00B129C1"/>
    <w:rsid w:val="00B12A41"/>
    <w:rsid w:val="00B12BDC"/>
    <w:rsid w:val="00B12C63"/>
    <w:rsid w:val="00B12DE6"/>
    <w:rsid w:val="00B12EFD"/>
    <w:rsid w:val="00B13017"/>
    <w:rsid w:val="00B1305F"/>
    <w:rsid w:val="00B130D1"/>
    <w:rsid w:val="00B133A2"/>
    <w:rsid w:val="00B13401"/>
    <w:rsid w:val="00B1360E"/>
    <w:rsid w:val="00B1375A"/>
    <w:rsid w:val="00B1375E"/>
    <w:rsid w:val="00B1395A"/>
    <w:rsid w:val="00B13A9C"/>
    <w:rsid w:val="00B13B88"/>
    <w:rsid w:val="00B13C07"/>
    <w:rsid w:val="00B13C22"/>
    <w:rsid w:val="00B13D54"/>
    <w:rsid w:val="00B13D7C"/>
    <w:rsid w:val="00B13E4D"/>
    <w:rsid w:val="00B13FB7"/>
    <w:rsid w:val="00B13FD8"/>
    <w:rsid w:val="00B14113"/>
    <w:rsid w:val="00B14142"/>
    <w:rsid w:val="00B1419C"/>
    <w:rsid w:val="00B141F8"/>
    <w:rsid w:val="00B142A4"/>
    <w:rsid w:val="00B142E9"/>
    <w:rsid w:val="00B1441E"/>
    <w:rsid w:val="00B14577"/>
    <w:rsid w:val="00B1468E"/>
    <w:rsid w:val="00B14713"/>
    <w:rsid w:val="00B14B1A"/>
    <w:rsid w:val="00B14D49"/>
    <w:rsid w:val="00B14E2E"/>
    <w:rsid w:val="00B14E67"/>
    <w:rsid w:val="00B1504E"/>
    <w:rsid w:val="00B151CB"/>
    <w:rsid w:val="00B15302"/>
    <w:rsid w:val="00B154E5"/>
    <w:rsid w:val="00B15657"/>
    <w:rsid w:val="00B15778"/>
    <w:rsid w:val="00B157B1"/>
    <w:rsid w:val="00B158DA"/>
    <w:rsid w:val="00B1592B"/>
    <w:rsid w:val="00B159DA"/>
    <w:rsid w:val="00B15BA6"/>
    <w:rsid w:val="00B15C07"/>
    <w:rsid w:val="00B15C86"/>
    <w:rsid w:val="00B15D19"/>
    <w:rsid w:val="00B15E0A"/>
    <w:rsid w:val="00B15E16"/>
    <w:rsid w:val="00B160E6"/>
    <w:rsid w:val="00B16158"/>
    <w:rsid w:val="00B161E2"/>
    <w:rsid w:val="00B16239"/>
    <w:rsid w:val="00B163E6"/>
    <w:rsid w:val="00B16421"/>
    <w:rsid w:val="00B16424"/>
    <w:rsid w:val="00B164E0"/>
    <w:rsid w:val="00B165C6"/>
    <w:rsid w:val="00B166C9"/>
    <w:rsid w:val="00B16775"/>
    <w:rsid w:val="00B16A4B"/>
    <w:rsid w:val="00B16A57"/>
    <w:rsid w:val="00B16BA0"/>
    <w:rsid w:val="00B16C2B"/>
    <w:rsid w:val="00B16C73"/>
    <w:rsid w:val="00B16CF5"/>
    <w:rsid w:val="00B16F3D"/>
    <w:rsid w:val="00B16FEC"/>
    <w:rsid w:val="00B17172"/>
    <w:rsid w:val="00B173CB"/>
    <w:rsid w:val="00B1748F"/>
    <w:rsid w:val="00B175D7"/>
    <w:rsid w:val="00B1760E"/>
    <w:rsid w:val="00B17736"/>
    <w:rsid w:val="00B1779B"/>
    <w:rsid w:val="00B177D9"/>
    <w:rsid w:val="00B179C6"/>
    <w:rsid w:val="00B17A38"/>
    <w:rsid w:val="00B17AFB"/>
    <w:rsid w:val="00B17AFC"/>
    <w:rsid w:val="00B17C28"/>
    <w:rsid w:val="00B17D73"/>
    <w:rsid w:val="00B17DD9"/>
    <w:rsid w:val="00B17E30"/>
    <w:rsid w:val="00B17F23"/>
    <w:rsid w:val="00B20092"/>
    <w:rsid w:val="00B200DA"/>
    <w:rsid w:val="00B2029A"/>
    <w:rsid w:val="00B202B0"/>
    <w:rsid w:val="00B202CB"/>
    <w:rsid w:val="00B204F8"/>
    <w:rsid w:val="00B206DF"/>
    <w:rsid w:val="00B20806"/>
    <w:rsid w:val="00B20853"/>
    <w:rsid w:val="00B208BB"/>
    <w:rsid w:val="00B20AEE"/>
    <w:rsid w:val="00B20CDD"/>
    <w:rsid w:val="00B20D4B"/>
    <w:rsid w:val="00B20E77"/>
    <w:rsid w:val="00B210F4"/>
    <w:rsid w:val="00B21154"/>
    <w:rsid w:val="00B21188"/>
    <w:rsid w:val="00B2120B"/>
    <w:rsid w:val="00B2128C"/>
    <w:rsid w:val="00B21295"/>
    <w:rsid w:val="00B212EE"/>
    <w:rsid w:val="00B213D0"/>
    <w:rsid w:val="00B2147C"/>
    <w:rsid w:val="00B214C6"/>
    <w:rsid w:val="00B2165A"/>
    <w:rsid w:val="00B216DF"/>
    <w:rsid w:val="00B217BA"/>
    <w:rsid w:val="00B21880"/>
    <w:rsid w:val="00B21928"/>
    <w:rsid w:val="00B21A0D"/>
    <w:rsid w:val="00B21AA1"/>
    <w:rsid w:val="00B21C55"/>
    <w:rsid w:val="00B21C94"/>
    <w:rsid w:val="00B21CB9"/>
    <w:rsid w:val="00B21CCB"/>
    <w:rsid w:val="00B21F03"/>
    <w:rsid w:val="00B21F15"/>
    <w:rsid w:val="00B21F34"/>
    <w:rsid w:val="00B21F9B"/>
    <w:rsid w:val="00B2203E"/>
    <w:rsid w:val="00B2207E"/>
    <w:rsid w:val="00B220F5"/>
    <w:rsid w:val="00B22150"/>
    <w:rsid w:val="00B222AF"/>
    <w:rsid w:val="00B2234A"/>
    <w:rsid w:val="00B2239D"/>
    <w:rsid w:val="00B22517"/>
    <w:rsid w:val="00B22662"/>
    <w:rsid w:val="00B227DC"/>
    <w:rsid w:val="00B22867"/>
    <w:rsid w:val="00B2287D"/>
    <w:rsid w:val="00B228E7"/>
    <w:rsid w:val="00B228F0"/>
    <w:rsid w:val="00B229EE"/>
    <w:rsid w:val="00B22DE4"/>
    <w:rsid w:val="00B22DE8"/>
    <w:rsid w:val="00B22ECC"/>
    <w:rsid w:val="00B22F6E"/>
    <w:rsid w:val="00B22F99"/>
    <w:rsid w:val="00B230D0"/>
    <w:rsid w:val="00B230F5"/>
    <w:rsid w:val="00B23111"/>
    <w:rsid w:val="00B2330E"/>
    <w:rsid w:val="00B23459"/>
    <w:rsid w:val="00B236BB"/>
    <w:rsid w:val="00B237A9"/>
    <w:rsid w:val="00B237AF"/>
    <w:rsid w:val="00B237B4"/>
    <w:rsid w:val="00B237F3"/>
    <w:rsid w:val="00B238B1"/>
    <w:rsid w:val="00B23A21"/>
    <w:rsid w:val="00B23A34"/>
    <w:rsid w:val="00B23A9F"/>
    <w:rsid w:val="00B23B3D"/>
    <w:rsid w:val="00B23EF3"/>
    <w:rsid w:val="00B24151"/>
    <w:rsid w:val="00B241B5"/>
    <w:rsid w:val="00B242A0"/>
    <w:rsid w:val="00B2444A"/>
    <w:rsid w:val="00B24468"/>
    <w:rsid w:val="00B244C5"/>
    <w:rsid w:val="00B24516"/>
    <w:rsid w:val="00B24550"/>
    <w:rsid w:val="00B24654"/>
    <w:rsid w:val="00B24674"/>
    <w:rsid w:val="00B246E3"/>
    <w:rsid w:val="00B2487C"/>
    <w:rsid w:val="00B24A33"/>
    <w:rsid w:val="00B24BFB"/>
    <w:rsid w:val="00B24C08"/>
    <w:rsid w:val="00B24DBD"/>
    <w:rsid w:val="00B24F80"/>
    <w:rsid w:val="00B250EA"/>
    <w:rsid w:val="00B2521E"/>
    <w:rsid w:val="00B25244"/>
    <w:rsid w:val="00B2528F"/>
    <w:rsid w:val="00B255AA"/>
    <w:rsid w:val="00B25744"/>
    <w:rsid w:val="00B258E0"/>
    <w:rsid w:val="00B2593F"/>
    <w:rsid w:val="00B2595D"/>
    <w:rsid w:val="00B259DD"/>
    <w:rsid w:val="00B25A92"/>
    <w:rsid w:val="00B25B28"/>
    <w:rsid w:val="00B25D38"/>
    <w:rsid w:val="00B25EB5"/>
    <w:rsid w:val="00B25FA5"/>
    <w:rsid w:val="00B25FAE"/>
    <w:rsid w:val="00B26068"/>
    <w:rsid w:val="00B260AC"/>
    <w:rsid w:val="00B26199"/>
    <w:rsid w:val="00B26315"/>
    <w:rsid w:val="00B263FE"/>
    <w:rsid w:val="00B2645D"/>
    <w:rsid w:val="00B26540"/>
    <w:rsid w:val="00B265CD"/>
    <w:rsid w:val="00B265E8"/>
    <w:rsid w:val="00B267AB"/>
    <w:rsid w:val="00B26889"/>
    <w:rsid w:val="00B26964"/>
    <w:rsid w:val="00B26A00"/>
    <w:rsid w:val="00B26A80"/>
    <w:rsid w:val="00B26AA3"/>
    <w:rsid w:val="00B26C64"/>
    <w:rsid w:val="00B26D55"/>
    <w:rsid w:val="00B26DC9"/>
    <w:rsid w:val="00B26F7E"/>
    <w:rsid w:val="00B26FD3"/>
    <w:rsid w:val="00B27135"/>
    <w:rsid w:val="00B27288"/>
    <w:rsid w:val="00B272E5"/>
    <w:rsid w:val="00B272EB"/>
    <w:rsid w:val="00B27315"/>
    <w:rsid w:val="00B2731B"/>
    <w:rsid w:val="00B27437"/>
    <w:rsid w:val="00B27487"/>
    <w:rsid w:val="00B27536"/>
    <w:rsid w:val="00B27717"/>
    <w:rsid w:val="00B27899"/>
    <w:rsid w:val="00B27908"/>
    <w:rsid w:val="00B27B7E"/>
    <w:rsid w:val="00B27D6D"/>
    <w:rsid w:val="00B27E09"/>
    <w:rsid w:val="00B27E9D"/>
    <w:rsid w:val="00B30035"/>
    <w:rsid w:val="00B300D9"/>
    <w:rsid w:val="00B301B5"/>
    <w:rsid w:val="00B301B6"/>
    <w:rsid w:val="00B3024D"/>
    <w:rsid w:val="00B3028C"/>
    <w:rsid w:val="00B3035C"/>
    <w:rsid w:val="00B30427"/>
    <w:rsid w:val="00B30464"/>
    <w:rsid w:val="00B3046C"/>
    <w:rsid w:val="00B30595"/>
    <w:rsid w:val="00B3061E"/>
    <w:rsid w:val="00B30714"/>
    <w:rsid w:val="00B309B3"/>
    <w:rsid w:val="00B30A49"/>
    <w:rsid w:val="00B30B14"/>
    <w:rsid w:val="00B30C12"/>
    <w:rsid w:val="00B30C2C"/>
    <w:rsid w:val="00B30D0A"/>
    <w:rsid w:val="00B30D14"/>
    <w:rsid w:val="00B30D4D"/>
    <w:rsid w:val="00B30D51"/>
    <w:rsid w:val="00B30E9F"/>
    <w:rsid w:val="00B312A3"/>
    <w:rsid w:val="00B31613"/>
    <w:rsid w:val="00B31739"/>
    <w:rsid w:val="00B317E3"/>
    <w:rsid w:val="00B31855"/>
    <w:rsid w:val="00B318A4"/>
    <w:rsid w:val="00B31912"/>
    <w:rsid w:val="00B319AD"/>
    <w:rsid w:val="00B31D1A"/>
    <w:rsid w:val="00B31D50"/>
    <w:rsid w:val="00B31D5B"/>
    <w:rsid w:val="00B31D93"/>
    <w:rsid w:val="00B31FFC"/>
    <w:rsid w:val="00B32028"/>
    <w:rsid w:val="00B32040"/>
    <w:rsid w:val="00B32041"/>
    <w:rsid w:val="00B3205D"/>
    <w:rsid w:val="00B32482"/>
    <w:rsid w:val="00B3248D"/>
    <w:rsid w:val="00B324D8"/>
    <w:rsid w:val="00B324E7"/>
    <w:rsid w:val="00B32534"/>
    <w:rsid w:val="00B325CE"/>
    <w:rsid w:val="00B325E9"/>
    <w:rsid w:val="00B32690"/>
    <w:rsid w:val="00B3273B"/>
    <w:rsid w:val="00B327A0"/>
    <w:rsid w:val="00B3294D"/>
    <w:rsid w:val="00B32A17"/>
    <w:rsid w:val="00B32A52"/>
    <w:rsid w:val="00B32AE3"/>
    <w:rsid w:val="00B32BAC"/>
    <w:rsid w:val="00B32BE3"/>
    <w:rsid w:val="00B32CD0"/>
    <w:rsid w:val="00B32F8E"/>
    <w:rsid w:val="00B32FE1"/>
    <w:rsid w:val="00B3302F"/>
    <w:rsid w:val="00B330A6"/>
    <w:rsid w:val="00B33220"/>
    <w:rsid w:val="00B33274"/>
    <w:rsid w:val="00B3332A"/>
    <w:rsid w:val="00B333F8"/>
    <w:rsid w:val="00B334A9"/>
    <w:rsid w:val="00B334F0"/>
    <w:rsid w:val="00B33764"/>
    <w:rsid w:val="00B33796"/>
    <w:rsid w:val="00B33827"/>
    <w:rsid w:val="00B33853"/>
    <w:rsid w:val="00B3390B"/>
    <w:rsid w:val="00B339B1"/>
    <w:rsid w:val="00B339B2"/>
    <w:rsid w:val="00B339B8"/>
    <w:rsid w:val="00B339F3"/>
    <w:rsid w:val="00B33A2D"/>
    <w:rsid w:val="00B33B6D"/>
    <w:rsid w:val="00B33C14"/>
    <w:rsid w:val="00B33C23"/>
    <w:rsid w:val="00B33D12"/>
    <w:rsid w:val="00B33DDC"/>
    <w:rsid w:val="00B33F81"/>
    <w:rsid w:val="00B34249"/>
    <w:rsid w:val="00B3435C"/>
    <w:rsid w:val="00B345A1"/>
    <w:rsid w:val="00B345DE"/>
    <w:rsid w:val="00B3461A"/>
    <w:rsid w:val="00B3472B"/>
    <w:rsid w:val="00B34876"/>
    <w:rsid w:val="00B349E1"/>
    <w:rsid w:val="00B349EE"/>
    <w:rsid w:val="00B34A18"/>
    <w:rsid w:val="00B34A74"/>
    <w:rsid w:val="00B34AA4"/>
    <w:rsid w:val="00B34B29"/>
    <w:rsid w:val="00B34C88"/>
    <w:rsid w:val="00B352F7"/>
    <w:rsid w:val="00B35369"/>
    <w:rsid w:val="00B35383"/>
    <w:rsid w:val="00B353E7"/>
    <w:rsid w:val="00B3583B"/>
    <w:rsid w:val="00B3584C"/>
    <w:rsid w:val="00B35B6E"/>
    <w:rsid w:val="00B35C47"/>
    <w:rsid w:val="00B35D46"/>
    <w:rsid w:val="00B35D99"/>
    <w:rsid w:val="00B35DC2"/>
    <w:rsid w:val="00B35F02"/>
    <w:rsid w:val="00B35FC7"/>
    <w:rsid w:val="00B36131"/>
    <w:rsid w:val="00B3613A"/>
    <w:rsid w:val="00B36335"/>
    <w:rsid w:val="00B36530"/>
    <w:rsid w:val="00B36544"/>
    <w:rsid w:val="00B36577"/>
    <w:rsid w:val="00B36658"/>
    <w:rsid w:val="00B36951"/>
    <w:rsid w:val="00B369B3"/>
    <w:rsid w:val="00B36B7C"/>
    <w:rsid w:val="00B36CD7"/>
    <w:rsid w:val="00B36DA1"/>
    <w:rsid w:val="00B36E0C"/>
    <w:rsid w:val="00B36E19"/>
    <w:rsid w:val="00B36E3D"/>
    <w:rsid w:val="00B36E6F"/>
    <w:rsid w:val="00B36EED"/>
    <w:rsid w:val="00B36EEF"/>
    <w:rsid w:val="00B36F36"/>
    <w:rsid w:val="00B36F71"/>
    <w:rsid w:val="00B37015"/>
    <w:rsid w:val="00B370D6"/>
    <w:rsid w:val="00B37166"/>
    <w:rsid w:val="00B37195"/>
    <w:rsid w:val="00B37235"/>
    <w:rsid w:val="00B373A5"/>
    <w:rsid w:val="00B373B0"/>
    <w:rsid w:val="00B3750D"/>
    <w:rsid w:val="00B376B6"/>
    <w:rsid w:val="00B376FD"/>
    <w:rsid w:val="00B377B4"/>
    <w:rsid w:val="00B378A1"/>
    <w:rsid w:val="00B37A51"/>
    <w:rsid w:val="00B37A8F"/>
    <w:rsid w:val="00B37ADD"/>
    <w:rsid w:val="00B37B08"/>
    <w:rsid w:val="00B37BF0"/>
    <w:rsid w:val="00B37D0A"/>
    <w:rsid w:val="00B37D77"/>
    <w:rsid w:val="00B37D83"/>
    <w:rsid w:val="00B37DC9"/>
    <w:rsid w:val="00B37EE6"/>
    <w:rsid w:val="00B37F5C"/>
    <w:rsid w:val="00B4003F"/>
    <w:rsid w:val="00B40061"/>
    <w:rsid w:val="00B40156"/>
    <w:rsid w:val="00B403CE"/>
    <w:rsid w:val="00B40411"/>
    <w:rsid w:val="00B404F9"/>
    <w:rsid w:val="00B40540"/>
    <w:rsid w:val="00B4054D"/>
    <w:rsid w:val="00B405E8"/>
    <w:rsid w:val="00B406C1"/>
    <w:rsid w:val="00B40701"/>
    <w:rsid w:val="00B407F0"/>
    <w:rsid w:val="00B4087A"/>
    <w:rsid w:val="00B40929"/>
    <w:rsid w:val="00B40CE4"/>
    <w:rsid w:val="00B40CF6"/>
    <w:rsid w:val="00B40D12"/>
    <w:rsid w:val="00B40D50"/>
    <w:rsid w:val="00B40DAD"/>
    <w:rsid w:val="00B40F3E"/>
    <w:rsid w:val="00B4103E"/>
    <w:rsid w:val="00B410C1"/>
    <w:rsid w:val="00B411F7"/>
    <w:rsid w:val="00B4130E"/>
    <w:rsid w:val="00B41314"/>
    <w:rsid w:val="00B41420"/>
    <w:rsid w:val="00B414BC"/>
    <w:rsid w:val="00B414EB"/>
    <w:rsid w:val="00B4172E"/>
    <w:rsid w:val="00B41813"/>
    <w:rsid w:val="00B41872"/>
    <w:rsid w:val="00B4199F"/>
    <w:rsid w:val="00B41A12"/>
    <w:rsid w:val="00B41A38"/>
    <w:rsid w:val="00B41A4C"/>
    <w:rsid w:val="00B41B18"/>
    <w:rsid w:val="00B41BD6"/>
    <w:rsid w:val="00B41E8A"/>
    <w:rsid w:val="00B41F1A"/>
    <w:rsid w:val="00B42064"/>
    <w:rsid w:val="00B420A7"/>
    <w:rsid w:val="00B4259C"/>
    <w:rsid w:val="00B427D5"/>
    <w:rsid w:val="00B42A47"/>
    <w:rsid w:val="00B42A64"/>
    <w:rsid w:val="00B42B29"/>
    <w:rsid w:val="00B42CB5"/>
    <w:rsid w:val="00B43042"/>
    <w:rsid w:val="00B43090"/>
    <w:rsid w:val="00B430B3"/>
    <w:rsid w:val="00B43148"/>
    <w:rsid w:val="00B43374"/>
    <w:rsid w:val="00B4341C"/>
    <w:rsid w:val="00B43537"/>
    <w:rsid w:val="00B435B2"/>
    <w:rsid w:val="00B43641"/>
    <w:rsid w:val="00B43698"/>
    <w:rsid w:val="00B4394D"/>
    <w:rsid w:val="00B43AD7"/>
    <w:rsid w:val="00B43B63"/>
    <w:rsid w:val="00B43BD0"/>
    <w:rsid w:val="00B43BF7"/>
    <w:rsid w:val="00B43C7E"/>
    <w:rsid w:val="00B43D2D"/>
    <w:rsid w:val="00B43D4F"/>
    <w:rsid w:val="00B43DB3"/>
    <w:rsid w:val="00B43E1C"/>
    <w:rsid w:val="00B43E41"/>
    <w:rsid w:val="00B43FAC"/>
    <w:rsid w:val="00B441C0"/>
    <w:rsid w:val="00B441CD"/>
    <w:rsid w:val="00B4423F"/>
    <w:rsid w:val="00B4426B"/>
    <w:rsid w:val="00B442DC"/>
    <w:rsid w:val="00B445E0"/>
    <w:rsid w:val="00B446CD"/>
    <w:rsid w:val="00B449C2"/>
    <w:rsid w:val="00B44F4A"/>
    <w:rsid w:val="00B44F86"/>
    <w:rsid w:val="00B44F91"/>
    <w:rsid w:val="00B45025"/>
    <w:rsid w:val="00B45048"/>
    <w:rsid w:val="00B450AA"/>
    <w:rsid w:val="00B4520E"/>
    <w:rsid w:val="00B453E7"/>
    <w:rsid w:val="00B453FE"/>
    <w:rsid w:val="00B45463"/>
    <w:rsid w:val="00B4566C"/>
    <w:rsid w:val="00B456E2"/>
    <w:rsid w:val="00B457AF"/>
    <w:rsid w:val="00B45995"/>
    <w:rsid w:val="00B459B8"/>
    <w:rsid w:val="00B45ABF"/>
    <w:rsid w:val="00B45ACF"/>
    <w:rsid w:val="00B45B01"/>
    <w:rsid w:val="00B45B4A"/>
    <w:rsid w:val="00B45C51"/>
    <w:rsid w:val="00B45C7C"/>
    <w:rsid w:val="00B45E29"/>
    <w:rsid w:val="00B45EE3"/>
    <w:rsid w:val="00B460E6"/>
    <w:rsid w:val="00B46138"/>
    <w:rsid w:val="00B46195"/>
    <w:rsid w:val="00B4620C"/>
    <w:rsid w:val="00B46328"/>
    <w:rsid w:val="00B46342"/>
    <w:rsid w:val="00B4642C"/>
    <w:rsid w:val="00B465EB"/>
    <w:rsid w:val="00B4662B"/>
    <w:rsid w:val="00B466CC"/>
    <w:rsid w:val="00B46782"/>
    <w:rsid w:val="00B46812"/>
    <w:rsid w:val="00B46815"/>
    <w:rsid w:val="00B46890"/>
    <w:rsid w:val="00B46991"/>
    <w:rsid w:val="00B469F8"/>
    <w:rsid w:val="00B46A6F"/>
    <w:rsid w:val="00B46CA5"/>
    <w:rsid w:val="00B46E48"/>
    <w:rsid w:val="00B46EBE"/>
    <w:rsid w:val="00B46EC5"/>
    <w:rsid w:val="00B47027"/>
    <w:rsid w:val="00B47112"/>
    <w:rsid w:val="00B4722F"/>
    <w:rsid w:val="00B4731D"/>
    <w:rsid w:val="00B47395"/>
    <w:rsid w:val="00B473F5"/>
    <w:rsid w:val="00B47468"/>
    <w:rsid w:val="00B475BC"/>
    <w:rsid w:val="00B475C2"/>
    <w:rsid w:val="00B4760A"/>
    <w:rsid w:val="00B4760E"/>
    <w:rsid w:val="00B47877"/>
    <w:rsid w:val="00B478E6"/>
    <w:rsid w:val="00B47928"/>
    <w:rsid w:val="00B4797D"/>
    <w:rsid w:val="00B47A20"/>
    <w:rsid w:val="00B47C89"/>
    <w:rsid w:val="00B47E7F"/>
    <w:rsid w:val="00B47F57"/>
    <w:rsid w:val="00B47F69"/>
    <w:rsid w:val="00B47F81"/>
    <w:rsid w:val="00B47FCF"/>
    <w:rsid w:val="00B50053"/>
    <w:rsid w:val="00B500D2"/>
    <w:rsid w:val="00B5025D"/>
    <w:rsid w:val="00B50430"/>
    <w:rsid w:val="00B504F3"/>
    <w:rsid w:val="00B50719"/>
    <w:rsid w:val="00B50795"/>
    <w:rsid w:val="00B507DF"/>
    <w:rsid w:val="00B508F3"/>
    <w:rsid w:val="00B509A2"/>
    <w:rsid w:val="00B509A9"/>
    <w:rsid w:val="00B50C0A"/>
    <w:rsid w:val="00B50CC0"/>
    <w:rsid w:val="00B50D49"/>
    <w:rsid w:val="00B50DB5"/>
    <w:rsid w:val="00B50E2B"/>
    <w:rsid w:val="00B50E3E"/>
    <w:rsid w:val="00B50E8D"/>
    <w:rsid w:val="00B50F8B"/>
    <w:rsid w:val="00B50F9A"/>
    <w:rsid w:val="00B51081"/>
    <w:rsid w:val="00B510BF"/>
    <w:rsid w:val="00B510FE"/>
    <w:rsid w:val="00B511C4"/>
    <w:rsid w:val="00B51221"/>
    <w:rsid w:val="00B512F3"/>
    <w:rsid w:val="00B51567"/>
    <w:rsid w:val="00B516EE"/>
    <w:rsid w:val="00B516F6"/>
    <w:rsid w:val="00B51836"/>
    <w:rsid w:val="00B51A2B"/>
    <w:rsid w:val="00B51A42"/>
    <w:rsid w:val="00B51B0E"/>
    <w:rsid w:val="00B51B43"/>
    <w:rsid w:val="00B51B5D"/>
    <w:rsid w:val="00B51B64"/>
    <w:rsid w:val="00B51D99"/>
    <w:rsid w:val="00B51DC4"/>
    <w:rsid w:val="00B51DE3"/>
    <w:rsid w:val="00B51E7C"/>
    <w:rsid w:val="00B51FB8"/>
    <w:rsid w:val="00B52153"/>
    <w:rsid w:val="00B5218C"/>
    <w:rsid w:val="00B521A1"/>
    <w:rsid w:val="00B522E1"/>
    <w:rsid w:val="00B5230F"/>
    <w:rsid w:val="00B5252B"/>
    <w:rsid w:val="00B528B7"/>
    <w:rsid w:val="00B52958"/>
    <w:rsid w:val="00B529BC"/>
    <w:rsid w:val="00B52AF7"/>
    <w:rsid w:val="00B52CE2"/>
    <w:rsid w:val="00B52F5B"/>
    <w:rsid w:val="00B52F5E"/>
    <w:rsid w:val="00B52F76"/>
    <w:rsid w:val="00B52FEF"/>
    <w:rsid w:val="00B52FF9"/>
    <w:rsid w:val="00B53193"/>
    <w:rsid w:val="00B5329D"/>
    <w:rsid w:val="00B5339F"/>
    <w:rsid w:val="00B533A3"/>
    <w:rsid w:val="00B53420"/>
    <w:rsid w:val="00B53476"/>
    <w:rsid w:val="00B5352E"/>
    <w:rsid w:val="00B53743"/>
    <w:rsid w:val="00B53B61"/>
    <w:rsid w:val="00B53B88"/>
    <w:rsid w:val="00B53BD4"/>
    <w:rsid w:val="00B53C5D"/>
    <w:rsid w:val="00B53C6E"/>
    <w:rsid w:val="00B53C8F"/>
    <w:rsid w:val="00B53D30"/>
    <w:rsid w:val="00B53E96"/>
    <w:rsid w:val="00B53EAC"/>
    <w:rsid w:val="00B53EBD"/>
    <w:rsid w:val="00B53F91"/>
    <w:rsid w:val="00B53FAE"/>
    <w:rsid w:val="00B54060"/>
    <w:rsid w:val="00B54147"/>
    <w:rsid w:val="00B5426E"/>
    <w:rsid w:val="00B5431B"/>
    <w:rsid w:val="00B543A6"/>
    <w:rsid w:val="00B545C9"/>
    <w:rsid w:val="00B548EC"/>
    <w:rsid w:val="00B54A5B"/>
    <w:rsid w:val="00B54B8C"/>
    <w:rsid w:val="00B54BA1"/>
    <w:rsid w:val="00B54C0E"/>
    <w:rsid w:val="00B54CA8"/>
    <w:rsid w:val="00B54CF6"/>
    <w:rsid w:val="00B54D4E"/>
    <w:rsid w:val="00B54D58"/>
    <w:rsid w:val="00B5517D"/>
    <w:rsid w:val="00B552C5"/>
    <w:rsid w:val="00B555A9"/>
    <w:rsid w:val="00B555E2"/>
    <w:rsid w:val="00B5563D"/>
    <w:rsid w:val="00B55643"/>
    <w:rsid w:val="00B55665"/>
    <w:rsid w:val="00B55736"/>
    <w:rsid w:val="00B55740"/>
    <w:rsid w:val="00B5575A"/>
    <w:rsid w:val="00B557A8"/>
    <w:rsid w:val="00B557E0"/>
    <w:rsid w:val="00B558CF"/>
    <w:rsid w:val="00B55A0B"/>
    <w:rsid w:val="00B55A42"/>
    <w:rsid w:val="00B55A6A"/>
    <w:rsid w:val="00B55B04"/>
    <w:rsid w:val="00B55BF4"/>
    <w:rsid w:val="00B55C29"/>
    <w:rsid w:val="00B55CEC"/>
    <w:rsid w:val="00B55D6E"/>
    <w:rsid w:val="00B55DB5"/>
    <w:rsid w:val="00B55DE3"/>
    <w:rsid w:val="00B55F41"/>
    <w:rsid w:val="00B55FF1"/>
    <w:rsid w:val="00B56088"/>
    <w:rsid w:val="00B56108"/>
    <w:rsid w:val="00B5617A"/>
    <w:rsid w:val="00B563E4"/>
    <w:rsid w:val="00B56485"/>
    <w:rsid w:val="00B564C1"/>
    <w:rsid w:val="00B564CB"/>
    <w:rsid w:val="00B56566"/>
    <w:rsid w:val="00B565F2"/>
    <w:rsid w:val="00B56661"/>
    <w:rsid w:val="00B5666D"/>
    <w:rsid w:val="00B5674C"/>
    <w:rsid w:val="00B56831"/>
    <w:rsid w:val="00B56AD5"/>
    <w:rsid w:val="00B56C9D"/>
    <w:rsid w:val="00B56DC4"/>
    <w:rsid w:val="00B56EA4"/>
    <w:rsid w:val="00B56F40"/>
    <w:rsid w:val="00B57198"/>
    <w:rsid w:val="00B57218"/>
    <w:rsid w:val="00B57295"/>
    <w:rsid w:val="00B5767D"/>
    <w:rsid w:val="00B57721"/>
    <w:rsid w:val="00B578E4"/>
    <w:rsid w:val="00B57960"/>
    <w:rsid w:val="00B579A3"/>
    <w:rsid w:val="00B57B26"/>
    <w:rsid w:val="00B57BA0"/>
    <w:rsid w:val="00B57D05"/>
    <w:rsid w:val="00B57D69"/>
    <w:rsid w:val="00B57E26"/>
    <w:rsid w:val="00B57EB6"/>
    <w:rsid w:val="00B6000A"/>
    <w:rsid w:val="00B6002E"/>
    <w:rsid w:val="00B600F0"/>
    <w:rsid w:val="00B6019C"/>
    <w:rsid w:val="00B603F8"/>
    <w:rsid w:val="00B60414"/>
    <w:rsid w:val="00B60477"/>
    <w:rsid w:val="00B604AC"/>
    <w:rsid w:val="00B6053F"/>
    <w:rsid w:val="00B606B4"/>
    <w:rsid w:val="00B606E5"/>
    <w:rsid w:val="00B607C6"/>
    <w:rsid w:val="00B609BC"/>
    <w:rsid w:val="00B60A34"/>
    <w:rsid w:val="00B60ABB"/>
    <w:rsid w:val="00B60BB7"/>
    <w:rsid w:val="00B60C4E"/>
    <w:rsid w:val="00B60C8D"/>
    <w:rsid w:val="00B60D9E"/>
    <w:rsid w:val="00B60E6B"/>
    <w:rsid w:val="00B60F68"/>
    <w:rsid w:val="00B60F9F"/>
    <w:rsid w:val="00B61184"/>
    <w:rsid w:val="00B61286"/>
    <w:rsid w:val="00B612BD"/>
    <w:rsid w:val="00B61395"/>
    <w:rsid w:val="00B613F1"/>
    <w:rsid w:val="00B61404"/>
    <w:rsid w:val="00B61417"/>
    <w:rsid w:val="00B61427"/>
    <w:rsid w:val="00B61527"/>
    <w:rsid w:val="00B61545"/>
    <w:rsid w:val="00B61727"/>
    <w:rsid w:val="00B617A3"/>
    <w:rsid w:val="00B617F4"/>
    <w:rsid w:val="00B618DD"/>
    <w:rsid w:val="00B618F9"/>
    <w:rsid w:val="00B61A3A"/>
    <w:rsid w:val="00B61AF0"/>
    <w:rsid w:val="00B61AF5"/>
    <w:rsid w:val="00B61B43"/>
    <w:rsid w:val="00B61B4D"/>
    <w:rsid w:val="00B61B6E"/>
    <w:rsid w:val="00B61B98"/>
    <w:rsid w:val="00B61C6F"/>
    <w:rsid w:val="00B61D0F"/>
    <w:rsid w:val="00B61E52"/>
    <w:rsid w:val="00B61F09"/>
    <w:rsid w:val="00B61FB8"/>
    <w:rsid w:val="00B6204F"/>
    <w:rsid w:val="00B62121"/>
    <w:rsid w:val="00B62173"/>
    <w:rsid w:val="00B624B7"/>
    <w:rsid w:val="00B62569"/>
    <w:rsid w:val="00B62712"/>
    <w:rsid w:val="00B6271D"/>
    <w:rsid w:val="00B629EC"/>
    <w:rsid w:val="00B62A73"/>
    <w:rsid w:val="00B62B1A"/>
    <w:rsid w:val="00B62B35"/>
    <w:rsid w:val="00B62B6F"/>
    <w:rsid w:val="00B62C49"/>
    <w:rsid w:val="00B62CB2"/>
    <w:rsid w:val="00B62DCB"/>
    <w:rsid w:val="00B62E87"/>
    <w:rsid w:val="00B62F21"/>
    <w:rsid w:val="00B63250"/>
    <w:rsid w:val="00B63346"/>
    <w:rsid w:val="00B63404"/>
    <w:rsid w:val="00B63465"/>
    <w:rsid w:val="00B635D2"/>
    <w:rsid w:val="00B635DB"/>
    <w:rsid w:val="00B635E8"/>
    <w:rsid w:val="00B6384F"/>
    <w:rsid w:val="00B638A7"/>
    <w:rsid w:val="00B639A1"/>
    <w:rsid w:val="00B63A0B"/>
    <w:rsid w:val="00B63A28"/>
    <w:rsid w:val="00B63B6F"/>
    <w:rsid w:val="00B63B75"/>
    <w:rsid w:val="00B63B9C"/>
    <w:rsid w:val="00B63CE4"/>
    <w:rsid w:val="00B63E32"/>
    <w:rsid w:val="00B63E83"/>
    <w:rsid w:val="00B63FBD"/>
    <w:rsid w:val="00B64081"/>
    <w:rsid w:val="00B6419A"/>
    <w:rsid w:val="00B642DC"/>
    <w:rsid w:val="00B6430C"/>
    <w:rsid w:val="00B64390"/>
    <w:rsid w:val="00B643D9"/>
    <w:rsid w:val="00B64623"/>
    <w:rsid w:val="00B6465D"/>
    <w:rsid w:val="00B646E6"/>
    <w:rsid w:val="00B6476D"/>
    <w:rsid w:val="00B64803"/>
    <w:rsid w:val="00B649DA"/>
    <w:rsid w:val="00B64AD5"/>
    <w:rsid w:val="00B64B43"/>
    <w:rsid w:val="00B64B70"/>
    <w:rsid w:val="00B64BDE"/>
    <w:rsid w:val="00B64BEC"/>
    <w:rsid w:val="00B64CE0"/>
    <w:rsid w:val="00B64D1B"/>
    <w:rsid w:val="00B64E20"/>
    <w:rsid w:val="00B64F90"/>
    <w:rsid w:val="00B64F91"/>
    <w:rsid w:val="00B650D9"/>
    <w:rsid w:val="00B65112"/>
    <w:rsid w:val="00B6521D"/>
    <w:rsid w:val="00B65295"/>
    <w:rsid w:val="00B652A4"/>
    <w:rsid w:val="00B65347"/>
    <w:rsid w:val="00B653BF"/>
    <w:rsid w:val="00B655C7"/>
    <w:rsid w:val="00B65644"/>
    <w:rsid w:val="00B657A6"/>
    <w:rsid w:val="00B657D8"/>
    <w:rsid w:val="00B65A85"/>
    <w:rsid w:val="00B65B87"/>
    <w:rsid w:val="00B65BF5"/>
    <w:rsid w:val="00B65D1D"/>
    <w:rsid w:val="00B65D4D"/>
    <w:rsid w:val="00B65D61"/>
    <w:rsid w:val="00B65DE1"/>
    <w:rsid w:val="00B65E15"/>
    <w:rsid w:val="00B65EA9"/>
    <w:rsid w:val="00B65F76"/>
    <w:rsid w:val="00B66010"/>
    <w:rsid w:val="00B660A9"/>
    <w:rsid w:val="00B660EA"/>
    <w:rsid w:val="00B662FB"/>
    <w:rsid w:val="00B66388"/>
    <w:rsid w:val="00B663B2"/>
    <w:rsid w:val="00B663D7"/>
    <w:rsid w:val="00B664F8"/>
    <w:rsid w:val="00B6656D"/>
    <w:rsid w:val="00B665C8"/>
    <w:rsid w:val="00B6668F"/>
    <w:rsid w:val="00B666BF"/>
    <w:rsid w:val="00B66788"/>
    <w:rsid w:val="00B66861"/>
    <w:rsid w:val="00B66B99"/>
    <w:rsid w:val="00B66BE6"/>
    <w:rsid w:val="00B66C17"/>
    <w:rsid w:val="00B66C21"/>
    <w:rsid w:val="00B66CAE"/>
    <w:rsid w:val="00B66EB2"/>
    <w:rsid w:val="00B67092"/>
    <w:rsid w:val="00B67093"/>
    <w:rsid w:val="00B670AF"/>
    <w:rsid w:val="00B6716D"/>
    <w:rsid w:val="00B671C3"/>
    <w:rsid w:val="00B67211"/>
    <w:rsid w:val="00B67353"/>
    <w:rsid w:val="00B674A0"/>
    <w:rsid w:val="00B674AB"/>
    <w:rsid w:val="00B67503"/>
    <w:rsid w:val="00B6754A"/>
    <w:rsid w:val="00B677BF"/>
    <w:rsid w:val="00B679DA"/>
    <w:rsid w:val="00B67A48"/>
    <w:rsid w:val="00B67AC2"/>
    <w:rsid w:val="00B67B89"/>
    <w:rsid w:val="00B67C22"/>
    <w:rsid w:val="00B67CD6"/>
    <w:rsid w:val="00B67D71"/>
    <w:rsid w:val="00B67D84"/>
    <w:rsid w:val="00B67EC3"/>
    <w:rsid w:val="00B7018B"/>
    <w:rsid w:val="00B702AF"/>
    <w:rsid w:val="00B702CF"/>
    <w:rsid w:val="00B70360"/>
    <w:rsid w:val="00B7049C"/>
    <w:rsid w:val="00B70710"/>
    <w:rsid w:val="00B707A0"/>
    <w:rsid w:val="00B70CA7"/>
    <w:rsid w:val="00B70D3E"/>
    <w:rsid w:val="00B70D9E"/>
    <w:rsid w:val="00B70EAB"/>
    <w:rsid w:val="00B710FB"/>
    <w:rsid w:val="00B7138B"/>
    <w:rsid w:val="00B71460"/>
    <w:rsid w:val="00B71511"/>
    <w:rsid w:val="00B71566"/>
    <w:rsid w:val="00B7163E"/>
    <w:rsid w:val="00B7169F"/>
    <w:rsid w:val="00B71721"/>
    <w:rsid w:val="00B717A4"/>
    <w:rsid w:val="00B719A6"/>
    <w:rsid w:val="00B71A08"/>
    <w:rsid w:val="00B71C4E"/>
    <w:rsid w:val="00B71CE0"/>
    <w:rsid w:val="00B71D68"/>
    <w:rsid w:val="00B71EE5"/>
    <w:rsid w:val="00B72144"/>
    <w:rsid w:val="00B72242"/>
    <w:rsid w:val="00B72266"/>
    <w:rsid w:val="00B722F4"/>
    <w:rsid w:val="00B72426"/>
    <w:rsid w:val="00B724B5"/>
    <w:rsid w:val="00B724FE"/>
    <w:rsid w:val="00B72741"/>
    <w:rsid w:val="00B7275B"/>
    <w:rsid w:val="00B7288B"/>
    <w:rsid w:val="00B728B7"/>
    <w:rsid w:val="00B729A3"/>
    <w:rsid w:val="00B72A72"/>
    <w:rsid w:val="00B72AF0"/>
    <w:rsid w:val="00B72B7C"/>
    <w:rsid w:val="00B72C04"/>
    <w:rsid w:val="00B72C2B"/>
    <w:rsid w:val="00B72D20"/>
    <w:rsid w:val="00B72D3D"/>
    <w:rsid w:val="00B72D83"/>
    <w:rsid w:val="00B72F1F"/>
    <w:rsid w:val="00B72F9F"/>
    <w:rsid w:val="00B730B6"/>
    <w:rsid w:val="00B730EF"/>
    <w:rsid w:val="00B73145"/>
    <w:rsid w:val="00B731DB"/>
    <w:rsid w:val="00B735FE"/>
    <w:rsid w:val="00B73769"/>
    <w:rsid w:val="00B73776"/>
    <w:rsid w:val="00B73796"/>
    <w:rsid w:val="00B737D8"/>
    <w:rsid w:val="00B737EB"/>
    <w:rsid w:val="00B73843"/>
    <w:rsid w:val="00B73891"/>
    <w:rsid w:val="00B738D5"/>
    <w:rsid w:val="00B738DA"/>
    <w:rsid w:val="00B73B76"/>
    <w:rsid w:val="00B73B7F"/>
    <w:rsid w:val="00B73BEE"/>
    <w:rsid w:val="00B73DF3"/>
    <w:rsid w:val="00B73DF8"/>
    <w:rsid w:val="00B73FAD"/>
    <w:rsid w:val="00B7407C"/>
    <w:rsid w:val="00B74093"/>
    <w:rsid w:val="00B7411D"/>
    <w:rsid w:val="00B74225"/>
    <w:rsid w:val="00B742AF"/>
    <w:rsid w:val="00B742D3"/>
    <w:rsid w:val="00B74351"/>
    <w:rsid w:val="00B744A1"/>
    <w:rsid w:val="00B744E6"/>
    <w:rsid w:val="00B74647"/>
    <w:rsid w:val="00B74686"/>
    <w:rsid w:val="00B74743"/>
    <w:rsid w:val="00B74908"/>
    <w:rsid w:val="00B74997"/>
    <w:rsid w:val="00B74998"/>
    <w:rsid w:val="00B749F3"/>
    <w:rsid w:val="00B74A65"/>
    <w:rsid w:val="00B74AC6"/>
    <w:rsid w:val="00B74B48"/>
    <w:rsid w:val="00B74B72"/>
    <w:rsid w:val="00B74BD9"/>
    <w:rsid w:val="00B74C9D"/>
    <w:rsid w:val="00B74E03"/>
    <w:rsid w:val="00B74E1A"/>
    <w:rsid w:val="00B74F48"/>
    <w:rsid w:val="00B74F5F"/>
    <w:rsid w:val="00B74FCC"/>
    <w:rsid w:val="00B75075"/>
    <w:rsid w:val="00B750D0"/>
    <w:rsid w:val="00B7518F"/>
    <w:rsid w:val="00B75372"/>
    <w:rsid w:val="00B756D7"/>
    <w:rsid w:val="00B7597D"/>
    <w:rsid w:val="00B759B4"/>
    <w:rsid w:val="00B759C9"/>
    <w:rsid w:val="00B75AD1"/>
    <w:rsid w:val="00B75B50"/>
    <w:rsid w:val="00B75B6B"/>
    <w:rsid w:val="00B75DCD"/>
    <w:rsid w:val="00B75DD1"/>
    <w:rsid w:val="00B75FB9"/>
    <w:rsid w:val="00B75FC3"/>
    <w:rsid w:val="00B76117"/>
    <w:rsid w:val="00B76292"/>
    <w:rsid w:val="00B762D5"/>
    <w:rsid w:val="00B763A8"/>
    <w:rsid w:val="00B76591"/>
    <w:rsid w:val="00B765FD"/>
    <w:rsid w:val="00B76782"/>
    <w:rsid w:val="00B7678F"/>
    <w:rsid w:val="00B76808"/>
    <w:rsid w:val="00B76859"/>
    <w:rsid w:val="00B76889"/>
    <w:rsid w:val="00B7699A"/>
    <w:rsid w:val="00B769C1"/>
    <w:rsid w:val="00B76AF3"/>
    <w:rsid w:val="00B76B49"/>
    <w:rsid w:val="00B76B50"/>
    <w:rsid w:val="00B76B8D"/>
    <w:rsid w:val="00B76BBA"/>
    <w:rsid w:val="00B76BBB"/>
    <w:rsid w:val="00B76BC5"/>
    <w:rsid w:val="00B76C55"/>
    <w:rsid w:val="00B76CE4"/>
    <w:rsid w:val="00B76DE6"/>
    <w:rsid w:val="00B76EC6"/>
    <w:rsid w:val="00B76ED6"/>
    <w:rsid w:val="00B76F5A"/>
    <w:rsid w:val="00B77011"/>
    <w:rsid w:val="00B77052"/>
    <w:rsid w:val="00B7708F"/>
    <w:rsid w:val="00B77160"/>
    <w:rsid w:val="00B7729D"/>
    <w:rsid w:val="00B772BF"/>
    <w:rsid w:val="00B772F3"/>
    <w:rsid w:val="00B7731A"/>
    <w:rsid w:val="00B77378"/>
    <w:rsid w:val="00B7739D"/>
    <w:rsid w:val="00B774F4"/>
    <w:rsid w:val="00B77547"/>
    <w:rsid w:val="00B775EE"/>
    <w:rsid w:val="00B7760D"/>
    <w:rsid w:val="00B776C3"/>
    <w:rsid w:val="00B776E9"/>
    <w:rsid w:val="00B77826"/>
    <w:rsid w:val="00B77871"/>
    <w:rsid w:val="00B778C1"/>
    <w:rsid w:val="00B778D2"/>
    <w:rsid w:val="00B7796B"/>
    <w:rsid w:val="00B779E7"/>
    <w:rsid w:val="00B77A8F"/>
    <w:rsid w:val="00B77BA2"/>
    <w:rsid w:val="00B77C32"/>
    <w:rsid w:val="00B77E42"/>
    <w:rsid w:val="00B77E91"/>
    <w:rsid w:val="00B77EFF"/>
    <w:rsid w:val="00B8027B"/>
    <w:rsid w:val="00B8037D"/>
    <w:rsid w:val="00B803A5"/>
    <w:rsid w:val="00B803F1"/>
    <w:rsid w:val="00B80473"/>
    <w:rsid w:val="00B80483"/>
    <w:rsid w:val="00B80635"/>
    <w:rsid w:val="00B806B4"/>
    <w:rsid w:val="00B808E4"/>
    <w:rsid w:val="00B8093D"/>
    <w:rsid w:val="00B80984"/>
    <w:rsid w:val="00B809FC"/>
    <w:rsid w:val="00B80B45"/>
    <w:rsid w:val="00B80B5A"/>
    <w:rsid w:val="00B80BB8"/>
    <w:rsid w:val="00B80BFE"/>
    <w:rsid w:val="00B80C6B"/>
    <w:rsid w:val="00B80D68"/>
    <w:rsid w:val="00B80EF7"/>
    <w:rsid w:val="00B8121A"/>
    <w:rsid w:val="00B812F9"/>
    <w:rsid w:val="00B813A5"/>
    <w:rsid w:val="00B814F6"/>
    <w:rsid w:val="00B815E8"/>
    <w:rsid w:val="00B81742"/>
    <w:rsid w:val="00B81820"/>
    <w:rsid w:val="00B81923"/>
    <w:rsid w:val="00B81994"/>
    <w:rsid w:val="00B819BD"/>
    <w:rsid w:val="00B819BE"/>
    <w:rsid w:val="00B81A01"/>
    <w:rsid w:val="00B81A1D"/>
    <w:rsid w:val="00B81A51"/>
    <w:rsid w:val="00B81B59"/>
    <w:rsid w:val="00B81B60"/>
    <w:rsid w:val="00B81EDB"/>
    <w:rsid w:val="00B8200B"/>
    <w:rsid w:val="00B821D4"/>
    <w:rsid w:val="00B822F0"/>
    <w:rsid w:val="00B82305"/>
    <w:rsid w:val="00B824BD"/>
    <w:rsid w:val="00B82785"/>
    <w:rsid w:val="00B828F6"/>
    <w:rsid w:val="00B8290C"/>
    <w:rsid w:val="00B82B84"/>
    <w:rsid w:val="00B82CF8"/>
    <w:rsid w:val="00B82D16"/>
    <w:rsid w:val="00B82D80"/>
    <w:rsid w:val="00B82E2E"/>
    <w:rsid w:val="00B82FE4"/>
    <w:rsid w:val="00B83066"/>
    <w:rsid w:val="00B83167"/>
    <w:rsid w:val="00B8323E"/>
    <w:rsid w:val="00B832DF"/>
    <w:rsid w:val="00B833C6"/>
    <w:rsid w:val="00B833FF"/>
    <w:rsid w:val="00B8346F"/>
    <w:rsid w:val="00B8351A"/>
    <w:rsid w:val="00B835BC"/>
    <w:rsid w:val="00B835DC"/>
    <w:rsid w:val="00B8367D"/>
    <w:rsid w:val="00B83966"/>
    <w:rsid w:val="00B839E3"/>
    <w:rsid w:val="00B83B22"/>
    <w:rsid w:val="00B83B79"/>
    <w:rsid w:val="00B83C72"/>
    <w:rsid w:val="00B83CFA"/>
    <w:rsid w:val="00B83D4E"/>
    <w:rsid w:val="00B83D7B"/>
    <w:rsid w:val="00B83E11"/>
    <w:rsid w:val="00B83E7D"/>
    <w:rsid w:val="00B83EBA"/>
    <w:rsid w:val="00B83FE6"/>
    <w:rsid w:val="00B84020"/>
    <w:rsid w:val="00B84077"/>
    <w:rsid w:val="00B840FE"/>
    <w:rsid w:val="00B84102"/>
    <w:rsid w:val="00B8429C"/>
    <w:rsid w:val="00B842D4"/>
    <w:rsid w:val="00B842D6"/>
    <w:rsid w:val="00B84406"/>
    <w:rsid w:val="00B8447C"/>
    <w:rsid w:val="00B844CE"/>
    <w:rsid w:val="00B844D0"/>
    <w:rsid w:val="00B84517"/>
    <w:rsid w:val="00B8459E"/>
    <w:rsid w:val="00B84696"/>
    <w:rsid w:val="00B84705"/>
    <w:rsid w:val="00B8477B"/>
    <w:rsid w:val="00B847B8"/>
    <w:rsid w:val="00B8494E"/>
    <w:rsid w:val="00B84957"/>
    <w:rsid w:val="00B84B6D"/>
    <w:rsid w:val="00B84C38"/>
    <w:rsid w:val="00B84CDB"/>
    <w:rsid w:val="00B84D94"/>
    <w:rsid w:val="00B851C5"/>
    <w:rsid w:val="00B85228"/>
    <w:rsid w:val="00B85291"/>
    <w:rsid w:val="00B85414"/>
    <w:rsid w:val="00B854A2"/>
    <w:rsid w:val="00B854D8"/>
    <w:rsid w:val="00B85577"/>
    <w:rsid w:val="00B855B0"/>
    <w:rsid w:val="00B856BB"/>
    <w:rsid w:val="00B857AE"/>
    <w:rsid w:val="00B857E9"/>
    <w:rsid w:val="00B859C7"/>
    <w:rsid w:val="00B85EFA"/>
    <w:rsid w:val="00B85F13"/>
    <w:rsid w:val="00B8616D"/>
    <w:rsid w:val="00B8645A"/>
    <w:rsid w:val="00B864DD"/>
    <w:rsid w:val="00B8652A"/>
    <w:rsid w:val="00B86590"/>
    <w:rsid w:val="00B865F4"/>
    <w:rsid w:val="00B8664A"/>
    <w:rsid w:val="00B866E0"/>
    <w:rsid w:val="00B86790"/>
    <w:rsid w:val="00B86870"/>
    <w:rsid w:val="00B86A0C"/>
    <w:rsid w:val="00B86BF2"/>
    <w:rsid w:val="00B86CC1"/>
    <w:rsid w:val="00B86E6D"/>
    <w:rsid w:val="00B86F15"/>
    <w:rsid w:val="00B86F56"/>
    <w:rsid w:val="00B86F65"/>
    <w:rsid w:val="00B87126"/>
    <w:rsid w:val="00B8719F"/>
    <w:rsid w:val="00B874A1"/>
    <w:rsid w:val="00B87583"/>
    <w:rsid w:val="00B875D2"/>
    <w:rsid w:val="00B87601"/>
    <w:rsid w:val="00B87717"/>
    <w:rsid w:val="00B877AC"/>
    <w:rsid w:val="00B878DE"/>
    <w:rsid w:val="00B87927"/>
    <w:rsid w:val="00B87A00"/>
    <w:rsid w:val="00B87A3E"/>
    <w:rsid w:val="00B87ADA"/>
    <w:rsid w:val="00B87C1C"/>
    <w:rsid w:val="00B87CD4"/>
    <w:rsid w:val="00B87D4A"/>
    <w:rsid w:val="00B87D56"/>
    <w:rsid w:val="00B87DE2"/>
    <w:rsid w:val="00B87E5D"/>
    <w:rsid w:val="00B9000D"/>
    <w:rsid w:val="00B90115"/>
    <w:rsid w:val="00B90379"/>
    <w:rsid w:val="00B9040C"/>
    <w:rsid w:val="00B904F6"/>
    <w:rsid w:val="00B90781"/>
    <w:rsid w:val="00B9090D"/>
    <w:rsid w:val="00B90A3A"/>
    <w:rsid w:val="00B90B15"/>
    <w:rsid w:val="00B90C30"/>
    <w:rsid w:val="00B90CA5"/>
    <w:rsid w:val="00B90D25"/>
    <w:rsid w:val="00B90DF3"/>
    <w:rsid w:val="00B90ED1"/>
    <w:rsid w:val="00B90F41"/>
    <w:rsid w:val="00B90FD5"/>
    <w:rsid w:val="00B9109D"/>
    <w:rsid w:val="00B91120"/>
    <w:rsid w:val="00B911EA"/>
    <w:rsid w:val="00B9128B"/>
    <w:rsid w:val="00B912A9"/>
    <w:rsid w:val="00B91314"/>
    <w:rsid w:val="00B91424"/>
    <w:rsid w:val="00B91538"/>
    <w:rsid w:val="00B91577"/>
    <w:rsid w:val="00B9158B"/>
    <w:rsid w:val="00B916F2"/>
    <w:rsid w:val="00B9175D"/>
    <w:rsid w:val="00B91770"/>
    <w:rsid w:val="00B91913"/>
    <w:rsid w:val="00B919B2"/>
    <w:rsid w:val="00B91B54"/>
    <w:rsid w:val="00B91BBF"/>
    <w:rsid w:val="00B91BF3"/>
    <w:rsid w:val="00B91C10"/>
    <w:rsid w:val="00B91D08"/>
    <w:rsid w:val="00B91D94"/>
    <w:rsid w:val="00B91E6F"/>
    <w:rsid w:val="00B91EA8"/>
    <w:rsid w:val="00B91EF0"/>
    <w:rsid w:val="00B92054"/>
    <w:rsid w:val="00B92205"/>
    <w:rsid w:val="00B9223B"/>
    <w:rsid w:val="00B92257"/>
    <w:rsid w:val="00B92331"/>
    <w:rsid w:val="00B923D1"/>
    <w:rsid w:val="00B923DB"/>
    <w:rsid w:val="00B924AA"/>
    <w:rsid w:val="00B925A0"/>
    <w:rsid w:val="00B925A9"/>
    <w:rsid w:val="00B9262A"/>
    <w:rsid w:val="00B926E1"/>
    <w:rsid w:val="00B92721"/>
    <w:rsid w:val="00B9278E"/>
    <w:rsid w:val="00B927DC"/>
    <w:rsid w:val="00B92800"/>
    <w:rsid w:val="00B9280A"/>
    <w:rsid w:val="00B928D0"/>
    <w:rsid w:val="00B928D6"/>
    <w:rsid w:val="00B928F9"/>
    <w:rsid w:val="00B928FD"/>
    <w:rsid w:val="00B9295F"/>
    <w:rsid w:val="00B92A12"/>
    <w:rsid w:val="00B92C9E"/>
    <w:rsid w:val="00B92CAA"/>
    <w:rsid w:val="00B92CCE"/>
    <w:rsid w:val="00B92D1D"/>
    <w:rsid w:val="00B92E1F"/>
    <w:rsid w:val="00B92E2D"/>
    <w:rsid w:val="00B92E7B"/>
    <w:rsid w:val="00B93004"/>
    <w:rsid w:val="00B932B6"/>
    <w:rsid w:val="00B932FD"/>
    <w:rsid w:val="00B93404"/>
    <w:rsid w:val="00B934C3"/>
    <w:rsid w:val="00B93550"/>
    <w:rsid w:val="00B935BC"/>
    <w:rsid w:val="00B935FF"/>
    <w:rsid w:val="00B9362E"/>
    <w:rsid w:val="00B938AB"/>
    <w:rsid w:val="00B938BF"/>
    <w:rsid w:val="00B93928"/>
    <w:rsid w:val="00B93943"/>
    <w:rsid w:val="00B93BDE"/>
    <w:rsid w:val="00B93CC8"/>
    <w:rsid w:val="00B93E4E"/>
    <w:rsid w:val="00B93F57"/>
    <w:rsid w:val="00B93FF6"/>
    <w:rsid w:val="00B9438E"/>
    <w:rsid w:val="00B943F9"/>
    <w:rsid w:val="00B94425"/>
    <w:rsid w:val="00B9453C"/>
    <w:rsid w:val="00B945A7"/>
    <w:rsid w:val="00B945E7"/>
    <w:rsid w:val="00B94745"/>
    <w:rsid w:val="00B9481A"/>
    <w:rsid w:val="00B94915"/>
    <w:rsid w:val="00B94AE2"/>
    <w:rsid w:val="00B94C3A"/>
    <w:rsid w:val="00B94DBB"/>
    <w:rsid w:val="00B94F49"/>
    <w:rsid w:val="00B94FAF"/>
    <w:rsid w:val="00B94FDE"/>
    <w:rsid w:val="00B9513B"/>
    <w:rsid w:val="00B9523E"/>
    <w:rsid w:val="00B95406"/>
    <w:rsid w:val="00B954A7"/>
    <w:rsid w:val="00B955E0"/>
    <w:rsid w:val="00B955E8"/>
    <w:rsid w:val="00B95643"/>
    <w:rsid w:val="00B95760"/>
    <w:rsid w:val="00B95779"/>
    <w:rsid w:val="00B95849"/>
    <w:rsid w:val="00B95A71"/>
    <w:rsid w:val="00B95B62"/>
    <w:rsid w:val="00B95C67"/>
    <w:rsid w:val="00B95C74"/>
    <w:rsid w:val="00B961A8"/>
    <w:rsid w:val="00B961C8"/>
    <w:rsid w:val="00B96386"/>
    <w:rsid w:val="00B96587"/>
    <w:rsid w:val="00B9669E"/>
    <w:rsid w:val="00B966A5"/>
    <w:rsid w:val="00B96726"/>
    <w:rsid w:val="00B9673E"/>
    <w:rsid w:val="00B967C1"/>
    <w:rsid w:val="00B96834"/>
    <w:rsid w:val="00B96B7E"/>
    <w:rsid w:val="00B96B9E"/>
    <w:rsid w:val="00B96BAE"/>
    <w:rsid w:val="00B96BBF"/>
    <w:rsid w:val="00B96C72"/>
    <w:rsid w:val="00B96D1A"/>
    <w:rsid w:val="00B96E1C"/>
    <w:rsid w:val="00B96E67"/>
    <w:rsid w:val="00B96E81"/>
    <w:rsid w:val="00B96F2D"/>
    <w:rsid w:val="00B96FAA"/>
    <w:rsid w:val="00B9704E"/>
    <w:rsid w:val="00B97097"/>
    <w:rsid w:val="00B97247"/>
    <w:rsid w:val="00B972C3"/>
    <w:rsid w:val="00B9737A"/>
    <w:rsid w:val="00B97533"/>
    <w:rsid w:val="00B97547"/>
    <w:rsid w:val="00B97599"/>
    <w:rsid w:val="00B975DF"/>
    <w:rsid w:val="00B975FA"/>
    <w:rsid w:val="00B97622"/>
    <w:rsid w:val="00B9765F"/>
    <w:rsid w:val="00B97695"/>
    <w:rsid w:val="00B97834"/>
    <w:rsid w:val="00B9788E"/>
    <w:rsid w:val="00B97C38"/>
    <w:rsid w:val="00B97D89"/>
    <w:rsid w:val="00B97E3B"/>
    <w:rsid w:val="00B97FAA"/>
    <w:rsid w:val="00BA011A"/>
    <w:rsid w:val="00BA0169"/>
    <w:rsid w:val="00BA0225"/>
    <w:rsid w:val="00BA0389"/>
    <w:rsid w:val="00BA06A7"/>
    <w:rsid w:val="00BA0740"/>
    <w:rsid w:val="00BA088C"/>
    <w:rsid w:val="00BA09A4"/>
    <w:rsid w:val="00BA0A0D"/>
    <w:rsid w:val="00BA0A58"/>
    <w:rsid w:val="00BA0AB2"/>
    <w:rsid w:val="00BA0AE4"/>
    <w:rsid w:val="00BA0C68"/>
    <w:rsid w:val="00BA0E17"/>
    <w:rsid w:val="00BA0E1E"/>
    <w:rsid w:val="00BA0E67"/>
    <w:rsid w:val="00BA0EC4"/>
    <w:rsid w:val="00BA0F35"/>
    <w:rsid w:val="00BA0F48"/>
    <w:rsid w:val="00BA0FF4"/>
    <w:rsid w:val="00BA10A8"/>
    <w:rsid w:val="00BA122D"/>
    <w:rsid w:val="00BA1262"/>
    <w:rsid w:val="00BA129F"/>
    <w:rsid w:val="00BA155A"/>
    <w:rsid w:val="00BA1718"/>
    <w:rsid w:val="00BA17B6"/>
    <w:rsid w:val="00BA1837"/>
    <w:rsid w:val="00BA1973"/>
    <w:rsid w:val="00BA1A33"/>
    <w:rsid w:val="00BA1AB9"/>
    <w:rsid w:val="00BA1B65"/>
    <w:rsid w:val="00BA1DFD"/>
    <w:rsid w:val="00BA1F6A"/>
    <w:rsid w:val="00BA223D"/>
    <w:rsid w:val="00BA2381"/>
    <w:rsid w:val="00BA23FD"/>
    <w:rsid w:val="00BA24DC"/>
    <w:rsid w:val="00BA2589"/>
    <w:rsid w:val="00BA25B5"/>
    <w:rsid w:val="00BA266D"/>
    <w:rsid w:val="00BA26B1"/>
    <w:rsid w:val="00BA26F4"/>
    <w:rsid w:val="00BA2708"/>
    <w:rsid w:val="00BA2848"/>
    <w:rsid w:val="00BA28F7"/>
    <w:rsid w:val="00BA28FF"/>
    <w:rsid w:val="00BA2A3B"/>
    <w:rsid w:val="00BA2CE9"/>
    <w:rsid w:val="00BA2D3E"/>
    <w:rsid w:val="00BA2DC8"/>
    <w:rsid w:val="00BA2DF6"/>
    <w:rsid w:val="00BA2E96"/>
    <w:rsid w:val="00BA31B4"/>
    <w:rsid w:val="00BA31C3"/>
    <w:rsid w:val="00BA31E7"/>
    <w:rsid w:val="00BA32F4"/>
    <w:rsid w:val="00BA3348"/>
    <w:rsid w:val="00BA3502"/>
    <w:rsid w:val="00BA354A"/>
    <w:rsid w:val="00BA358D"/>
    <w:rsid w:val="00BA35A5"/>
    <w:rsid w:val="00BA3687"/>
    <w:rsid w:val="00BA36F4"/>
    <w:rsid w:val="00BA37DB"/>
    <w:rsid w:val="00BA382D"/>
    <w:rsid w:val="00BA3872"/>
    <w:rsid w:val="00BA3998"/>
    <w:rsid w:val="00BA39F1"/>
    <w:rsid w:val="00BA39F9"/>
    <w:rsid w:val="00BA3D1A"/>
    <w:rsid w:val="00BA3D6E"/>
    <w:rsid w:val="00BA3EEB"/>
    <w:rsid w:val="00BA3F54"/>
    <w:rsid w:val="00BA4046"/>
    <w:rsid w:val="00BA4064"/>
    <w:rsid w:val="00BA40D2"/>
    <w:rsid w:val="00BA4133"/>
    <w:rsid w:val="00BA4226"/>
    <w:rsid w:val="00BA42A3"/>
    <w:rsid w:val="00BA45A4"/>
    <w:rsid w:val="00BA45CD"/>
    <w:rsid w:val="00BA4669"/>
    <w:rsid w:val="00BA4717"/>
    <w:rsid w:val="00BA4798"/>
    <w:rsid w:val="00BA4825"/>
    <w:rsid w:val="00BA4865"/>
    <w:rsid w:val="00BA497A"/>
    <w:rsid w:val="00BA49C0"/>
    <w:rsid w:val="00BA4A07"/>
    <w:rsid w:val="00BA4A16"/>
    <w:rsid w:val="00BA4ADA"/>
    <w:rsid w:val="00BA4D04"/>
    <w:rsid w:val="00BA4D55"/>
    <w:rsid w:val="00BA4DC6"/>
    <w:rsid w:val="00BA4EA8"/>
    <w:rsid w:val="00BA4EEE"/>
    <w:rsid w:val="00BA4F71"/>
    <w:rsid w:val="00BA4FB0"/>
    <w:rsid w:val="00BA4FF6"/>
    <w:rsid w:val="00BA505E"/>
    <w:rsid w:val="00BA510B"/>
    <w:rsid w:val="00BA51D6"/>
    <w:rsid w:val="00BA565C"/>
    <w:rsid w:val="00BA57B3"/>
    <w:rsid w:val="00BA597D"/>
    <w:rsid w:val="00BA59F7"/>
    <w:rsid w:val="00BA5ADA"/>
    <w:rsid w:val="00BA5B96"/>
    <w:rsid w:val="00BA5C19"/>
    <w:rsid w:val="00BA5D48"/>
    <w:rsid w:val="00BA5DA2"/>
    <w:rsid w:val="00BA5DB3"/>
    <w:rsid w:val="00BA5DD2"/>
    <w:rsid w:val="00BA5F4A"/>
    <w:rsid w:val="00BA623C"/>
    <w:rsid w:val="00BA639D"/>
    <w:rsid w:val="00BA6402"/>
    <w:rsid w:val="00BA675A"/>
    <w:rsid w:val="00BA6784"/>
    <w:rsid w:val="00BA68EF"/>
    <w:rsid w:val="00BA6E8C"/>
    <w:rsid w:val="00BA70A7"/>
    <w:rsid w:val="00BA70B6"/>
    <w:rsid w:val="00BA712C"/>
    <w:rsid w:val="00BA7137"/>
    <w:rsid w:val="00BA7179"/>
    <w:rsid w:val="00BA71AF"/>
    <w:rsid w:val="00BA7265"/>
    <w:rsid w:val="00BA7432"/>
    <w:rsid w:val="00BA7538"/>
    <w:rsid w:val="00BA7560"/>
    <w:rsid w:val="00BA7678"/>
    <w:rsid w:val="00BA7736"/>
    <w:rsid w:val="00BA77F4"/>
    <w:rsid w:val="00BA77F6"/>
    <w:rsid w:val="00BA7824"/>
    <w:rsid w:val="00BA78C3"/>
    <w:rsid w:val="00BA7A3F"/>
    <w:rsid w:val="00BA7BD4"/>
    <w:rsid w:val="00BA7BDF"/>
    <w:rsid w:val="00BA7F4C"/>
    <w:rsid w:val="00BA7F69"/>
    <w:rsid w:val="00BB00F3"/>
    <w:rsid w:val="00BB0119"/>
    <w:rsid w:val="00BB01F5"/>
    <w:rsid w:val="00BB0250"/>
    <w:rsid w:val="00BB039D"/>
    <w:rsid w:val="00BB042A"/>
    <w:rsid w:val="00BB04B8"/>
    <w:rsid w:val="00BB056A"/>
    <w:rsid w:val="00BB060B"/>
    <w:rsid w:val="00BB06F8"/>
    <w:rsid w:val="00BB07CC"/>
    <w:rsid w:val="00BB09FE"/>
    <w:rsid w:val="00BB0A1F"/>
    <w:rsid w:val="00BB0B09"/>
    <w:rsid w:val="00BB0B2D"/>
    <w:rsid w:val="00BB0B72"/>
    <w:rsid w:val="00BB0CF3"/>
    <w:rsid w:val="00BB0D3F"/>
    <w:rsid w:val="00BB0DAC"/>
    <w:rsid w:val="00BB0DF9"/>
    <w:rsid w:val="00BB0E7C"/>
    <w:rsid w:val="00BB0EA2"/>
    <w:rsid w:val="00BB0F8D"/>
    <w:rsid w:val="00BB0FAA"/>
    <w:rsid w:val="00BB108F"/>
    <w:rsid w:val="00BB1240"/>
    <w:rsid w:val="00BB127C"/>
    <w:rsid w:val="00BB145B"/>
    <w:rsid w:val="00BB1516"/>
    <w:rsid w:val="00BB1517"/>
    <w:rsid w:val="00BB164F"/>
    <w:rsid w:val="00BB17B1"/>
    <w:rsid w:val="00BB17BB"/>
    <w:rsid w:val="00BB18EA"/>
    <w:rsid w:val="00BB18F3"/>
    <w:rsid w:val="00BB190E"/>
    <w:rsid w:val="00BB1A41"/>
    <w:rsid w:val="00BB1B1C"/>
    <w:rsid w:val="00BB1B2D"/>
    <w:rsid w:val="00BB1B5F"/>
    <w:rsid w:val="00BB1CCC"/>
    <w:rsid w:val="00BB1CE3"/>
    <w:rsid w:val="00BB1D31"/>
    <w:rsid w:val="00BB1ECC"/>
    <w:rsid w:val="00BB2030"/>
    <w:rsid w:val="00BB2057"/>
    <w:rsid w:val="00BB2085"/>
    <w:rsid w:val="00BB2105"/>
    <w:rsid w:val="00BB217F"/>
    <w:rsid w:val="00BB21F7"/>
    <w:rsid w:val="00BB2358"/>
    <w:rsid w:val="00BB2729"/>
    <w:rsid w:val="00BB277E"/>
    <w:rsid w:val="00BB27A6"/>
    <w:rsid w:val="00BB27C4"/>
    <w:rsid w:val="00BB27FE"/>
    <w:rsid w:val="00BB2969"/>
    <w:rsid w:val="00BB2A0C"/>
    <w:rsid w:val="00BB2BB7"/>
    <w:rsid w:val="00BB2C1F"/>
    <w:rsid w:val="00BB2C24"/>
    <w:rsid w:val="00BB2C32"/>
    <w:rsid w:val="00BB2D61"/>
    <w:rsid w:val="00BB2E75"/>
    <w:rsid w:val="00BB2FE2"/>
    <w:rsid w:val="00BB3057"/>
    <w:rsid w:val="00BB31B8"/>
    <w:rsid w:val="00BB31F8"/>
    <w:rsid w:val="00BB3340"/>
    <w:rsid w:val="00BB3463"/>
    <w:rsid w:val="00BB34A5"/>
    <w:rsid w:val="00BB3598"/>
    <w:rsid w:val="00BB367D"/>
    <w:rsid w:val="00BB37C5"/>
    <w:rsid w:val="00BB3A06"/>
    <w:rsid w:val="00BB3B24"/>
    <w:rsid w:val="00BB3C0F"/>
    <w:rsid w:val="00BB3C28"/>
    <w:rsid w:val="00BB3C9B"/>
    <w:rsid w:val="00BB3D7B"/>
    <w:rsid w:val="00BB3F72"/>
    <w:rsid w:val="00BB3FDB"/>
    <w:rsid w:val="00BB4056"/>
    <w:rsid w:val="00BB406A"/>
    <w:rsid w:val="00BB40C3"/>
    <w:rsid w:val="00BB44CD"/>
    <w:rsid w:val="00BB4569"/>
    <w:rsid w:val="00BB46A4"/>
    <w:rsid w:val="00BB480B"/>
    <w:rsid w:val="00BB487D"/>
    <w:rsid w:val="00BB4A80"/>
    <w:rsid w:val="00BB4AC2"/>
    <w:rsid w:val="00BB4B87"/>
    <w:rsid w:val="00BB4BC0"/>
    <w:rsid w:val="00BB4D15"/>
    <w:rsid w:val="00BB4ECE"/>
    <w:rsid w:val="00BB4FB1"/>
    <w:rsid w:val="00BB506E"/>
    <w:rsid w:val="00BB5149"/>
    <w:rsid w:val="00BB5323"/>
    <w:rsid w:val="00BB532E"/>
    <w:rsid w:val="00BB551E"/>
    <w:rsid w:val="00BB5599"/>
    <w:rsid w:val="00BB5692"/>
    <w:rsid w:val="00BB56BC"/>
    <w:rsid w:val="00BB56CE"/>
    <w:rsid w:val="00BB5727"/>
    <w:rsid w:val="00BB5859"/>
    <w:rsid w:val="00BB5989"/>
    <w:rsid w:val="00BB5AD1"/>
    <w:rsid w:val="00BB5B0D"/>
    <w:rsid w:val="00BB5CA8"/>
    <w:rsid w:val="00BB5D67"/>
    <w:rsid w:val="00BB5DF1"/>
    <w:rsid w:val="00BB5F05"/>
    <w:rsid w:val="00BB602F"/>
    <w:rsid w:val="00BB6353"/>
    <w:rsid w:val="00BB645B"/>
    <w:rsid w:val="00BB6657"/>
    <w:rsid w:val="00BB6731"/>
    <w:rsid w:val="00BB6798"/>
    <w:rsid w:val="00BB679A"/>
    <w:rsid w:val="00BB6989"/>
    <w:rsid w:val="00BB6A7E"/>
    <w:rsid w:val="00BB6A9E"/>
    <w:rsid w:val="00BB6B66"/>
    <w:rsid w:val="00BB6D4C"/>
    <w:rsid w:val="00BB6D64"/>
    <w:rsid w:val="00BB6E07"/>
    <w:rsid w:val="00BB6E88"/>
    <w:rsid w:val="00BB700E"/>
    <w:rsid w:val="00BB7114"/>
    <w:rsid w:val="00BB71A9"/>
    <w:rsid w:val="00BB722F"/>
    <w:rsid w:val="00BB7460"/>
    <w:rsid w:val="00BB74BD"/>
    <w:rsid w:val="00BB74F3"/>
    <w:rsid w:val="00BB7547"/>
    <w:rsid w:val="00BB75E7"/>
    <w:rsid w:val="00BB7696"/>
    <w:rsid w:val="00BB76ED"/>
    <w:rsid w:val="00BB773E"/>
    <w:rsid w:val="00BB78BE"/>
    <w:rsid w:val="00BB79ED"/>
    <w:rsid w:val="00BB7A43"/>
    <w:rsid w:val="00BB7D72"/>
    <w:rsid w:val="00BB7DE2"/>
    <w:rsid w:val="00BB7DE3"/>
    <w:rsid w:val="00BB7DE5"/>
    <w:rsid w:val="00BB7DF7"/>
    <w:rsid w:val="00BB7E60"/>
    <w:rsid w:val="00BB7F63"/>
    <w:rsid w:val="00BC0085"/>
    <w:rsid w:val="00BC0153"/>
    <w:rsid w:val="00BC0426"/>
    <w:rsid w:val="00BC045B"/>
    <w:rsid w:val="00BC0467"/>
    <w:rsid w:val="00BC04C8"/>
    <w:rsid w:val="00BC07EE"/>
    <w:rsid w:val="00BC085D"/>
    <w:rsid w:val="00BC0A4F"/>
    <w:rsid w:val="00BC0D14"/>
    <w:rsid w:val="00BC0D17"/>
    <w:rsid w:val="00BC0F05"/>
    <w:rsid w:val="00BC0F06"/>
    <w:rsid w:val="00BC0FA0"/>
    <w:rsid w:val="00BC1062"/>
    <w:rsid w:val="00BC1140"/>
    <w:rsid w:val="00BC1239"/>
    <w:rsid w:val="00BC140A"/>
    <w:rsid w:val="00BC1661"/>
    <w:rsid w:val="00BC1738"/>
    <w:rsid w:val="00BC1C51"/>
    <w:rsid w:val="00BC1DF7"/>
    <w:rsid w:val="00BC1E9C"/>
    <w:rsid w:val="00BC1EC3"/>
    <w:rsid w:val="00BC2079"/>
    <w:rsid w:val="00BC21E3"/>
    <w:rsid w:val="00BC235E"/>
    <w:rsid w:val="00BC23F1"/>
    <w:rsid w:val="00BC2413"/>
    <w:rsid w:val="00BC25EB"/>
    <w:rsid w:val="00BC270B"/>
    <w:rsid w:val="00BC28A7"/>
    <w:rsid w:val="00BC29A7"/>
    <w:rsid w:val="00BC2A72"/>
    <w:rsid w:val="00BC2A8A"/>
    <w:rsid w:val="00BC2B84"/>
    <w:rsid w:val="00BC2C74"/>
    <w:rsid w:val="00BC2CC9"/>
    <w:rsid w:val="00BC2CD8"/>
    <w:rsid w:val="00BC2D40"/>
    <w:rsid w:val="00BC2E63"/>
    <w:rsid w:val="00BC2E67"/>
    <w:rsid w:val="00BC2E82"/>
    <w:rsid w:val="00BC2E85"/>
    <w:rsid w:val="00BC2F89"/>
    <w:rsid w:val="00BC2FAA"/>
    <w:rsid w:val="00BC3184"/>
    <w:rsid w:val="00BC31D3"/>
    <w:rsid w:val="00BC3229"/>
    <w:rsid w:val="00BC33DF"/>
    <w:rsid w:val="00BC349A"/>
    <w:rsid w:val="00BC3515"/>
    <w:rsid w:val="00BC3531"/>
    <w:rsid w:val="00BC3758"/>
    <w:rsid w:val="00BC3868"/>
    <w:rsid w:val="00BC38A5"/>
    <w:rsid w:val="00BC38B6"/>
    <w:rsid w:val="00BC38F2"/>
    <w:rsid w:val="00BC3926"/>
    <w:rsid w:val="00BC3964"/>
    <w:rsid w:val="00BC396F"/>
    <w:rsid w:val="00BC39E9"/>
    <w:rsid w:val="00BC3A4F"/>
    <w:rsid w:val="00BC3A9B"/>
    <w:rsid w:val="00BC3C8C"/>
    <w:rsid w:val="00BC3CFD"/>
    <w:rsid w:val="00BC3DBA"/>
    <w:rsid w:val="00BC3E32"/>
    <w:rsid w:val="00BC3E55"/>
    <w:rsid w:val="00BC40C9"/>
    <w:rsid w:val="00BC4310"/>
    <w:rsid w:val="00BC43BD"/>
    <w:rsid w:val="00BC45D9"/>
    <w:rsid w:val="00BC467D"/>
    <w:rsid w:val="00BC46FC"/>
    <w:rsid w:val="00BC48C0"/>
    <w:rsid w:val="00BC4969"/>
    <w:rsid w:val="00BC496A"/>
    <w:rsid w:val="00BC4C28"/>
    <w:rsid w:val="00BC4C9D"/>
    <w:rsid w:val="00BC4DCD"/>
    <w:rsid w:val="00BC4E36"/>
    <w:rsid w:val="00BC4FF0"/>
    <w:rsid w:val="00BC5323"/>
    <w:rsid w:val="00BC545B"/>
    <w:rsid w:val="00BC5478"/>
    <w:rsid w:val="00BC5640"/>
    <w:rsid w:val="00BC584F"/>
    <w:rsid w:val="00BC58C4"/>
    <w:rsid w:val="00BC5920"/>
    <w:rsid w:val="00BC5969"/>
    <w:rsid w:val="00BC59F9"/>
    <w:rsid w:val="00BC5D93"/>
    <w:rsid w:val="00BC5F40"/>
    <w:rsid w:val="00BC5FBF"/>
    <w:rsid w:val="00BC60F5"/>
    <w:rsid w:val="00BC6154"/>
    <w:rsid w:val="00BC622D"/>
    <w:rsid w:val="00BC629B"/>
    <w:rsid w:val="00BC63A1"/>
    <w:rsid w:val="00BC63B7"/>
    <w:rsid w:val="00BC63C3"/>
    <w:rsid w:val="00BC64F0"/>
    <w:rsid w:val="00BC657E"/>
    <w:rsid w:val="00BC65D1"/>
    <w:rsid w:val="00BC65FB"/>
    <w:rsid w:val="00BC66A4"/>
    <w:rsid w:val="00BC673D"/>
    <w:rsid w:val="00BC68D1"/>
    <w:rsid w:val="00BC6981"/>
    <w:rsid w:val="00BC6A2A"/>
    <w:rsid w:val="00BC6BE2"/>
    <w:rsid w:val="00BC6C62"/>
    <w:rsid w:val="00BC6CB4"/>
    <w:rsid w:val="00BC6D5A"/>
    <w:rsid w:val="00BC6D92"/>
    <w:rsid w:val="00BC6DA0"/>
    <w:rsid w:val="00BC6E69"/>
    <w:rsid w:val="00BC722F"/>
    <w:rsid w:val="00BC7315"/>
    <w:rsid w:val="00BC7503"/>
    <w:rsid w:val="00BC75BB"/>
    <w:rsid w:val="00BC7698"/>
    <w:rsid w:val="00BC7936"/>
    <w:rsid w:val="00BC79DD"/>
    <w:rsid w:val="00BC7C10"/>
    <w:rsid w:val="00BC7C7F"/>
    <w:rsid w:val="00BC7E06"/>
    <w:rsid w:val="00BD0033"/>
    <w:rsid w:val="00BD0062"/>
    <w:rsid w:val="00BD00A0"/>
    <w:rsid w:val="00BD012E"/>
    <w:rsid w:val="00BD0155"/>
    <w:rsid w:val="00BD020E"/>
    <w:rsid w:val="00BD03B2"/>
    <w:rsid w:val="00BD03EC"/>
    <w:rsid w:val="00BD0425"/>
    <w:rsid w:val="00BD068C"/>
    <w:rsid w:val="00BD0791"/>
    <w:rsid w:val="00BD0860"/>
    <w:rsid w:val="00BD093F"/>
    <w:rsid w:val="00BD09EA"/>
    <w:rsid w:val="00BD0D6D"/>
    <w:rsid w:val="00BD0D97"/>
    <w:rsid w:val="00BD0E3F"/>
    <w:rsid w:val="00BD0FD8"/>
    <w:rsid w:val="00BD10BE"/>
    <w:rsid w:val="00BD1128"/>
    <w:rsid w:val="00BD1160"/>
    <w:rsid w:val="00BD11EA"/>
    <w:rsid w:val="00BD1203"/>
    <w:rsid w:val="00BD123C"/>
    <w:rsid w:val="00BD1309"/>
    <w:rsid w:val="00BD1332"/>
    <w:rsid w:val="00BD1398"/>
    <w:rsid w:val="00BD13B0"/>
    <w:rsid w:val="00BD1611"/>
    <w:rsid w:val="00BD1723"/>
    <w:rsid w:val="00BD183A"/>
    <w:rsid w:val="00BD1906"/>
    <w:rsid w:val="00BD1917"/>
    <w:rsid w:val="00BD1A0F"/>
    <w:rsid w:val="00BD1AD6"/>
    <w:rsid w:val="00BD1B67"/>
    <w:rsid w:val="00BD1BB2"/>
    <w:rsid w:val="00BD1CFB"/>
    <w:rsid w:val="00BD20AA"/>
    <w:rsid w:val="00BD2170"/>
    <w:rsid w:val="00BD2314"/>
    <w:rsid w:val="00BD2387"/>
    <w:rsid w:val="00BD268A"/>
    <w:rsid w:val="00BD26A2"/>
    <w:rsid w:val="00BD26A3"/>
    <w:rsid w:val="00BD26AA"/>
    <w:rsid w:val="00BD28A5"/>
    <w:rsid w:val="00BD2956"/>
    <w:rsid w:val="00BD2B12"/>
    <w:rsid w:val="00BD2BE2"/>
    <w:rsid w:val="00BD2EC5"/>
    <w:rsid w:val="00BD2F3F"/>
    <w:rsid w:val="00BD2F75"/>
    <w:rsid w:val="00BD3011"/>
    <w:rsid w:val="00BD3053"/>
    <w:rsid w:val="00BD30FB"/>
    <w:rsid w:val="00BD320B"/>
    <w:rsid w:val="00BD3219"/>
    <w:rsid w:val="00BD333D"/>
    <w:rsid w:val="00BD33DC"/>
    <w:rsid w:val="00BD3474"/>
    <w:rsid w:val="00BD34B3"/>
    <w:rsid w:val="00BD3524"/>
    <w:rsid w:val="00BD3549"/>
    <w:rsid w:val="00BD36E8"/>
    <w:rsid w:val="00BD3705"/>
    <w:rsid w:val="00BD3746"/>
    <w:rsid w:val="00BD3762"/>
    <w:rsid w:val="00BD38B5"/>
    <w:rsid w:val="00BD3962"/>
    <w:rsid w:val="00BD3A68"/>
    <w:rsid w:val="00BD3A6B"/>
    <w:rsid w:val="00BD3BAA"/>
    <w:rsid w:val="00BD3BF1"/>
    <w:rsid w:val="00BD3C1C"/>
    <w:rsid w:val="00BD3D0C"/>
    <w:rsid w:val="00BD3DD9"/>
    <w:rsid w:val="00BD3E13"/>
    <w:rsid w:val="00BD3E72"/>
    <w:rsid w:val="00BD3E92"/>
    <w:rsid w:val="00BD3FC1"/>
    <w:rsid w:val="00BD3FE2"/>
    <w:rsid w:val="00BD414C"/>
    <w:rsid w:val="00BD41AA"/>
    <w:rsid w:val="00BD432E"/>
    <w:rsid w:val="00BD436E"/>
    <w:rsid w:val="00BD4495"/>
    <w:rsid w:val="00BD454F"/>
    <w:rsid w:val="00BD457B"/>
    <w:rsid w:val="00BD4756"/>
    <w:rsid w:val="00BD4937"/>
    <w:rsid w:val="00BD4BDB"/>
    <w:rsid w:val="00BD4D14"/>
    <w:rsid w:val="00BD4E1F"/>
    <w:rsid w:val="00BD4FCF"/>
    <w:rsid w:val="00BD5065"/>
    <w:rsid w:val="00BD509B"/>
    <w:rsid w:val="00BD5219"/>
    <w:rsid w:val="00BD52B2"/>
    <w:rsid w:val="00BD5365"/>
    <w:rsid w:val="00BD53AA"/>
    <w:rsid w:val="00BD53B1"/>
    <w:rsid w:val="00BD547E"/>
    <w:rsid w:val="00BD54EF"/>
    <w:rsid w:val="00BD54F2"/>
    <w:rsid w:val="00BD5744"/>
    <w:rsid w:val="00BD576A"/>
    <w:rsid w:val="00BD57D0"/>
    <w:rsid w:val="00BD58E6"/>
    <w:rsid w:val="00BD599D"/>
    <w:rsid w:val="00BD59BC"/>
    <w:rsid w:val="00BD5A44"/>
    <w:rsid w:val="00BD5ABE"/>
    <w:rsid w:val="00BD5B85"/>
    <w:rsid w:val="00BD5C4F"/>
    <w:rsid w:val="00BD5D53"/>
    <w:rsid w:val="00BD5D60"/>
    <w:rsid w:val="00BD5D75"/>
    <w:rsid w:val="00BD5DE7"/>
    <w:rsid w:val="00BD5F6F"/>
    <w:rsid w:val="00BD5F78"/>
    <w:rsid w:val="00BD60F7"/>
    <w:rsid w:val="00BD6221"/>
    <w:rsid w:val="00BD6481"/>
    <w:rsid w:val="00BD65B8"/>
    <w:rsid w:val="00BD68D4"/>
    <w:rsid w:val="00BD69BF"/>
    <w:rsid w:val="00BD6B4E"/>
    <w:rsid w:val="00BD6BFE"/>
    <w:rsid w:val="00BD6C2F"/>
    <w:rsid w:val="00BD6CFC"/>
    <w:rsid w:val="00BD6D09"/>
    <w:rsid w:val="00BD6E20"/>
    <w:rsid w:val="00BD6E27"/>
    <w:rsid w:val="00BD6ECF"/>
    <w:rsid w:val="00BD6F4A"/>
    <w:rsid w:val="00BD705C"/>
    <w:rsid w:val="00BD70B9"/>
    <w:rsid w:val="00BD726E"/>
    <w:rsid w:val="00BD7389"/>
    <w:rsid w:val="00BD7394"/>
    <w:rsid w:val="00BD7417"/>
    <w:rsid w:val="00BD74DF"/>
    <w:rsid w:val="00BD7749"/>
    <w:rsid w:val="00BD782B"/>
    <w:rsid w:val="00BD7B9E"/>
    <w:rsid w:val="00BD7DA5"/>
    <w:rsid w:val="00BD7E1A"/>
    <w:rsid w:val="00BD7ED4"/>
    <w:rsid w:val="00BD7EED"/>
    <w:rsid w:val="00BD7EF6"/>
    <w:rsid w:val="00BE0022"/>
    <w:rsid w:val="00BE0100"/>
    <w:rsid w:val="00BE0131"/>
    <w:rsid w:val="00BE013E"/>
    <w:rsid w:val="00BE0211"/>
    <w:rsid w:val="00BE0235"/>
    <w:rsid w:val="00BE02D9"/>
    <w:rsid w:val="00BE0329"/>
    <w:rsid w:val="00BE04A6"/>
    <w:rsid w:val="00BE0521"/>
    <w:rsid w:val="00BE057E"/>
    <w:rsid w:val="00BE0581"/>
    <w:rsid w:val="00BE065E"/>
    <w:rsid w:val="00BE06AF"/>
    <w:rsid w:val="00BE06E6"/>
    <w:rsid w:val="00BE0726"/>
    <w:rsid w:val="00BE08C7"/>
    <w:rsid w:val="00BE0928"/>
    <w:rsid w:val="00BE0997"/>
    <w:rsid w:val="00BE0A2C"/>
    <w:rsid w:val="00BE0B0C"/>
    <w:rsid w:val="00BE0B34"/>
    <w:rsid w:val="00BE0C65"/>
    <w:rsid w:val="00BE0E44"/>
    <w:rsid w:val="00BE103B"/>
    <w:rsid w:val="00BE107F"/>
    <w:rsid w:val="00BE1121"/>
    <w:rsid w:val="00BE1192"/>
    <w:rsid w:val="00BE1200"/>
    <w:rsid w:val="00BE1232"/>
    <w:rsid w:val="00BE134B"/>
    <w:rsid w:val="00BE1401"/>
    <w:rsid w:val="00BE1564"/>
    <w:rsid w:val="00BE1977"/>
    <w:rsid w:val="00BE19AD"/>
    <w:rsid w:val="00BE1A16"/>
    <w:rsid w:val="00BE1A1A"/>
    <w:rsid w:val="00BE1D15"/>
    <w:rsid w:val="00BE1DCE"/>
    <w:rsid w:val="00BE1E53"/>
    <w:rsid w:val="00BE1F3C"/>
    <w:rsid w:val="00BE20CA"/>
    <w:rsid w:val="00BE20F7"/>
    <w:rsid w:val="00BE2227"/>
    <w:rsid w:val="00BE227F"/>
    <w:rsid w:val="00BE230B"/>
    <w:rsid w:val="00BE236C"/>
    <w:rsid w:val="00BE2429"/>
    <w:rsid w:val="00BE2543"/>
    <w:rsid w:val="00BE255A"/>
    <w:rsid w:val="00BE25AC"/>
    <w:rsid w:val="00BE279C"/>
    <w:rsid w:val="00BE28F5"/>
    <w:rsid w:val="00BE294F"/>
    <w:rsid w:val="00BE29AD"/>
    <w:rsid w:val="00BE2A7E"/>
    <w:rsid w:val="00BE2B04"/>
    <w:rsid w:val="00BE2C51"/>
    <w:rsid w:val="00BE2C52"/>
    <w:rsid w:val="00BE2CF1"/>
    <w:rsid w:val="00BE2D77"/>
    <w:rsid w:val="00BE2EEA"/>
    <w:rsid w:val="00BE2F5F"/>
    <w:rsid w:val="00BE2F6F"/>
    <w:rsid w:val="00BE2FA1"/>
    <w:rsid w:val="00BE3037"/>
    <w:rsid w:val="00BE30DC"/>
    <w:rsid w:val="00BE3344"/>
    <w:rsid w:val="00BE3376"/>
    <w:rsid w:val="00BE341F"/>
    <w:rsid w:val="00BE3522"/>
    <w:rsid w:val="00BE3633"/>
    <w:rsid w:val="00BE3718"/>
    <w:rsid w:val="00BE3822"/>
    <w:rsid w:val="00BE3996"/>
    <w:rsid w:val="00BE39B6"/>
    <w:rsid w:val="00BE39DA"/>
    <w:rsid w:val="00BE39EC"/>
    <w:rsid w:val="00BE3AF9"/>
    <w:rsid w:val="00BE3B36"/>
    <w:rsid w:val="00BE3B88"/>
    <w:rsid w:val="00BE3CA8"/>
    <w:rsid w:val="00BE3CDC"/>
    <w:rsid w:val="00BE3D1F"/>
    <w:rsid w:val="00BE3D2E"/>
    <w:rsid w:val="00BE3D81"/>
    <w:rsid w:val="00BE3E7E"/>
    <w:rsid w:val="00BE3ED8"/>
    <w:rsid w:val="00BE3F1F"/>
    <w:rsid w:val="00BE4069"/>
    <w:rsid w:val="00BE4110"/>
    <w:rsid w:val="00BE4344"/>
    <w:rsid w:val="00BE43A4"/>
    <w:rsid w:val="00BE44F7"/>
    <w:rsid w:val="00BE455B"/>
    <w:rsid w:val="00BE45F5"/>
    <w:rsid w:val="00BE462C"/>
    <w:rsid w:val="00BE46AD"/>
    <w:rsid w:val="00BE46CA"/>
    <w:rsid w:val="00BE46E4"/>
    <w:rsid w:val="00BE48CE"/>
    <w:rsid w:val="00BE4B5E"/>
    <w:rsid w:val="00BE4BB1"/>
    <w:rsid w:val="00BE4C59"/>
    <w:rsid w:val="00BE501B"/>
    <w:rsid w:val="00BE507D"/>
    <w:rsid w:val="00BE50B2"/>
    <w:rsid w:val="00BE524F"/>
    <w:rsid w:val="00BE525D"/>
    <w:rsid w:val="00BE528E"/>
    <w:rsid w:val="00BE537E"/>
    <w:rsid w:val="00BE54B7"/>
    <w:rsid w:val="00BE54FF"/>
    <w:rsid w:val="00BE55E8"/>
    <w:rsid w:val="00BE5645"/>
    <w:rsid w:val="00BE5876"/>
    <w:rsid w:val="00BE58D8"/>
    <w:rsid w:val="00BE599C"/>
    <w:rsid w:val="00BE59E1"/>
    <w:rsid w:val="00BE5A9F"/>
    <w:rsid w:val="00BE5AAA"/>
    <w:rsid w:val="00BE5AF8"/>
    <w:rsid w:val="00BE5BB7"/>
    <w:rsid w:val="00BE5E3D"/>
    <w:rsid w:val="00BE5EA6"/>
    <w:rsid w:val="00BE5EBD"/>
    <w:rsid w:val="00BE5F99"/>
    <w:rsid w:val="00BE6191"/>
    <w:rsid w:val="00BE63C7"/>
    <w:rsid w:val="00BE63D4"/>
    <w:rsid w:val="00BE63FF"/>
    <w:rsid w:val="00BE6493"/>
    <w:rsid w:val="00BE6702"/>
    <w:rsid w:val="00BE6732"/>
    <w:rsid w:val="00BE683C"/>
    <w:rsid w:val="00BE6B50"/>
    <w:rsid w:val="00BE6CC3"/>
    <w:rsid w:val="00BE6CE1"/>
    <w:rsid w:val="00BE6CE4"/>
    <w:rsid w:val="00BE6D1E"/>
    <w:rsid w:val="00BE6ECE"/>
    <w:rsid w:val="00BE6EF4"/>
    <w:rsid w:val="00BE6FEB"/>
    <w:rsid w:val="00BE7086"/>
    <w:rsid w:val="00BE71B9"/>
    <w:rsid w:val="00BE74D8"/>
    <w:rsid w:val="00BE74F7"/>
    <w:rsid w:val="00BE7555"/>
    <w:rsid w:val="00BE75C8"/>
    <w:rsid w:val="00BE75E2"/>
    <w:rsid w:val="00BE76BC"/>
    <w:rsid w:val="00BE7706"/>
    <w:rsid w:val="00BE77B5"/>
    <w:rsid w:val="00BE77E5"/>
    <w:rsid w:val="00BE78D3"/>
    <w:rsid w:val="00BE7949"/>
    <w:rsid w:val="00BE7951"/>
    <w:rsid w:val="00BE79B3"/>
    <w:rsid w:val="00BE79CF"/>
    <w:rsid w:val="00BE7A55"/>
    <w:rsid w:val="00BE7B5C"/>
    <w:rsid w:val="00BE7D00"/>
    <w:rsid w:val="00BE7DD7"/>
    <w:rsid w:val="00BE7EA5"/>
    <w:rsid w:val="00BE7F09"/>
    <w:rsid w:val="00BF0055"/>
    <w:rsid w:val="00BF0079"/>
    <w:rsid w:val="00BF015E"/>
    <w:rsid w:val="00BF0382"/>
    <w:rsid w:val="00BF03E2"/>
    <w:rsid w:val="00BF04B8"/>
    <w:rsid w:val="00BF04D8"/>
    <w:rsid w:val="00BF0535"/>
    <w:rsid w:val="00BF0772"/>
    <w:rsid w:val="00BF0831"/>
    <w:rsid w:val="00BF083A"/>
    <w:rsid w:val="00BF08D0"/>
    <w:rsid w:val="00BF0A85"/>
    <w:rsid w:val="00BF0B2B"/>
    <w:rsid w:val="00BF0B3E"/>
    <w:rsid w:val="00BF0BC3"/>
    <w:rsid w:val="00BF0C85"/>
    <w:rsid w:val="00BF0D48"/>
    <w:rsid w:val="00BF0E78"/>
    <w:rsid w:val="00BF0F0B"/>
    <w:rsid w:val="00BF1096"/>
    <w:rsid w:val="00BF110A"/>
    <w:rsid w:val="00BF11F1"/>
    <w:rsid w:val="00BF1334"/>
    <w:rsid w:val="00BF1364"/>
    <w:rsid w:val="00BF13AB"/>
    <w:rsid w:val="00BF13F4"/>
    <w:rsid w:val="00BF1424"/>
    <w:rsid w:val="00BF1430"/>
    <w:rsid w:val="00BF14E1"/>
    <w:rsid w:val="00BF1506"/>
    <w:rsid w:val="00BF152D"/>
    <w:rsid w:val="00BF1693"/>
    <w:rsid w:val="00BF170F"/>
    <w:rsid w:val="00BF1834"/>
    <w:rsid w:val="00BF1895"/>
    <w:rsid w:val="00BF189A"/>
    <w:rsid w:val="00BF19CE"/>
    <w:rsid w:val="00BF19E3"/>
    <w:rsid w:val="00BF1A1A"/>
    <w:rsid w:val="00BF1A97"/>
    <w:rsid w:val="00BF1BAB"/>
    <w:rsid w:val="00BF1C71"/>
    <w:rsid w:val="00BF1C9D"/>
    <w:rsid w:val="00BF1CF2"/>
    <w:rsid w:val="00BF1E54"/>
    <w:rsid w:val="00BF1E61"/>
    <w:rsid w:val="00BF1EA8"/>
    <w:rsid w:val="00BF1EB8"/>
    <w:rsid w:val="00BF2085"/>
    <w:rsid w:val="00BF20CB"/>
    <w:rsid w:val="00BF2179"/>
    <w:rsid w:val="00BF2199"/>
    <w:rsid w:val="00BF225D"/>
    <w:rsid w:val="00BF22AC"/>
    <w:rsid w:val="00BF22E8"/>
    <w:rsid w:val="00BF2387"/>
    <w:rsid w:val="00BF251A"/>
    <w:rsid w:val="00BF256B"/>
    <w:rsid w:val="00BF2620"/>
    <w:rsid w:val="00BF279F"/>
    <w:rsid w:val="00BF2851"/>
    <w:rsid w:val="00BF2A08"/>
    <w:rsid w:val="00BF2A98"/>
    <w:rsid w:val="00BF2BD5"/>
    <w:rsid w:val="00BF2CD6"/>
    <w:rsid w:val="00BF2EF4"/>
    <w:rsid w:val="00BF2F5B"/>
    <w:rsid w:val="00BF319D"/>
    <w:rsid w:val="00BF31DF"/>
    <w:rsid w:val="00BF328B"/>
    <w:rsid w:val="00BF32F1"/>
    <w:rsid w:val="00BF33F7"/>
    <w:rsid w:val="00BF352B"/>
    <w:rsid w:val="00BF354C"/>
    <w:rsid w:val="00BF3587"/>
    <w:rsid w:val="00BF3772"/>
    <w:rsid w:val="00BF37A2"/>
    <w:rsid w:val="00BF383B"/>
    <w:rsid w:val="00BF39C1"/>
    <w:rsid w:val="00BF3C83"/>
    <w:rsid w:val="00BF3D3C"/>
    <w:rsid w:val="00BF3DD0"/>
    <w:rsid w:val="00BF3E61"/>
    <w:rsid w:val="00BF3E97"/>
    <w:rsid w:val="00BF3F7B"/>
    <w:rsid w:val="00BF4127"/>
    <w:rsid w:val="00BF413A"/>
    <w:rsid w:val="00BF4159"/>
    <w:rsid w:val="00BF41E3"/>
    <w:rsid w:val="00BF4361"/>
    <w:rsid w:val="00BF43C9"/>
    <w:rsid w:val="00BF441D"/>
    <w:rsid w:val="00BF44E0"/>
    <w:rsid w:val="00BF44E6"/>
    <w:rsid w:val="00BF45B4"/>
    <w:rsid w:val="00BF45E4"/>
    <w:rsid w:val="00BF46EF"/>
    <w:rsid w:val="00BF46FE"/>
    <w:rsid w:val="00BF4818"/>
    <w:rsid w:val="00BF4865"/>
    <w:rsid w:val="00BF489A"/>
    <w:rsid w:val="00BF49D4"/>
    <w:rsid w:val="00BF49EA"/>
    <w:rsid w:val="00BF4A30"/>
    <w:rsid w:val="00BF4A47"/>
    <w:rsid w:val="00BF4B8B"/>
    <w:rsid w:val="00BF4D8E"/>
    <w:rsid w:val="00BF4ED4"/>
    <w:rsid w:val="00BF4FA3"/>
    <w:rsid w:val="00BF4FFE"/>
    <w:rsid w:val="00BF5026"/>
    <w:rsid w:val="00BF5050"/>
    <w:rsid w:val="00BF50E9"/>
    <w:rsid w:val="00BF51D1"/>
    <w:rsid w:val="00BF53D7"/>
    <w:rsid w:val="00BF545E"/>
    <w:rsid w:val="00BF55B4"/>
    <w:rsid w:val="00BF55F5"/>
    <w:rsid w:val="00BF567F"/>
    <w:rsid w:val="00BF56BC"/>
    <w:rsid w:val="00BF580E"/>
    <w:rsid w:val="00BF5823"/>
    <w:rsid w:val="00BF5918"/>
    <w:rsid w:val="00BF5963"/>
    <w:rsid w:val="00BF5CFD"/>
    <w:rsid w:val="00BF5D5E"/>
    <w:rsid w:val="00BF6144"/>
    <w:rsid w:val="00BF6249"/>
    <w:rsid w:val="00BF6516"/>
    <w:rsid w:val="00BF65DC"/>
    <w:rsid w:val="00BF674E"/>
    <w:rsid w:val="00BF6851"/>
    <w:rsid w:val="00BF69D8"/>
    <w:rsid w:val="00BF6A19"/>
    <w:rsid w:val="00BF6BFD"/>
    <w:rsid w:val="00BF6D3E"/>
    <w:rsid w:val="00BF6DFD"/>
    <w:rsid w:val="00BF6E40"/>
    <w:rsid w:val="00BF6F24"/>
    <w:rsid w:val="00BF6F7D"/>
    <w:rsid w:val="00BF6F97"/>
    <w:rsid w:val="00BF6FB9"/>
    <w:rsid w:val="00BF701D"/>
    <w:rsid w:val="00BF702B"/>
    <w:rsid w:val="00BF7095"/>
    <w:rsid w:val="00BF71CA"/>
    <w:rsid w:val="00BF73A8"/>
    <w:rsid w:val="00BF73C2"/>
    <w:rsid w:val="00BF73E6"/>
    <w:rsid w:val="00BF74CB"/>
    <w:rsid w:val="00BF75FF"/>
    <w:rsid w:val="00BF7640"/>
    <w:rsid w:val="00BF7651"/>
    <w:rsid w:val="00BF7692"/>
    <w:rsid w:val="00BF7775"/>
    <w:rsid w:val="00BF7960"/>
    <w:rsid w:val="00BF79BA"/>
    <w:rsid w:val="00BF79DA"/>
    <w:rsid w:val="00BF7A20"/>
    <w:rsid w:val="00BF7A36"/>
    <w:rsid w:val="00BF7B29"/>
    <w:rsid w:val="00BF7B2B"/>
    <w:rsid w:val="00BF7C61"/>
    <w:rsid w:val="00BF7CC9"/>
    <w:rsid w:val="00BF7D21"/>
    <w:rsid w:val="00BF7D5A"/>
    <w:rsid w:val="00BF7E0F"/>
    <w:rsid w:val="00BF7EDA"/>
    <w:rsid w:val="00C00052"/>
    <w:rsid w:val="00C0007C"/>
    <w:rsid w:val="00C0031B"/>
    <w:rsid w:val="00C00341"/>
    <w:rsid w:val="00C003A6"/>
    <w:rsid w:val="00C003C9"/>
    <w:rsid w:val="00C004C4"/>
    <w:rsid w:val="00C00533"/>
    <w:rsid w:val="00C005FC"/>
    <w:rsid w:val="00C0064E"/>
    <w:rsid w:val="00C00736"/>
    <w:rsid w:val="00C007DF"/>
    <w:rsid w:val="00C007E7"/>
    <w:rsid w:val="00C00841"/>
    <w:rsid w:val="00C008EE"/>
    <w:rsid w:val="00C00942"/>
    <w:rsid w:val="00C00980"/>
    <w:rsid w:val="00C00982"/>
    <w:rsid w:val="00C009E1"/>
    <w:rsid w:val="00C00A5C"/>
    <w:rsid w:val="00C00B73"/>
    <w:rsid w:val="00C00D08"/>
    <w:rsid w:val="00C00D2E"/>
    <w:rsid w:val="00C00E26"/>
    <w:rsid w:val="00C00E96"/>
    <w:rsid w:val="00C00EAB"/>
    <w:rsid w:val="00C00EAF"/>
    <w:rsid w:val="00C00ED4"/>
    <w:rsid w:val="00C01060"/>
    <w:rsid w:val="00C01167"/>
    <w:rsid w:val="00C011FD"/>
    <w:rsid w:val="00C01371"/>
    <w:rsid w:val="00C01513"/>
    <w:rsid w:val="00C018B3"/>
    <w:rsid w:val="00C01A4A"/>
    <w:rsid w:val="00C01A5B"/>
    <w:rsid w:val="00C01A7E"/>
    <w:rsid w:val="00C01B90"/>
    <w:rsid w:val="00C01CB3"/>
    <w:rsid w:val="00C01DCC"/>
    <w:rsid w:val="00C01DCE"/>
    <w:rsid w:val="00C01DF0"/>
    <w:rsid w:val="00C01E1D"/>
    <w:rsid w:val="00C01EE8"/>
    <w:rsid w:val="00C01FDE"/>
    <w:rsid w:val="00C0217C"/>
    <w:rsid w:val="00C0218D"/>
    <w:rsid w:val="00C02273"/>
    <w:rsid w:val="00C02302"/>
    <w:rsid w:val="00C0259A"/>
    <w:rsid w:val="00C025D0"/>
    <w:rsid w:val="00C02653"/>
    <w:rsid w:val="00C0282B"/>
    <w:rsid w:val="00C028A2"/>
    <w:rsid w:val="00C028E5"/>
    <w:rsid w:val="00C02B2F"/>
    <w:rsid w:val="00C02B6A"/>
    <w:rsid w:val="00C02BC4"/>
    <w:rsid w:val="00C02C93"/>
    <w:rsid w:val="00C02D0B"/>
    <w:rsid w:val="00C02D75"/>
    <w:rsid w:val="00C02E22"/>
    <w:rsid w:val="00C02E36"/>
    <w:rsid w:val="00C02EB1"/>
    <w:rsid w:val="00C02FEA"/>
    <w:rsid w:val="00C0301D"/>
    <w:rsid w:val="00C03076"/>
    <w:rsid w:val="00C03121"/>
    <w:rsid w:val="00C03154"/>
    <w:rsid w:val="00C03193"/>
    <w:rsid w:val="00C032FF"/>
    <w:rsid w:val="00C03378"/>
    <w:rsid w:val="00C0338A"/>
    <w:rsid w:val="00C033B5"/>
    <w:rsid w:val="00C0346D"/>
    <w:rsid w:val="00C0374D"/>
    <w:rsid w:val="00C03781"/>
    <w:rsid w:val="00C03822"/>
    <w:rsid w:val="00C03958"/>
    <w:rsid w:val="00C039D3"/>
    <w:rsid w:val="00C03ACF"/>
    <w:rsid w:val="00C03B50"/>
    <w:rsid w:val="00C03C3F"/>
    <w:rsid w:val="00C03C58"/>
    <w:rsid w:val="00C03C81"/>
    <w:rsid w:val="00C03D87"/>
    <w:rsid w:val="00C03E1C"/>
    <w:rsid w:val="00C03E85"/>
    <w:rsid w:val="00C03F03"/>
    <w:rsid w:val="00C04038"/>
    <w:rsid w:val="00C04048"/>
    <w:rsid w:val="00C040DC"/>
    <w:rsid w:val="00C041B9"/>
    <w:rsid w:val="00C04271"/>
    <w:rsid w:val="00C04369"/>
    <w:rsid w:val="00C044F7"/>
    <w:rsid w:val="00C046D1"/>
    <w:rsid w:val="00C0496E"/>
    <w:rsid w:val="00C049D0"/>
    <w:rsid w:val="00C049E5"/>
    <w:rsid w:val="00C049F7"/>
    <w:rsid w:val="00C04B0A"/>
    <w:rsid w:val="00C04D5C"/>
    <w:rsid w:val="00C04D5D"/>
    <w:rsid w:val="00C04F79"/>
    <w:rsid w:val="00C051B4"/>
    <w:rsid w:val="00C05286"/>
    <w:rsid w:val="00C053A9"/>
    <w:rsid w:val="00C05401"/>
    <w:rsid w:val="00C055DA"/>
    <w:rsid w:val="00C057BD"/>
    <w:rsid w:val="00C058A4"/>
    <w:rsid w:val="00C058DB"/>
    <w:rsid w:val="00C058ED"/>
    <w:rsid w:val="00C05958"/>
    <w:rsid w:val="00C05991"/>
    <w:rsid w:val="00C05A03"/>
    <w:rsid w:val="00C05C48"/>
    <w:rsid w:val="00C05D41"/>
    <w:rsid w:val="00C05DDE"/>
    <w:rsid w:val="00C05E41"/>
    <w:rsid w:val="00C05FC1"/>
    <w:rsid w:val="00C06070"/>
    <w:rsid w:val="00C0613C"/>
    <w:rsid w:val="00C06141"/>
    <w:rsid w:val="00C06199"/>
    <w:rsid w:val="00C0619A"/>
    <w:rsid w:val="00C061F6"/>
    <w:rsid w:val="00C062E1"/>
    <w:rsid w:val="00C06376"/>
    <w:rsid w:val="00C063B4"/>
    <w:rsid w:val="00C063E3"/>
    <w:rsid w:val="00C06586"/>
    <w:rsid w:val="00C06675"/>
    <w:rsid w:val="00C06679"/>
    <w:rsid w:val="00C068BE"/>
    <w:rsid w:val="00C06A99"/>
    <w:rsid w:val="00C06CD6"/>
    <w:rsid w:val="00C06EA8"/>
    <w:rsid w:val="00C06FB3"/>
    <w:rsid w:val="00C06FFB"/>
    <w:rsid w:val="00C0700E"/>
    <w:rsid w:val="00C07269"/>
    <w:rsid w:val="00C07293"/>
    <w:rsid w:val="00C072E6"/>
    <w:rsid w:val="00C072F1"/>
    <w:rsid w:val="00C073A2"/>
    <w:rsid w:val="00C07466"/>
    <w:rsid w:val="00C07479"/>
    <w:rsid w:val="00C07558"/>
    <w:rsid w:val="00C075DA"/>
    <w:rsid w:val="00C07933"/>
    <w:rsid w:val="00C07C3D"/>
    <w:rsid w:val="00C07C80"/>
    <w:rsid w:val="00C07F56"/>
    <w:rsid w:val="00C10114"/>
    <w:rsid w:val="00C10377"/>
    <w:rsid w:val="00C103DC"/>
    <w:rsid w:val="00C10500"/>
    <w:rsid w:val="00C10712"/>
    <w:rsid w:val="00C1073A"/>
    <w:rsid w:val="00C1080A"/>
    <w:rsid w:val="00C1089F"/>
    <w:rsid w:val="00C10943"/>
    <w:rsid w:val="00C109E5"/>
    <w:rsid w:val="00C10A2F"/>
    <w:rsid w:val="00C10A65"/>
    <w:rsid w:val="00C10AE8"/>
    <w:rsid w:val="00C10B1B"/>
    <w:rsid w:val="00C10CCD"/>
    <w:rsid w:val="00C10D7B"/>
    <w:rsid w:val="00C10DD6"/>
    <w:rsid w:val="00C10E9E"/>
    <w:rsid w:val="00C10F38"/>
    <w:rsid w:val="00C10FFB"/>
    <w:rsid w:val="00C11026"/>
    <w:rsid w:val="00C1104B"/>
    <w:rsid w:val="00C11190"/>
    <w:rsid w:val="00C11257"/>
    <w:rsid w:val="00C113DA"/>
    <w:rsid w:val="00C1149A"/>
    <w:rsid w:val="00C116B0"/>
    <w:rsid w:val="00C11766"/>
    <w:rsid w:val="00C11898"/>
    <w:rsid w:val="00C118C6"/>
    <w:rsid w:val="00C11968"/>
    <w:rsid w:val="00C11981"/>
    <w:rsid w:val="00C11998"/>
    <w:rsid w:val="00C11A46"/>
    <w:rsid w:val="00C11A50"/>
    <w:rsid w:val="00C11B48"/>
    <w:rsid w:val="00C11B7E"/>
    <w:rsid w:val="00C11B7F"/>
    <w:rsid w:val="00C11BAA"/>
    <w:rsid w:val="00C11C80"/>
    <w:rsid w:val="00C11D7A"/>
    <w:rsid w:val="00C11E2A"/>
    <w:rsid w:val="00C12111"/>
    <w:rsid w:val="00C12223"/>
    <w:rsid w:val="00C12252"/>
    <w:rsid w:val="00C12257"/>
    <w:rsid w:val="00C123C4"/>
    <w:rsid w:val="00C12474"/>
    <w:rsid w:val="00C1251E"/>
    <w:rsid w:val="00C12640"/>
    <w:rsid w:val="00C1266E"/>
    <w:rsid w:val="00C127A6"/>
    <w:rsid w:val="00C128CC"/>
    <w:rsid w:val="00C12957"/>
    <w:rsid w:val="00C12D25"/>
    <w:rsid w:val="00C12FC3"/>
    <w:rsid w:val="00C13033"/>
    <w:rsid w:val="00C13058"/>
    <w:rsid w:val="00C13117"/>
    <w:rsid w:val="00C1319D"/>
    <w:rsid w:val="00C131B2"/>
    <w:rsid w:val="00C1324F"/>
    <w:rsid w:val="00C133B9"/>
    <w:rsid w:val="00C13464"/>
    <w:rsid w:val="00C136BF"/>
    <w:rsid w:val="00C13704"/>
    <w:rsid w:val="00C1375C"/>
    <w:rsid w:val="00C1377A"/>
    <w:rsid w:val="00C139F9"/>
    <w:rsid w:val="00C13A36"/>
    <w:rsid w:val="00C13AC9"/>
    <w:rsid w:val="00C13AF4"/>
    <w:rsid w:val="00C13B8C"/>
    <w:rsid w:val="00C13D56"/>
    <w:rsid w:val="00C13D64"/>
    <w:rsid w:val="00C13D6F"/>
    <w:rsid w:val="00C13E17"/>
    <w:rsid w:val="00C13FA7"/>
    <w:rsid w:val="00C140CC"/>
    <w:rsid w:val="00C14121"/>
    <w:rsid w:val="00C142AA"/>
    <w:rsid w:val="00C1440E"/>
    <w:rsid w:val="00C14435"/>
    <w:rsid w:val="00C145B8"/>
    <w:rsid w:val="00C1466C"/>
    <w:rsid w:val="00C1469D"/>
    <w:rsid w:val="00C14B32"/>
    <w:rsid w:val="00C14B3F"/>
    <w:rsid w:val="00C14C53"/>
    <w:rsid w:val="00C14E92"/>
    <w:rsid w:val="00C14F85"/>
    <w:rsid w:val="00C1516E"/>
    <w:rsid w:val="00C152D9"/>
    <w:rsid w:val="00C1531A"/>
    <w:rsid w:val="00C153AD"/>
    <w:rsid w:val="00C153F9"/>
    <w:rsid w:val="00C15574"/>
    <w:rsid w:val="00C15648"/>
    <w:rsid w:val="00C156EE"/>
    <w:rsid w:val="00C15866"/>
    <w:rsid w:val="00C1591B"/>
    <w:rsid w:val="00C15983"/>
    <w:rsid w:val="00C15985"/>
    <w:rsid w:val="00C15A11"/>
    <w:rsid w:val="00C15ADB"/>
    <w:rsid w:val="00C15B6B"/>
    <w:rsid w:val="00C15BB8"/>
    <w:rsid w:val="00C15C62"/>
    <w:rsid w:val="00C15D72"/>
    <w:rsid w:val="00C15DD3"/>
    <w:rsid w:val="00C15E63"/>
    <w:rsid w:val="00C15F82"/>
    <w:rsid w:val="00C16043"/>
    <w:rsid w:val="00C16116"/>
    <w:rsid w:val="00C16182"/>
    <w:rsid w:val="00C1623C"/>
    <w:rsid w:val="00C163BC"/>
    <w:rsid w:val="00C163FD"/>
    <w:rsid w:val="00C1663E"/>
    <w:rsid w:val="00C16672"/>
    <w:rsid w:val="00C167B8"/>
    <w:rsid w:val="00C167E5"/>
    <w:rsid w:val="00C16956"/>
    <w:rsid w:val="00C16964"/>
    <w:rsid w:val="00C16A1E"/>
    <w:rsid w:val="00C16B50"/>
    <w:rsid w:val="00C16BFD"/>
    <w:rsid w:val="00C16CAC"/>
    <w:rsid w:val="00C16D5E"/>
    <w:rsid w:val="00C16D6A"/>
    <w:rsid w:val="00C16F0E"/>
    <w:rsid w:val="00C17101"/>
    <w:rsid w:val="00C17476"/>
    <w:rsid w:val="00C17498"/>
    <w:rsid w:val="00C17506"/>
    <w:rsid w:val="00C1755E"/>
    <w:rsid w:val="00C17602"/>
    <w:rsid w:val="00C17669"/>
    <w:rsid w:val="00C17695"/>
    <w:rsid w:val="00C176CE"/>
    <w:rsid w:val="00C179E0"/>
    <w:rsid w:val="00C17A0B"/>
    <w:rsid w:val="00C17A5B"/>
    <w:rsid w:val="00C17C89"/>
    <w:rsid w:val="00C17D66"/>
    <w:rsid w:val="00C17E18"/>
    <w:rsid w:val="00C17FD2"/>
    <w:rsid w:val="00C20065"/>
    <w:rsid w:val="00C2016F"/>
    <w:rsid w:val="00C201CC"/>
    <w:rsid w:val="00C20273"/>
    <w:rsid w:val="00C202B3"/>
    <w:rsid w:val="00C2038E"/>
    <w:rsid w:val="00C2039C"/>
    <w:rsid w:val="00C20492"/>
    <w:rsid w:val="00C20635"/>
    <w:rsid w:val="00C2065A"/>
    <w:rsid w:val="00C2081D"/>
    <w:rsid w:val="00C20902"/>
    <w:rsid w:val="00C20903"/>
    <w:rsid w:val="00C20AD8"/>
    <w:rsid w:val="00C20AF8"/>
    <w:rsid w:val="00C20B59"/>
    <w:rsid w:val="00C20BD2"/>
    <w:rsid w:val="00C20D15"/>
    <w:rsid w:val="00C20E44"/>
    <w:rsid w:val="00C20EAE"/>
    <w:rsid w:val="00C2105B"/>
    <w:rsid w:val="00C210F5"/>
    <w:rsid w:val="00C2113E"/>
    <w:rsid w:val="00C21207"/>
    <w:rsid w:val="00C21217"/>
    <w:rsid w:val="00C213EF"/>
    <w:rsid w:val="00C21424"/>
    <w:rsid w:val="00C21426"/>
    <w:rsid w:val="00C21596"/>
    <w:rsid w:val="00C2166B"/>
    <w:rsid w:val="00C216EE"/>
    <w:rsid w:val="00C2186E"/>
    <w:rsid w:val="00C218A7"/>
    <w:rsid w:val="00C2196E"/>
    <w:rsid w:val="00C21A8E"/>
    <w:rsid w:val="00C21A9A"/>
    <w:rsid w:val="00C21AF2"/>
    <w:rsid w:val="00C21BCE"/>
    <w:rsid w:val="00C21C25"/>
    <w:rsid w:val="00C21C8C"/>
    <w:rsid w:val="00C21EE0"/>
    <w:rsid w:val="00C21FEC"/>
    <w:rsid w:val="00C221B3"/>
    <w:rsid w:val="00C2231E"/>
    <w:rsid w:val="00C2241A"/>
    <w:rsid w:val="00C22482"/>
    <w:rsid w:val="00C22515"/>
    <w:rsid w:val="00C22528"/>
    <w:rsid w:val="00C2258B"/>
    <w:rsid w:val="00C225E7"/>
    <w:rsid w:val="00C22796"/>
    <w:rsid w:val="00C227F8"/>
    <w:rsid w:val="00C228DD"/>
    <w:rsid w:val="00C2297E"/>
    <w:rsid w:val="00C22A45"/>
    <w:rsid w:val="00C22C94"/>
    <w:rsid w:val="00C22E06"/>
    <w:rsid w:val="00C22E4A"/>
    <w:rsid w:val="00C22EBE"/>
    <w:rsid w:val="00C22EE7"/>
    <w:rsid w:val="00C22F6C"/>
    <w:rsid w:val="00C230AA"/>
    <w:rsid w:val="00C230FC"/>
    <w:rsid w:val="00C231BB"/>
    <w:rsid w:val="00C232A6"/>
    <w:rsid w:val="00C233EC"/>
    <w:rsid w:val="00C234CF"/>
    <w:rsid w:val="00C234E4"/>
    <w:rsid w:val="00C237DB"/>
    <w:rsid w:val="00C23812"/>
    <w:rsid w:val="00C23AD1"/>
    <w:rsid w:val="00C23BDE"/>
    <w:rsid w:val="00C23C13"/>
    <w:rsid w:val="00C23C68"/>
    <w:rsid w:val="00C23D09"/>
    <w:rsid w:val="00C23FAB"/>
    <w:rsid w:val="00C24033"/>
    <w:rsid w:val="00C240CF"/>
    <w:rsid w:val="00C2410E"/>
    <w:rsid w:val="00C24145"/>
    <w:rsid w:val="00C2418E"/>
    <w:rsid w:val="00C24244"/>
    <w:rsid w:val="00C2434E"/>
    <w:rsid w:val="00C245E8"/>
    <w:rsid w:val="00C24633"/>
    <w:rsid w:val="00C24771"/>
    <w:rsid w:val="00C24788"/>
    <w:rsid w:val="00C24793"/>
    <w:rsid w:val="00C24910"/>
    <w:rsid w:val="00C24C6B"/>
    <w:rsid w:val="00C24D99"/>
    <w:rsid w:val="00C24E94"/>
    <w:rsid w:val="00C24F5D"/>
    <w:rsid w:val="00C2509B"/>
    <w:rsid w:val="00C2516A"/>
    <w:rsid w:val="00C2516F"/>
    <w:rsid w:val="00C251D9"/>
    <w:rsid w:val="00C25329"/>
    <w:rsid w:val="00C253F2"/>
    <w:rsid w:val="00C25400"/>
    <w:rsid w:val="00C2543D"/>
    <w:rsid w:val="00C25517"/>
    <w:rsid w:val="00C255CC"/>
    <w:rsid w:val="00C2562D"/>
    <w:rsid w:val="00C256B4"/>
    <w:rsid w:val="00C257A7"/>
    <w:rsid w:val="00C257D4"/>
    <w:rsid w:val="00C25816"/>
    <w:rsid w:val="00C2586E"/>
    <w:rsid w:val="00C258FA"/>
    <w:rsid w:val="00C259BF"/>
    <w:rsid w:val="00C25BB9"/>
    <w:rsid w:val="00C25C16"/>
    <w:rsid w:val="00C25C76"/>
    <w:rsid w:val="00C25C91"/>
    <w:rsid w:val="00C25EE5"/>
    <w:rsid w:val="00C25F8A"/>
    <w:rsid w:val="00C2602E"/>
    <w:rsid w:val="00C26046"/>
    <w:rsid w:val="00C2630E"/>
    <w:rsid w:val="00C263C0"/>
    <w:rsid w:val="00C263EA"/>
    <w:rsid w:val="00C2649C"/>
    <w:rsid w:val="00C26646"/>
    <w:rsid w:val="00C2671F"/>
    <w:rsid w:val="00C26783"/>
    <w:rsid w:val="00C2679A"/>
    <w:rsid w:val="00C26ACE"/>
    <w:rsid w:val="00C26ADF"/>
    <w:rsid w:val="00C26B86"/>
    <w:rsid w:val="00C26C0D"/>
    <w:rsid w:val="00C26C1E"/>
    <w:rsid w:val="00C26CC8"/>
    <w:rsid w:val="00C26E51"/>
    <w:rsid w:val="00C26F93"/>
    <w:rsid w:val="00C2707D"/>
    <w:rsid w:val="00C2710A"/>
    <w:rsid w:val="00C271B8"/>
    <w:rsid w:val="00C27428"/>
    <w:rsid w:val="00C27445"/>
    <w:rsid w:val="00C27449"/>
    <w:rsid w:val="00C2753F"/>
    <w:rsid w:val="00C27809"/>
    <w:rsid w:val="00C279BB"/>
    <w:rsid w:val="00C27A29"/>
    <w:rsid w:val="00C27AA1"/>
    <w:rsid w:val="00C27B0F"/>
    <w:rsid w:val="00C27BC5"/>
    <w:rsid w:val="00C27EF5"/>
    <w:rsid w:val="00C30010"/>
    <w:rsid w:val="00C30194"/>
    <w:rsid w:val="00C30297"/>
    <w:rsid w:val="00C304F0"/>
    <w:rsid w:val="00C3053D"/>
    <w:rsid w:val="00C30547"/>
    <w:rsid w:val="00C30774"/>
    <w:rsid w:val="00C30790"/>
    <w:rsid w:val="00C30793"/>
    <w:rsid w:val="00C307AC"/>
    <w:rsid w:val="00C30817"/>
    <w:rsid w:val="00C30829"/>
    <w:rsid w:val="00C30863"/>
    <w:rsid w:val="00C30AAF"/>
    <w:rsid w:val="00C30BCF"/>
    <w:rsid w:val="00C30DA7"/>
    <w:rsid w:val="00C30DED"/>
    <w:rsid w:val="00C30E1A"/>
    <w:rsid w:val="00C30E4D"/>
    <w:rsid w:val="00C30EB3"/>
    <w:rsid w:val="00C30EFB"/>
    <w:rsid w:val="00C31010"/>
    <w:rsid w:val="00C310AF"/>
    <w:rsid w:val="00C311BD"/>
    <w:rsid w:val="00C312CC"/>
    <w:rsid w:val="00C31301"/>
    <w:rsid w:val="00C31369"/>
    <w:rsid w:val="00C3136B"/>
    <w:rsid w:val="00C313F9"/>
    <w:rsid w:val="00C31501"/>
    <w:rsid w:val="00C3150D"/>
    <w:rsid w:val="00C3183A"/>
    <w:rsid w:val="00C318A2"/>
    <w:rsid w:val="00C31917"/>
    <w:rsid w:val="00C319F7"/>
    <w:rsid w:val="00C31BB4"/>
    <w:rsid w:val="00C31E67"/>
    <w:rsid w:val="00C31E93"/>
    <w:rsid w:val="00C31EF5"/>
    <w:rsid w:val="00C31F0E"/>
    <w:rsid w:val="00C31F34"/>
    <w:rsid w:val="00C31FA9"/>
    <w:rsid w:val="00C31FEC"/>
    <w:rsid w:val="00C32041"/>
    <w:rsid w:val="00C320A6"/>
    <w:rsid w:val="00C320B9"/>
    <w:rsid w:val="00C3217C"/>
    <w:rsid w:val="00C321CB"/>
    <w:rsid w:val="00C321CD"/>
    <w:rsid w:val="00C321CE"/>
    <w:rsid w:val="00C32200"/>
    <w:rsid w:val="00C3226B"/>
    <w:rsid w:val="00C32421"/>
    <w:rsid w:val="00C3242F"/>
    <w:rsid w:val="00C324C5"/>
    <w:rsid w:val="00C32523"/>
    <w:rsid w:val="00C325E3"/>
    <w:rsid w:val="00C326E5"/>
    <w:rsid w:val="00C32719"/>
    <w:rsid w:val="00C3273B"/>
    <w:rsid w:val="00C32755"/>
    <w:rsid w:val="00C32AB6"/>
    <w:rsid w:val="00C32B0C"/>
    <w:rsid w:val="00C32B2F"/>
    <w:rsid w:val="00C32B50"/>
    <w:rsid w:val="00C32C4C"/>
    <w:rsid w:val="00C32CCF"/>
    <w:rsid w:val="00C32CE5"/>
    <w:rsid w:val="00C32D99"/>
    <w:rsid w:val="00C32DA9"/>
    <w:rsid w:val="00C32E3B"/>
    <w:rsid w:val="00C32E53"/>
    <w:rsid w:val="00C32FD1"/>
    <w:rsid w:val="00C330D4"/>
    <w:rsid w:val="00C33119"/>
    <w:rsid w:val="00C331E7"/>
    <w:rsid w:val="00C333A5"/>
    <w:rsid w:val="00C33400"/>
    <w:rsid w:val="00C336A2"/>
    <w:rsid w:val="00C337CD"/>
    <w:rsid w:val="00C33939"/>
    <w:rsid w:val="00C339D9"/>
    <w:rsid w:val="00C33A56"/>
    <w:rsid w:val="00C33B52"/>
    <w:rsid w:val="00C33D70"/>
    <w:rsid w:val="00C33DC7"/>
    <w:rsid w:val="00C33E36"/>
    <w:rsid w:val="00C33F4C"/>
    <w:rsid w:val="00C33FE1"/>
    <w:rsid w:val="00C3407E"/>
    <w:rsid w:val="00C3464B"/>
    <w:rsid w:val="00C3467D"/>
    <w:rsid w:val="00C346A8"/>
    <w:rsid w:val="00C346B3"/>
    <w:rsid w:val="00C346EE"/>
    <w:rsid w:val="00C347C6"/>
    <w:rsid w:val="00C349A5"/>
    <w:rsid w:val="00C349BF"/>
    <w:rsid w:val="00C34A4E"/>
    <w:rsid w:val="00C34AC8"/>
    <w:rsid w:val="00C34BD7"/>
    <w:rsid w:val="00C34BE7"/>
    <w:rsid w:val="00C34C16"/>
    <w:rsid w:val="00C34C3C"/>
    <w:rsid w:val="00C34EBE"/>
    <w:rsid w:val="00C34ED7"/>
    <w:rsid w:val="00C350B8"/>
    <w:rsid w:val="00C350C8"/>
    <w:rsid w:val="00C3538B"/>
    <w:rsid w:val="00C353B3"/>
    <w:rsid w:val="00C353C9"/>
    <w:rsid w:val="00C3540B"/>
    <w:rsid w:val="00C354EA"/>
    <w:rsid w:val="00C35536"/>
    <w:rsid w:val="00C35562"/>
    <w:rsid w:val="00C35581"/>
    <w:rsid w:val="00C3559E"/>
    <w:rsid w:val="00C35683"/>
    <w:rsid w:val="00C35775"/>
    <w:rsid w:val="00C3583C"/>
    <w:rsid w:val="00C359A7"/>
    <w:rsid w:val="00C35AD3"/>
    <w:rsid w:val="00C35B36"/>
    <w:rsid w:val="00C35B99"/>
    <w:rsid w:val="00C35BAE"/>
    <w:rsid w:val="00C35CAB"/>
    <w:rsid w:val="00C35E10"/>
    <w:rsid w:val="00C35E1E"/>
    <w:rsid w:val="00C35E34"/>
    <w:rsid w:val="00C35E8A"/>
    <w:rsid w:val="00C35F10"/>
    <w:rsid w:val="00C35F14"/>
    <w:rsid w:val="00C35F99"/>
    <w:rsid w:val="00C362D7"/>
    <w:rsid w:val="00C363E8"/>
    <w:rsid w:val="00C36428"/>
    <w:rsid w:val="00C3644E"/>
    <w:rsid w:val="00C36463"/>
    <w:rsid w:val="00C364E5"/>
    <w:rsid w:val="00C36591"/>
    <w:rsid w:val="00C365A8"/>
    <w:rsid w:val="00C366F8"/>
    <w:rsid w:val="00C36979"/>
    <w:rsid w:val="00C36A05"/>
    <w:rsid w:val="00C36A99"/>
    <w:rsid w:val="00C36B38"/>
    <w:rsid w:val="00C36B98"/>
    <w:rsid w:val="00C36BC5"/>
    <w:rsid w:val="00C36C23"/>
    <w:rsid w:val="00C36D8A"/>
    <w:rsid w:val="00C36E78"/>
    <w:rsid w:val="00C36EF4"/>
    <w:rsid w:val="00C36F24"/>
    <w:rsid w:val="00C3737E"/>
    <w:rsid w:val="00C373AC"/>
    <w:rsid w:val="00C374E6"/>
    <w:rsid w:val="00C374F3"/>
    <w:rsid w:val="00C3754A"/>
    <w:rsid w:val="00C37616"/>
    <w:rsid w:val="00C37682"/>
    <w:rsid w:val="00C37692"/>
    <w:rsid w:val="00C37739"/>
    <w:rsid w:val="00C377A4"/>
    <w:rsid w:val="00C37848"/>
    <w:rsid w:val="00C37965"/>
    <w:rsid w:val="00C379DD"/>
    <w:rsid w:val="00C37A04"/>
    <w:rsid w:val="00C37ABC"/>
    <w:rsid w:val="00C37ABE"/>
    <w:rsid w:val="00C37AC4"/>
    <w:rsid w:val="00C37B4F"/>
    <w:rsid w:val="00C37B5B"/>
    <w:rsid w:val="00C37BAD"/>
    <w:rsid w:val="00C37C0B"/>
    <w:rsid w:val="00C37D37"/>
    <w:rsid w:val="00C37DEE"/>
    <w:rsid w:val="00C37EBF"/>
    <w:rsid w:val="00C37FF7"/>
    <w:rsid w:val="00C401CC"/>
    <w:rsid w:val="00C401F8"/>
    <w:rsid w:val="00C40421"/>
    <w:rsid w:val="00C4043E"/>
    <w:rsid w:val="00C404DF"/>
    <w:rsid w:val="00C40512"/>
    <w:rsid w:val="00C406B3"/>
    <w:rsid w:val="00C40703"/>
    <w:rsid w:val="00C40715"/>
    <w:rsid w:val="00C40785"/>
    <w:rsid w:val="00C40945"/>
    <w:rsid w:val="00C40997"/>
    <w:rsid w:val="00C40A91"/>
    <w:rsid w:val="00C40ACE"/>
    <w:rsid w:val="00C40B93"/>
    <w:rsid w:val="00C40D28"/>
    <w:rsid w:val="00C40D31"/>
    <w:rsid w:val="00C40E24"/>
    <w:rsid w:val="00C40E2F"/>
    <w:rsid w:val="00C40E7A"/>
    <w:rsid w:val="00C40EF8"/>
    <w:rsid w:val="00C40F32"/>
    <w:rsid w:val="00C40F91"/>
    <w:rsid w:val="00C41235"/>
    <w:rsid w:val="00C4128B"/>
    <w:rsid w:val="00C41338"/>
    <w:rsid w:val="00C41402"/>
    <w:rsid w:val="00C4144E"/>
    <w:rsid w:val="00C4150B"/>
    <w:rsid w:val="00C4162B"/>
    <w:rsid w:val="00C41633"/>
    <w:rsid w:val="00C4166B"/>
    <w:rsid w:val="00C41892"/>
    <w:rsid w:val="00C4191F"/>
    <w:rsid w:val="00C41C10"/>
    <w:rsid w:val="00C41D85"/>
    <w:rsid w:val="00C42019"/>
    <w:rsid w:val="00C420D4"/>
    <w:rsid w:val="00C4214E"/>
    <w:rsid w:val="00C4248C"/>
    <w:rsid w:val="00C424E8"/>
    <w:rsid w:val="00C424F2"/>
    <w:rsid w:val="00C4263B"/>
    <w:rsid w:val="00C4269B"/>
    <w:rsid w:val="00C4270A"/>
    <w:rsid w:val="00C4272E"/>
    <w:rsid w:val="00C427AE"/>
    <w:rsid w:val="00C427BA"/>
    <w:rsid w:val="00C427FD"/>
    <w:rsid w:val="00C42926"/>
    <w:rsid w:val="00C42C4D"/>
    <w:rsid w:val="00C42CCF"/>
    <w:rsid w:val="00C42D19"/>
    <w:rsid w:val="00C42D8C"/>
    <w:rsid w:val="00C42D9C"/>
    <w:rsid w:val="00C42FAD"/>
    <w:rsid w:val="00C42FF8"/>
    <w:rsid w:val="00C4305E"/>
    <w:rsid w:val="00C430AC"/>
    <w:rsid w:val="00C431B2"/>
    <w:rsid w:val="00C431D6"/>
    <w:rsid w:val="00C432C5"/>
    <w:rsid w:val="00C432E4"/>
    <w:rsid w:val="00C433E6"/>
    <w:rsid w:val="00C43414"/>
    <w:rsid w:val="00C434F4"/>
    <w:rsid w:val="00C435E3"/>
    <w:rsid w:val="00C435F4"/>
    <w:rsid w:val="00C43654"/>
    <w:rsid w:val="00C4369A"/>
    <w:rsid w:val="00C43748"/>
    <w:rsid w:val="00C437D5"/>
    <w:rsid w:val="00C4388C"/>
    <w:rsid w:val="00C43A7A"/>
    <w:rsid w:val="00C43ABC"/>
    <w:rsid w:val="00C43CBB"/>
    <w:rsid w:val="00C43CE5"/>
    <w:rsid w:val="00C43D44"/>
    <w:rsid w:val="00C43D92"/>
    <w:rsid w:val="00C43E23"/>
    <w:rsid w:val="00C43FB6"/>
    <w:rsid w:val="00C43FC3"/>
    <w:rsid w:val="00C44102"/>
    <w:rsid w:val="00C44252"/>
    <w:rsid w:val="00C44495"/>
    <w:rsid w:val="00C4449A"/>
    <w:rsid w:val="00C44569"/>
    <w:rsid w:val="00C44743"/>
    <w:rsid w:val="00C4474A"/>
    <w:rsid w:val="00C44778"/>
    <w:rsid w:val="00C44844"/>
    <w:rsid w:val="00C44948"/>
    <w:rsid w:val="00C44972"/>
    <w:rsid w:val="00C449CA"/>
    <w:rsid w:val="00C44B18"/>
    <w:rsid w:val="00C44C60"/>
    <w:rsid w:val="00C44CC0"/>
    <w:rsid w:val="00C44CEA"/>
    <w:rsid w:val="00C44E06"/>
    <w:rsid w:val="00C44EED"/>
    <w:rsid w:val="00C44F68"/>
    <w:rsid w:val="00C44FDF"/>
    <w:rsid w:val="00C45227"/>
    <w:rsid w:val="00C45321"/>
    <w:rsid w:val="00C455CA"/>
    <w:rsid w:val="00C456AE"/>
    <w:rsid w:val="00C45706"/>
    <w:rsid w:val="00C457DC"/>
    <w:rsid w:val="00C4594C"/>
    <w:rsid w:val="00C459D1"/>
    <w:rsid w:val="00C45AC3"/>
    <w:rsid w:val="00C45AE7"/>
    <w:rsid w:val="00C45B03"/>
    <w:rsid w:val="00C45B84"/>
    <w:rsid w:val="00C45B9D"/>
    <w:rsid w:val="00C45BB1"/>
    <w:rsid w:val="00C45C5B"/>
    <w:rsid w:val="00C45C5E"/>
    <w:rsid w:val="00C45C8D"/>
    <w:rsid w:val="00C45F1D"/>
    <w:rsid w:val="00C45FB8"/>
    <w:rsid w:val="00C45FF6"/>
    <w:rsid w:val="00C461D5"/>
    <w:rsid w:val="00C465C5"/>
    <w:rsid w:val="00C46648"/>
    <w:rsid w:val="00C466B7"/>
    <w:rsid w:val="00C46708"/>
    <w:rsid w:val="00C46982"/>
    <w:rsid w:val="00C469E8"/>
    <w:rsid w:val="00C46A20"/>
    <w:rsid w:val="00C46A7D"/>
    <w:rsid w:val="00C46C08"/>
    <w:rsid w:val="00C46E8A"/>
    <w:rsid w:val="00C46FBE"/>
    <w:rsid w:val="00C46FFD"/>
    <w:rsid w:val="00C47199"/>
    <w:rsid w:val="00C471B1"/>
    <w:rsid w:val="00C47291"/>
    <w:rsid w:val="00C47380"/>
    <w:rsid w:val="00C4751A"/>
    <w:rsid w:val="00C4769C"/>
    <w:rsid w:val="00C477F8"/>
    <w:rsid w:val="00C47831"/>
    <w:rsid w:val="00C47895"/>
    <w:rsid w:val="00C47A10"/>
    <w:rsid w:val="00C47A66"/>
    <w:rsid w:val="00C47A9F"/>
    <w:rsid w:val="00C47BE9"/>
    <w:rsid w:val="00C47BF7"/>
    <w:rsid w:val="00C47CCE"/>
    <w:rsid w:val="00C47D12"/>
    <w:rsid w:val="00C47D25"/>
    <w:rsid w:val="00C47DF5"/>
    <w:rsid w:val="00C50047"/>
    <w:rsid w:val="00C5027E"/>
    <w:rsid w:val="00C5033A"/>
    <w:rsid w:val="00C503B5"/>
    <w:rsid w:val="00C503BE"/>
    <w:rsid w:val="00C5040E"/>
    <w:rsid w:val="00C5056D"/>
    <w:rsid w:val="00C50639"/>
    <w:rsid w:val="00C5066D"/>
    <w:rsid w:val="00C5067C"/>
    <w:rsid w:val="00C5071B"/>
    <w:rsid w:val="00C5082F"/>
    <w:rsid w:val="00C5086E"/>
    <w:rsid w:val="00C50891"/>
    <w:rsid w:val="00C508AF"/>
    <w:rsid w:val="00C508BB"/>
    <w:rsid w:val="00C50ABE"/>
    <w:rsid w:val="00C50B48"/>
    <w:rsid w:val="00C50B97"/>
    <w:rsid w:val="00C50C06"/>
    <w:rsid w:val="00C50E09"/>
    <w:rsid w:val="00C50E2A"/>
    <w:rsid w:val="00C50FF6"/>
    <w:rsid w:val="00C510EB"/>
    <w:rsid w:val="00C510F0"/>
    <w:rsid w:val="00C510F9"/>
    <w:rsid w:val="00C5111C"/>
    <w:rsid w:val="00C5112D"/>
    <w:rsid w:val="00C51256"/>
    <w:rsid w:val="00C512E5"/>
    <w:rsid w:val="00C51351"/>
    <w:rsid w:val="00C51373"/>
    <w:rsid w:val="00C513EC"/>
    <w:rsid w:val="00C514AC"/>
    <w:rsid w:val="00C51815"/>
    <w:rsid w:val="00C5185E"/>
    <w:rsid w:val="00C51A7B"/>
    <w:rsid w:val="00C51C58"/>
    <w:rsid w:val="00C51CC0"/>
    <w:rsid w:val="00C51D5F"/>
    <w:rsid w:val="00C51D6B"/>
    <w:rsid w:val="00C51E07"/>
    <w:rsid w:val="00C51E08"/>
    <w:rsid w:val="00C51E40"/>
    <w:rsid w:val="00C51E65"/>
    <w:rsid w:val="00C5206A"/>
    <w:rsid w:val="00C5206D"/>
    <w:rsid w:val="00C520D0"/>
    <w:rsid w:val="00C52159"/>
    <w:rsid w:val="00C52265"/>
    <w:rsid w:val="00C52297"/>
    <w:rsid w:val="00C5254A"/>
    <w:rsid w:val="00C525C5"/>
    <w:rsid w:val="00C5260C"/>
    <w:rsid w:val="00C52800"/>
    <w:rsid w:val="00C5291D"/>
    <w:rsid w:val="00C52AB4"/>
    <w:rsid w:val="00C52CBF"/>
    <w:rsid w:val="00C52E50"/>
    <w:rsid w:val="00C52EB6"/>
    <w:rsid w:val="00C52F54"/>
    <w:rsid w:val="00C52F5A"/>
    <w:rsid w:val="00C5302B"/>
    <w:rsid w:val="00C53032"/>
    <w:rsid w:val="00C530E6"/>
    <w:rsid w:val="00C53201"/>
    <w:rsid w:val="00C53244"/>
    <w:rsid w:val="00C532FE"/>
    <w:rsid w:val="00C536F4"/>
    <w:rsid w:val="00C53938"/>
    <w:rsid w:val="00C5393F"/>
    <w:rsid w:val="00C539DF"/>
    <w:rsid w:val="00C53B34"/>
    <w:rsid w:val="00C53F18"/>
    <w:rsid w:val="00C53F3F"/>
    <w:rsid w:val="00C54157"/>
    <w:rsid w:val="00C5420A"/>
    <w:rsid w:val="00C54270"/>
    <w:rsid w:val="00C542D6"/>
    <w:rsid w:val="00C5436C"/>
    <w:rsid w:val="00C543E9"/>
    <w:rsid w:val="00C546FC"/>
    <w:rsid w:val="00C54777"/>
    <w:rsid w:val="00C54784"/>
    <w:rsid w:val="00C54979"/>
    <w:rsid w:val="00C5498E"/>
    <w:rsid w:val="00C549E7"/>
    <w:rsid w:val="00C54A63"/>
    <w:rsid w:val="00C54B4A"/>
    <w:rsid w:val="00C54B6C"/>
    <w:rsid w:val="00C54DC9"/>
    <w:rsid w:val="00C54EA6"/>
    <w:rsid w:val="00C54EF2"/>
    <w:rsid w:val="00C54EFC"/>
    <w:rsid w:val="00C54F5D"/>
    <w:rsid w:val="00C54F66"/>
    <w:rsid w:val="00C54FF6"/>
    <w:rsid w:val="00C55055"/>
    <w:rsid w:val="00C5513D"/>
    <w:rsid w:val="00C5529D"/>
    <w:rsid w:val="00C552B2"/>
    <w:rsid w:val="00C5533E"/>
    <w:rsid w:val="00C553F2"/>
    <w:rsid w:val="00C554A7"/>
    <w:rsid w:val="00C554BB"/>
    <w:rsid w:val="00C555AC"/>
    <w:rsid w:val="00C555F8"/>
    <w:rsid w:val="00C556C4"/>
    <w:rsid w:val="00C557F5"/>
    <w:rsid w:val="00C559BC"/>
    <w:rsid w:val="00C55A88"/>
    <w:rsid w:val="00C55AE5"/>
    <w:rsid w:val="00C55B17"/>
    <w:rsid w:val="00C55B94"/>
    <w:rsid w:val="00C55DA4"/>
    <w:rsid w:val="00C55DEE"/>
    <w:rsid w:val="00C55E61"/>
    <w:rsid w:val="00C55EAE"/>
    <w:rsid w:val="00C55EF9"/>
    <w:rsid w:val="00C55F07"/>
    <w:rsid w:val="00C55FA7"/>
    <w:rsid w:val="00C56123"/>
    <w:rsid w:val="00C5621C"/>
    <w:rsid w:val="00C56345"/>
    <w:rsid w:val="00C56515"/>
    <w:rsid w:val="00C5657A"/>
    <w:rsid w:val="00C5658D"/>
    <w:rsid w:val="00C566A0"/>
    <w:rsid w:val="00C56986"/>
    <w:rsid w:val="00C56AAB"/>
    <w:rsid w:val="00C56AC4"/>
    <w:rsid w:val="00C56AD3"/>
    <w:rsid w:val="00C56B25"/>
    <w:rsid w:val="00C56B8B"/>
    <w:rsid w:val="00C56C8A"/>
    <w:rsid w:val="00C56D65"/>
    <w:rsid w:val="00C56EB0"/>
    <w:rsid w:val="00C56EE5"/>
    <w:rsid w:val="00C56F12"/>
    <w:rsid w:val="00C57097"/>
    <w:rsid w:val="00C57260"/>
    <w:rsid w:val="00C5726C"/>
    <w:rsid w:val="00C57337"/>
    <w:rsid w:val="00C5737D"/>
    <w:rsid w:val="00C573B1"/>
    <w:rsid w:val="00C57418"/>
    <w:rsid w:val="00C57428"/>
    <w:rsid w:val="00C574B4"/>
    <w:rsid w:val="00C574D6"/>
    <w:rsid w:val="00C5757D"/>
    <w:rsid w:val="00C575A1"/>
    <w:rsid w:val="00C575EA"/>
    <w:rsid w:val="00C57664"/>
    <w:rsid w:val="00C577A1"/>
    <w:rsid w:val="00C579A5"/>
    <w:rsid w:val="00C57B5D"/>
    <w:rsid w:val="00C57F1B"/>
    <w:rsid w:val="00C600CD"/>
    <w:rsid w:val="00C601A0"/>
    <w:rsid w:val="00C602A8"/>
    <w:rsid w:val="00C60308"/>
    <w:rsid w:val="00C605E3"/>
    <w:rsid w:val="00C60734"/>
    <w:rsid w:val="00C60892"/>
    <w:rsid w:val="00C6093D"/>
    <w:rsid w:val="00C6093F"/>
    <w:rsid w:val="00C609EA"/>
    <w:rsid w:val="00C60A71"/>
    <w:rsid w:val="00C60AF6"/>
    <w:rsid w:val="00C60B41"/>
    <w:rsid w:val="00C60BBB"/>
    <w:rsid w:val="00C60BDC"/>
    <w:rsid w:val="00C60CB7"/>
    <w:rsid w:val="00C60D8F"/>
    <w:rsid w:val="00C60DAB"/>
    <w:rsid w:val="00C60E1A"/>
    <w:rsid w:val="00C60E54"/>
    <w:rsid w:val="00C60EFB"/>
    <w:rsid w:val="00C60F8B"/>
    <w:rsid w:val="00C60FAE"/>
    <w:rsid w:val="00C6107A"/>
    <w:rsid w:val="00C610E7"/>
    <w:rsid w:val="00C610F6"/>
    <w:rsid w:val="00C6112D"/>
    <w:rsid w:val="00C61134"/>
    <w:rsid w:val="00C612AD"/>
    <w:rsid w:val="00C61318"/>
    <w:rsid w:val="00C61398"/>
    <w:rsid w:val="00C613AB"/>
    <w:rsid w:val="00C613BC"/>
    <w:rsid w:val="00C613FA"/>
    <w:rsid w:val="00C6144F"/>
    <w:rsid w:val="00C6147E"/>
    <w:rsid w:val="00C614D1"/>
    <w:rsid w:val="00C61506"/>
    <w:rsid w:val="00C61553"/>
    <w:rsid w:val="00C61582"/>
    <w:rsid w:val="00C6165E"/>
    <w:rsid w:val="00C618FD"/>
    <w:rsid w:val="00C61A2E"/>
    <w:rsid w:val="00C61A3A"/>
    <w:rsid w:val="00C61AD6"/>
    <w:rsid w:val="00C61BDF"/>
    <w:rsid w:val="00C61C2F"/>
    <w:rsid w:val="00C6210B"/>
    <w:rsid w:val="00C62134"/>
    <w:rsid w:val="00C62270"/>
    <w:rsid w:val="00C622A5"/>
    <w:rsid w:val="00C62363"/>
    <w:rsid w:val="00C62617"/>
    <w:rsid w:val="00C6265C"/>
    <w:rsid w:val="00C6265E"/>
    <w:rsid w:val="00C62704"/>
    <w:rsid w:val="00C627F3"/>
    <w:rsid w:val="00C629C7"/>
    <w:rsid w:val="00C629D7"/>
    <w:rsid w:val="00C62A70"/>
    <w:rsid w:val="00C62D58"/>
    <w:rsid w:val="00C62DA7"/>
    <w:rsid w:val="00C62E2A"/>
    <w:rsid w:val="00C62FBD"/>
    <w:rsid w:val="00C62FF5"/>
    <w:rsid w:val="00C63015"/>
    <w:rsid w:val="00C631A2"/>
    <w:rsid w:val="00C63216"/>
    <w:rsid w:val="00C63224"/>
    <w:rsid w:val="00C6333A"/>
    <w:rsid w:val="00C6333E"/>
    <w:rsid w:val="00C63381"/>
    <w:rsid w:val="00C633E5"/>
    <w:rsid w:val="00C635B8"/>
    <w:rsid w:val="00C6361F"/>
    <w:rsid w:val="00C6364F"/>
    <w:rsid w:val="00C63683"/>
    <w:rsid w:val="00C6370F"/>
    <w:rsid w:val="00C6374B"/>
    <w:rsid w:val="00C63792"/>
    <w:rsid w:val="00C638A9"/>
    <w:rsid w:val="00C63B9B"/>
    <w:rsid w:val="00C63D72"/>
    <w:rsid w:val="00C63E1B"/>
    <w:rsid w:val="00C63F74"/>
    <w:rsid w:val="00C64060"/>
    <w:rsid w:val="00C6406C"/>
    <w:rsid w:val="00C64279"/>
    <w:rsid w:val="00C6432B"/>
    <w:rsid w:val="00C644DA"/>
    <w:rsid w:val="00C64511"/>
    <w:rsid w:val="00C645E3"/>
    <w:rsid w:val="00C646DC"/>
    <w:rsid w:val="00C64762"/>
    <w:rsid w:val="00C64813"/>
    <w:rsid w:val="00C64990"/>
    <w:rsid w:val="00C649C1"/>
    <w:rsid w:val="00C64A50"/>
    <w:rsid w:val="00C64AD0"/>
    <w:rsid w:val="00C64C6E"/>
    <w:rsid w:val="00C64C94"/>
    <w:rsid w:val="00C64E6D"/>
    <w:rsid w:val="00C64F60"/>
    <w:rsid w:val="00C64FAB"/>
    <w:rsid w:val="00C65033"/>
    <w:rsid w:val="00C650A4"/>
    <w:rsid w:val="00C650D6"/>
    <w:rsid w:val="00C651BB"/>
    <w:rsid w:val="00C654E0"/>
    <w:rsid w:val="00C65520"/>
    <w:rsid w:val="00C6559D"/>
    <w:rsid w:val="00C655B5"/>
    <w:rsid w:val="00C655DF"/>
    <w:rsid w:val="00C65690"/>
    <w:rsid w:val="00C656CE"/>
    <w:rsid w:val="00C65787"/>
    <w:rsid w:val="00C65A0E"/>
    <w:rsid w:val="00C65B35"/>
    <w:rsid w:val="00C65B6A"/>
    <w:rsid w:val="00C65BC4"/>
    <w:rsid w:val="00C65C4A"/>
    <w:rsid w:val="00C65C9B"/>
    <w:rsid w:val="00C65D40"/>
    <w:rsid w:val="00C65D74"/>
    <w:rsid w:val="00C65D9C"/>
    <w:rsid w:val="00C65DF7"/>
    <w:rsid w:val="00C65E33"/>
    <w:rsid w:val="00C65E90"/>
    <w:rsid w:val="00C65FF5"/>
    <w:rsid w:val="00C661B8"/>
    <w:rsid w:val="00C66291"/>
    <w:rsid w:val="00C66569"/>
    <w:rsid w:val="00C6664D"/>
    <w:rsid w:val="00C66718"/>
    <w:rsid w:val="00C66877"/>
    <w:rsid w:val="00C66882"/>
    <w:rsid w:val="00C66911"/>
    <w:rsid w:val="00C669B6"/>
    <w:rsid w:val="00C669BA"/>
    <w:rsid w:val="00C66A75"/>
    <w:rsid w:val="00C66BB0"/>
    <w:rsid w:val="00C66C80"/>
    <w:rsid w:val="00C66CDE"/>
    <w:rsid w:val="00C670EB"/>
    <w:rsid w:val="00C671F8"/>
    <w:rsid w:val="00C67488"/>
    <w:rsid w:val="00C674B2"/>
    <w:rsid w:val="00C675BE"/>
    <w:rsid w:val="00C6774E"/>
    <w:rsid w:val="00C678CB"/>
    <w:rsid w:val="00C67928"/>
    <w:rsid w:val="00C67936"/>
    <w:rsid w:val="00C679D4"/>
    <w:rsid w:val="00C67A00"/>
    <w:rsid w:val="00C67AF5"/>
    <w:rsid w:val="00C67DA8"/>
    <w:rsid w:val="00C67E5C"/>
    <w:rsid w:val="00C67F35"/>
    <w:rsid w:val="00C7007D"/>
    <w:rsid w:val="00C700F8"/>
    <w:rsid w:val="00C703B6"/>
    <w:rsid w:val="00C70458"/>
    <w:rsid w:val="00C706BE"/>
    <w:rsid w:val="00C70884"/>
    <w:rsid w:val="00C70A50"/>
    <w:rsid w:val="00C70AEA"/>
    <w:rsid w:val="00C70C52"/>
    <w:rsid w:val="00C70C55"/>
    <w:rsid w:val="00C70C76"/>
    <w:rsid w:val="00C70D41"/>
    <w:rsid w:val="00C70DA4"/>
    <w:rsid w:val="00C70F1B"/>
    <w:rsid w:val="00C70FBD"/>
    <w:rsid w:val="00C710E1"/>
    <w:rsid w:val="00C71351"/>
    <w:rsid w:val="00C713B4"/>
    <w:rsid w:val="00C713ED"/>
    <w:rsid w:val="00C713FF"/>
    <w:rsid w:val="00C71485"/>
    <w:rsid w:val="00C71682"/>
    <w:rsid w:val="00C71849"/>
    <w:rsid w:val="00C71926"/>
    <w:rsid w:val="00C7195B"/>
    <w:rsid w:val="00C71B3D"/>
    <w:rsid w:val="00C71CD0"/>
    <w:rsid w:val="00C71CF1"/>
    <w:rsid w:val="00C71F13"/>
    <w:rsid w:val="00C71F35"/>
    <w:rsid w:val="00C72077"/>
    <w:rsid w:val="00C7208A"/>
    <w:rsid w:val="00C7226F"/>
    <w:rsid w:val="00C72318"/>
    <w:rsid w:val="00C7237C"/>
    <w:rsid w:val="00C72446"/>
    <w:rsid w:val="00C724E6"/>
    <w:rsid w:val="00C72609"/>
    <w:rsid w:val="00C7278C"/>
    <w:rsid w:val="00C727D1"/>
    <w:rsid w:val="00C727E9"/>
    <w:rsid w:val="00C72822"/>
    <w:rsid w:val="00C72881"/>
    <w:rsid w:val="00C72A32"/>
    <w:rsid w:val="00C72AA3"/>
    <w:rsid w:val="00C72B90"/>
    <w:rsid w:val="00C72D67"/>
    <w:rsid w:val="00C72D8B"/>
    <w:rsid w:val="00C730DB"/>
    <w:rsid w:val="00C73164"/>
    <w:rsid w:val="00C73224"/>
    <w:rsid w:val="00C734E8"/>
    <w:rsid w:val="00C73553"/>
    <w:rsid w:val="00C73630"/>
    <w:rsid w:val="00C7376A"/>
    <w:rsid w:val="00C7380F"/>
    <w:rsid w:val="00C7383F"/>
    <w:rsid w:val="00C73869"/>
    <w:rsid w:val="00C73994"/>
    <w:rsid w:val="00C73BE8"/>
    <w:rsid w:val="00C73CE9"/>
    <w:rsid w:val="00C73E9F"/>
    <w:rsid w:val="00C73F2C"/>
    <w:rsid w:val="00C74079"/>
    <w:rsid w:val="00C740D0"/>
    <w:rsid w:val="00C74158"/>
    <w:rsid w:val="00C74192"/>
    <w:rsid w:val="00C74252"/>
    <w:rsid w:val="00C74281"/>
    <w:rsid w:val="00C7431B"/>
    <w:rsid w:val="00C7439A"/>
    <w:rsid w:val="00C743A5"/>
    <w:rsid w:val="00C743B0"/>
    <w:rsid w:val="00C745B6"/>
    <w:rsid w:val="00C747A5"/>
    <w:rsid w:val="00C747B8"/>
    <w:rsid w:val="00C74919"/>
    <w:rsid w:val="00C74946"/>
    <w:rsid w:val="00C74994"/>
    <w:rsid w:val="00C74AC5"/>
    <w:rsid w:val="00C74C4C"/>
    <w:rsid w:val="00C74CDF"/>
    <w:rsid w:val="00C74ED8"/>
    <w:rsid w:val="00C74F37"/>
    <w:rsid w:val="00C75070"/>
    <w:rsid w:val="00C7509F"/>
    <w:rsid w:val="00C7514C"/>
    <w:rsid w:val="00C75236"/>
    <w:rsid w:val="00C753DD"/>
    <w:rsid w:val="00C753FD"/>
    <w:rsid w:val="00C7551E"/>
    <w:rsid w:val="00C755BB"/>
    <w:rsid w:val="00C75722"/>
    <w:rsid w:val="00C75740"/>
    <w:rsid w:val="00C75862"/>
    <w:rsid w:val="00C759C8"/>
    <w:rsid w:val="00C759F5"/>
    <w:rsid w:val="00C75AE0"/>
    <w:rsid w:val="00C75B14"/>
    <w:rsid w:val="00C75B45"/>
    <w:rsid w:val="00C75C1E"/>
    <w:rsid w:val="00C75C3D"/>
    <w:rsid w:val="00C75C45"/>
    <w:rsid w:val="00C75C64"/>
    <w:rsid w:val="00C75CFD"/>
    <w:rsid w:val="00C75DB5"/>
    <w:rsid w:val="00C75DDE"/>
    <w:rsid w:val="00C75E20"/>
    <w:rsid w:val="00C75E32"/>
    <w:rsid w:val="00C75E6A"/>
    <w:rsid w:val="00C75E98"/>
    <w:rsid w:val="00C75EFF"/>
    <w:rsid w:val="00C75F98"/>
    <w:rsid w:val="00C75FFF"/>
    <w:rsid w:val="00C76101"/>
    <w:rsid w:val="00C76128"/>
    <w:rsid w:val="00C7616E"/>
    <w:rsid w:val="00C76183"/>
    <w:rsid w:val="00C762F2"/>
    <w:rsid w:val="00C764EB"/>
    <w:rsid w:val="00C7659B"/>
    <w:rsid w:val="00C7678C"/>
    <w:rsid w:val="00C767C3"/>
    <w:rsid w:val="00C7699E"/>
    <w:rsid w:val="00C769A6"/>
    <w:rsid w:val="00C76A3F"/>
    <w:rsid w:val="00C76B93"/>
    <w:rsid w:val="00C76C2D"/>
    <w:rsid w:val="00C76C65"/>
    <w:rsid w:val="00C76D61"/>
    <w:rsid w:val="00C76D95"/>
    <w:rsid w:val="00C76D98"/>
    <w:rsid w:val="00C76E06"/>
    <w:rsid w:val="00C76ED0"/>
    <w:rsid w:val="00C76FE3"/>
    <w:rsid w:val="00C7706C"/>
    <w:rsid w:val="00C77133"/>
    <w:rsid w:val="00C77144"/>
    <w:rsid w:val="00C772B0"/>
    <w:rsid w:val="00C7760F"/>
    <w:rsid w:val="00C77709"/>
    <w:rsid w:val="00C77806"/>
    <w:rsid w:val="00C77902"/>
    <w:rsid w:val="00C7790E"/>
    <w:rsid w:val="00C779D9"/>
    <w:rsid w:val="00C77A3A"/>
    <w:rsid w:val="00C77A48"/>
    <w:rsid w:val="00C77B14"/>
    <w:rsid w:val="00C77B7D"/>
    <w:rsid w:val="00C77B9C"/>
    <w:rsid w:val="00C77BA9"/>
    <w:rsid w:val="00C77C8D"/>
    <w:rsid w:val="00C77CE4"/>
    <w:rsid w:val="00C77E28"/>
    <w:rsid w:val="00C77F02"/>
    <w:rsid w:val="00C77FD4"/>
    <w:rsid w:val="00C80065"/>
    <w:rsid w:val="00C801E6"/>
    <w:rsid w:val="00C8025D"/>
    <w:rsid w:val="00C80306"/>
    <w:rsid w:val="00C806AF"/>
    <w:rsid w:val="00C806C5"/>
    <w:rsid w:val="00C80723"/>
    <w:rsid w:val="00C8075D"/>
    <w:rsid w:val="00C8085A"/>
    <w:rsid w:val="00C80A74"/>
    <w:rsid w:val="00C80ACB"/>
    <w:rsid w:val="00C80B30"/>
    <w:rsid w:val="00C80CBC"/>
    <w:rsid w:val="00C80CE4"/>
    <w:rsid w:val="00C80D84"/>
    <w:rsid w:val="00C80E13"/>
    <w:rsid w:val="00C80EC5"/>
    <w:rsid w:val="00C80ED5"/>
    <w:rsid w:val="00C80F0F"/>
    <w:rsid w:val="00C80F22"/>
    <w:rsid w:val="00C81165"/>
    <w:rsid w:val="00C811F8"/>
    <w:rsid w:val="00C813A9"/>
    <w:rsid w:val="00C813FF"/>
    <w:rsid w:val="00C81403"/>
    <w:rsid w:val="00C814B0"/>
    <w:rsid w:val="00C814E4"/>
    <w:rsid w:val="00C81644"/>
    <w:rsid w:val="00C81795"/>
    <w:rsid w:val="00C81842"/>
    <w:rsid w:val="00C81850"/>
    <w:rsid w:val="00C8189A"/>
    <w:rsid w:val="00C81B96"/>
    <w:rsid w:val="00C81BB2"/>
    <w:rsid w:val="00C81FC0"/>
    <w:rsid w:val="00C821F0"/>
    <w:rsid w:val="00C822A9"/>
    <w:rsid w:val="00C82392"/>
    <w:rsid w:val="00C8254A"/>
    <w:rsid w:val="00C8271C"/>
    <w:rsid w:val="00C8287E"/>
    <w:rsid w:val="00C8290D"/>
    <w:rsid w:val="00C82ACF"/>
    <w:rsid w:val="00C82C60"/>
    <w:rsid w:val="00C82D74"/>
    <w:rsid w:val="00C82EF4"/>
    <w:rsid w:val="00C8300D"/>
    <w:rsid w:val="00C83046"/>
    <w:rsid w:val="00C833F2"/>
    <w:rsid w:val="00C833F4"/>
    <w:rsid w:val="00C8351A"/>
    <w:rsid w:val="00C8351D"/>
    <w:rsid w:val="00C835F1"/>
    <w:rsid w:val="00C836E9"/>
    <w:rsid w:val="00C83782"/>
    <w:rsid w:val="00C838B3"/>
    <w:rsid w:val="00C83A03"/>
    <w:rsid w:val="00C83A43"/>
    <w:rsid w:val="00C83B3D"/>
    <w:rsid w:val="00C83C59"/>
    <w:rsid w:val="00C83C5D"/>
    <w:rsid w:val="00C83C79"/>
    <w:rsid w:val="00C83CE7"/>
    <w:rsid w:val="00C83DCF"/>
    <w:rsid w:val="00C83E17"/>
    <w:rsid w:val="00C83E66"/>
    <w:rsid w:val="00C83EF0"/>
    <w:rsid w:val="00C84002"/>
    <w:rsid w:val="00C840CB"/>
    <w:rsid w:val="00C840DA"/>
    <w:rsid w:val="00C84150"/>
    <w:rsid w:val="00C843A6"/>
    <w:rsid w:val="00C84460"/>
    <w:rsid w:val="00C8470F"/>
    <w:rsid w:val="00C84792"/>
    <w:rsid w:val="00C8487A"/>
    <w:rsid w:val="00C84960"/>
    <w:rsid w:val="00C849C1"/>
    <w:rsid w:val="00C84D8A"/>
    <w:rsid w:val="00C84E93"/>
    <w:rsid w:val="00C84F22"/>
    <w:rsid w:val="00C84FCA"/>
    <w:rsid w:val="00C85251"/>
    <w:rsid w:val="00C85314"/>
    <w:rsid w:val="00C853CF"/>
    <w:rsid w:val="00C8547D"/>
    <w:rsid w:val="00C855F4"/>
    <w:rsid w:val="00C8565C"/>
    <w:rsid w:val="00C856F9"/>
    <w:rsid w:val="00C8573D"/>
    <w:rsid w:val="00C85818"/>
    <w:rsid w:val="00C8595B"/>
    <w:rsid w:val="00C8595D"/>
    <w:rsid w:val="00C8595F"/>
    <w:rsid w:val="00C85AFB"/>
    <w:rsid w:val="00C85B18"/>
    <w:rsid w:val="00C85C85"/>
    <w:rsid w:val="00C85CFA"/>
    <w:rsid w:val="00C85D46"/>
    <w:rsid w:val="00C85E79"/>
    <w:rsid w:val="00C860F0"/>
    <w:rsid w:val="00C861D5"/>
    <w:rsid w:val="00C861D8"/>
    <w:rsid w:val="00C861E0"/>
    <w:rsid w:val="00C862AB"/>
    <w:rsid w:val="00C8634B"/>
    <w:rsid w:val="00C86407"/>
    <w:rsid w:val="00C86441"/>
    <w:rsid w:val="00C86529"/>
    <w:rsid w:val="00C8673A"/>
    <w:rsid w:val="00C86761"/>
    <w:rsid w:val="00C8679F"/>
    <w:rsid w:val="00C868D8"/>
    <w:rsid w:val="00C86A1D"/>
    <w:rsid w:val="00C86A28"/>
    <w:rsid w:val="00C86B13"/>
    <w:rsid w:val="00C86EAD"/>
    <w:rsid w:val="00C86EBE"/>
    <w:rsid w:val="00C86F7D"/>
    <w:rsid w:val="00C87032"/>
    <w:rsid w:val="00C870B2"/>
    <w:rsid w:val="00C872B4"/>
    <w:rsid w:val="00C872CD"/>
    <w:rsid w:val="00C8753A"/>
    <w:rsid w:val="00C87592"/>
    <w:rsid w:val="00C875C1"/>
    <w:rsid w:val="00C87604"/>
    <w:rsid w:val="00C8763E"/>
    <w:rsid w:val="00C87762"/>
    <w:rsid w:val="00C87769"/>
    <w:rsid w:val="00C877A5"/>
    <w:rsid w:val="00C87812"/>
    <w:rsid w:val="00C8788D"/>
    <w:rsid w:val="00C878DF"/>
    <w:rsid w:val="00C879A8"/>
    <w:rsid w:val="00C879F2"/>
    <w:rsid w:val="00C879FB"/>
    <w:rsid w:val="00C87A19"/>
    <w:rsid w:val="00C87C85"/>
    <w:rsid w:val="00C87D2E"/>
    <w:rsid w:val="00C87D77"/>
    <w:rsid w:val="00C87D83"/>
    <w:rsid w:val="00C87EA7"/>
    <w:rsid w:val="00C87F5C"/>
    <w:rsid w:val="00C90047"/>
    <w:rsid w:val="00C900DE"/>
    <w:rsid w:val="00C901F4"/>
    <w:rsid w:val="00C90208"/>
    <w:rsid w:val="00C90217"/>
    <w:rsid w:val="00C90396"/>
    <w:rsid w:val="00C90405"/>
    <w:rsid w:val="00C904A7"/>
    <w:rsid w:val="00C905DA"/>
    <w:rsid w:val="00C905F3"/>
    <w:rsid w:val="00C9065F"/>
    <w:rsid w:val="00C906C8"/>
    <w:rsid w:val="00C907D3"/>
    <w:rsid w:val="00C908FB"/>
    <w:rsid w:val="00C9091A"/>
    <w:rsid w:val="00C909D0"/>
    <w:rsid w:val="00C90A49"/>
    <w:rsid w:val="00C90AAE"/>
    <w:rsid w:val="00C90AEE"/>
    <w:rsid w:val="00C90CAE"/>
    <w:rsid w:val="00C90D5C"/>
    <w:rsid w:val="00C90E53"/>
    <w:rsid w:val="00C91041"/>
    <w:rsid w:val="00C9111D"/>
    <w:rsid w:val="00C91185"/>
    <w:rsid w:val="00C911A9"/>
    <w:rsid w:val="00C911E0"/>
    <w:rsid w:val="00C912B6"/>
    <w:rsid w:val="00C91350"/>
    <w:rsid w:val="00C9135E"/>
    <w:rsid w:val="00C913C7"/>
    <w:rsid w:val="00C91540"/>
    <w:rsid w:val="00C915C1"/>
    <w:rsid w:val="00C915E6"/>
    <w:rsid w:val="00C91622"/>
    <w:rsid w:val="00C9169D"/>
    <w:rsid w:val="00C918CE"/>
    <w:rsid w:val="00C918DF"/>
    <w:rsid w:val="00C919B2"/>
    <w:rsid w:val="00C919B6"/>
    <w:rsid w:val="00C919DD"/>
    <w:rsid w:val="00C91BD0"/>
    <w:rsid w:val="00C91C38"/>
    <w:rsid w:val="00C91C50"/>
    <w:rsid w:val="00C91CC1"/>
    <w:rsid w:val="00C91CC6"/>
    <w:rsid w:val="00C91D46"/>
    <w:rsid w:val="00C91D87"/>
    <w:rsid w:val="00C91E09"/>
    <w:rsid w:val="00C91F4D"/>
    <w:rsid w:val="00C91F98"/>
    <w:rsid w:val="00C920FC"/>
    <w:rsid w:val="00C921AD"/>
    <w:rsid w:val="00C922F1"/>
    <w:rsid w:val="00C924AE"/>
    <w:rsid w:val="00C92656"/>
    <w:rsid w:val="00C926A7"/>
    <w:rsid w:val="00C926AE"/>
    <w:rsid w:val="00C929DA"/>
    <w:rsid w:val="00C929DB"/>
    <w:rsid w:val="00C92A3D"/>
    <w:rsid w:val="00C92D3B"/>
    <w:rsid w:val="00C92E25"/>
    <w:rsid w:val="00C92F33"/>
    <w:rsid w:val="00C93044"/>
    <w:rsid w:val="00C930DF"/>
    <w:rsid w:val="00C93131"/>
    <w:rsid w:val="00C931C4"/>
    <w:rsid w:val="00C93252"/>
    <w:rsid w:val="00C9336A"/>
    <w:rsid w:val="00C934D0"/>
    <w:rsid w:val="00C93590"/>
    <w:rsid w:val="00C9359E"/>
    <w:rsid w:val="00C935D2"/>
    <w:rsid w:val="00C937D4"/>
    <w:rsid w:val="00C937E8"/>
    <w:rsid w:val="00C93A79"/>
    <w:rsid w:val="00C93B77"/>
    <w:rsid w:val="00C93CE5"/>
    <w:rsid w:val="00C93D2F"/>
    <w:rsid w:val="00C93FD6"/>
    <w:rsid w:val="00C93FE9"/>
    <w:rsid w:val="00C940B0"/>
    <w:rsid w:val="00C941B1"/>
    <w:rsid w:val="00C9423E"/>
    <w:rsid w:val="00C943A0"/>
    <w:rsid w:val="00C943A8"/>
    <w:rsid w:val="00C943FB"/>
    <w:rsid w:val="00C9465B"/>
    <w:rsid w:val="00C94666"/>
    <w:rsid w:val="00C9494B"/>
    <w:rsid w:val="00C94A3A"/>
    <w:rsid w:val="00C94A61"/>
    <w:rsid w:val="00C94A6B"/>
    <w:rsid w:val="00C94AB2"/>
    <w:rsid w:val="00C94BB9"/>
    <w:rsid w:val="00C94BC2"/>
    <w:rsid w:val="00C94D6D"/>
    <w:rsid w:val="00C94DDF"/>
    <w:rsid w:val="00C94ECF"/>
    <w:rsid w:val="00C94EF6"/>
    <w:rsid w:val="00C94F5E"/>
    <w:rsid w:val="00C951D1"/>
    <w:rsid w:val="00C9523A"/>
    <w:rsid w:val="00C952EB"/>
    <w:rsid w:val="00C953E8"/>
    <w:rsid w:val="00C9541C"/>
    <w:rsid w:val="00C95551"/>
    <w:rsid w:val="00C95555"/>
    <w:rsid w:val="00C95608"/>
    <w:rsid w:val="00C95614"/>
    <w:rsid w:val="00C95770"/>
    <w:rsid w:val="00C95979"/>
    <w:rsid w:val="00C959B1"/>
    <w:rsid w:val="00C95A38"/>
    <w:rsid w:val="00C95B45"/>
    <w:rsid w:val="00C95E13"/>
    <w:rsid w:val="00C95F31"/>
    <w:rsid w:val="00C960F7"/>
    <w:rsid w:val="00C961BA"/>
    <w:rsid w:val="00C9636B"/>
    <w:rsid w:val="00C963BC"/>
    <w:rsid w:val="00C963C9"/>
    <w:rsid w:val="00C9643C"/>
    <w:rsid w:val="00C964E0"/>
    <w:rsid w:val="00C96617"/>
    <w:rsid w:val="00C96643"/>
    <w:rsid w:val="00C966A3"/>
    <w:rsid w:val="00C966D5"/>
    <w:rsid w:val="00C967B2"/>
    <w:rsid w:val="00C968E3"/>
    <w:rsid w:val="00C96A1E"/>
    <w:rsid w:val="00C96CE4"/>
    <w:rsid w:val="00C96E9C"/>
    <w:rsid w:val="00C97069"/>
    <w:rsid w:val="00C971BF"/>
    <w:rsid w:val="00C973FC"/>
    <w:rsid w:val="00C974C3"/>
    <w:rsid w:val="00C9778C"/>
    <w:rsid w:val="00C977AD"/>
    <w:rsid w:val="00C97849"/>
    <w:rsid w:val="00C979B6"/>
    <w:rsid w:val="00C97A42"/>
    <w:rsid w:val="00C97B7A"/>
    <w:rsid w:val="00C97BC3"/>
    <w:rsid w:val="00C97BD1"/>
    <w:rsid w:val="00C97C89"/>
    <w:rsid w:val="00C97C94"/>
    <w:rsid w:val="00C97CB8"/>
    <w:rsid w:val="00C97E29"/>
    <w:rsid w:val="00C97F58"/>
    <w:rsid w:val="00C97F69"/>
    <w:rsid w:val="00CA00DB"/>
    <w:rsid w:val="00CA0116"/>
    <w:rsid w:val="00CA023A"/>
    <w:rsid w:val="00CA0249"/>
    <w:rsid w:val="00CA02DC"/>
    <w:rsid w:val="00CA042B"/>
    <w:rsid w:val="00CA0431"/>
    <w:rsid w:val="00CA063A"/>
    <w:rsid w:val="00CA079E"/>
    <w:rsid w:val="00CA093C"/>
    <w:rsid w:val="00CA0A1E"/>
    <w:rsid w:val="00CA0B74"/>
    <w:rsid w:val="00CA0CAF"/>
    <w:rsid w:val="00CA0DB3"/>
    <w:rsid w:val="00CA0DFA"/>
    <w:rsid w:val="00CA0F1F"/>
    <w:rsid w:val="00CA0F60"/>
    <w:rsid w:val="00CA1224"/>
    <w:rsid w:val="00CA129F"/>
    <w:rsid w:val="00CA1339"/>
    <w:rsid w:val="00CA1441"/>
    <w:rsid w:val="00CA14CB"/>
    <w:rsid w:val="00CA157E"/>
    <w:rsid w:val="00CA16C9"/>
    <w:rsid w:val="00CA1957"/>
    <w:rsid w:val="00CA1AEC"/>
    <w:rsid w:val="00CA1CAC"/>
    <w:rsid w:val="00CA1CAE"/>
    <w:rsid w:val="00CA1CB9"/>
    <w:rsid w:val="00CA1CC8"/>
    <w:rsid w:val="00CA1EC3"/>
    <w:rsid w:val="00CA1F0E"/>
    <w:rsid w:val="00CA1F51"/>
    <w:rsid w:val="00CA20E3"/>
    <w:rsid w:val="00CA2357"/>
    <w:rsid w:val="00CA245C"/>
    <w:rsid w:val="00CA27B9"/>
    <w:rsid w:val="00CA27E1"/>
    <w:rsid w:val="00CA2863"/>
    <w:rsid w:val="00CA289F"/>
    <w:rsid w:val="00CA28AA"/>
    <w:rsid w:val="00CA28D5"/>
    <w:rsid w:val="00CA29A0"/>
    <w:rsid w:val="00CA2A0A"/>
    <w:rsid w:val="00CA2AAA"/>
    <w:rsid w:val="00CA2B79"/>
    <w:rsid w:val="00CA2BBD"/>
    <w:rsid w:val="00CA2C8A"/>
    <w:rsid w:val="00CA2D63"/>
    <w:rsid w:val="00CA2DF3"/>
    <w:rsid w:val="00CA2E3F"/>
    <w:rsid w:val="00CA2E99"/>
    <w:rsid w:val="00CA2EC6"/>
    <w:rsid w:val="00CA2EE1"/>
    <w:rsid w:val="00CA3054"/>
    <w:rsid w:val="00CA3065"/>
    <w:rsid w:val="00CA30F8"/>
    <w:rsid w:val="00CA3138"/>
    <w:rsid w:val="00CA31B9"/>
    <w:rsid w:val="00CA333C"/>
    <w:rsid w:val="00CA3375"/>
    <w:rsid w:val="00CA33B6"/>
    <w:rsid w:val="00CA3485"/>
    <w:rsid w:val="00CA34E0"/>
    <w:rsid w:val="00CA3516"/>
    <w:rsid w:val="00CA35B8"/>
    <w:rsid w:val="00CA368A"/>
    <w:rsid w:val="00CA3715"/>
    <w:rsid w:val="00CA377C"/>
    <w:rsid w:val="00CA37D7"/>
    <w:rsid w:val="00CA37DF"/>
    <w:rsid w:val="00CA3811"/>
    <w:rsid w:val="00CA386B"/>
    <w:rsid w:val="00CA38C3"/>
    <w:rsid w:val="00CA392F"/>
    <w:rsid w:val="00CA3A2F"/>
    <w:rsid w:val="00CA3A74"/>
    <w:rsid w:val="00CA3A8E"/>
    <w:rsid w:val="00CA3B51"/>
    <w:rsid w:val="00CA3B90"/>
    <w:rsid w:val="00CA3C0E"/>
    <w:rsid w:val="00CA3C11"/>
    <w:rsid w:val="00CA3CF4"/>
    <w:rsid w:val="00CA3CF5"/>
    <w:rsid w:val="00CA3DDB"/>
    <w:rsid w:val="00CA3ECC"/>
    <w:rsid w:val="00CA3ED0"/>
    <w:rsid w:val="00CA3F17"/>
    <w:rsid w:val="00CA4309"/>
    <w:rsid w:val="00CA433F"/>
    <w:rsid w:val="00CA434F"/>
    <w:rsid w:val="00CA4357"/>
    <w:rsid w:val="00CA43BA"/>
    <w:rsid w:val="00CA442A"/>
    <w:rsid w:val="00CA4520"/>
    <w:rsid w:val="00CA458A"/>
    <w:rsid w:val="00CA46B1"/>
    <w:rsid w:val="00CA47A8"/>
    <w:rsid w:val="00CA47C4"/>
    <w:rsid w:val="00CA488A"/>
    <w:rsid w:val="00CA4A5A"/>
    <w:rsid w:val="00CA4BC0"/>
    <w:rsid w:val="00CA4C39"/>
    <w:rsid w:val="00CA4F9D"/>
    <w:rsid w:val="00CA5069"/>
    <w:rsid w:val="00CA52D5"/>
    <w:rsid w:val="00CA52F0"/>
    <w:rsid w:val="00CA538F"/>
    <w:rsid w:val="00CA53D5"/>
    <w:rsid w:val="00CA5477"/>
    <w:rsid w:val="00CA5606"/>
    <w:rsid w:val="00CA5722"/>
    <w:rsid w:val="00CA5726"/>
    <w:rsid w:val="00CA57C7"/>
    <w:rsid w:val="00CA59D3"/>
    <w:rsid w:val="00CA5A2C"/>
    <w:rsid w:val="00CA5AD7"/>
    <w:rsid w:val="00CA5C02"/>
    <w:rsid w:val="00CA5CA8"/>
    <w:rsid w:val="00CA5CBC"/>
    <w:rsid w:val="00CA5E3E"/>
    <w:rsid w:val="00CA6040"/>
    <w:rsid w:val="00CA60D5"/>
    <w:rsid w:val="00CA6214"/>
    <w:rsid w:val="00CA62DC"/>
    <w:rsid w:val="00CA63AA"/>
    <w:rsid w:val="00CA63D2"/>
    <w:rsid w:val="00CA64A0"/>
    <w:rsid w:val="00CA64B0"/>
    <w:rsid w:val="00CA64CC"/>
    <w:rsid w:val="00CA6545"/>
    <w:rsid w:val="00CA6642"/>
    <w:rsid w:val="00CA66F0"/>
    <w:rsid w:val="00CA67D7"/>
    <w:rsid w:val="00CA6814"/>
    <w:rsid w:val="00CA6AC3"/>
    <w:rsid w:val="00CA6B81"/>
    <w:rsid w:val="00CA6CDB"/>
    <w:rsid w:val="00CA6D7C"/>
    <w:rsid w:val="00CA6F4B"/>
    <w:rsid w:val="00CA6F4E"/>
    <w:rsid w:val="00CA6F74"/>
    <w:rsid w:val="00CA7026"/>
    <w:rsid w:val="00CA7044"/>
    <w:rsid w:val="00CA7397"/>
    <w:rsid w:val="00CA742F"/>
    <w:rsid w:val="00CA74D6"/>
    <w:rsid w:val="00CA7554"/>
    <w:rsid w:val="00CA767C"/>
    <w:rsid w:val="00CA76C6"/>
    <w:rsid w:val="00CA770F"/>
    <w:rsid w:val="00CA777B"/>
    <w:rsid w:val="00CA7843"/>
    <w:rsid w:val="00CA7894"/>
    <w:rsid w:val="00CA791B"/>
    <w:rsid w:val="00CA7934"/>
    <w:rsid w:val="00CA7C66"/>
    <w:rsid w:val="00CA7CD7"/>
    <w:rsid w:val="00CA7E39"/>
    <w:rsid w:val="00CA7E3D"/>
    <w:rsid w:val="00CA7F0E"/>
    <w:rsid w:val="00CA7F65"/>
    <w:rsid w:val="00CA7FD8"/>
    <w:rsid w:val="00CB0157"/>
    <w:rsid w:val="00CB03E4"/>
    <w:rsid w:val="00CB05B2"/>
    <w:rsid w:val="00CB06E0"/>
    <w:rsid w:val="00CB0743"/>
    <w:rsid w:val="00CB0930"/>
    <w:rsid w:val="00CB0A17"/>
    <w:rsid w:val="00CB0AE3"/>
    <w:rsid w:val="00CB0D9F"/>
    <w:rsid w:val="00CB0DDA"/>
    <w:rsid w:val="00CB0E91"/>
    <w:rsid w:val="00CB0F39"/>
    <w:rsid w:val="00CB0F6F"/>
    <w:rsid w:val="00CB0FC5"/>
    <w:rsid w:val="00CB102F"/>
    <w:rsid w:val="00CB10FB"/>
    <w:rsid w:val="00CB1130"/>
    <w:rsid w:val="00CB1145"/>
    <w:rsid w:val="00CB128E"/>
    <w:rsid w:val="00CB12B5"/>
    <w:rsid w:val="00CB1355"/>
    <w:rsid w:val="00CB13A7"/>
    <w:rsid w:val="00CB1718"/>
    <w:rsid w:val="00CB18B2"/>
    <w:rsid w:val="00CB18E7"/>
    <w:rsid w:val="00CB194B"/>
    <w:rsid w:val="00CB199D"/>
    <w:rsid w:val="00CB1A17"/>
    <w:rsid w:val="00CB1A33"/>
    <w:rsid w:val="00CB1A84"/>
    <w:rsid w:val="00CB1B75"/>
    <w:rsid w:val="00CB1BAA"/>
    <w:rsid w:val="00CB1CD5"/>
    <w:rsid w:val="00CB1D0B"/>
    <w:rsid w:val="00CB1DDB"/>
    <w:rsid w:val="00CB1F3E"/>
    <w:rsid w:val="00CB1F79"/>
    <w:rsid w:val="00CB20A2"/>
    <w:rsid w:val="00CB2125"/>
    <w:rsid w:val="00CB213C"/>
    <w:rsid w:val="00CB215D"/>
    <w:rsid w:val="00CB21B9"/>
    <w:rsid w:val="00CB21EA"/>
    <w:rsid w:val="00CB2235"/>
    <w:rsid w:val="00CB2270"/>
    <w:rsid w:val="00CB2304"/>
    <w:rsid w:val="00CB2367"/>
    <w:rsid w:val="00CB23EF"/>
    <w:rsid w:val="00CB2497"/>
    <w:rsid w:val="00CB24B7"/>
    <w:rsid w:val="00CB24D7"/>
    <w:rsid w:val="00CB24EB"/>
    <w:rsid w:val="00CB24ED"/>
    <w:rsid w:val="00CB25EF"/>
    <w:rsid w:val="00CB264D"/>
    <w:rsid w:val="00CB2695"/>
    <w:rsid w:val="00CB26D7"/>
    <w:rsid w:val="00CB26EB"/>
    <w:rsid w:val="00CB276A"/>
    <w:rsid w:val="00CB2794"/>
    <w:rsid w:val="00CB27F6"/>
    <w:rsid w:val="00CB27FC"/>
    <w:rsid w:val="00CB28D4"/>
    <w:rsid w:val="00CB28E9"/>
    <w:rsid w:val="00CB2B28"/>
    <w:rsid w:val="00CB2CC4"/>
    <w:rsid w:val="00CB2D73"/>
    <w:rsid w:val="00CB2DF7"/>
    <w:rsid w:val="00CB2F39"/>
    <w:rsid w:val="00CB2FE1"/>
    <w:rsid w:val="00CB2FF7"/>
    <w:rsid w:val="00CB303C"/>
    <w:rsid w:val="00CB3262"/>
    <w:rsid w:val="00CB328E"/>
    <w:rsid w:val="00CB3587"/>
    <w:rsid w:val="00CB36DD"/>
    <w:rsid w:val="00CB377D"/>
    <w:rsid w:val="00CB38E0"/>
    <w:rsid w:val="00CB3A9E"/>
    <w:rsid w:val="00CB3BCD"/>
    <w:rsid w:val="00CB3C84"/>
    <w:rsid w:val="00CB3D8B"/>
    <w:rsid w:val="00CB3DB6"/>
    <w:rsid w:val="00CB40EF"/>
    <w:rsid w:val="00CB421B"/>
    <w:rsid w:val="00CB4279"/>
    <w:rsid w:val="00CB42E6"/>
    <w:rsid w:val="00CB43E7"/>
    <w:rsid w:val="00CB44CF"/>
    <w:rsid w:val="00CB4504"/>
    <w:rsid w:val="00CB485B"/>
    <w:rsid w:val="00CB48DE"/>
    <w:rsid w:val="00CB4954"/>
    <w:rsid w:val="00CB4A10"/>
    <w:rsid w:val="00CB4C16"/>
    <w:rsid w:val="00CB4C64"/>
    <w:rsid w:val="00CB4D22"/>
    <w:rsid w:val="00CB4F5F"/>
    <w:rsid w:val="00CB514C"/>
    <w:rsid w:val="00CB5161"/>
    <w:rsid w:val="00CB5178"/>
    <w:rsid w:val="00CB5196"/>
    <w:rsid w:val="00CB5205"/>
    <w:rsid w:val="00CB52AF"/>
    <w:rsid w:val="00CB533A"/>
    <w:rsid w:val="00CB536F"/>
    <w:rsid w:val="00CB5531"/>
    <w:rsid w:val="00CB5598"/>
    <w:rsid w:val="00CB5776"/>
    <w:rsid w:val="00CB591C"/>
    <w:rsid w:val="00CB5B2B"/>
    <w:rsid w:val="00CB5BE1"/>
    <w:rsid w:val="00CB5C13"/>
    <w:rsid w:val="00CB5C8A"/>
    <w:rsid w:val="00CB5CC4"/>
    <w:rsid w:val="00CB5E80"/>
    <w:rsid w:val="00CB5E84"/>
    <w:rsid w:val="00CB5F21"/>
    <w:rsid w:val="00CB5FF9"/>
    <w:rsid w:val="00CB6031"/>
    <w:rsid w:val="00CB617F"/>
    <w:rsid w:val="00CB61FF"/>
    <w:rsid w:val="00CB62BC"/>
    <w:rsid w:val="00CB62EF"/>
    <w:rsid w:val="00CB64BE"/>
    <w:rsid w:val="00CB65E2"/>
    <w:rsid w:val="00CB66A6"/>
    <w:rsid w:val="00CB6970"/>
    <w:rsid w:val="00CB6A0B"/>
    <w:rsid w:val="00CB6A46"/>
    <w:rsid w:val="00CB6A4E"/>
    <w:rsid w:val="00CB6BAA"/>
    <w:rsid w:val="00CB6D91"/>
    <w:rsid w:val="00CB6DF0"/>
    <w:rsid w:val="00CB6EDB"/>
    <w:rsid w:val="00CB6FC5"/>
    <w:rsid w:val="00CB6FF7"/>
    <w:rsid w:val="00CB7190"/>
    <w:rsid w:val="00CB71E4"/>
    <w:rsid w:val="00CB7245"/>
    <w:rsid w:val="00CB72CA"/>
    <w:rsid w:val="00CB7385"/>
    <w:rsid w:val="00CB749D"/>
    <w:rsid w:val="00CB7544"/>
    <w:rsid w:val="00CB75F6"/>
    <w:rsid w:val="00CB761B"/>
    <w:rsid w:val="00CB766B"/>
    <w:rsid w:val="00CB78F0"/>
    <w:rsid w:val="00CB78F8"/>
    <w:rsid w:val="00CB797D"/>
    <w:rsid w:val="00CB79B4"/>
    <w:rsid w:val="00CB79D5"/>
    <w:rsid w:val="00CB7AB5"/>
    <w:rsid w:val="00CB7AEA"/>
    <w:rsid w:val="00CB7BA2"/>
    <w:rsid w:val="00CB7C42"/>
    <w:rsid w:val="00CB7D60"/>
    <w:rsid w:val="00CB7E2A"/>
    <w:rsid w:val="00CB7E3B"/>
    <w:rsid w:val="00CB7E54"/>
    <w:rsid w:val="00CC0097"/>
    <w:rsid w:val="00CC0138"/>
    <w:rsid w:val="00CC0288"/>
    <w:rsid w:val="00CC046E"/>
    <w:rsid w:val="00CC05FE"/>
    <w:rsid w:val="00CC064F"/>
    <w:rsid w:val="00CC06DB"/>
    <w:rsid w:val="00CC074D"/>
    <w:rsid w:val="00CC0773"/>
    <w:rsid w:val="00CC0815"/>
    <w:rsid w:val="00CC09EC"/>
    <w:rsid w:val="00CC0AA5"/>
    <w:rsid w:val="00CC0AE1"/>
    <w:rsid w:val="00CC0B1A"/>
    <w:rsid w:val="00CC0BB0"/>
    <w:rsid w:val="00CC0C10"/>
    <w:rsid w:val="00CC0DB2"/>
    <w:rsid w:val="00CC0DBE"/>
    <w:rsid w:val="00CC0DEC"/>
    <w:rsid w:val="00CC0F1F"/>
    <w:rsid w:val="00CC1080"/>
    <w:rsid w:val="00CC1081"/>
    <w:rsid w:val="00CC10B6"/>
    <w:rsid w:val="00CC10C2"/>
    <w:rsid w:val="00CC112F"/>
    <w:rsid w:val="00CC1243"/>
    <w:rsid w:val="00CC13A3"/>
    <w:rsid w:val="00CC13C3"/>
    <w:rsid w:val="00CC1472"/>
    <w:rsid w:val="00CC15C6"/>
    <w:rsid w:val="00CC1601"/>
    <w:rsid w:val="00CC178D"/>
    <w:rsid w:val="00CC18BB"/>
    <w:rsid w:val="00CC1963"/>
    <w:rsid w:val="00CC1A2D"/>
    <w:rsid w:val="00CC1A81"/>
    <w:rsid w:val="00CC1C04"/>
    <w:rsid w:val="00CC1C42"/>
    <w:rsid w:val="00CC1CBE"/>
    <w:rsid w:val="00CC1DAA"/>
    <w:rsid w:val="00CC1E75"/>
    <w:rsid w:val="00CC1F84"/>
    <w:rsid w:val="00CC21BE"/>
    <w:rsid w:val="00CC21DA"/>
    <w:rsid w:val="00CC2225"/>
    <w:rsid w:val="00CC2336"/>
    <w:rsid w:val="00CC2356"/>
    <w:rsid w:val="00CC239E"/>
    <w:rsid w:val="00CC23F7"/>
    <w:rsid w:val="00CC2532"/>
    <w:rsid w:val="00CC2666"/>
    <w:rsid w:val="00CC26EF"/>
    <w:rsid w:val="00CC2741"/>
    <w:rsid w:val="00CC277D"/>
    <w:rsid w:val="00CC27A4"/>
    <w:rsid w:val="00CC282F"/>
    <w:rsid w:val="00CC2C92"/>
    <w:rsid w:val="00CC2D36"/>
    <w:rsid w:val="00CC2E46"/>
    <w:rsid w:val="00CC2E8B"/>
    <w:rsid w:val="00CC2F0F"/>
    <w:rsid w:val="00CC2F9D"/>
    <w:rsid w:val="00CC31D4"/>
    <w:rsid w:val="00CC3249"/>
    <w:rsid w:val="00CC32D3"/>
    <w:rsid w:val="00CC345D"/>
    <w:rsid w:val="00CC34B4"/>
    <w:rsid w:val="00CC360B"/>
    <w:rsid w:val="00CC3642"/>
    <w:rsid w:val="00CC3684"/>
    <w:rsid w:val="00CC382A"/>
    <w:rsid w:val="00CC3856"/>
    <w:rsid w:val="00CC3860"/>
    <w:rsid w:val="00CC38AC"/>
    <w:rsid w:val="00CC3993"/>
    <w:rsid w:val="00CC39E0"/>
    <w:rsid w:val="00CC3A13"/>
    <w:rsid w:val="00CC3A7E"/>
    <w:rsid w:val="00CC3AF8"/>
    <w:rsid w:val="00CC3B5D"/>
    <w:rsid w:val="00CC3B78"/>
    <w:rsid w:val="00CC3BBF"/>
    <w:rsid w:val="00CC3C68"/>
    <w:rsid w:val="00CC3D45"/>
    <w:rsid w:val="00CC3D77"/>
    <w:rsid w:val="00CC3DEC"/>
    <w:rsid w:val="00CC4115"/>
    <w:rsid w:val="00CC4481"/>
    <w:rsid w:val="00CC44B1"/>
    <w:rsid w:val="00CC4562"/>
    <w:rsid w:val="00CC45E4"/>
    <w:rsid w:val="00CC480E"/>
    <w:rsid w:val="00CC4943"/>
    <w:rsid w:val="00CC496D"/>
    <w:rsid w:val="00CC497B"/>
    <w:rsid w:val="00CC4A9A"/>
    <w:rsid w:val="00CC4BFD"/>
    <w:rsid w:val="00CC4D75"/>
    <w:rsid w:val="00CC5095"/>
    <w:rsid w:val="00CC50E5"/>
    <w:rsid w:val="00CC519C"/>
    <w:rsid w:val="00CC51C2"/>
    <w:rsid w:val="00CC51DA"/>
    <w:rsid w:val="00CC540A"/>
    <w:rsid w:val="00CC541D"/>
    <w:rsid w:val="00CC5443"/>
    <w:rsid w:val="00CC544F"/>
    <w:rsid w:val="00CC559D"/>
    <w:rsid w:val="00CC55F1"/>
    <w:rsid w:val="00CC5603"/>
    <w:rsid w:val="00CC5719"/>
    <w:rsid w:val="00CC585A"/>
    <w:rsid w:val="00CC5982"/>
    <w:rsid w:val="00CC5ABF"/>
    <w:rsid w:val="00CC5AD3"/>
    <w:rsid w:val="00CC5AEB"/>
    <w:rsid w:val="00CC5B52"/>
    <w:rsid w:val="00CC5BF1"/>
    <w:rsid w:val="00CC5F9A"/>
    <w:rsid w:val="00CC60D6"/>
    <w:rsid w:val="00CC627F"/>
    <w:rsid w:val="00CC631A"/>
    <w:rsid w:val="00CC63BB"/>
    <w:rsid w:val="00CC63EF"/>
    <w:rsid w:val="00CC63F5"/>
    <w:rsid w:val="00CC6467"/>
    <w:rsid w:val="00CC675F"/>
    <w:rsid w:val="00CC6949"/>
    <w:rsid w:val="00CC6A98"/>
    <w:rsid w:val="00CC6B59"/>
    <w:rsid w:val="00CC6BC1"/>
    <w:rsid w:val="00CC6C80"/>
    <w:rsid w:val="00CC6D52"/>
    <w:rsid w:val="00CC6E3E"/>
    <w:rsid w:val="00CC6E7B"/>
    <w:rsid w:val="00CC6EA3"/>
    <w:rsid w:val="00CC6F79"/>
    <w:rsid w:val="00CC6FC3"/>
    <w:rsid w:val="00CC70A7"/>
    <w:rsid w:val="00CC74FE"/>
    <w:rsid w:val="00CC7566"/>
    <w:rsid w:val="00CC75DA"/>
    <w:rsid w:val="00CC77C7"/>
    <w:rsid w:val="00CC7892"/>
    <w:rsid w:val="00CC7910"/>
    <w:rsid w:val="00CC794F"/>
    <w:rsid w:val="00CC7964"/>
    <w:rsid w:val="00CC79A3"/>
    <w:rsid w:val="00CC79D8"/>
    <w:rsid w:val="00CC7A2D"/>
    <w:rsid w:val="00CC7AB9"/>
    <w:rsid w:val="00CC7C2A"/>
    <w:rsid w:val="00CC7C85"/>
    <w:rsid w:val="00CD0187"/>
    <w:rsid w:val="00CD02A8"/>
    <w:rsid w:val="00CD0390"/>
    <w:rsid w:val="00CD03A7"/>
    <w:rsid w:val="00CD0415"/>
    <w:rsid w:val="00CD0432"/>
    <w:rsid w:val="00CD04AB"/>
    <w:rsid w:val="00CD056A"/>
    <w:rsid w:val="00CD0651"/>
    <w:rsid w:val="00CD0792"/>
    <w:rsid w:val="00CD0894"/>
    <w:rsid w:val="00CD08D6"/>
    <w:rsid w:val="00CD090C"/>
    <w:rsid w:val="00CD093C"/>
    <w:rsid w:val="00CD0B08"/>
    <w:rsid w:val="00CD0B1A"/>
    <w:rsid w:val="00CD0C13"/>
    <w:rsid w:val="00CD0C92"/>
    <w:rsid w:val="00CD0C9A"/>
    <w:rsid w:val="00CD0D95"/>
    <w:rsid w:val="00CD0DA7"/>
    <w:rsid w:val="00CD0F8C"/>
    <w:rsid w:val="00CD10D8"/>
    <w:rsid w:val="00CD1123"/>
    <w:rsid w:val="00CD1128"/>
    <w:rsid w:val="00CD1166"/>
    <w:rsid w:val="00CD11C8"/>
    <w:rsid w:val="00CD143E"/>
    <w:rsid w:val="00CD148B"/>
    <w:rsid w:val="00CD151C"/>
    <w:rsid w:val="00CD16A8"/>
    <w:rsid w:val="00CD1931"/>
    <w:rsid w:val="00CD19F3"/>
    <w:rsid w:val="00CD1C29"/>
    <w:rsid w:val="00CD1C79"/>
    <w:rsid w:val="00CD1D7E"/>
    <w:rsid w:val="00CD1F44"/>
    <w:rsid w:val="00CD200D"/>
    <w:rsid w:val="00CD202B"/>
    <w:rsid w:val="00CD23E4"/>
    <w:rsid w:val="00CD2557"/>
    <w:rsid w:val="00CD27BC"/>
    <w:rsid w:val="00CD2899"/>
    <w:rsid w:val="00CD2A4D"/>
    <w:rsid w:val="00CD2A5E"/>
    <w:rsid w:val="00CD2AD6"/>
    <w:rsid w:val="00CD2B15"/>
    <w:rsid w:val="00CD2B49"/>
    <w:rsid w:val="00CD2B57"/>
    <w:rsid w:val="00CD2B9A"/>
    <w:rsid w:val="00CD2CEE"/>
    <w:rsid w:val="00CD313A"/>
    <w:rsid w:val="00CD324D"/>
    <w:rsid w:val="00CD334F"/>
    <w:rsid w:val="00CD33F9"/>
    <w:rsid w:val="00CD34C1"/>
    <w:rsid w:val="00CD3640"/>
    <w:rsid w:val="00CD3656"/>
    <w:rsid w:val="00CD377F"/>
    <w:rsid w:val="00CD37C7"/>
    <w:rsid w:val="00CD3945"/>
    <w:rsid w:val="00CD3991"/>
    <w:rsid w:val="00CD39F3"/>
    <w:rsid w:val="00CD3A3C"/>
    <w:rsid w:val="00CD3A77"/>
    <w:rsid w:val="00CD3B0A"/>
    <w:rsid w:val="00CD3C44"/>
    <w:rsid w:val="00CD3CDC"/>
    <w:rsid w:val="00CD3D6B"/>
    <w:rsid w:val="00CD3E14"/>
    <w:rsid w:val="00CD3E63"/>
    <w:rsid w:val="00CD40F3"/>
    <w:rsid w:val="00CD42F4"/>
    <w:rsid w:val="00CD434C"/>
    <w:rsid w:val="00CD440A"/>
    <w:rsid w:val="00CD448A"/>
    <w:rsid w:val="00CD44A5"/>
    <w:rsid w:val="00CD44B0"/>
    <w:rsid w:val="00CD44DA"/>
    <w:rsid w:val="00CD44F0"/>
    <w:rsid w:val="00CD450A"/>
    <w:rsid w:val="00CD45A2"/>
    <w:rsid w:val="00CD466D"/>
    <w:rsid w:val="00CD4688"/>
    <w:rsid w:val="00CD4798"/>
    <w:rsid w:val="00CD4838"/>
    <w:rsid w:val="00CD4843"/>
    <w:rsid w:val="00CD48CC"/>
    <w:rsid w:val="00CD49E0"/>
    <w:rsid w:val="00CD4E88"/>
    <w:rsid w:val="00CD4E99"/>
    <w:rsid w:val="00CD500F"/>
    <w:rsid w:val="00CD50A7"/>
    <w:rsid w:val="00CD512B"/>
    <w:rsid w:val="00CD517F"/>
    <w:rsid w:val="00CD51E4"/>
    <w:rsid w:val="00CD5200"/>
    <w:rsid w:val="00CD5396"/>
    <w:rsid w:val="00CD5414"/>
    <w:rsid w:val="00CD5475"/>
    <w:rsid w:val="00CD5506"/>
    <w:rsid w:val="00CD556F"/>
    <w:rsid w:val="00CD55CA"/>
    <w:rsid w:val="00CD565B"/>
    <w:rsid w:val="00CD5662"/>
    <w:rsid w:val="00CD566A"/>
    <w:rsid w:val="00CD589E"/>
    <w:rsid w:val="00CD592D"/>
    <w:rsid w:val="00CD5990"/>
    <w:rsid w:val="00CD5A08"/>
    <w:rsid w:val="00CD5A14"/>
    <w:rsid w:val="00CD5AFB"/>
    <w:rsid w:val="00CD5B81"/>
    <w:rsid w:val="00CD5BB4"/>
    <w:rsid w:val="00CD5C8A"/>
    <w:rsid w:val="00CD5E46"/>
    <w:rsid w:val="00CD5EEA"/>
    <w:rsid w:val="00CD6015"/>
    <w:rsid w:val="00CD6031"/>
    <w:rsid w:val="00CD605F"/>
    <w:rsid w:val="00CD6159"/>
    <w:rsid w:val="00CD633E"/>
    <w:rsid w:val="00CD63C1"/>
    <w:rsid w:val="00CD6451"/>
    <w:rsid w:val="00CD6453"/>
    <w:rsid w:val="00CD6549"/>
    <w:rsid w:val="00CD654B"/>
    <w:rsid w:val="00CD663F"/>
    <w:rsid w:val="00CD667A"/>
    <w:rsid w:val="00CD6695"/>
    <w:rsid w:val="00CD66A1"/>
    <w:rsid w:val="00CD66DE"/>
    <w:rsid w:val="00CD692A"/>
    <w:rsid w:val="00CD6B27"/>
    <w:rsid w:val="00CD6B62"/>
    <w:rsid w:val="00CD6BBF"/>
    <w:rsid w:val="00CD6BC3"/>
    <w:rsid w:val="00CD6DA2"/>
    <w:rsid w:val="00CD6DFF"/>
    <w:rsid w:val="00CD6E1D"/>
    <w:rsid w:val="00CD6E48"/>
    <w:rsid w:val="00CD6ECA"/>
    <w:rsid w:val="00CD6FAC"/>
    <w:rsid w:val="00CD7049"/>
    <w:rsid w:val="00CD70C7"/>
    <w:rsid w:val="00CD7134"/>
    <w:rsid w:val="00CD7159"/>
    <w:rsid w:val="00CD7186"/>
    <w:rsid w:val="00CD728C"/>
    <w:rsid w:val="00CD7397"/>
    <w:rsid w:val="00CD73B5"/>
    <w:rsid w:val="00CD74A3"/>
    <w:rsid w:val="00CD7502"/>
    <w:rsid w:val="00CD76CE"/>
    <w:rsid w:val="00CD772D"/>
    <w:rsid w:val="00CD77C9"/>
    <w:rsid w:val="00CD77CE"/>
    <w:rsid w:val="00CD7834"/>
    <w:rsid w:val="00CD7934"/>
    <w:rsid w:val="00CD7A50"/>
    <w:rsid w:val="00CD7A55"/>
    <w:rsid w:val="00CD7A71"/>
    <w:rsid w:val="00CD7B08"/>
    <w:rsid w:val="00CD7B1B"/>
    <w:rsid w:val="00CD7C77"/>
    <w:rsid w:val="00CD7D68"/>
    <w:rsid w:val="00CE00AC"/>
    <w:rsid w:val="00CE019E"/>
    <w:rsid w:val="00CE0297"/>
    <w:rsid w:val="00CE0443"/>
    <w:rsid w:val="00CE04D7"/>
    <w:rsid w:val="00CE0543"/>
    <w:rsid w:val="00CE06A8"/>
    <w:rsid w:val="00CE0753"/>
    <w:rsid w:val="00CE0853"/>
    <w:rsid w:val="00CE0868"/>
    <w:rsid w:val="00CE0881"/>
    <w:rsid w:val="00CE08B3"/>
    <w:rsid w:val="00CE0A46"/>
    <w:rsid w:val="00CE0B94"/>
    <w:rsid w:val="00CE0C6D"/>
    <w:rsid w:val="00CE0CD4"/>
    <w:rsid w:val="00CE0DB7"/>
    <w:rsid w:val="00CE0E79"/>
    <w:rsid w:val="00CE0FD9"/>
    <w:rsid w:val="00CE0FDC"/>
    <w:rsid w:val="00CE1122"/>
    <w:rsid w:val="00CE11C4"/>
    <w:rsid w:val="00CE125B"/>
    <w:rsid w:val="00CE128A"/>
    <w:rsid w:val="00CE12DD"/>
    <w:rsid w:val="00CE1451"/>
    <w:rsid w:val="00CE145B"/>
    <w:rsid w:val="00CE14B7"/>
    <w:rsid w:val="00CE163D"/>
    <w:rsid w:val="00CE17CC"/>
    <w:rsid w:val="00CE1984"/>
    <w:rsid w:val="00CE1A43"/>
    <w:rsid w:val="00CE1A9D"/>
    <w:rsid w:val="00CE1B92"/>
    <w:rsid w:val="00CE1C05"/>
    <w:rsid w:val="00CE1C8A"/>
    <w:rsid w:val="00CE1D45"/>
    <w:rsid w:val="00CE1D6C"/>
    <w:rsid w:val="00CE1D88"/>
    <w:rsid w:val="00CE1DC3"/>
    <w:rsid w:val="00CE1E0B"/>
    <w:rsid w:val="00CE1FBD"/>
    <w:rsid w:val="00CE204A"/>
    <w:rsid w:val="00CE2069"/>
    <w:rsid w:val="00CE2134"/>
    <w:rsid w:val="00CE219B"/>
    <w:rsid w:val="00CE223E"/>
    <w:rsid w:val="00CE23E6"/>
    <w:rsid w:val="00CE2485"/>
    <w:rsid w:val="00CE2616"/>
    <w:rsid w:val="00CE2662"/>
    <w:rsid w:val="00CE26BC"/>
    <w:rsid w:val="00CE28C4"/>
    <w:rsid w:val="00CE2937"/>
    <w:rsid w:val="00CE2B71"/>
    <w:rsid w:val="00CE2B7D"/>
    <w:rsid w:val="00CE2BB6"/>
    <w:rsid w:val="00CE2D31"/>
    <w:rsid w:val="00CE2D80"/>
    <w:rsid w:val="00CE2E00"/>
    <w:rsid w:val="00CE2E58"/>
    <w:rsid w:val="00CE2E5F"/>
    <w:rsid w:val="00CE2E7C"/>
    <w:rsid w:val="00CE2FF4"/>
    <w:rsid w:val="00CE3016"/>
    <w:rsid w:val="00CE304E"/>
    <w:rsid w:val="00CE3088"/>
    <w:rsid w:val="00CE30AF"/>
    <w:rsid w:val="00CE30BC"/>
    <w:rsid w:val="00CE310C"/>
    <w:rsid w:val="00CE32A1"/>
    <w:rsid w:val="00CE32A6"/>
    <w:rsid w:val="00CE33B4"/>
    <w:rsid w:val="00CE3464"/>
    <w:rsid w:val="00CE368D"/>
    <w:rsid w:val="00CE38D1"/>
    <w:rsid w:val="00CE3BD4"/>
    <w:rsid w:val="00CE3BF2"/>
    <w:rsid w:val="00CE3BFA"/>
    <w:rsid w:val="00CE3CD7"/>
    <w:rsid w:val="00CE3DAD"/>
    <w:rsid w:val="00CE3DE9"/>
    <w:rsid w:val="00CE3E7D"/>
    <w:rsid w:val="00CE3E9D"/>
    <w:rsid w:val="00CE3F02"/>
    <w:rsid w:val="00CE3F14"/>
    <w:rsid w:val="00CE3F40"/>
    <w:rsid w:val="00CE4144"/>
    <w:rsid w:val="00CE4145"/>
    <w:rsid w:val="00CE41A9"/>
    <w:rsid w:val="00CE4309"/>
    <w:rsid w:val="00CE4446"/>
    <w:rsid w:val="00CE447D"/>
    <w:rsid w:val="00CE4615"/>
    <w:rsid w:val="00CE4855"/>
    <w:rsid w:val="00CE4994"/>
    <w:rsid w:val="00CE4A75"/>
    <w:rsid w:val="00CE4C26"/>
    <w:rsid w:val="00CE4C28"/>
    <w:rsid w:val="00CE4C70"/>
    <w:rsid w:val="00CE4CB1"/>
    <w:rsid w:val="00CE4D27"/>
    <w:rsid w:val="00CE4D65"/>
    <w:rsid w:val="00CE4E79"/>
    <w:rsid w:val="00CE5099"/>
    <w:rsid w:val="00CE50CC"/>
    <w:rsid w:val="00CE5211"/>
    <w:rsid w:val="00CE52DF"/>
    <w:rsid w:val="00CE52E0"/>
    <w:rsid w:val="00CE53FA"/>
    <w:rsid w:val="00CE5474"/>
    <w:rsid w:val="00CE54FD"/>
    <w:rsid w:val="00CE5652"/>
    <w:rsid w:val="00CE571D"/>
    <w:rsid w:val="00CE58DE"/>
    <w:rsid w:val="00CE5973"/>
    <w:rsid w:val="00CE5AB4"/>
    <w:rsid w:val="00CE5AFE"/>
    <w:rsid w:val="00CE5B02"/>
    <w:rsid w:val="00CE5BE1"/>
    <w:rsid w:val="00CE5C1B"/>
    <w:rsid w:val="00CE5D8B"/>
    <w:rsid w:val="00CE5DCB"/>
    <w:rsid w:val="00CE5DDD"/>
    <w:rsid w:val="00CE5E0F"/>
    <w:rsid w:val="00CE5F12"/>
    <w:rsid w:val="00CE6055"/>
    <w:rsid w:val="00CE6125"/>
    <w:rsid w:val="00CE6139"/>
    <w:rsid w:val="00CE6270"/>
    <w:rsid w:val="00CE6441"/>
    <w:rsid w:val="00CE6549"/>
    <w:rsid w:val="00CE66A6"/>
    <w:rsid w:val="00CE6706"/>
    <w:rsid w:val="00CE685D"/>
    <w:rsid w:val="00CE692C"/>
    <w:rsid w:val="00CE6997"/>
    <w:rsid w:val="00CE69B4"/>
    <w:rsid w:val="00CE6B89"/>
    <w:rsid w:val="00CE6BD2"/>
    <w:rsid w:val="00CE6DC9"/>
    <w:rsid w:val="00CE6E5C"/>
    <w:rsid w:val="00CE6E6A"/>
    <w:rsid w:val="00CE6FF0"/>
    <w:rsid w:val="00CE70B2"/>
    <w:rsid w:val="00CE72EF"/>
    <w:rsid w:val="00CE73A5"/>
    <w:rsid w:val="00CE7586"/>
    <w:rsid w:val="00CE75BA"/>
    <w:rsid w:val="00CE7659"/>
    <w:rsid w:val="00CE767C"/>
    <w:rsid w:val="00CE7915"/>
    <w:rsid w:val="00CE7B18"/>
    <w:rsid w:val="00CE7BE5"/>
    <w:rsid w:val="00CE7D1D"/>
    <w:rsid w:val="00CE7DFD"/>
    <w:rsid w:val="00CE7E84"/>
    <w:rsid w:val="00CE7EBA"/>
    <w:rsid w:val="00CE7F2A"/>
    <w:rsid w:val="00CF0026"/>
    <w:rsid w:val="00CF00C4"/>
    <w:rsid w:val="00CF0380"/>
    <w:rsid w:val="00CF0389"/>
    <w:rsid w:val="00CF0495"/>
    <w:rsid w:val="00CF04AA"/>
    <w:rsid w:val="00CF050B"/>
    <w:rsid w:val="00CF0581"/>
    <w:rsid w:val="00CF05CE"/>
    <w:rsid w:val="00CF079F"/>
    <w:rsid w:val="00CF086D"/>
    <w:rsid w:val="00CF0880"/>
    <w:rsid w:val="00CF0916"/>
    <w:rsid w:val="00CF09C2"/>
    <w:rsid w:val="00CF0B04"/>
    <w:rsid w:val="00CF0B4A"/>
    <w:rsid w:val="00CF0C56"/>
    <w:rsid w:val="00CF0CCA"/>
    <w:rsid w:val="00CF0D5C"/>
    <w:rsid w:val="00CF0E05"/>
    <w:rsid w:val="00CF0E15"/>
    <w:rsid w:val="00CF0EFB"/>
    <w:rsid w:val="00CF1178"/>
    <w:rsid w:val="00CF124B"/>
    <w:rsid w:val="00CF12C0"/>
    <w:rsid w:val="00CF12DF"/>
    <w:rsid w:val="00CF13C1"/>
    <w:rsid w:val="00CF1425"/>
    <w:rsid w:val="00CF149E"/>
    <w:rsid w:val="00CF1605"/>
    <w:rsid w:val="00CF1659"/>
    <w:rsid w:val="00CF19C8"/>
    <w:rsid w:val="00CF19E9"/>
    <w:rsid w:val="00CF1A69"/>
    <w:rsid w:val="00CF1A9D"/>
    <w:rsid w:val="00CF1B4D"/>
    <w:rsid w:val="00CF1C42"/>
    <w:rsid w:val="00CF1D7A"/>
    <w:rsid w:val="00CF1E00"/>
    <w:rsid w:val="00CF1E5F"/>
    <w:rsid w:val="00CF1F15"/>
    <w:rsid w:val="00CF1FAB"/>
    <w:rsid w:val="00CF1FF4"/>
    <w:rsid w:val="00CF203D"/>
    <w:rsid w:val="00CF2066"/>
    <w:rsid w:val="00CF2093"/>
    <w:rsid w:val="00CF20B8"/>
    <w:rsid w:val="00CF20C4"/>
    <w:rsid w:val="00CF214C"/>
    <w:rsid w:val="00CF262C"/>
    <w:rsid w:val="00CF2664"/>
    <w:rsid w:val="00CF271D"/>
    <w:rsid w:val="00CF2830"/>
    <w:rsid w:val="00CF28DB"/>
    <w:rsid w:val="00CF2965"/>
    <w:rsid w:val="00CF297E"/>
    <w:rsid w:val="00CF29B3"/>
    <w:rsid w:val="00CF29BE"/>
    <w:rsid w:val="00CF2A2A"/>
    <w:rsid w:val="00CF2A4E"/>
    <w:rsid w:val="00CF2A9B"/>
    <w:rsid w:val="00CF2AA0"/>
    <w:rsid w:val="00CF2B56"/>
    <w:rsid w:val="00CF2BD9"/>
    <w:rsid w:val="00CF2BF1"/>
    <w:rsid w:val="00CF2C68"/>
    <w:rsid w:val="00CF2D29"/>
    <w:rsid w:val="00CF2E09"/>
    <w:rsid w:val="00CF3113"/>
    <w:rsid w:val="00CF31C4"/>
    <w:rsid w:val="00CF31CD"/>
    <w:rsid w:val="00CF3297"/>
    <w:rsid w:val="00CF3307"/>
    <w:rsid w:val="00CF342B"/>
    <w:rsid w:val="00CF3536"/>
    <w:rsid w:val="00CF3597"/>
    <w:rsid w:val="00CF3A87"/>
    <w:rsid w:val="00CF3A97"/>
    <w:rsid w:val="00CF3BEC"/>
    <w:rsid w:val="00CF3DD6"/>
    <w:rsid w:val="00CF3F0D"/>
    <w:rsid w:val="00CF3FA0"/>
    <w:rsid w:val="00CF3FFA"/>
    <w:rsid w:val="00CF4028"/>
    <w:rsid w:val="00CF40AF"/>
    <w:rsid w:val="00CF4202"/>
    <w:rsid w:val="00CF4294"/>
    <w:rsid w:val="00CF42DB"/>
    <w:rsid w:val="00CF42F3"/>
    <w:rsid w:val="00CF439F"/>
    <w:rsid w:val="00CF43F7"/>
    <w:rsid w:val="00CF450B"/>
    <w:rsid w:val="00CF45BC"/>
    <w:rsid w:val="00CF46F2"/>
    <w:rsid w:val="00CF48C0"/>
    <w:rsid w:val="00CF4BF8"/>
    <w:rsid w:val="00CF4C73"/>
    <w:rsid w:val="00CF4E33"/>
    <w:rsid w:val="00CF505E"/>
    <w:rsid w:val="00CF5356"/>
    <w:rsid w:val="00CF5363"/>
    <w:rsid w:val="00CF54E2"/>
    <w:rsid w:val="00CF5548"/>
    <w:rsid w:val="00CF5B3D"/>
    <w:rsid w:val="00CF5F97"/>
    <w:rsid w:val="00CF5FBA"/>
    <w:rsid w:val="00CF603F"/>
    <w:rsid w:val="00CF6172"/>
    <w:rsid w:val="00CF6377"/>
    <w:rsid w:val="00CF63D0"/>
    <w:rsid w:val="00CF63ED"/>
    <w:rsid w:val="00CF6497"/>
    <w:rsid w:val="00CF64E8"/>
    <w:rsid w:val="00CF65FC"/>
    <w:rsid w:val="00CF6737"/>
    <w:rsid w:val="00CF6805"/>
    <w:rsid w:val="00CF692E"/>
    <w:rsid w:val="00CF69B4"/>
    <w:rsid w:val="00CF6A99"/>
    <w:rsid w:val="00CF6A9E"/>
    <w:rsid w:val="00CF6B28"/>
    <w:rsid w:val="00CF6DF3"/>
    <w:rsid w:val="00CF6E55"/>
    <w:rsid w:val="00CF6E87"/>
    <w:rsid w:val="00CF6EBD"/>
    <w:rsid w:val="00CF6ED0"/>
    <w:rsid w:val="00CF7111"/>
    <w:rsid w:val="00CF7137"/>
    <w:rsid w:val="00CF71B3"/>
    <w:rsid w:val="00CF7509"/>
    <w:rsid w:val="00CF758C"/>
    <w:rsid w:val="00CF775E"/>
    <w:rsid w:val="00CF7899"/>
    <w:rsid w:val="00CF78B7"/>
    <w:rsid w:val="00CF78D8"/>
    <w:rsid w:val="00CF7B85"/>
    <w:rsid w:val="00CF7B8F"/>
    <w:rsid w:val="00CF7C10"/>
    <w:rsid w:val="00CF7C7F"/>
    <w:rsid w:val="00CF7D75"/>
    <w:rsid w:val="00CF7E3F"/>
    <w:rsid w:val="00CF7E47"/>
    <w:rsid w:val="00D00257"/>
    <w:rsid w:val="00D003B7"/>
    <w:rsid w:val="00D003DE"/>
    <w:rsid w:val="00D00546"/>
    <w:rsid w:val="00D005F7"/>
    <w:rsid w:val="00D00628"/>
    <w:rsid w:val="00D0078B"/>
    <w:rsid w:val="00D00948"/>
    <w:rsid w:val="00D009DB"/>
    <w:rsid w:val="00D00A8E"/>
    <w:rsid w:val="00D00C6C"/>
    <w:rsid w:val="00D00D0F"/>
    <w:rsid w:val="00D00F11"/>
    <w:rsid w:val="00D01087"/>
    <w:rsid w:val="00D0109E"/>
    <w:rsid w:val="00D01209"/>
    <w:rsid w:val="00D013B3"/>
    <w:rsid w:val="00D01517"/>
    <w:rsid w:val="00D01531"/>
    <w:rsid w:val="00D015AA"/>
    <w:rsid w:val="00D015E8"/>
    <w:rsid w:val="00D01643"/>
    <w:rsid w:val="00D01692"/>
    <w:rsid w:val="00D0175B"/>
    <w:rsid w:val="00D017AD"/>
    <w:rsid w:val="00D017D9"/>
    <w:rsid w:val="00D019B1"/>
    <w:rsid w:val="00D01D18"/>
    <w:rsid w:val="00D01D1B"/>
    <w:rsid w:val="00D01D22"/>
    <w:rsid w:val="00D01E8B"/>
    <w:rsid w:val="00D01EDE"/>
    <w:rsid w:val="00D01F0A"/>
    <w:rsid w:val="00D01F1C"/>
    <w:rsid w:val="00D0211C"/>
    <w:rsid w:val="00D0228D"/>
    <w:rsid w:val="00D023DB"/>
    <w:rsid w:val="00D0243C"/>
    <w:rsid w:val="00D02457"/>
    <w:rsid w:val="00D0281E"/>
    <w:rsid w:val="00D0283B"/>
    <w:rsid w:val="00D028CA"/>
    <w:rsid w:val="00D0290E"/>
    <w:rsid w:val="00D02982"/>
    <w:rsid w:val="00D029AB"/>
    <w:rsid w:val="00D02A4E"/>
    <w:rsid w:val="00D02A5E"/>
    <w:rsid w:val="00D02CD9"/>
    <w:rsid w:val="00D02DD6"/>
    <w:rsid w:val="00D02EFA"/>
    <w:rsid w:val="00D02FEA"/>
    <w:rsid w:val="00D031CA"/>
    <w:rsid w:val="00D031EC"/>
    <w:rsid w:val="00D032B3"/>
    <w:rsid w:val="00D03371"/>
    <w:rsid w:val="00D03599"/>
    <w:rsid w:val="00D0365C"/>
    <w:rsid w:val="00D036F1"/>
    <w:rsid w:val="00D03789"/>
    <w:rsid w:val="00D03B9E"/>
    <w:rsid w:val="00D03BAD"/>
    <w:rsid w:val="00D03BC2"/>
    <w:rsid w:val="00D03C3C"/>
    <w:rsid w:val="00D03C4A"/>
    <w:rsid w:val="00D03C61"/>
    <w:rsid w:val="00D03CBD"/>
    <w:rsid w:val="00D03E6F"/>
    <w:rsid w:val="00D04024"/>
    <w:rsid w:val="00D04052"/>
    <w:rsid w:val="00D0410A"/>
    <w:rsid w:val="00D042F4"/>
    <w:rsid w:val="00D04680"/>
    <w:rsid w:val="00D04681"/>
    <w:rsid w:val="00D0492B"/>
    <w:rsid w:val="00D049DE"/>
    <w:rsid w:val="00D049F4"/>
    <w:rsid w:val="00D04A4E"/>
    <w:rsid w:val="00D04A82"/>
    <w:rsid w:val="00D04D60"/>
    <w:rsid w:val="00D04D74"/>
    <w:rsid w:val="00D04D7D"/>
    <w:rsid w:val="00D04E06"/>
    <w:rsid w:val="00D04E2E"/>
    <w:rsid w:val="00D04E60"/>
    <w:rsid w:val="00D04FB6"/>
    <w:rsid w:val="00D0505B"/>
    <w:rsid w:val="00D0506A"/>
    <w:rsid w:val="00D050B8"/>
    <w:rsid w:val="00D05498"/>
    <w:rsid w:val="00D0553F"/>
    <w:rsid w:val="00D05561"/>
    <w:rsid w:val="00D055FC"/>
    <w:rsid w:val="00D05715"/>
    <w:rsid w:val="00D05999"/>
    <w:rsid w:val="00D059CF"/>
    <w:rsid w:val="00D05BB2"/>
    <w:rsid w:val="00D05ED4"/>
    <w:rsid w:val="00D05F09"/>
    <w:rsid w:val="00D05F2A"/>
    <w:rsid w:val="00D060C9"/>
    <w:rsid w:val="00D060CE"/>
    <w:rsid w:val="00D061A2"/>
    <w:rsid w:val="00D0624F"/>
    <w:rsid w:val="00D06353"/>
    <w:rsid w:val="00D06484"/>
    <w:rsid w:val="00D064D4"/>
    <w:rsid w:val="00D064DB"/>
    <w:rsid w:val="00D064EB"/>
    <w:rsid w:val="00D0653B"/>
    <w:rsid w:val="00D06782"/>
    <w:rsid w:val="00D06B8E"/>
    <w:rsid w:val="00D06BA8"/>
    <w:rsid w:val="00D06C57"/>
    <w:rsid w:val="00D06D5B"/>
    <w:rsid w:val="00D06DAC"/>
    <w:rsid w:val="00D06DE6"/>
    <w:rsid w:val="00D06E25"/>
    <w:rsid w:val="00D06F63"/>
    <w:rsid w:val="00D06FB3"/>
    <w:rsid w:val="00D0700B"/>
    <w:rsid w:val="00D07088"/>
    <w:rsid w:val="00D07256"/>
    <w:rsid w:val="00D07297"/>
    <w:rsid w:val="00D072AF"/>
    <w:rsid w:val="00D07575"/>
    <w:rsid w:val="00D07619"/>
    <w:rsid w:val="00D07759"/>
    <w:rsid w:val="00D07777"/>
    <w:rsid w:val="00D0782C"/>
    <w:rsid w:val="00D0787A"/>
    <w:rsid w:val="00D07B7C"/>
    <w:rsid w:val="00D07C1E"/>
    <w:rsid w:val="00D07C3B"/>
    <w:rsid w:val="00D07DAD"/>
    <w:rsid w:val="00D07E66"/>
    <w:rsid w:val="00D07E96"/>
    <w:rsid w:val="00D07EB6"/>
    <w:rsid w:val="00D10094"/>
    <w:rsid w:val="00D101F7"/>
    <w:rsid w:val="00D10320"/>
    <w:rsid w:val="00D1032A"/>
    <w:rsid w:val="00D1033B"/>
    <w:rsid w:val="00D10364"/>
    <w:rsid w:val="00D10432"/>
    <w:rsid w:val="00D1046C"/>
    <w:rsid w:val="00D10485"/>
    <w:rsid w:val="00D104AB"/>
    <w:rsid w:val="00D10540"/>
    <w:rsid w:val="00D1064F"/>
    <w:rsid w:val="00D1069D"/>
    <w:rsid w:val="00D1079A"/>
    <w:rsid w:val="00D10834"/>
    <w:rsid w:val="00D10903"/>
    <w:rsid w:val="00D1092E"/>
    <w:rsid w:val="00D1094A"/>
    <w:rsid w:val="00D10B55"/>
    <w:rsid w:val="00D10D50"/>
    <w:rsid w:val="00D10DAD"/>
    <w:rsid w:val="00D10DD4"/>
    <w:rsid w:val="00D10E42"/>
    <w:rsid w:val="00D10F63"/>
    <w:rsid w:val="00D10F6E"/>
    <w:rsid w:val="00D11013"/>
    <w:rsid w:val="00D11157"/>
    <w:rsid w:val="00D11186"/>
    <w:rsid w:val="00D111F3"/>
    <w:rsid w:val="00D11241"/>
    <w:rsid w:val="00D11272"/>
    <w:rsid w:val="00D11292"/>
    <w:rsid w:val="00D11341"/>
    <w:rsid w:val="00D11475"/>
    <w:rsid w:val="00D11614"/>
    <w:rsid w:val="00D11691"/>
    <w:rsid w:val="00D1171A"/>
    <w:rsid w:val="00D1171D"/>
    <w:rsid w:val="00D117CF"/>
    <w:rsid w:val="00D1183F"/>
    <w:rsid w:val="00D11A82"/>
    <w:rsid w:val="00D11AD2"/>
    <w:rsid w:val="00D11BE1"/>
    <w:rsid w:val="00D11CD5"/>
    <w:rsid w:val="00D11FD5"/>
    <w:rsid w:val="00D120DC"/>
    <w:rsid w:val="00D1211E"/>
    <w:rsid w:val="00D12202"/>
    <w:rsid w:val="00D123B0"/>
    <w:rsid w:val="00D12491"/>
    <w:rsid w:val="00D125D7"/>
    <w:rsid w:val="00D125E2"/>
    <w:rsid w:val="00D12828"/>
    <w:rsid w:val="00D12B01"/>
    <w:rsid w:val="00D12D81"/>
    <w:rsid w:val="00D12F0E"/>
    <w:rsid w:val="00D12FFD"/>
    <w:rsid w:val="00D130B2"/>
    <w:rsid w:val="00D1310B"/>
    <w:rsid w:val="00D13194"/>
    <w:rsid w:val="00D131F7"/>
    <w:rsid w:val="00D132BC"/>
    <w:rsid w:val="00D13553"/>
    <w:rsid w:val="00D13689"/>
    <w:rsid w:val="00D13B0E"/>
    <w:rsid w:val="00D13C69"/>
    <w:rsid w:val="00D13C82"/>
    <w:rsid w:val="00D13E1A"/>
    <w:rsid w:val="00D13E29"/>
    <w:rsid w:val="00D13ED5"/>
    <w:rsid w:val="00D1430E"/>
    <w:rsid w:val="00D14391"/>
    <w:rsid w:val="00D145F5"/>
    <w:rsid w:val="00D14615"/>
    <w:rsid w:val="00D1461E"/>
    <w:rsid w:val="00D146F1"/>
    <w:rsid w:val="00D14760"/>
    <w:rsid w:val="00D1478C"/>
    <w:rsid w:val="00D14794"/>
    <w:rsid w:val="00D148FC"/>
    <w:rsid w:val="00D14BAA"/>
    <w:rsid w:val="00D14BF9"/>
    <w:rsid w:val="00D14D79"/>
    <w:rsid w:val="00D14DE9"/>
    <w:rsid w:val="00D14DEE"/>
    <w:rsid w:val="00D14EC6"/>
    <w:rsid w:val="00D14EF0"/>
    <w:rsid w:val="00D14F03"/>
    <w:rsid w:val="00D14F3F"/>
    <w:rsid w:val="00D14F56"/>
    <w:rsid w:val="00D15073"/>
    <w:rsid w:val="00D151DF"/>
    <w:rsid w:val="00D154CE"/>
    <w:rsid w:val="00D155A4"/>
    <w:rsid w:val="00D155B9"/>
    <w:rsid w:val="00D155CF"/>
    <w:rsid w:val="00D15648"/>
    <w:rsid w:val="00D1570E"/>
    <w:rsid w:val="00D15842"/>
    <w:rsid w:val="00D1598F"/>
    <w:rsid w:val="00D15A94"/>
    <w:rsid w:val="00D15B39"/>
    <w:rsid w:val="00D15B91"/>
    <w:rsid w:val="00D15BAA"/>
    <w:rsid w:val="00D15C19"/>
    <w:rsid w:val="00D15C93"/>
    <w:rsid w:val="00D15CAE"/>
    <w:rsid w:val="00D15D03"/>
    <w:rsid w:val="00D15D92"/>
    <w:rsid w:val="00D15E6B"/>
    <w:rsid w:val="00D15EC7"/>
    <w:rsid w:val="00D161CE"/>
    <w:rsid w:val="00D1637C"/>
    <w:rsid w:val="00D163CA"/>
    <w:rsid w:val="00D16411"/>
    <w:rsid w:val="00D165D5"/>
    <w:rsid w:val="00D165F3"/>
    <w:rsid w:val="00D16610"/>
    <w:rsid w:val="00D166A6"/>
    <w:rsid w:val="00D166F1"/>
    <w:rsid w:val="00D16755"/>
    <w:rsid w:val="00D167BE"/>
    <w:rsid w:val="00D16856"/>
    <w:rsid w:val="00D16887"/>
    <w:rsid w:val="00D168E4"/>
    <w:rsid w:val="00D16C44"/>
    <w:rsid w:val="00D16C91"/>
    <w:rsid w:val="00D16D2C"/>
    <w:rsid w:val="00D16DBA"/>
    <w:rsid w:val="00D16DBF"/>
    <w:rsid w:val="00D16E7F"/>
    <w:rsid w:val="00D16EB9"/>
    <w:rsid w:val="00D1706F"/>
    <w:rsid w:val="00D1712B"/>
    <w:rsid w:val="00D1716D"/>
    <w:rsid w:val="00D171AD"/>
    <w:rsid w:val="00D17589"/>
    <w:rsid w:val="00D175FA"/>
    <w:rsid w:val="00D177EC"/>
    <w:rsid w:val="00D17837"/>
    <w:rsid w:val="00D17850"/>
    <w:rsid w:val="00D17865"/>
    <w:rsid w:val="00D179C4"/>
    <w:rsid w:val="00D17A8F"/>
    <w:rsid w:val="00D17AF8"/>
    <w:rsid w:val="00D17B4B"/>
    <w:rsid w:val="00D17C96"/>
    <w:rsid w:val="00D17DF3"/>
    <w:rsid w:val="00D17E1C"/>
    <w:rsid w:val="00D17E70"/>
    <w:rsid w:val="00D17E94"/>
    <w:rsid w:val="00D17FE6"/>
    <w:rsid w:val="00D20068"/>
    <w:rsid w:val="00D20241"/>
    <w:rsid w:val="00D202A2"/>
    <w:rsid w:val="00D202B3"/>
    <w:rsid w:val="00D2035E"/>
    <w:rsid w:val="00D2049F"/>
    <w:rsid w:val="00D204C6"/>
    <w:rsid w:val="00D205BE"/>
    <w:rsid w:val="00D20608"/>
    <w:rsid w:val="00D2084E"/>
    <w:rsid w:val="00D208E3"/>
    <w:rsid w:val="00D2096D"/>
    <w:rsid w:val="00D2097E"/>
    <w:rsid w:val="00D20BB1"/>
    <w:rsid w:val="00D20BC4"/>
    <w:rsid w:val="00D20C65"/>
    <w:rsid w:val="00D20D23"/>
    <w:rsid w:val="00D20DA6"/>
    <w:rsid w:val="00D20E91"/>
    <w:rsid w:val="00D20F3F"/>
    <w:rsid w:val="00D20F9C"/>
    <w:rsid w:val="00D20FF1"/>
    <w:rsid w:val="00D2100B"/>
    <w:rsid w:val="00D21189"/>
    <w:rsid w:val="00D21276"/>
    <w:rsid w:val="00D2127F"/>
    <w:rsid w:val="00D21340"/>
    <w:rsid w:val="00D21394"/>
    <w:rsid w:val="00D213CE"/>
    <w:rsid w:val="00D2152C"/>
    <w:rsid w:val="00D21622"/>
    <w:rsid w:val="00D216E4"/>
    <w:rsid w:val="00D21722"/>
    <w:rsid w:val="00D2173B"/>
    <w:rsid w:val="00D21808"/>
    <w:rsid w:val="00D218DC"/>
    <w:rsid w:val="00D218F5"/>
    <w:rsid w:val="00D219E7"/>
    <w:rsid w:val="00D21A5A"/>
    <w:rsid w:val="00D21BBD"/>
    <w:rsid w:val="00D21D92"/>
    <w:rsid w:val="00D21E15"/>
    <w:rsid w:val="00D21EB5"/>
    <w:rsid w:val="00D21F72"/>
    <w:rsid w:val="00D21FE2"/>
    <w:rsid w:val="00D21FFA"/>
    <w:rsid w:val="00D220DB"/>
    <w:rsid w:val="00D2219A"/>
    <w:rsid w:val="00D2223D"/>
    <w:rsid w:val="00D2242D"/>
    <w:rsid w:val="00D22436"/>
    <w:rsid w:val="00D22455"/>
    <w:rsid w:val="00D2254F"/>
    <w:rsid w:val="00D22559"/>
    <w:rsid w:val="00D22590"/>
    <w:rsid w:val="00D225DD"/>
    <w:rsid w:val="00D22775"/>
    <w:rsid w:val="00D2285B"/>
    <w:rsid w:val="00D22891"/>
    <w:rsid w:val="00D22962"/>
    <w:rsid w:val="00D22A05"/>
    <w:rsid w:val="00D22B6A"/>
    <w:rsid w:val="00D22B7C"/>
    <w:rsid w:val="00D22C74"/>
    <w:rsid w:val="00D22E42"/>
    <w:rsid w:val="00D22E6C"/>
    <w:rsid w:val="00D22E7C"/>
    <w:rsid w:val="00D22EE1"/>
    <w:rsid w:val="00D22F92"/>
    <w:rsid w:val="00D22FC3"/>
    <w:rsid w:val="00D22FDF"/>
    <w:rsid w:val="00D230BD"/>
    <w:rsid w:val="00D2312F"/>
    <w:rsid w:val="00D23159"/>
    <w:rsid w:val="00D231AF"/>
    <w:rsid w:val="00D232B2"/>
    <w:rsid w:val="00D2335D"/>
    <w:rsid w:val="00D23409"/>
    <w:rsid w:val="00D23420"/>
    <w:rsid w:val="00D234C4"/>
    <w:rsid w:val="00D234D6"/>
    <w:rsid w:val="00D234DD"/>
    <w:rsid w:val="00D23524"/>
    <w:rsid w:val="00D23708"/>
    <w:rsid w:val="00D23795"/>
    <w:rsid w:val="00D2382D"/>
    <w:rsid w:val="00D23975"/>
    <w:rsid w:val="00D23994"/>
    <w:rsid w:val="00D23A12"/>
    <w:rsid w:val="00D23A8F"/>
    <w:rsid w:val="00D23AE0"/>
    <w:rsid w:val="00D23CAE"/>
    <w:rsid w:val="00D23CC0"/>
    <w:rsid w:val="00D23DB3"/>
    <w:rsid w:val="00D23DDB"/>
    <w:rsid w:val="00D23E52"/>
    <w:rsid w:val="00D240B2"/>
    <w:rsid w:val="00D242D3"/>
    <w:rsid w:val="00D24332"/>
    <w:rsid w:val="00D243EA"/>
    <w:rsid w:val="00D243F9"/>
    <w:rsid w:val="00D245EE"/>
    <w:rsid w:val="00D2467B"/>
    <w:rsid w:val="00D247C0"/>
    <w:rsid w:val="00D247E2"/>
    <w:rsid w:val="00D247E3"/>
    <w:rsid w:val="00D24826"/>
    <w:rsid w:val="00D24915"/>
    <w:rsid w:val="00D24AF1"/>
    <w:rsid w:val="00D24B6A"/>
    <w:rsid w:val="00D24B72"/>
    <w:rsid w:val="00D24D31"/>
    <w:rsid w:val="00D24E25"/>
    <w:rsid w:val="00D24FC9"/>
    <w:rsid w:val="00D25017"/>
    <w:rsid w:val="00D2504F"/>
    <w:rsid w:val="00D250A5"/>
    <w:rsid w:val="00D250E6"/>
    <w:rsid w:val="00D2528C"/>
    <w:rsid w:val="00D253D8"/>
    <w:rsid w:val="00D2543A"/>
    <w:rsid w:val="00D254BA"/>
    <w:rsid w:val="00D25531"/>
    <w:rsid w:val="00D2554A"/>
    <w:rsid w:val="00D25588"/>
    <w:rsid w:val="00D2562E"/>
    <w:rsid w:val="00D25727"/>
    <w:rsid w:val="00D2574B"/>
    <w:rsid w:val="00D257AD"/>
    <w:rsid w:val="00D257CF"/>
    <w:rsid w:val="00D259D1"/>
    <w:rsid w:val="00D25A2B"/>
    <w:rsid w:val="00D25C17"/>
    <w:rsid w:val="00D25D2A"/>
    <w:rsid w:val="00D25DE9"/>
    <w:rsid w:val="00D25E77"/>
    <w:rsid w:val="00D25F20"/>
    <w:rsid w:val="00D25FF3"/>
    <w:rsid w:val="00D2602F"/>
    <w:rsid w:val="00D26127"/>
    <w:rsid w:val="00D26240"/>
    <w:rsid w:val="00D26299"/>
    <w:rsid w:val="00D262EA"/>
    <w:rsid w:val="00D263AF"/>
    <w:rsid w:val="00D264AA"/>
    <w:rsid w:val="00D26775"/>
    <w:rsid w:val="00D2678A"/>
    <w:rsid w:val="00D267D5"/>
    <w:rsid w:val="00D267FF"/>
    <w:rsid w:val="00D26807"/>
    <w:rsid w:val="00D26963"/>
    <w:rsid w:val="00D269AB"/>
    <w:rsid w:val="00D26A3F"/>
    <w:rsid w:val="00D26AB1"/>
    <w:rsid w:val="00D26DE1"/>
    <w:rsid w:val="00D26E3A"/>
    <w:rsid w:val="00D26F14"/>
    <w:rsid w:val="00D270DB"/>
    <w:rsid w:val="00D270E1"/>
    <w:rsid w:val="00D271FE"/>
    <w:rsid w:val="00D2733A"/>
    <w:rsid w:val="00D2738E"/>
    <w:rsid w:val="00D27414"/>
    <w:rsid w:val="00D27464"/>
    <w:rsid w:val="00D2760C"/>
    <w:rsid w:val="00D27611"/>
    <w:rsid w:val="00D27652"/>
    <w:rsid w:val="00D277F4"/>
    <w:rsid w:val="00D27885"/>
    <w:rsid w:val="00D278BB"/>
    <w:rsid w:val="00D2797F"/>
    <w:rsid w:val="00D27B2A"/>
    <w:rsid w:val="00D27C19"/>
    <w:rsid w:val="00D27CAF"/>
    <w:rsid w:val="00D27D08"/>
    <w:rsid w:val="00D27D57"/>
    <w:rsid w:val="00D27DD6"/>
    <w:rsid w:val="00D27F87"/>
    <w:rsid w:val="00D30008"/>
    <w:rsid w:val="00D30118"/>
    <w:rsid w:val="00D30122"/>
    <w:rsid w:val="00D301F0"/>
    <w:rsid w:val="00D3022F"/>
    <w:rsid w:val="00D30450"/>
    <w:rsid w:val="00D30480"/>
    <w:rsid w:val="00D3052E"/>
    <w:rsid w:val="00D30569"/>
    <w:rsid w:val="00D305BA"/>
    <w:rsid w:val="00D306E5"/>
    <w:rsid w:val="00D306F5"/>
    <w:rsid w:val="00D30880"/>
    <w:rsid w:val="00D308C7"/>
    <w:rsid w:val="00D3091B"/>
    <w:rsid w:val="00D309BD"/>
    <w:rsid w:val="00D30B7D"/>
    <w:rsid w:val="00D30D11"/>
    <w:rsid w:val="00D30D50"/>
    <w:rsid w:val="00D30DD7"/>
    <w:rsid w:val="00D30DF9"/>
    <w:rsid w:val="00D30DFF"/>
    <w:rsid w:val="00D30EED"/>
    <w:rsid w:val="00D30F00"/>
    <w:rsid w:val="00D3100D"/>
    <w:rsid w:val="00D3104F"/>
    <w:rsid w:val="00D3121D"/>
    <w:rsid w:val="00D312F8"/>
    <w:rsid w:val="00D31301"/>
    <w:rsid w:val="00D31373"/>
    <w:rsid w:val="00D31541"/>
    <w:rsid w:val="00D31584"/>
    <w:rsid w:val="00D3162F"/>
    <w:rsid w:val="00D3164D"/>
    <w:rsid w:val="00D316A1"/>
    <w:rsid w:val="00D31972"/>
    <w:rsid w:val="00D3197F"/>
    <w:rsid w:val="00D31A6D"/>
    <w:rsid w:val="00D31DB2"/>
    <w:rsid w:val="00D3202B"/>
    <w:rsid w:val="00D32101"/>
    <w:rsid w:val="00D3219B"/>
    <w:rsid w:val="00D32360"/>
    <w:rsid w:val="00D32384"/>
    <w:rsid w:val="00D3240A"/>
    <w:rsid w:val="00D3258F"/>
    <w:rsid w:val="00D32655"/>
    <w:rsid w:val="00D32709"/>
    <w:rsid w:val="00D32898"/>
    <w:rsid w:val="00D328FA"/>
    <w:rsid w:val="00D32912"/>
    <w:rsid w:val="00D329A3"/>
    <w:rsid w:val="00D329F1"/>
    <w:rsid w:val="00D32A0F"/>
    <w:rsid w:val="00D32B07"/>
    <w:rsid w:val="00D32BA3"/>
    <w:rsid w:val="00D32BED"/>
    <w:rsid w:val="00D32C2B"/>
    <w:rsid w:val="00D32C83"/>
    <w:rsid w:val="00D32E34"/>
    <w:rsid w:val="00D32F62"/>
    <w:rsid w:val="00D33038"/>
    <w:rsid w:val="00D331B2"/>
    <w:rsid w:val="00D331B8"/>
    <w:rsid w:val="00D332B6"/>
    <w:rsid w:val="00D3338F"/>
    <w:rsid w:val="00D33551"/>
    <w:rsid w:val="00D3356E"/>
    <w:rsid w:val="00D33592"/>
    <w:rsid w:val="00D33598"/>
    <w:rsid w:val="00D335A4"/>
    <w:rsid w:val="00D33663"/>
    <w:rsid w:val="00D336BF"/>
    <w:rsid w:val="00D33742"/>
    <w:rsid w:val="00D33968"/>
    <w:rsid w:val="00D339CD"/>
    <w:rsid w:val="00D33A31"/>
    <w:rsid w:val="00D33AD0"/>
    <w:rsid w:val="00D33B44"/>
    <w:rsid w:val="00D33B62"/>
    <w:rsid w:val="00D33DD7"/>
    <w:rsid w:val="00D33E20"/>
    <w:rsid w:val="00D33ED5"/>
    <w:rsid w:val="00D33FCF"/>
    <w:rsid w:val="00D340E4"/>
    <w:rsid w:val="00D341CD"/>
    <w:rsid w:val="00D341F3"/>
    <w:rsid w:val="00D342C3"/>
    <w:rsid w:val="00D342E9"/>
    <w:rsid w:val="00D34323"/>
    <w:rsid w:val="00D34337"/>
    <w:rsid w:val="00D344A2"/>
    <w:rsid w:val="00D34889"/>
    <w:rsid w:val="00D348B4"/>
    <w:rsid w:val="00D348F8"/>
    <w:rsid w:val="00D34928"/>
    <w:rsid w:val="00D34B44"/>
    <w:rsid w:val="00D34CC7"/>
    <w:rsid w:val="00D34D4D"/>
    <w:rsid w:val="00D34D75"/>
    <w:rsid w:val="00D34D8A"/>
    <w:rsid w:val="00D34E11"/>
    <w:rsid w:val="00D350BF"/>
    <w:rsid w:val="00D35117"/>
    <w:rsid w:val="00D3511B"/>
    <w:rsid w:val="00D3512E"/>
    <w:rsid w:val="00D35135"/>
    <w:rsid w:val="00D35177"/>
    <w:rsid w:val="00D3522F"/>
    <w:rsid w:val="00D3525F"/>
    <w:rsid w:val="00D3532E"/>
    <w:rsid w:val="00D353A1"/>
    <w:rsid w:val="00D353B4"/>
    <w:rsid w:val="00D35457"/>
    <w:rsid w:val="00D355F0"/>
    <w:rsid w:val="00D35813"/>
    <w:rsid w:val="00D359EF"/>
    <w:rsid w:val="00D359F1"/>
    <w:rsid w:val="00D35CE1"/>
    <w:rsid w:val="00D35D57"/>
    <w:rsid w:val="00D35DF0"/>
    <w:rsid w:val="00D35FF7"/>
    <w:rsid w:val="00D3603D"/>
    <w:rsid w:val="00D360BE"/>
    <w:rsid w:val="00D360FC"/>
    <w:rsid w:val="00D362B2"/>
    <w:rsid w:val="00D362BE"/>
    <w:rsid w:val="00D3633E"/>
    <w:rsid w:val="00D36340"/>
    <w:rsid w:val="00D36566"/>
    <w:rsid w:val="00D3679D"/>
    <w:rsid w:val="00D368E2"/>
    <w:rsid w:val="00D36A72"/>
    <w:rsid w:val="00D36AD0"/>
    <w:rsid w:val="00D36C6A"/>
    <w:rsid w:val="00D36C9C"/>
    <w:rsid w:val="00D36E18"/>
    <w:rsid w:val="00D36F2A"/>
    <w:rsid w:val="00D36F50"/>
    <w:rsid w:val="00D3705C"/>
    <w:rsid w:val="00D37120"/>
    <w:rsid w:val="00D3718A"/>
    <w:rsid w:val="00D371DC"/>
    <w:rsid w:val="00D37213"/>
    <w:rsid w:val="00D37225"/>
    <w:rsid w:val="00D373E0"/>
    <w:rsid w:val="00D37424"/>
    <w:rsid w:val="00D3752E"/>
    <w:rsid w:val="00D3753C"/>
    <w:rsid w:val="00D37627"/>
    <w:rsid w:val="00D37669"/>
    <w:rsid w:val="00D376B4"/>
    <w:rsid w:val="00D378B5"/>
    <w:rsid w:val="00D379BC"/>
    <w:rsid w:val="00D37BF9"/>
    <w:rsid w:val="00D37C55"/>
    <w:rsid w:val="00D37CD7"/>
    <w:rsid w:val="00D37D03"/>
    <w:rsid w:val="00D37D17"/>
    <w:rsid w:val="00D37E6B"/>
    <w:rsid w:val="00D4005C"/>
    <w:rsid w:val="00D401A3"/>
    <w:rsid w:val="00D401F6"/>
    <w:rsid w:val="00D404E6"/>
    <w:rsid w:val="00D40797"/>
    <w:rsid w:val="00D40843"/>
    <w:rsid w:val="00D40854"/>
    <w:rsid w:val="00D40A26"/>
    <w:rsid w:val="00D40AAE"/>
    <w:rsid w:val="00D40D28"/>
    <w:rsid w:val="00D40D77"/>
    <w:rsid w:val="00D40E09"/>
    <w:rsid w:val="00D40E17"/>
    <w:rsid w:val="00D40ECF"/>
    <w:rsid w:val="00D40ED1"/>
    <w:rsid w:val="00D41143"/>
    <w:rsid w:val="00D413F7"/>
    <w:rsid w:val="00D4144B"/>
    <w:rsid w:val="00D41468"/>
    <w:rsid w:val="00D4146D"/>
    <w:rsid w:val="00D414FE"/>
    <w:rsid w:val="00D4169D"/>
    <w:rsid w:val="00D41716"/>
    <w:rsid w:val="00D417E5"/>
    <w:rsid w:val="00D4180B"/>
    <w:rsid w:val="00D418D0"/>
    <w:rsid w:val="00D41B23"/>
    <w:rsid w:val="00D41C7D"/>
    <w:rsid w:val="00D41D68"/>
    <w:rsid w:val="00D41FFB"/>
    <w:rsid w:val="00D42199"/>
    <w:rsid w:val="00D421EF"/>
    <w:rsid w:val="00D422E1"/>
    <w:rsid w:val="00D42366"/>
    <w:rsid w:val="00D4260F"/>
    <w:rsid w:val="00D4268B"/>
    <w:rsid w:val="00D426D9"/>
    <w:rsid w:val="00D426ED"/>
    <w:rsid w:val="00D42810"/>
    <w:rsid w:val="00D4294A"/>
    <w:rsid w:val="00D42A21"/>
    <w:rsid w:val="00D42B02"/>
    <w:rsid w:val="00D42B24"/>
    <w:rsid w:val="00D42B76"/>
    <w:rsid w:val="00D42BFF"/>
    <w:rsid w:val="00D42CF2"/>
    <w:rsid w:val="00D42CFA"/>
    <w:rsid w:val="00D42D78"/>
    <w:rsid w:val="00D42E0A"/>
    <w:rsid w:val="00D42F1B"/>
    <w:rsid w:val="00D43174"/>
    <w:rsid w:val="00D431C7"/>
    <w:rsid w:val="00D432E6"/>
    <w:rsid w:val="00D4332B"/>
    <w:rsid w:val="00D43378"/>
    <w:rsid w:val="00D4373B"/>
    <w:rsid w:val="00D43892"/>
    <w:rsid w:val="00D438D1"/>
    <w:rsid w:val="00D43981"/>
    <w:rsid w:val="00D43AC8"/>
    <w:rsid w:val="00D43B1B"/>
    <w:rsid w:val="00D43BD3"/>
    <w:rsid w:val="00D43C1F"/>
    <w:rsid w:val="00D43DAD"/>
    <w:rsid w:val="00D43EC9"/>
    <w:rsid w:val="00D44051"/>
    <w:rsid w:val="00D440FC"/>
    <w:rsid w:val="00D441ED"/>
    <w:rsid w:val="00D442E7"/>
    <w:rsid w:val="00D4434F"/>
    <w:rsid w:val="00D443AE"/>
    <w:rsid w:val="00D443B7"/>
    <w:rsid w:val="00D444A7"/>
    <w:rsid w:val="00D4489D"/>
    <w:rsid w:val="00D44965"/>
    <w:rsid w:val="00D44989"/>
    <w:rsid w:val="00D44A07"/>
    <w:rsid w:val="00D44ABC"/>
    <w:rsid w:val="00D44AFF"/>
    <w:rsid w:val="00D44D67"/>
    <w:rsid w:val="00D44E1F"/>
    <w:rsid w:val="00D44E36"/>
    <w:rsid w:val="00D44E76"/>
    <w:rsid w:val="00D44EF4"/>
    <w:rsid w:val="00D450DA"/>
    <w:rsid w:val="00D45285"/>
    <w:rsid w:val="00D456C5"/>
    <w:rsid w:val="00D45700"/>
    <w:rsid w:val="00D459BC"/>
    <w:rsid w:val="00D45B5A"/>
    <w:rsid w:val="00D45BF9"/>
    <w:rsid w:val="00D45C26"/>
    <w:rsid w:val="00D45C90"/>
    <w:rsid w:val="00D45CC3"/>
    <w:rsid w:val="00D45D17"/>
    <w:rsid w:val="00D45ED0"/>
    <w:rsid w:val="00D45F21"/>
    <w:rsid w:val="00D46015"/>
    <w:rsid w:val="00D46050"/>
    <w:rsid w:val="00D4614A"/>
    <w:rsid w:val="00D4624C"/>
    <w:rsid w:val="00D46261"/>
    <w:rsid w:val="00D462E7"/>
    <w:rsid w:val="00D463AD"/>
    <w:rsid w:val="00D463DB"/>
    <w:rsid w:val="00D4651E"/>
    <w:rsid w:val="00D465BD"/>
    <w:rsid w:val="00D4669F"/>
    <w:rsid w:val="00D466C5"/>
    <w:rsid w:val="00D466E0"/>
    <w:rsid w:val="00D468C8"/>
    <w:rsid w:val="00D4696C"/>
    <w:rsid w:val="00D46A46"/>
    <w:rsid w:val="00D46B65"/>
    <w:rsid w:val="00D46D67"/>
    <w:rsid w:val="00D46D88"/>
    <w:rsid w:val="00D46D94"/>
    <w:rsid w:val="00D46E9A"/>
    <w:rsid w:val="00D46EF1"/>
    <w:rsid w:val="00D46FBF"/>
    <w:rsid w:val="00D47140"/>
    <w:rsid w:val="00D4724C"/>
    <w:rsid w:val="00D472CC"/>
    <w:rsid w:val="00D472DD"/>
    <w:rsid w:val="00D474B1"/>
    <w:rsid w:val="00D4750F"/>
    <w:rsid w:val="00D47680"/>
    <w:rsid w:val="00D476F5"/>
    <w:rsid w:val="00D477F1"/>
    <w:rsid w:val="00D47A24"/>
    <w:rsid w:val="00D47B9D"/>
    <w:rsid w:val="00D47BDC"/>
    <w:rsid w:val="00D47FC3"/>
    <w:rsid w:val="00D50003"/>
    <w:rsid w:val="00D50030"/>
    <w:rsid w:val="00D503C0"/>
    <w:rsid w:val="00D50427"/>
    <w:rsid w:val="00D5042F"/>
    <w:rsid w:val="00D5046F"/>
    <w:rsid w:val="00D504A0"/>
    <w:rsid w:val="00D50672"/>
    <w:rsid w:val="00D506AC"/>
    <w:rsid w:val="00D506F1"/>
    <w:rsid w:val="00D50724"/>
    <w:rsid w:val="00D50822"/>
    <w:rsid w:val="00D50879"/>
    <w:rsid w:val="00D50949"/>
    <w:rsid w:val="00D50A08"/>
    <w:rsid w:val="00D50A40"/>
    <w:rsid w:val="00D50A51"/>
    <w:rsid w:val="00D50B61"/>
    <w:rsid w:val="00D50BCA"/>
    <w:rsid w:val="00D50D58"/>
    <w:rsid w:val="00D50DF8"/>
    <w:rsid w:val="00D5105A"/>
    <w:rsid w:val="00D51199"/>
    <w:rsid w:val="00D515EB"/>
    <w:rsid w:val="00D51610"/>
    <w:rsid w:val="00D51671"/>
    <w:rsid w:val="00D51ABA"/>
    <w:rsid w:val="00D51B58"/>
    <w:rsid w:val="00D51C41"/>
    <w:rsid w:val="00D51C92"/>
    <w:rsid w:val="00D51FA1"/>
    <w:rsid w:val="00D520BE"/>
    <w:rsid w:val="00D52201"/>
    <w:rsid w:val="00D5222C"/>
    <w:rsid w:val="00D522A2"/>
    <w:rsid w:val="00D522DE"/>
    <w:rsid w:val="00D522F1"/>
    <w:rsid w:val="00D52395"/>
    <w:rsid w:val="00D5241D"/>
    <w:rsid w:val="00D526AF"/>
    <w:rsid w:val="00D526D3"/>
    <w:rsid w:val="00D5274B"/>
    <w:rsid w:val="00D52888"/>
    <w:rsid w:val="00D528D9"/>
    <w:rsid w:val="00D52926"/>
    <w:rsid w:val="00D529F8"/>
    <w:rsid w:val="00D52D10"/>
    <w:rsid w:val="00D52D64"/>
    <w:rsid w:val="00D52DEC"/>
    <w:rsid w:val="00D52E1E"/>
    <w:rsid w:val="00D52E9A"/>
    <w:rsid w:val="00D52FC2"/>
    <w:rsid w:val="00D52FD1"/>
    <w:rsid w:val="00D53103"/>
    <w:rsid w:val="00D53259"/>
    <w:rsid w:val="00D53310"/>
    <w:rsid w:val="00D53322"/>
    <w:rsid w:val="00D53342"/>
    <w:rsid w:val="00D53656"/>
    <w:rsid w:val="00D536B0"/>
    <w:rsid w:val="00D53724"/>
    <w:rsid w:val="00D53728"/>
    <w:rsid w:val="00D53841"/>
    <w:rsid w:val="00D538C4"/>
    <w:rsid w:val="00D5394F"/>
    <w:rsid w:val="00D5396B"/>
    <w:rsid w:val="00D53AD1"/>
    <w:rsid w:val="00D53CB2"/>
    <w:rsid w:val="00D53CE1"/>
    <w:rsid w:val="00D53EB0"/>
    <w:rsid w:val="00D53F9C"/>
    <w:rsid w:val="00D54066"/>
    <w:rsid w:val="00D540F5"/>
    <w:rsid w:val="00D5411D"/>
    <w:rsid w:val="00D541EC"/>
    <w:rsid w:val="00D54357"/>
    <w:rsid w:val="00D543B5"/>
    <w:rsid w:val="00D5441A"/>
    <w:rsid w:val="00D5452A"/>
    <w:rsid w:val="00D54592"/>
    <w:rsid w:val="00D547E0"/>
    <w:rsid w:val="00D548B5"/>
    <w:rsid w:val="00D54A8A"/>
    <w:rsid w:val="00D54BA3"/>
    <w:rsid w:val="00D54DE8"/>
    <w:rsid w:val="00D54EF8"/>
    <w:rsid w:val="00D55017"/>
    <w:rsid w:val="00D55041"/>
    <w:rsid w:val="00D550B6"/>
    <w:rsid w:val="00D55315"/>
    <w:rsid w:val="00D5543B"/>
    <w:rsid w:val="00D55488"/>
    <w:rsid w:val="00D554FE"/>
    <w:rsid w:val="00D55537"/>
    <w:rsid w:val="00D55630"/>
    <w:rsid w:val="00D5567B"/>
    <w:rsid w:val="00D55695"/>
    <w:rsid w:val="00D55742"/>
    <w:rsid w:val="00D5582D"/>
    <w:rsid w:val="00D55986"/>
    <w:rsid w:val="00D55989"/>
    <w:rsid w:val="00D55990"/>
    <w:rsid w:val="00D559B7"/>
    <w:rsid w:val="00D55A4C"/>
    <w:rsid w:val="00D55BC3"/>
    <w:rsid w:val="00D55CC9"/>
    <w:rsid w:val="00D55D13"/>
    <w:rsid w:val="00D55D1D"/>
    <w:rsid w:val="00D55D21"/>
    <w:rsid w:val="00D55D86"/>
    <w:rsid w:val="00D55DA9"/>
    <w:rsid w:val="00D55DB3"/>
    <w:rsid w:val="00D55ECF"/>
    <w:rsid w:val="00D56077"/>
    <w:rsid w:val="00D56113"/>
    <w:rsid w:val="00D562DB"/>
    <w:rsid w:val="00D5632F"/>
    <w:rsid w:val="00D56387"/>
    <w:rsid w:val="00D56431"/>
    <w:rsid w:val="00D564AC"/>
    <w:rsid w:val="00D565D3"/>
    <w:rsid w:val="00D56638"/>
    <w:rsid w:val="00D56803"/>
    <w:rsid w:val="00D56AA2"/>
    <w:rsid w:val="00D56B03"/>
    <w:rsid w:val="00D56B62"/>
    <w:rsid w:val="00D56CDC"/>
    <w:rsid w:val="00D56DD3"/>
    <w:rsid w:val="00D57093"/>
    <w:rsid w:val="00D57193"/>
    <w:rsid w:val="00D57421"/>
    <w:rsid w:val="00D578E2"/>
    <w:rsid w:val="00D57924"/>
    <w:rsid w:val="00D579A0"/>
    <w:rsid w:val="00D57AB6"/>
    <w:rsid w:val="00D57B12"/>
    <w:rsid w:val="00D57B22"/>
    <w:rsid w:val="00D57B43"/>
    <w:rsid w:val="00D57C0E"/>
    <w:rsid w:val="00D57CE1"/>
    <w:rsid w:val="00D57D80"/>
    <w:rsid w:val="00D57DF0"/>
    <w:rsid w:val="00D57F40"/>
    <w:rsid w:val="00D57FB6"/>
    <w:rsid w:val="00D60126"/>
    <w:rsid w:val="00D60190"/>
    <w:rsid w:val="00D6020D"/>
    <w:rsid w:val="00D60216"/>
    <w:rsid w:val="00D60386"/>
    <w:rsid w:val="00D6048E"/>
    <w:rsid w:val="00D605F1"/>
    <w:rsid w:val="00D606BE"/>
    <w:rsid w:val="00D606E7"/>
    <w:rsid w:val="00D60968"/>
    <w:rsid w:val="00D60AA8"/>
    <w:rsid w:val="00D60C11"/>
    <w:rsid w:val="00D60D8C"/>
    <w:rsid w:val="00D60EE4"/>
    <w:rsid w:val="00D60F66"/>
    <w:rsid w:val="00D61097"/>
    <w:rsid w:val="00D610AC"/>
    <w:rsid w:val="00D611A9"/>
    <w:rsid w:val="00D61431"/>
    <w:rsid w:val="00D61493"/>
    <w:rsid w:val="00D61505"/>
    <w:rsid w:val="00D61579"/>
    <w:rsid w:val="00D6160C"/>
    <w:rsid w:val="00D619B5"/>
    <w:rsid w:val="00D61A1F"/>
    <w:rsid w:val="00D61B2F"/>
    <w:rsid w:val="00D61B3B"/>
    <w:rsid w:val="00D61C1F"/>
    <w:rsid w:val="00D61DD2"/>
    <w:rsid w:val="00D61DD5"/>
    <w:rsid w:val="00D61E5F"/>
    <w:rsid w:val="00D620C2"/>
    <w:rsid w:val="00D62175"/>
    <w:rsid w:val="00D6217E"/>
    <w:rsid w:val="00D62475"/>
    <w:rsid w:val="00D62A3F"/>
    <w:rsid w:val="00D62C13"/>
    <w:rsid w:val="00D62C2B"/>
    <w:rsid w:val="00D62C2D"/>
    <w:rsid w:val="00D62CE8"/>
    <w:rsid w:val="00D62D99"/>
    <w:rsid w:val="00D62DDC"/>
    <w:rsid w:val="00D630CF"/>
    <w:rsid w:val="00D632C6"/>
    <w:rsid w:val="00D633D7"/>
    <w:rsid w:val="00D636C7"/>
    <w:rsid w:val="00D63705"/>
    <w:rsid w:val="00D6373D"/>
    <w:rsid w:val="00D63783"/>
    <w:rsid w:val="00D637B1"/>
    <w:rsid w:val="00D6392E"/>
    <w:rsid w:val="00D63980"/>
    <w:rsid w:val="00D63A90"/>
    <w:rsid w:val="00D63E3D"/>
    <w:rsid w:val="00D63F17"/>
    <w:rsid w:val="00D63F3E"/>
    <w:rsid w:val="00D64063"/>
    <w:rsid w:val="00D640E4"/>
    <w:rsid w:val="00D64229"/>
    <w:rsid w:val="00D6424B"/>
    <w:rsid w:val="00D6432C"/>
    <w:rsid w:val="00D64331"/>
    <w:rsid w:val="00D64334"/>
    <w:rsid w:val="00D643F4"/>
    <w:rsid w:val="00D646B9"/>
    <w:rsid w:val="00D647A4"/>
    <w:rsid w:val="00D647B8"/>
    <w:rsid w:val="00D647C0"/>
    <w:rsid w:val="00D64961"/>
    <w:rsid w:val="00D64AE9"/>
    <w:rsid w:val="00D64BA7"/>
    <w:rsid w:val="00D64C51"/>
    <w:rsid w:val="00D64CEC"/>
    <w:rsid w:val="00D64DB6"/>
    <w:rsid w:val="00D64DD3"/>
    <w:rsid w:val="00D64E03"/>
    <w:rsid w:val="00D64ED3"/>
    <w:rsid w:val="00D64F27"/>
    <w:rsid w:val="00D64FA7"/>
    <w:rsid w:val="00D65003"/>
    <w:rsid w:val="00D6512A"/>
    <w:rsid w:val="00D652FF"/>
    <w:rsid w:val="00D65326"/>
    <w:rsid w:val="00D653BC"/>
    <w:rsid w:val="00D658E2"/>
    <w:rsid w:val="00D659BE"/>
    <w:rsid w:val="00D659E7"/>
    <w:rsid w:val="00D65C24"/>
    <w:rsid w:val="00D65C37"/>
    <w:rsid w:val="00D65DA2"/>
    <w:rsid w:val="00D65EDA"/>
    <w:rsid w:val="00D65F88"/>
    <w:rsid w:val="00D66074"/>
    <w:rsid w:val="00D660BC"/>
    <w:rsid w:val="00D660D2"/>
    <w:rsid w:val="00D66300"/>
    <w:rsid w:val="00D66335"/>
    <w:rsid w:val="00D664FA"/>
    <w:rsid w:val="00D66580"/>
    <w:rsid w:val="00D66666"/>
    <w:rsid w:val="00D666A0"/>
    <w:rsid w:val="00D666FA"/>
    <w:rsid w:val="00D66841"/>
    <w:rsid w:val="00D6697E"/>
    <w:rsid w:val="00D66A2B"/>
    <w:rsid w:val="00D66A3E"/>
    <w:rsid w:val="00D66B6A"/>
    <w:rsid w:val="00D66B88"/>
    <w:rsid w:val="00D66C6E"/>
    <w:rsid w:val="00D66C97"/>
    <w:rsid w:val="00D66FE5"/>
    <w:rsid w:val="00D670CC"/>
    <w:rsid w:val="00D67116"/>
    <w:rsid w:val="00D6717A"/>
    <w:rsid w:val="00D671DB"/>
    <w:rsid w:val="00D67211"/>
    <w:rsid w:val="00D672C9"/>
    <w:rsid w:val="00D673DC"/>
    <w:rsid w:val="00D67462"/>
    <w:rsid w:val="00D67489"/>
    <w:rsid w:val="00D674BB"/>
    <w:rsid w:val="00D6758F"/>
    <w:rsid w:val="00D67643"/>
    <w:rsid w:val="00D677CF"/>
    <w:rsid w:val="00D677D9"/>
    <w:rsid w:val="00D67C84"/>
    <w:rsid w:val="00D67D14"/>
    <w:rsid w:val="00D67D28"/>
    <w:rsid w:val="00D67DD0"/>
    <w:rsid w:val="00D67DE7"/>
    <w:rsid w:val="00D67DFB"/>
    <w:rsid w:val="00D67E33"/>
    <w:rsid w:val="00D67F96"/>
    <w:rsid w:val="00D67FCD"/>
    <w:rsid w:val="00D67FDD"/>
    <w:rsid w:val="00D7006A"/>
    <w:rsid w:val="00D70110"/>
    <w:rsid w:val="00D70207"/>
    <w:rsid w:val="00D70485"/>
    <w:rsid w:val="00D70539"/>
    <w:rsid w:val="00D705E1"/>
    <w:rsid w:val="00D70667"/>
    <w:rsid w:val="00D70772"/>
    <w:rsid w:val="00D70943"/>
    <w:rsid w:val="00D709D0"/>
    <w:rsid w:val="00D70D5A"/>
    <w:rsid w:val="00D70EAB"/>
    <w:rsid w:val="00D710C6"/>
    <w:rsid w:val="00D71263"/>
    <w:rsid w:val="00D71324"/>
    <w:rsid w:val="00D71347"/>
    <w:rsid w:val="00D714C6"/>
    <w:rsid w:val="00D7177A"/>
    <w:rsid w:val="00D7179E"/>
    <w:rsid w:val="00D717E9"/>
    <w:rsid w:val="00D7182D"/>
    <w:rsid w:val="00D71993"/>
    <w:rsid w:val="00D71A10"/>
    <w:rsid w:val="00D71A68"/>
    <w:rsid w:val="00D71AF2"/>
    <w:rsid w:val="00D71AFF"/>
    <w:rsid w:val="00D71C77"/>
    <w:rsid w:val="00D71D09"/>
    <w:rsid w:val="00D71E16"/>
    <w:rsid w:val="00D71FEA"/>
    <w:rsid w:val="00D72042"/>
    <w:rsid w:val="00D720AB"/>
    <w:rsid w:val="00D720FF"/>
    <w:rsid w:val="00D721B0"/>
    <w:rsid w:val="00D7226A"/>
    <w:rsid w:val="00D7226C"/>
    <w:rsid w:val="00D722DA"/>
    <w:rsid w:val="00D72307"/>
    <w:rsid w:val="00D723F0"/>
    <w:rsid w:val="00D723FE"/>
    <w:rsid w:val="00D7259A"/>
    <w:rsid w:val="00D725BD"/>
    <w:rsid w:val="00D7266F"/>
    <w:rsid w:val="00D726B7"/>
    <w:rsid w:val="00D726BD"/>
    <w:rsid w:val="00D7274A"/>
    <w:rsid w:val="00D7290B"/>
    <w:rsid w:val="00D7293C"/>
    <w:rsid w:val="00D72F20"/>
    <w:rsid w:val="00D72F33"/>
    <w:rsid w:val="00D7306C"/>
    <w:rsid w:val="00D73071"/>
    <w:rsid w:val="00D73212"/>
    <w:rsid w:val="00D733B5"/>
    <w:rsid w:val="00D73454"/>
    <w:rsid w:val="00D734D3"/>
    <w:rsid w:val="00D734E6"/>
    <w:rsid w:val="00D735D3"/>
    <w:rsid w:val="00D737B7"/>
    <w:rsid w:val="00D7391F"/>
    <w:rsid w:val="00D7396D"/>
    <w:rsid w:val="00D73991"/>
    <w:rsid w:val="00D739FA"/>
    <w:rsid w:val="00D73AE0"/>
    <w:rsid w:val="00D73AE8"/>
    <w:rsid w:val="00D73CE3"/>
    <w:rsid w:val="00D73D1B"/>
    <w:rsid w:val="00D73F83"/>
    <w:rsid w:val="00D740AE"/>
    <w:rsid w:val="00D740C3"/>
    <w:rsid w:val="00D7419F"/>
    <w:rsid w:val="00D741FF"/>
    <w:rsid w:val="00D742F5"/>
    <w:rsid w:val="00D744EB"/>
    <w:rsid w:val="00D74624"/>
    <w:rsid w:val="00D746AC"/>
    <w:rsid w:val="00D746D2"/>
    <w:rsid w:val="00D7473C"/>
    <w:rsid w:val="00D749E0"/>
    <w:rsid w:val="00D74B1F"/>
    <w:rsid w:val="00D74BCA"/>
    <w:rsid w:val="00D74C02"/>
    <w:rsid w:val="00D74CBB"/>
    <w:rsid w:val="00D74CDE"/>
    <w:rsid w:val="00D74D57"/>
    <w:rsid w:val="00D74EF4"/>
    <w:rsid w:val="00D750E8"/>
    <w:rsid w:val="00D7514A"/>
    <w:rsid w:val="00D75356"/>
    <w:rsid w:val="00D753FE"/>
    <w:rsid w:val="00D75459"/>
    <w:rsid w:val="00D7560A"/>
    <w:rsid w:val="00D757CF"/>
    <w:rsid w:val="00D75926"/>
    <w:rsid w:val="00D759AA"/>
    <w:rsid w:val="00D75A93"/>
    <w:rsid w:val="00D75AE8"/>
    <w:rsid w:val="00D75B48"/>
    <w:rsid w:val="00D75B75"/>
    <w:rsid w:val="00D75D16"/>
    <w:rsid w:val="00D75DDB"/>
    <w:rsid w:val="00D75F8B"/>
    <w:rsid w:val="00D75FD8"/>
    <w:rsid w:val="00D75FF9"/>
    <w:rsid w:val="00D76042"/>
    <w:rsid w:val="00D76074"/>
    <w:rsid w:val="00D7612F"/>
    <w:rsid w:val="00D7648C"/>
    <w:rsid w:val="00D76507"/>
    <w:rsid w:val="00D7650D"/>
    <w:rsid w:val="00D7651C"/>
    <w:rsid w:val="00D765F8"/>
    <w:rsid w:val="00D7669E"/>
    <w:rsid w:val="00D767C8"/>
    <w:rsid w:val="00D767E8"/>
    <w:rsid w:val="00D7683A"/>
    <w:rsid w:val="00D76B3A"/>
    <w:rsid w:val="00D76BD4"/>
    <w:rsid w:val="00D76DCF"/>
    <w:rsid w:val="00D76E0B"/>
    <w:rsid w:val="00D76E86"/>
    <w:rsid w:val="00D76EC3"/>
    <w:rsid w:val="00D76EDC"/>
    <w:rsid w:val="00D7712A"/>
    <w:rsid w:val="00D772B3"/>
    <w:rsid w:val="00D7745D"/>
    <w:rsid w:val="00D774E1"/>
    <w:rsid w:val="00D77522"/>
    <w:rsid w:val="00D77774"/>
    <w:rsid w:val="00D7779F"/>
    <w:rsid w:val="00D77816"/>
    <w:rsid w:val="00D778BA"/>
    <w:rsid w:val="00D77C96"/>
    <w:rsid w:val="00D800D6"/>
    <w:rsid w:val="00D80263"/>
    <w:rsid w:val="00D80338"/>
    <w:rsid w:val="00D80344"/>
    <w:rsid w:val="00D80347"/>
    <w:rsid w:val="00D80364"/>
    <w:rsid w:val="00D80406"/>
    <w:rsid w:val="00D80591"/>
    <w:rsid w:val="00D80599"/>
    <w:rsid w:val="00D806F7"/>
    <w:rsid w:val="00D806FB"/>
    <w:rsid w:val="00D80718"/>
    <w:rsid w:val="00D8074D"/>
    <w:rsid w:val="00D8076E"/>
    <w:rsid w:val="00D80856"/>
    <w:rsid w:val="00D809DE"/>
    <w:rsid w:val="00D80AFB"/>
    <w:rsid w:val="00D80CE0"/>
    <w:rsid w:val="00D80CF5"/>
    <w:rsid w:val="00D80D4E"/>
    <w:rsid w:val="00D80D84"/>
    <w:rsid w:val="00D81045"/>
    <w:rsid w:val="00D810C6"/>
    <w:rsid w:val="00D8114D"/>
    <w:rsid w:val="00D811B3"/>
    <w:rsid w:val="00D81264"/>
    <w:rsid w:val="00D812A6"/>
    <w:rsid w:val="00D81321"/>
    <w:rsid w:val="00D813A6"/>
    <w:rsid w:val="00D813D2"/>
    <w:rsid w:val="00D813E4"/>
    <w:rsid w:val="00D8155F"/>
    <w:rsid w:val="00D81700"/>
    <w:rsid w:val="00D8171D"/>
    <w:rsid w:val="00D817FD"/>
    <w:rsid w:val="00D81948"/>
    <w:rsid w:val="00D81A22"/>
    <w:rsid w:val="00D81A7F"/>
    <w:rsid w:val="00D81B7C"/>
    <w:rsid w:val="00D81BE2"/>
    <w:rsid w:val="00D81D22"/>
    <w:rsid w:val="00D81D75"/>
    <w:rsid w:val="00D81F80"/>
    <w:rsid w:val="00D81FB3"/>
    <w:rsid w:val="00D81FED"/>
    <w:rsid w:val="00D820FD"/>
    <w:rsid w:val="00D8228A"/>
    <w:rsid w:val="00D822F3"/>
    <w:rsid w:val="00D8256F"/>
    <w:rsid w:val="00D82648"/>
    <w:rsid w:val="00D82896"/>
    <w:rsid w:val="00D828A4"/>
    <w:rsid w:val="00D828D6"/>
    <w:rsid w:val="00D82908"/>
    <w:rsid w:val="00D82935"/>
    <w:rsid w:val="00D829F6"/>
    <w:rsid w:val="00D82C64"/>
    <w:rsid w:val="00D82CB2"/>
    <w:rsid w:val="00D82D0D"/>
    <w:rsid w:val="00D82E52"/>
    <w:rsid w:val="00D82F1F"/>
    <w:rsid w:val="00D82F21"/>
    <w:rsid w:val="00D83092"/>
    <w:rsid w:val="00D830AA"/>
    <w:rsid w:val="00D8321A"/>
    <w:rsid w:val="00D8339A"/>
    <w:rsid w:val="00D833D9"/>
    <w:rsid w:val="00D83411"/>
    <w:rsid w:val="00D83450"/>
    <w:rsid w:val="00D8361C"/>
    <w:rsid w:val="00D83844"/>
    <w:rsid w:val="00D83A37"/>
    <w:rsid w:val="00D83BD9"/>
    <w:rsid w:val="00D83C8E"/>
    <w:rsid w:val="00D83DD5"/>
    <w:rsid w:val="00D83EE1"/>
    <w:rsid w:val="00D83F7D"/>
    <w:rsid w:val="00D83FB7"/>
    <w:rsid w:val="00D8401C"/>
    <w:rsid w:val="00D84053"/>
    <w:rsid w:val="00D840AD"/>
    <w:rsid w:val="00D84131"/>
    <w:rsid w:val="00D84154"/>
    <w:rsid w:val="00D8418F"/>
    <w:rsid w:val="00D841E3"/>
    <w:rsid w:val="00D841E4"/>
    <w:rsid w:val="00D842A2"/>
    <w:rsid w:val="00D8431B"/>
    <w:rsid w:val="00D8444C"/>
    <w:rsid w:val="00D845C8"/>
    <w:rsid w:val="00D846F5"/>
    <w:rsid w:val="00D847B9"/>
    <w:rsid w:val="00D847F1"/>
    <w:rsid w:val="00D84878"/>
    <w:rsid w:val="00D84898"/>
    <w:rsid w:val="00D848C6"/>
    <w:rsid w:val="00D848CA"/>
    <w:rsid w:val="00D848D0"/>
    <w:rsid w:val="00D849D8"/>
    <w:rsid w:val="00D84AE3"/>
    <w:rsid w:val="00D84BDD"/>
    <w:rsid w:val="00D84C2F"/>
    <w:rsid w:val="00D84E88"/>
    <w:rsid w:val="00D84F2C"/>
    <w:rsid w:val="00D8509A"/>
    <w:rsid w:val="00D850F1"/>
    <w:rsid w:val="00D85196"/>
    <w:rsid w:val="00D851C5"/>
    <w:rsid w:val="00D8524A"/>
    <w:rsid w:val="00D852FF"/>
    <w:rsid w:val="00D853EB"/>
    <w:rsid w:val="00D85437"/>
    <w:rsid w:val="00D854BD"/>
    <w:rsid w:val="00D85641"/>
    <w:rsid w:val="00D8573C"/>
    <w:rsid w:val="00D857BB"/>
    <w:rsid w:val="00D8593D"/>
    <w:rsid w:val="00D85946"/>
    <w:rsid w:val="00D859AF"/>
    <w:rsid w:val="00D85A25"/>
    <w:rsid w:val="00D85A85"/>
    <w:rsid w:val="00D85B98"/>
    <w:rsid w:val="00D85C89"/>
    <w:rsid w:val="00D860A8"/>
    <w:rsid w:val="00D86124"/>
    <w:rsid w:val="00D86186"/>
    <w:rsid w:val="00D862FA"/>
    <w:rsid w:val="00D863EA"/>
    <w:rsid w:val="00D86449"/>
    <w:rsid w:val="00D86453"/>
    <w:rsid w:val="00D8651B"/>
    <w:rsid w:val="00D865EF"/>
    <w:rsid w:val="00D8668F"/>
    <w:rsid w:val="00D86705"/>
    <w:rsid w:val="00D86759"/>
    <w:rsid w:val="00D867E3"/>
    <w:rsid w:val="00D86841"/>
    <w:rsid w:val="00D86850"/>
    <w:rsid w:val="00D86A0C"/>
    <w:rsid w:val="00D86AD4"/>
    <w:rsid w:val="00D86D40"/>
    <w:rsid w:val="00D86E17"/>
    <w:rsid w:val="00D86E96"/>
    <w:rsid w:val="00D86F6D"/>
    <w:rsid w:val="00D86F6F"/>
    <w:rsid w:val="00D870AB"/>
    <w:rsid w:val="00D870F0"/>
    <w:rsid w:val="00D872E6"/>
    <w:rsid w:val="00D8736F"/>
    <w:rsid w:val="00D8739D"/>
    <w:rsid w:val="00D873E6"/>
    <w:rsid w:val="00D873FD"/>
    <w:rsid w:val="00D8741A"/>
    <w:rsid w:val="00D874A2"/>
    <w:rsid w:val="00D87630"/>
    <w:rsid w:val="00D87658"/>
    <w:rsid w:val="00D8797A"/>
    <w:rsid w:val="00D87A08"/>
    <w:rsid w:val="00D87A99"/>
    <w:rsid w:val="00D87B77"/>
    <w:rsid w:val="00D87C08"/>
    <w:rsid w:val="00D87D3A"/>
    <w:rsid w:val="00D87D47"/>
    <w:rsid w:val="00D87DDC"/>
    <w:rsid w:val="00D87E74"/>
    <w:rsid w:val="00D87E80"/>
    <w:rsid w:val="00D8FABB"/>
    <w:rsid w:val="00D900BF"/>
    <w:rsid w:val="00D900D9"/>
    <w:rsid w:val="00D90252"/>
    <w:rsid w:val="00D902AA"/>
    <w:rsid w:val="00D9055A"/>
    <w:rsid w:val="00D90699"/>
    <w:rsid w:val="00D906C4"/>
    <w:rsid w:val="00D906CE"/>
    <w:rsid w:val="00D9081A"/>
    <w:rsid w:val="00D908F1"/>
    <w:rsid w:val="00D90A03"/>
    <w:rsid w:val="00D90A0C"/>
    <w:rsid w:val="00D90BC7"/>
    <w:rsid w:val="00D90E8E"/>
    <w:rsid w:val="00D90F63"/>
    <w:rsid w:val="00D90FA1"/>
    <w:rsid w:val="00D90FCC"/>
    <w:rsid w:val="00D91040"/>
    <w:rsid w:val="00D91089"/>
    <w:rsid w:val="00D910E3"/>
    <w:rsid w:val="00D91235"/>
    <w:rsid w:val="00D91372"/>
    <w:rsid w:val="00D91382"/>
    <w:rsid w:val="00D91434"/>
    <w:rsid w:val="00D9143F"/>
    <w:rsid w:val="00D91525"/>
    <w:rsid w:val="00D91545"/>
    <w:rsid w:val="00D915A3"/>
    <w:rsid w:val="00D91618"/>
    <w:rsid w:val="00D919C3"/>
    <w:rsid w:val="00D919CC"/>
    <w:rsid w:val="00D91A49"/>
    <w:rsid w:val="00D91ACD"/>
    <w:rsid w:val="00D91AED"/>
    <w:rsid w:val="00D91CE6"/>
    <w:rsid w:val="00D91D8B"/>
    <w:rsid w:val="00D91DBD"/>
    <w:rsid w:val="00D91E28"/>
    <w:rsid w:val="00D91E8E"/>
    <w:rsid w:val="00D91F29"/>
    <w:rsid w:val="00D91F55"/>
    <w:rsid w:val="00D91FD4"/>
    <w:rsid w:val="00D9202A"/>
    <w:rsid w:val="00D92063"/>
    <w:rsid w:val="00D92126"/>
    <w:rsid w:val="00D92193"/>
    <w:rsid w:val="00D923DD"/>
    <w:rsid w:val="00D924DB"/>
    <w:rsid w:val="00D92750"/>
    <w:rsid w:val="00D9277F"/>
    <w:rsid w:val="00D927EA"/>
    <w:rsid w:val="00D92801"/>
    <w:rsid w:val="00D92998"/>
    <w:rsid w:val="00D929D3"/>
    <w:rsid w:val="00D92A5F"/>
    <w:rsid w:val="00D92D2F"/>
    <w:rsid w:val="00D92D83"/>
    <w:rsid w:val="00D92F7B"/>
    <w:rsid w:val="00D92FE5"/>
    <w:rsid w:val="00D9305E"/>
    <w:rsid w:val="00D9319A"/>
    <w:rsid w:val="00D9321E"/>
    <w:rsid w:val="00D932E1"/>
    <w:rsid w:val="00D93401"/>
    <w:rsid w:val="00D93427"/>
    <w:rsid w:val="00D93442"/>
    <w:rsid w:val="00D934C6"/>
    <w:rsid w:val="00D934FB"/>
    <w:rsid w:val="00D9350E"/>
    <w:rsid w:val="00D935D4"/>
    <w:rsid w:val="00D93756"/>
    <w:rsid w:val="00D9383A"/>
    <w:rsid w:val="00D93843"/>
    <w:rsid w:val="00D93E67"/>
    <w:rsid w:val="00D93F73"/>
    <w:rsid w:val="00D93F86"/>
    <w:rsid w:val="00D94309"/>
    <w:rsid w:val="00D9430D"/>
    <w:rsid w:val="00D94426"/>
    <w:rsid w:val="00D9457B"/>
    <w:rsid w:val="00D945AC"/>
    <w:rsid w:val="00D94619"/>
    <w:rsid w:val="00D94673"/>
    <w:rsid w:val="00D9476D"/>
    <w:rsid w:val="00D947CE"/>
    <w:rsid w:val="00D9488B"/>
    <w:rsid w:val="00D94A1F"/>
    <w:rsid w:val="00D94C0B"/>
    <w:rsid w:val="00D94C4C"/>
    <w:rsid w:val="00D94CA1"/>
    <w:rsid w:val="00D94CE6"/>
    <w:rsid w:val="00D94D08"/>
    <w:rsid w:val="00D94D52"/>
    <w:rsid w:val="00D94DCF"/>
    <w:rsid w:val="00D94E98"/>
    <w:rsid w:val="00D94EAE"/>
    <w:rsid w:val="00D9500B"/>
    <w:rsid w:val="00D950DA"/>
    <w:rsid w:val="00D9519D"/>
    <w:rsid w:val="00D9521A"/>
    <w:rsid w:val="00D95359"/>
    <w:rsid w:val="00D9541A"/>
    <w:rsid w:val="00D95424"/>
    <w:rsid w:val="00D954AA"/>
    <w:rsid w:val="00D954C7"/>
    <w:rsid w:val="00D95590"/>
    <w:rsid w:val="00D95797"/>
    <w:rsid w:val="00D95906"/>
    <w:rsid w:val="00D9595F"/>
    <w:rsid w:val="00D95B69"/>
    <w:rsid w:val="00D95C2C"/>
    <w:rsid w:val="00D95C49"/>
    <w:rsid w:val="00D95FAE"/>
    <w:rsid w:val="00D96027"/>
    <w:rsid w:val="00D96222"/>
    <w:rsid w:val="00D962C1"/>
    <w:rsid w:val="00D962DB"/>
    <w:rsid w:val="00D96383"/>
    <w:rsid w:val="00D963EF"/>
    <w:rsid w:val="00D964DB"/>
    <w:rsid w:val="00D965FC"/>
    <w:rsid w:val="00D9679D"/>
    <w:rsid w:val="00D96811"/>
    <w:rsid w:val="00D968AA"/>
    <w:rsid w:val="00D9699E"/>
    <w:rsid w:val="00D969CF"/>
    <w:rsid w:val="00D96CF0"/>
    <w:rsid w:val="00D96D9F"/>
    <w:rsid w:val="00D96EA2"/>
    <w:rsid w:val="00D971AD"/>
    <w:rsid w:val="00D97242"/>
    <w:rsid w:val="00D97257"/>
    <w:rsid w:val="00D97279"/>
    <w:rsid w:val="00D97362"/>
    <w:rsid w:val="00D973FB"/>
    <w:rsid w:val="00D9742D"/>
    <w:rsid w:val="00D974EB"/>
    <w:rsid w:val="00D97543"/>
    <w:rsid w:val="00D975C0"/>
    <w:rsid w:val="00D976B9"/>
    <w:rsid w:val="00D976E5"/>
    <w:rsid w:val="00D97708"/>
    <w:rsid w:val="00D97714"/>
    <w:rsid w:val="00D97847"/>
    <w:rsid w:val="00D978FB"/>
    <w:rsid w:val="00D97AD5"/>
    <w:rsid w:val="00D97DAA"/>
    <w:rsid w:val="00D97DFB"/>
    <w:rsid w:val="00D97F06"/>
    <w:rsid w:val="00D97FF4"/>
    <w:rsid w:val="00DA02CD"/>
    <w:rsid w:val="00DA02D0"/>
    <w:rsid w:val="00DA0363"/>
    <w:rsid w:val="00DA0513"/>
    <w:rsid w:val="00DA05CF"/>
    <w:rsid w:val="00DA071A"/>
    <w:rsid w:val="00DA08F4"/>
    <w:rsid w:val="00DA0A3B"/>
    <w:rsid w:val="00DA0D3A"/>
    <w:rsid w:val="00DA0E50"/>
    <w:rsid w:val="00DA0EFF"/>
    <w:rsid w:val="00DA0FB9"/>
    <w:rsid w:val="00DA1004"/>
    <w:rsid w:val="00DA1112"/>
    <w:rsid w:val="00DA1148"/>
    <w:rsid w:val="00DA128B"/>
    <w:rsid w:val="00DA1387"/>
    <w:rsid w:val="00DA13A8"/>
    <w:rsid w:val="00DA1645"/>
    <w:rsid w:val="00DA1773"/>
    <w:rsid w:val="00DA17C2"/>
    <w:rsid w:val="00DA1823"/>
    <w:rsid w:val="00DA184F"/>
    <w:rsid w:val="00DA18EF"/>
    <w:rsid w:val="00DA1928"/>
    <w:rsid w:val="00DA1994"/>
    <w:rsid w:val="00DA19A2"/>
    <w:rsid w:val="00DA1A28"/>
    <w:rsid w:val="00DA1AE9"/>
    <w:rsid w:val="00DA1B0A"/>
    <w:rsid w:val="00DA1BCB"/>
    <w:rsid w:val="00DA1E1D"/>
    <w:rsid w:val="00DA1E61"/>
    <w:rsid w:val="00DA2004"/>
    <w:rsid w:val="00DA20D7"/>
    <w:rsid w:val="00DA2185"/>
    <w:rsid w:val="00DA221C"/>
    <w:rsid w:val="00DA2451"/>
    <w:rsid w:val="00DA24B1"/>
    <w:rsid w:val="00DA2563"/>
    <w:rsid w:val="00DA264E"/>
    <w:rsid w:val="00DA26FD"/>
    <w:rsid w:val="00DA2706"/>
    <w:rsid w:val="00DA2818"/>
    <w:rsid w:val="00DA2B75"/>
    <w:rsid w:val="00DA2D5C"/>
    <w:rsid w:val="00DA2D6C"/>
    <w:rsid w:val="00DA2D94"/>
    <w:rsid w:val="00DA30BD"/>
    <w:rsid w:val="00DA31C1"/>
    <w:rsid w:val="00DA32AB"/>
    <w:rsid w:val="00DA33DB"/>
    <w:rsid w:val="00DA344A"/>
    <w:rsid w:val="00DA354F"/>
    <w:rsid w:val="00DA359D"/>
    <w:rsid w:val="00DA373A"/>
    <w:rsid w:val="00DA3742"/>
    <w:rsid w:val="00DA37B5"/>
    <w:rsid w:val="00DA384C"/>
    <w:rsid w:val="00DA3C0F"/>
    <w:rsid w:val="00DA3E2B"/>
    <w:rsid w:val="00DA3E51"/>
    <w:rsid w:val="00DA3E73"/>
    <w:rsid w:val="00DA3F81"/>
    <w:rsid w:val="00DA42E1"/>
    <w:rsid w:val="00DA4415"/>
    <w:rsid w:val="00DA45BE"/>
    <w:rsid w:val="00DA47B7"/>
    <w:rsid w:val="00DA49A4"/>
    <w:rsid w:val="00DA4AD4"/>
    <w:rsid w:val="00DA4B35"/>
    <w:rsid w:val="00DA4B36"/>
    <w:rsid w:val="00DA5075"/>
    <w:rsid w:val="00DA51FC"/>
    <w:rsid w:val="00DA524B"/>
    <w:rsid w:val="00DA52F1"/>
    <w:rsid w:val="00DA538D"/>
    <w:rsid w:val="00DA5450"/>
    <w:rsid w:val="00DA54A3"/>
    <w:rsid w:val="00DA5583"/>
    <w:rsid w:val="00DA5647"/>
    <w:rsid w:val="00DA56A7"/>
    <w:rsid w:val="00DA571C"/>
    <w:rsid w:val="00DA5783"/>
    <w:rsid w:val="00DA5820"/>
    <w:rsid w:val="00DA586F"/>
    <w:rsid w:val="00DA5966"/>
    <w:rsid w:val="00DA5A81"/>
    <w:rsid w:val="00DA5ABE"/>
    <w:rsid w:val="00DA5B14"/>
    <w:rsid w:val="00DA5B1C"/>
    <w:rsid w:val="00DA5BDF"/>
    <w:rsid w:val="00DA5CE3"/>
    <w:rsid w:val="00DA5D89"/>
    <w:rsid w:val="00DA5DCC"/>
    <w:rsid w:val="00DA5F06"/>
    <w:rsid w:val="00DA610F"/>
    <w:rsid w:val="00DA619F"/>
    <w:rsid w:val="00DA6236"/>
    <w:rsid w:val="00DA63A2"/>
    <w:rsid w:val="00DA63D0"/>
    <w:rsid w:val="00DA6411"/>
    <w:rsid w:val="00DA65A8"/>
    <w:rsid w:val="00DA6647"/>
    <w:rsid w:val="00DA6690"/>
    <w:rsid w:val="00DA6727"/>
    <w:rsid w:val="00DA674B"/>
    <w:rsid w:val="00DA694A"/>
    <w:rsid w:val="00DA6975"/>
    <w:rsid w:val="00DA6982"/>
    <w:rsid w:val="00DA6A7E"/>
    <w:rsid w:val="00DA6AA0"/>
    <w:rsid w:val="00DA6B04"/>
    <w:rsid w:val="00DA6B37"/>
    <w:rsid w:val="00DA6B8F"/>
    <w:rsid w:val="00DA6CC5"/>
    <w:rsid w:val="00DA6D3F"/>
    <w:rsid w:val="00DA6DA7"/>
    <w:rsid w:val="00DA6DD0"/>
    <w:rsid w:val="00DA6F58"/>
    <w:rsid w:val="00DA7127"/>
    <w:rsid w:val="00DA720D"/>
    <w:rsid w:val="00DA7308"/>
    <w:rsid w:val="00DA733A"/>
    <w:rsid w:val="00DA73BD"/>
    <w:rsid w:val="00DA745F"/>
    <w:rsid w:val="00DA7777"/>
    <w:rsid w:val="00DA77A3"/>
    <w:rsid w:val="00DA77BA"/>
    <w:rsid w:val="00DA77C5"/>
    <w:rsid w:val="00DA783D"/>
    <w:rsid w:val="00DA7911"/>
    <w:rsid w:val="00DA7AAA"/>
    <w:rsid w:val="00DA7B17"/>
    <w:rsid w:val="00DA7BA5"/>
    <w:rsid w:val="00DA7BAB"/>
    <w:rsid w:val="00DA7DC0"/>
    <w:rsid w:val="00DA7EF3"/>
    <w:rsid w:val="00DB0052"/>
    <w:rsid w:val="00DB0276"/>
    <w:rsid w:val="00DB03A4"/>
    <w:rsid w:val="00DB05D5"/>
    <w:rsid w:val="00DB0669"/>
    <w:rsid w:val="00DB06EE"/>
    <w:rsid w:val="00DB0748"/>
    <w:rsid w:val="00DB07DC"/>
    <w:rsid w:val="00DB08DA"/>
    <w:rsid w:val="00DB0A7F"/>
    <w:rsid w:val="00DB0AAB"/>
    <w:rsid w:val="00DB0B0D"/>
    <w:rsid w:val="00DB0C4A"/>
    <w:rsid w:val="00DB0C57"/>
    <w:rsid w:val="00DB0CB7"/>
    <w:rsid w:val="00DB0D5F"/>
    <w:rsid w:val="00DB0E08"/>
    <w:rsid w:val="00DB0EB9"/>
    <w:rsid w:val="00DB0F54"/>
    <w:rsid w:val="00DB0FAF"/>
    <w:rsid w:val="00DB1075"/>
    <w:rsid w:val="00DB110A"/>
    <w:rsid w:val="00DB12D4"/>
    <w:rsid w:val="00DB136D"/>
    <w:rsid w:val="00DB14DC"/>
    <w:rsid w:val="00DB15F7"/>
    <w:rsid w:val="00DB1623"/>
    <w:rsid w:val="00DB1631"/>
    <w:rsid w:val="00DB1651"/>
    <w:rsid w:val="00DB1945"/>
    <w:rsid w:val="00DB1A43"/>
    <w:rsid w:val="00DB1A84"/>
    <w:rsid w:val="00DB1B65"/>
    <w:rsid w:val="00DB1B90"/>
    <w:rsid w:val="00DB1C4F"/>
    <w:rsid w:val="00DB1E80"/>
    <w:rsid w:val="00DB1F40"/>
    <w:rsid w:val="00DB2051"/>
    <w:rsid w:val="00DB2542"/>
    <w:rsid w:val="00DB25D9"/>
    <w:rsid w:val="00DB2605"/>
    <w:rsid w:val="00DB2676"/>
    <w:rsid w:val="00DB27B5"/>
    <w:rsid w:val="00DB2A1A"/>
    <w:rsid w:val="00DB2A1F"/>
    <w:rsid w:val="00DB2A82"/>
    <w:rsid w:val="00DB2AE3"/>
    <w:rsid w:val="00DB2BC6"/>
    <w:rsid w:val="00DB2BDB"/>
    <w:rsid w:val="00DB2C6D"/>
    <w:rsid w:val="00DB2CAB"/>
    <w:rsid w:val="00DB314B"/>
    <w:rsid w:val="00DB3180"/>
    <w:rsid w:val="00DB31A2"/>
    <w:rsid w:val="00DB31B7"/>
    <w:rsid w:val="00DB31BF"/>
    <w:rsid w:val="00DB3211"/>
    <w:rsid w:val="00DB3249"/>
    <w:rsid w:val="00DB329D"/>
    <w:rsid w:val="00DB32EE"/>
    <w:rsid w:val="00DB334D"/>
    <w:rsid w:val="00DB33EF"/>
    <w:rsid w:val="00DB3498"/>
    <w:rsid w:val="00DB34BC"/>
    <w:rsid w:val="00DB3566"/>
    <w:rsid w:val="00DB35E9"/>
    <w:rsid w:val="00DB3786"/>
    <w:rsid w:val="00DB3896"/>
    <w:rsid w:val="00DB38FB"/>
    <w:rsid w:val="00DB396B"/>
    <w:rsid w:val="00DB3B4C"/>
    <w:rsid w:val="00DB3B88"/>
    <w:rsid w:val="00DB3BF7"/>
    <w:rsid w:val="00DB3E82"/>
    <w:rsid w:val="00DB3F3A"/>
    <w:rsid w:val="00DB3F4B"/>
    <w:rsid w:val="00DB3F80"/>
    <w:rsid w:val="00DB400A"/>
    <w:rsid w:val="00DB4033"/>
    <w:rsid w:val="00DB4146"/>
    <w:rsid w:val="00DB41A3"/>
    <w:rsid w:val="00DB4222"/>
    <w:rsid w:val="00DB4330"/>
    <w:rsid w:val="00DB43F9"/>
    <w:rsid w:val="00DB44FE"/>
    <w:rsid w:val="00DB4511"/>
    <w:rsid w:val="00DB45A8"/>
    <w:rsid w:val="00DB4748"/>
    <w:rsid w:val="00DB4761"/>
    <w:rsid w:val="00DB48C8"/>
    <w:rsid w:val="00DB49A1"/>
    <w:rsid w:val="00DB4A83"/>
    <w:rsid w:val="00DB4BFD"/>
    <w:rsid w:val="00DB4C02"/>
    <w:rsid w:val="00DB4C33"/>
    <w:rsid w:val="00DB4CEB"/>
    <w:rsid w:val="00DB4DE6"/>
    <w:rsid w:val="00DB4DEE"/>
    <w:rsid w:val="00DB504C"/>
    <w:rsid w:val="00DB506F"/>
    <w:rsid w:val="00DB5078"/>
    <w:rsid w:val="00DB525D"/>
    <w:rsid w:val="00DB530A"/>
    <w:rsid w:val="00DB5610"/>
    <w:rsid w:val="00DB56DC"/>
    <w:rsid w:val="00DB57CD"/>
    <w:rsid w:val="00DB580E"/>
    <w:rsid w:val="00DB58A4"/>
    <w:rsid w:val="00DB5962"/>
    <w:rsid w:val="00DB5A46"/>
    <w:rsid w:val="00DB5A91"/>
    <w:rsid w:val="00DB5BB7"/>
    <w:rsid w:val="00DB5CA4"/>
    <w:rsid w:val="00DB5D2F"/>
    <w:rsid w:val="00DB5DC3"/>
    <w:rsid w:val="00DB5F88"/>
    <w:rsid w:val="00DB5FDD"/>
    <w:rsid w:val="00DB5FF7"/>
    <w:rsid w:val="00DB6129"/>
    <w:rsid w:val="00DB614E"/>
    <w:rsid w:val="00DB6152"/>
    <w:rsid w:val="00DB61F5"/>
    <w:rsid w:val="00DB6213"/>
    <w:rsid w:val="00DB622D"/>
    <w:rsid w:val="00DB628C"/>
    <w:rsid w:val="00DB62EC"/>
    <w:rsid w:val="00DB63A9"/>
    <w:rsid w:val="00DB64C9"/>
    <w:rsid w:val="00DB64D8"/>
    <w:rsid w:val="00DB653C"/>
    <w:rsid w:val="00DB6692"/>
    <w:rsid w:val="00DB6782"/>
    <w:rsid w:val="00DB67DA"/>
    <w:rsid w:val="00DB6A12"/>
    <w:rsid w:val="00DB6A42"/>
    <w:rsid w:val="00DB6A47"/>
    <w:rsid w:val="00DB6A82"/>
    <w:rsid w:val="00DB6CBE"/>
    <w:rsid w:val="00DB6EC7"/>
    <w:rsid w:val="00DB6F8A"/>
    <w:rsid w:val="00DB7145"/>
    <w:rsid w:val="00DB7163"/>
    <w:rsid w:val="00DB725C"/>
    <w:rsid w:val="00DB74C9"/>
    <w:rsid w:val="00DB763E"/>
    <w:rsid w:val="00DB7641"/>
    <w:rsid w:val="00DB7688"/>
    <w:rsid w:val="00DB7695"/>
    <w:rsid w:val="00DB7718"/>
    <w:rsid w:val="00DB7751"/>
    <w:rsid w:val="00DB78E1"/>
    <w:rsid w:val="00DB79BD"/>
    <w:rsid w:val="00DB7A9F"/>
    <w:rsid w:val="00DB7AA6"/>
    <w:rsid w:val="00DB7B3D"/>
    <w:rsid w:val="00DB7B9C"/>
    <w:rsid w:val="00DB7BB9"/>
    <w:rsid w:val="00DB7BF0"/>
    <w:rsid w:val="00DB7C67"/>
    <w:rsid w:val="00DB7CC2"/>
    <w:rsid w:val="00DB7E79"/>
    <w:rsid w:val="00DB7EA8"/>
    <w:rsid w:val="00DB7F09"/>
    <w:rsid w:val="00DB7F4F"/>
    <w:rsid w:val="00DB7FC9"/>
    <w:rsid w:val="00DC00E3"/>
    <w:rsid w:val="00DC00E8"/>
    <w:rsid w:val="00DC0107"/>
    <w:rsid w:val="00DC0445"/>
    <w:rsid w:val="00DC0520"/>
    <w:rsid w:val="00DC053F"/>
    <w:rsid w:val="00DC094C"/>
    <w:rsid w:val="00DC09EE"/>
    <w:rsid w:val="00DC0A25"/>
    <w:rsid w:val="00DC0B97"/>
    <w:rsid w:val="00DC0E57"/>
    <w:rsid w:val="00DC11A0"/>
    <w:rsid w:val="00DC122A"/>
    <w:rsid w:val="00DC12B1"/>
    <w:rsid w:val="00DC138B"/>
    <w:rsid w:val="00DC14B8"/>
    <w:rsid w:val="00DC14EC"/>
    <w:rsid w:val="00DC150B"/>
    <w:rsid w:val="00DC16D1"/>
    <w:rsid w:val="00DC183D"/>
    <w:rsid w:val="00DC1871"/>
    <w:rsid w:val="00DC1B74"/>
    <w:rsid w:val="00DC1C56"/>
    <w:rsid w:val="00DC1E5B"/>
    <w:rsid w:val="00DC1F7C"/>
    <w:rsid w:val="00DC1F82"/>
    <w:rsid w:val="00DC2083"/>
    <w:rsid w:val="00DC2159"/>
    <w:rsid w:val="00DC21FB"/>
    <w:rsid w:val="00DC2257"/>
    <w:rsid w:val="00DC227F"/>
    <w:rsid w:val="00DC233F"/>
    <w:rsid w:val="00DC2350"/>
    <w:rsid w:val="00DC23D3"/>
    <w:rsid w:val="00DC259F"/>
    <w:rsid w:val="00DC27BE"/>
    <w:rsid w:val="00DC27D0"/>
    <w:rsid w:val="00DC280D"/>
    <w:rsid w:val="00DC2854"/>
    <w:rsid w:val="00DC287B"/>
    <w:rsid w:val="00DC2886"/>
    <w:rsid w:val="00DC2899"/>
    <w:rsid w:val="00DC28E5"/>
    <w:rsid w:val="00DC2903"/>
    <w:rsid w:val="00DC290A"/>
    <w:rsid w:val="00DC2A71"/>
    <w:rsid w:val="00DC2B0E"/>
    <w:rsid w:val="00DC2C4C"/>
    <w:rsid w:val="00DC2D51"/>
    <w:rsid w:val="00DC2E4F"/>
    <w:rsid w:val="00DC2E71"/>
    <w:rsid w:val="00DC2E8A"/>
    <w:rsid w:val="00DC2FD9"/>
    <w:rsid w:val="00DC30FB"/>
    <w:rsid w:val="00DC3176"/>
    <w:rsid w:val="00DC3239"/>
    <w:rsid w:val="00DC325C"/>
    <w:rsid w:val="00DC3266"/>
    <w:rsid w:val="00DC3431"/>
    <w:rsid w:val="00DC345E"/>
    <w:rsid w:val="00DC3493"/>
    <w:rsid w:val="00DC34C9"/>
    <w:rsid w:val="00DC3545"/>
    <w:rsid w:val="00DC36CD"/>
    <w:rsid w:val="00DC36D0"/>
    <w:rsid w:val="00DC38E4"/>
    <w:rsid w:val="00DC38E8"/>
    <w:rsid w:val="00DC3CB9"/>
    <w:rsid w:val="00DC3D90"/>
    <w:rsid w:val="00DC3E3F"/>
    <w:rsid w:val="00DC3ED1"/>
    <w:rsid w:val="00DC3FAF"/>
    <w:rsid w:val="00DC3FC0"/>
    <w:rsid w:val="00DC3FE2"/>
    <w:rsid w:val="00DC4104"/>
    <w:rsid w:val="00DC4138"/>
    <w:rsid w:val="00DC416A"/>
    <w:rsid w:val="00DC4223"/>
    <w:rsid w:val="00DC4230"/>
    <w:rsid w:val="00DC423B"/>
    <w:rsid w:val="00DC425C"/>
    <w:rsid w:val="00DC4261"/>
    <w:rsid w:val="00DC444F"/>
    <w:rsid w:val="00DC4460"/>
    <w:rsid w:val="00DC4499"/>
    <w:rsid w:val="00DC4527"/>
    <w:rsid w:val="00DC4600"/>
    <w:rsid w:val="00DC464E"/>
    <w:rsid w:val="00DC4756"/>
    <w:rsid w:val="00DC4794"/>
    <w:rsid w:val="00DC48C7"/>
    <w:rsid w:val="00DC48F4"/>
    <w:rsid w:val="00DC48FC"/>
    <w:rsid w:val="00DC4A16"/>
    <w:rsid w:val="00DC4A18"/>
    <w:rsid w:val="00DC4AF4"/>
    <w:rsid w:val="00DC4AF5"/>
    <w:rsid w:val="00DC4B6F"/>
    <w:rsid w:val="00DC4BE1"/>
    <w:rsid w:val="00DC4BF8"/>
    <w:rsid w:val="00DC4C91"/>
    <w:rsid w:val="00DC4C9F"/>
    <w:rsid w:val="00DC4D07"/>
    <w:rsid w:val="00DC4D7D"/>
    <w:rsid w:val="00DC4DA4"/>
    <w:rsid w:val="00DC4E9C"/>
    <w:rsid w:val="00DC4F1B"/>
    <w:rsid w:val="00DC4F5B"/>
    <w:rsid w:val="00DC514F"/>
    <w:rsid w:val="00DC5280"/>
    <w:rsid w:val="00DC52AF"/>
    <w:rsid w:val="00DC52D9"/>
    <w:rsid w:val="00DC539F"/>
    <w:rsid w:val="00DC53A1"/>
    <w:rsid w:val="00DC55B3"/>
    <w:rsid w:val="00DC562B"/>
    <w:rsid w:val="00DC5790"/>
    <w:rsid w:val="00DC5848"/>
    <w:rsid w:val="00DC599F"/>
    <w:rsid w:val="00DC5AEA"/>
    <w:rsid w:val="00DC5E5B"/>
    <w:rsid w:val="00DC5F9D"/>
    <w:rsid w:val="00DC5FD2"/>
    <w:rsid w:val="00DC6079"/>
    <w:rsid w:val="00DC61DA"/>
    <w:rsid w:val="00DC6379"/>
    <w:rsid w:val="00DC646F"/>
    <w:rsid w:val="00DC64A6"/>
    <w:rsid w:val="00DC651C"/>
    <w:rsid w:val="00DC6614"/>
    <w:rsid w:val="00DC667D"/>
    <w:rsid w:val="00DC669D"/>
    <w:rsid w:val="00DC66FF"/>
    <w:rsid w:val="00DC6719"/>
    <w:rsid w:val="00DC671D"/>
    <w:rsid w:val="00DC6778"/>
    <w:rsid w:val="00DC68E0"/>
    <w:rsid w:val="00DC6AAD"/>
    <w:rsid w:val="00DC6B13"/>
    <w:rsid w:val="00DC6BBE"/>
    <w:rsid w:val="00DC6C01"/>
    <w:rsid w:val="00DC6C37"/>
    <w:rsid w:val="00DC6C5A"/>
    <w:rsid w:val="00DC6CCE"/>
    <w:rsid w:val="00DC6F34"/>
    <w:rsid w:val="00DC6F90"/>
    <w:rsid w:val="00DC70D6"/>
    <w:rsid w:val="00DC715D"/>
    <w:rsid w:val="00DC72F8"/>
    <w:rsid w:val="00DC72F9"/>
    <w:rsid w:val="00DC7429"/>
    <w:rsid w:val="00DC783C"/>
    <w:rsid w:val="00DC78AF"/>
    <w:rsid w:val="00DC79FD"/>
    <w:rsid w:val="00DC7ADA"/>
    <w:rsid w:val="00DC7AE7"/>
    <w:rsid w:val="00DC7B85"/>
    <w:rsid w:val="00DC7C1E"/>
    <w:rsid w:val="00DC7D2E"/>
    <w:rsid w:val="00DC7D57"/>
    <w:rsid w:val="00DC7DB4"/>
    <w:rsid w:val="00DC7DEB"/>
    <w:rsid w:val="00DC7E6E"/>
    <w:rsid w:val="00DD019B"/>
    <w:rsid w:val="00DD020F"/>
    <w:rsid w:val="00DD023C"/>
    <w:rsid w:val="00DD03AE"/>
    <w:rsid w:val="00DD040E"/>
    <w:rsid w:val="00DD0494"/>
    <w:rsid w:val="00DD0684"/>
    <w:rsid w:val="00DD0719"/>
    <w:rsid w:val="00DD0766"/>
    <w:rsid w:val="00DD0968"/>
    <w:rsid w:val="00DD0AE9"/>
    <w:rsid w:val="00DD0C5A"/>
    <w:rsid w:val="00DD0EE5"/>
    <w:rsid w:val="00DD0EF6"/>
    <w:rsid w:val="00DD0F64"/>
    <w:rsid w:val="00DD1177"/>
    <w:rsid w:val="00DD1286"/>
    <w:rsid w:val="00DD128B"/>
    <w:rsid w:val="00DD12DC"/>
    <w:rsid w:val="00DD14D8"/>
    <w:rsid w:val="00DD165B"/>
    <w:rsid w:val="00DD169E"/>
    <w:rsid w:val="00DD182B"/>
    <w:rsid w:val="00DD1942"/>
    <w:rsid w:val="00DD1952"/>
    <w:rsid w:val="00DD1A01"/>
    <w:rsid w:val="00DD1B68"/>
    <w:rsid w:val="00DD1E0F"/>
    <w:rsid w:val="00DD1FD7"/>
    <w:rsid w:val="00DD204E"/>
    <w:rsid w:val="00DD21BB"/>
    <w:rsid w:val="00DD21E6"/>
    <w:rsid w:val="00DD2654"/>
    <w:rsid w:val="00DD2730"/>
    <w:rsid w:val="00DD278C"/>
    <w:rsid w:val="00DD28B3"/>
    <w:rsid w:val="00DD2A28"/>
    <w:rsid w:val="00DD2A59"/>
    <w:rsid w:val="00DD2BFD"/>
    <w:rsid w:val="00DD2DC9"/>
    <w:rsid w:val="00DD2DFD"/>
    <w:rsid w:val="00DD2EEF"/>
    <w:rsid w:val="00DD2F83"/>
    <w:rsid w:val="00DD306B"/>
    <w:rsid w:val="00DD3122"/>
    <w:rsid w:val="00DD36EB"/>
    <w:rsid w:val="00DD38AE"/>
    <w:rsid w:val="00DD38BA"/>
    <w:rsid w:val="00DD38C4"/>
    <w:rsid w:val="00DD392C"/>
    <w:rsid w:val="00DD3A75"/>
    <w:rsid w:val="00DD3B0A"/>
    <w:rsid w:val="00DD3B52"/>
    <w:rsid w:val="00DD3BB1"/>
    <w:rsid w:val="00DD3C59"/>
    <w:rsid w:val="00DD3CB4"/>
    <w:rsid w:val="00DD3CBE"/>
    <w:rsid w:val="00DD3D78"/>
    <w:rsid w:val="00DD3D7E"/>
    <w:rsid w:val="00DD3E10"/>
    <w:rsid w:val="00DD3E75"/>
    <w:rsid w:val="00DD3F1D"/>
    <w:rsid w:val="00DD3FAB"/>
    <w:rsid w:val="00DD3FEF"/>
    <w:rsid w:val="00DD4017"/>
    <w:rsid w:val="00DD418C"/>
    <w:rsid w:val="00DD4231"/>
    <w:rsid w:val="00DD4282"/>
    <w:rsid w:val="00DD4317"/>
    <w:rsid w:val="00DD4352"/>
    <w:rsid w:val="00DD4558"/>
    <w:rsid w:val="00DD468C"/>
    <w:rsid w:val="00DD4874"/>
    <w:rsid w:val="00DD48C7"/>
    <w:rsid w:val="00DD4A4C"/>
    <w:rsid w:val="00DD4B46"/>
    <w:rsid w:val="00DD4C16"/>
    <w:rsid w:val="00DD4C75"/>
    <w:rsid w:val="00DD4CC9"/>
    <w:rsid w:val="00DD4D04"/>
    <w:rsid w:val="00DD4DE9"/>
    <w:rsid w:val="00DD4E08"/>
    <w:rsid w:val="00DD4EA1"/>
    <w:rsid w:val="00DD4EE5"/>
    <w:rsid w:val="00DD4FC5"/>
    <w:rsid w:val="00DD5084"/>
    <w:rsid w:val="00DD5327"/>
    <w:rsid w:val="00DD53DE"/>
    <w:rsid w:val="00DD54F3"/>
    <w:rsid w:val="00DD553A"/>
    <w:rsid w:val="00DD55C5"/>
    <w:rsid w:val="00DD5748"/>
    <w:rsid w:val="00DD579C"/>
    <w:rsid w:val="00DD5818"/>
    <w:rsid w:val="00DD583E"/>
    <w:rsid w:val="00DD58E6"/>
    <w:rsid w:val="00DD5979"/>
    <w:rsid w:val="00DD5AC6"/>
    <w:rsid w:val="00DD5CC4"/>
    <w:rsid w:val="00DD5CF2"/>
    <w:rsid w:val="00DD5F84"/>
    <w:rsid w:val="00DD5FB7"/>
    <w:rsid w:val="00DD6094"/>
    <w:rsid w:val="00DD6146"/>
    <w:rsid w:val="00DD617F"/>
    <w:rsid w:val="00DD625E"/>
    <w:rsid w:val="00DD629B"/>
    <w:rsid w:val="00DD62B7"/>
    <w:rsid w:val="00DD65A6"/>
    <w:rsid w:val="00DD65DE"/>
    <w:rsid w:val="00DD664D"/>
    <w:rsid w:val="00DD676E"/>
    <w:rsid w:val="00DD67F6"/>
    <w:rsid w:val="00DD6834"/>
    <w:rsid w:val="00DD6A56"/>
    <w:rsid w:val="00DD6A96"/>
    <w:rsid w:val="00DD6B69"/>
    <w:rsid w:val="00DD6BA4"/>
    <w:rsid w:val="00DD6CAD"/>
    <w:rsid w:val="00DD6D1C"/>
    <w:rsid w:val="00DD6D84"/>
    <w:rsid w:val="00DD6F84"/>
    <w:rsid w:val="00DD7158"/>
    <w:rsid w:val="00DD7184"/>
    <w:rsid w:val="00DD73B6"/>
    <w:rsid w:val="00DD741D"/>
    <w:rsid w:val="00DD74CE"/>
    <w:rsid w:val="00DD754D"/>
    <w:rsid w:val="00DD7608"/>
    <w:rsid w:val="00DD7726"/>
    <w:rsid w:val="00DD7B50"/>
    <w:rsid w:val="00DD7DAA"/>
    <w:rsid w:val="00DD7E73"/>
    <w:rsid w:val="00DD7EA9"/>
    <w:rsid w:val="00DD7ED6"/>
    <w:rsid w:val="00DD7FD5"/>
    <w:rsid w:val="00DE0020"/>
    <w:rsid w:val="00DE0055"/>
    <w:rsid w:val="00DE0302"/>
    <w:rsid w:val="00DE036E"/>
    <w:rsid w:val="00DE046D"/>
    <w:rsid w:val="00DE0474"/>
    <w:rsid w:val="00DE04C3"/>
    <w:rsid w:val="00DE0657"/>
    <w:rsid w:val="00DE0699"/>
    <w:rsid w:val="00DE0847"/>
    <w:rsid w:val="00DE09FE"/>
    <w:rsid w:val="00DE0AB0"/>
    <w:rsid w:val="00DE0B13"/>
    <w:rsid w:val="00DE0B52"/>
    <w:rsid w:val="00DE0CAA"/>
    <w:rsid w:val="00DE0CF6"/>
    <w:rsid w:val="00DE0D01"/>
    <w:rsid w:val="00DE0D67"/>
    <w:rsid w:val="00DE0E3A"/>
    <w:rsid w:val="00DE0F03"/>
    <w:rsid w:val="00DE0FAE"/>
    <w:rsid w:val="00DE108A"/>
    <w:rsid w:val="00DE10EB"/>
    <w:rsid w:val="00DE1192"/>
    <w:rsid w:val="00DE121F"/>
    <w:rsid w:val="00DE12AA"/>
    <w:rsid w:val="00DE1415"/>
    <w:rsid w:val="00DE1435"/>
    <w:rsid w:val="00DE15EB"/>
    <w:rsid w:val="00DE165A"/>
    <w:rsid w:val="00DE1742"/>
    <w:rsid w:val="00DE1805"/>
    <w:rsid w:val="00DE19B0"/>
    <w:rsid w:val="00DE1ACE"/>
    <w:rsid w:val="00DE1B42"/>
    <w:rsid w:val="00DE1B4E"/>
    <w:rsid w:val="00DE1DCE"/>
    <w:rsid w:val="00DE1DD6"/>
    <w:rsid w:val="00DE1FA3"/>
    <w:rsid w:val="00DE2066"/>
    <w:rsid w:val="00DE2077"/>
    <w:rsid w:val="00DE20D3"/>
    <w:rsid w:val="00DE21D2"/>
    <w:rsid w:val="00DE240F"/>
    <w:rsid w:val="00DE2500"/>
    <w:rsid w:val="00DE260C"/>
    <w:rsid w:val="00DE270A"/>
    <w:rsid w:val="00DE2763"/>
    <w:rsid w:val="00DE286D"/>
    <w:rsid w:val="00DE2944"/>
    <w:rsid w:val="00DE2982"/>
    <w:rsid w:val="00DE298C"/>
    <w:rsid w:val="00DE2995"/>
    <w:rsid w:val="00DE29D5"/>
    <w:rsid w:val="00DE2A21"/>
    <w:rsid w:val="00DE2C06"/>
    <w:rsid w:val="00DE2D3C"/>
    <w:rsid w:val="00DE2DB7"/>
    <w:rsid w:val="00DE2DEF"/>
    <w:rsid w:val="00DE2E4F"/>
    <w:rsid w:val="00DE2E55"/>
    <w:rsid w:val="00DE2EB1"/>
    <w:rsid w:val="00DE315F"/>
    <w:rsid w:val="00DE32B4"/>
    <w:rsid w:val="00DE32D0"/>
    <w:rsid w:val="00DE3318"/>
    <w:rsid w:val="00DE3335"/>
    <w:rsid w:val="00DE3370"/>
    <w:rsid w:val="00DE33C5"/>
    <w:rsid w:val="00DE33FB"/>
    <w:rsid w:val="00DE3404"/>
    <w:rsid w:val="00DE340C"/>
    <w:rsid w:val="00DE344E"/>
    <w:rsid w:val="00DE35D6"/>
    <w:rsid w:val="00DE374B"/>
    <w:rsid w:val="00DE381D"/>
    <w:rsid w:val="00DE383A"/>
    <w:rsid w:val="00DE3865"/>
    <w:rsid w:val="00DE388D"/>
    <w:rsid w:val="00DE38A7"/>
    <w:rsid w:val="00DE39F5"/>
    <w:rsid w:val="00DE3A40"/>
    <w:rsid w:val="00DE3A53"/>
    <w:rsid w:val="00DE3A92"/>
    <w:rsid w:val="00DE3B54"/>
    <w:rsid w:val="00DE3C3F"/>
    <w:rsid w:val="00DE3C77"/>
    <w:rsid w:val="00DE3CD2"/>
    <w:rsid w:val="00DE3CE1"/>
    <w:rsid w:val="00DE3D4F"/>
    <w:rsid w:val="00DE3FBA"/>
    <w:rsid w:val="00DE3FE5"/>
    <w:rsid w:val="00DE4181"/>
    <w:rsid w:val="00DE41E7"/>
    <w:rsid w:val="00DE41ED"/>
    <w:rsid w:val="00DE4392"/>
    <w:rsid w:val="00DE4467"/>
    <w:rsid w:val="00DE458F"/>
    <w:rsid w:val="00DE4601"/>
    <w:rsid w:val="00DE46B4"/>
    <w:rsid w:val="00DE4712"/>
    <w:rsid w:val="00DE491B"/>
    <w:rsid w:val="00DE495A"/>
    <w:rsid w:val="00DE499F"/>
    <w:rsid w:val="00DE49AC"/>
    <w:rsid w:val="00DE49F0"/>
    <w:rsid w:val="00DE4A1E"/>
    <w:rsid w:val="00DE4B0B"/>
    <w:rsid w:val="00DE4BA5"/>
    <w:rsid w:val="00DE4C13"/>
    <w:rsid w:val="00DE4C2C"/>
    <w:rsid w:val="00DE4C47"/>
    <w:rsid w:val="00DE4D85"/>
    <w:rsid w:val="00DE4EA0"/>
    <w:rsid w:val="00DE4EB5"/>
    <w:rsid w:val="00DE4F57"/>
    <w:rsid w:val="00DE4FA9"/>
    <w:rsid w:val="00DE4FF0"/>
    <w:rsid w:val="00DE503D"/>
    <w:rsid w:val="00DE5350"/>
    <w:rsid w:val="00DE554F"/>
    <w:rsid w:val="00DE5661"/>
    <w:rsid w:val="00DE56E0"/>
    <w:rsid w:val="00DE576A"/>
    <w:rsid w:val="00DE576F"/>
    <w:rsid w:val="00DE58F8"/>
    <w:rsid w:val="00DE5993"/>
    <w:rsid w:val="00DE5995"/>
    <w:rsid w:val="00DE5A33"/>
    <w:rsid w:val="00DE5A38"/>
    <w:rsid w:val="00DE5ABA"/>
    <w:rsid w:val="00DE5AEA"/>
    <w:rsid w:val="00DE5BA0"/>
    <w:rsid w:val="00DE5C3B"/>
    <w:rsid w:val="00DE5E35"/>
    <w:rsid w:val="00DE5EEF"/>
    <w:rsid w:val="00DE5F46"/>
    <w:rsid w:val="00DE5FB8"/>
    <w:rsid w:val="00DE62A9"/>
    <w:rsid w:val="00DE6346"/>
    <w:rsid w:val="00DE6449"/>
    <w:rsid w:val="00DE6455"/>
    <w:rsid w:val="00DE64B1"/>
    <w:rsid w:val="00DE64BD"/>
    <w:rsid w:val="00DE64BE"/>
    <w:rsid w:val="00DE6519"/>
    <w:rsid w:val="00DE6533"/>
    <w:rsid w:val="00DE6766"/>
    <w:rsid w:val="00DE68D7"/>
    <w:rsid w:val="00DE694E"/>
    <w:rsid w:val="00DE6B11"/>
    <w:rsid w:val="00DE6BF3"/>
    <w:rsid w:val="00DE6C9E"/>
    <w:rsid w:val="00DE6DE1"/>
    <w:rsid w:val="00DE6EDF"/>
    <w:rsid w:val="00DE6EE4"/>
    <w:rsid w:val="00DE705A"/>
    <w:rsid w:val="00DE70F1"/>
    <w:rsid w:val="00DE7139"/>
    <w:rsid w:val="00DE71E0"/>
    <w:rsid w:val="00DE72EE"/>
    <w:rsid w:val="00DE730E"/>
    <w:rsid w:val="00DE7357"/>
    <w:rsid w:val="00DE73AA"/>
    <w:rsid w:val="00DE74FA"/>
    <w:rsid w:val="00DE7650"/>
    <w:rsid w:val="00DE7689"/>
    <w:rsid w:val="00DE79F3"/>
    <w:rsid w:val="00DE7A74"/>
    <w:rsid w:val="00DE7AC4"/>
    <w:rsid w:val="00DE7CC1"/>
    <w:rsid w:val="00DE7CE0"/>
    <w:rsid w:val="00DE7E52"/>
    <w:rsid w:val="00DE7EE9"/>
    <w:rsid w:val="00DE7FC0"/>
    <w:rsid w:val="00DF00F5"/>
    <w:rsid w:val="00DF0262"/>
    <w:rsid w:val="00DF0347"/>
    <w:rsid w:val="00DF03C4"/>
    <w:rsid w:val="00DF062A"/>
    <w:rsid w:val="00DF0631"/>
    <w:rsid w:val="00DF06ED"/>
    <w:rsid w:val="00DF0815"/>
    <w:rsid w:val="00DF092E"/>
    <w:rsid w:val="00DF09A6"/>
    <w:rsid w:val="00DF09FA"/>
    <w:rsid w:val="00DF0A56"/>
    <w:rsid w:val="00DF0B2C"/>
    <w:rsid w:val="00DF0B41"/>
    <w:rsid w:val="00DF0B92"/>
    <w:rsid w:val="00DF0D68"/>
    <w:rsid w:val="00DF0E3B"/>
    <w:rsid w:val="00DF0E41"/>
    <w:rsid w:val="00DF0E5E"/>
    <w:rsid w:val="00DF0EB6"/>
    <w:rsid w:val="00DF0FC4"/>
    <w:rsid w:val="00DF0FC8"/>
    <w:rsid w:val="00DF1072"/>
    <w:rsid w:val="00DF10C2"/>
    <w:rsid w:val="00DF10D4"/>
    <w:rsid w:val="00DF1101"/>
    <w:rsid w:val="00DF1178"/>
    <w:rsid w:val="00DF11DF"/>
    <w:rsid w:val="00DF1232"/>
    <w:rsid w:val="00DF1234"/>
    <w:rsid w:val="00DF124E"/>
    <w:rsid w:val="00DF129C"/>
    <w:rsid w:val="00DF134B"/>
    <w:rsid w:val="00DF143C"/>
    <w:rsid w:val="00DF1485"/>
    <w:rsid w:val="00DF1696"/>
    <w:rsid w:val="00DF1777"/>
    <w:rsid w:val="00DF17B5"/>
    <w:rsid w:val="00DF18F0"/>
    <w:rsid w:val="00DF1A2C"/>
    <w:rsid w:val="00DF1B7C"/>
    <w:rsid w:val="00DF1C17"/>
    <w:rsid w:val="00DF1EBA"/>
    <w:rsid w:val="00DF1FFF"/>
    <w:rsid w:val="00DF2027"/>
    <w:rsid w:val="00DF204B"/>
    <w:rsid w:val="00DF2092"/>
    <w:rsid w:val="00DF232F"/>
    <w:rsid w:val="00DF2433"/>
    <w:rsid w:val="00DF257B"/>
    <w:rsid w:val="00DF26D1"/>
    <w:rsid w:val="00DF2813"/>
    <w:rsid w:val="00DF2954"/>
    <w:rsid w:val="00DF2B10"/>
    <w:rsid w:val="00DF2B49"/>
    <w:rsid w:val="00DF2B69"/>
    <w:rsid w:val="00DF2B94"/>
    <w:rsid w:val="00DF2CE4"/>
    <w:rsid w:val="00DF2EB4"/>
    <w:rsid w:val="00DF2ED4"/>
    <w:rsid w:val="00DF2F8C"/>
    <w:rsid w:val="00DF2F95"/>
    <w:rsid w:val="00DF3055"/>
    <w:rsid w:val="00DF3319"/>
    <w:rsid w:val="00DF3331"/>
    <w:rsid w:val="00DF342A"/>
    <w:rsid w:val="00DF348B"/>
    <w:rsid w:val="00DF35AA"/>
    <w:rsid w:val="00DF3737"/>
    <w:rsid w:val="00DF3793"/>
    <w:rsid w:val="00DF37CC"/>
    <w:rsid w:val="00DF37FB"/>
    <w:rsid w:val="00DF3823"/>
    <w:rsid w:val="00DF38CC"/>
    <w:rsid w:val="00DF39D0"/>
    <w:rsid w:val="00DF3A18"/>
    <w:rsid w:val="00DF3A60"/>
    <w:rsid w:val="00DF3C5A"/>
    <w:rsid w:val="00DF3DE5"/>
    <w:rsid w:val="00DF4238"/>
    <w:rsid w:val="00DF42EF"/>
    <w:rsid w:val="00DF43F1"/>
    <w:rsid w:val="00DF4469"/>
    <w:rsid w:val="00DF4512"/>
    <w:rsid w:val="00DF451D"/>
    <w:rsid w:val="00DF459D"/>
    <w:rsid w:val="00DF4879"/>
    <w:rsid w:val="00DF4997"/>
    <w:rsid w:val="00DF49E7"/>
    <w:rsid w:val="00DF4A41"/>
    <w:rsid w:val="00DF4B5F"/>
    <w:rsid w:val="00DF4B71"/>
    <w:rsid w:val="00DF4CF5"/>
    <w:rsid w:val="00DF4DBC"/>
    <w:rsid w:val="00DF4E3E"/>
    <w:rsid w:val="00DF4F62"/>
    <w:rsid w:val="00DF4FB7"/>
    <w:rsid w:val="00DF50F6"/>
    <w:rsid w:val="00DF510C"/>
    <w:rsid w:val="00DF5187"/>
    <w:rsid w:val="00DF52C9"/>
    <w:rsid w:val="00DF5328"/>
    <w:rsid w:val="00DF5336"/>
    <w:rsid w:val="00DF53F4"/>
    <w:rsid w:val="00DF54A7"/>
    <w:rsid w:val="00DF55CA"/>
    <w:rsid w:val="00DF571D"/>
    <w:rsid w:val="00DF5761"/>
    <w:rsid w:val="00DF581B"/>
    <w:rsid w:val="00DF59C8"/>
    <w:rsid w:val="00DF5AB1"/>
    <w:rsid w:val="00DF5BF1"/>
    <w:rsid w:val="00DF5C08"/>
    <w:rsid w:val="00DF5C2C"/>
    <w:rsid w:val="00DF5C9D"/>
    <w:rsid w:val="00DF61D1"/>
    <w:rsid w:val="00DF61EE"/>
    <w:rsid w:val="00DF6600"/>
    <w:rsid w:val="00DF66EA"/>
    <w:rsid w:val="00DF67F2"/>
    <w:rsid w:val="00DF6BF7"/>
    <w:rsid w:val="00DF6D25"/>
    <w:rsid w:val="00DF6DF3"/>
    <w:rsid w:val="00DF6E57"/>
    <w:rsid w:val="00DF6E79"/>
    <w:rsid w:val="00DF6ECC"/>
    <w:rsid w:val="00DF6F61"/>
    <w:rsid w:val="00DF7004"/>
    <w:rsid w:val="00DF7093"/>
    <w:rsid w:val="00DF7193"/>
    <w:rsid w:val="00DF71A4"/>
    <w:rsid w:val="00DF721D"/>
    <w:rsid w:val="00DF7289"/>
    <w:rsid w:val="00DF73F9"/>
    <w:rsid w:val="00DF746C"/>
    <w:rsid w:val="00DF7501"/>
    <w:rsid w:val="00DF7629"/>
    <w:rsid w:val="00DF7689"/>
    <w:rsid w:val="00DF76B2"/>
    <w:rsid w:val="00DF772A"/>
    <w:rsid w:val="00DF79DF"/>
    <w:rsid w:val="00DF79F2"/>
    <w:rsid w:val="00DF79F6"/>
    <w:rsid w:val="00DF7AA0"/>
    <w:rsid w:val="00DF7B4A"/>
    <w:rsid w:val="00DF7BAD"/>
    <w:rsid w:val="00DF7C02"/>
    <w:rsid w:val="00DF7CBD"/>
    <w:rsid w:val="00DF7CF7"/>
    <w:rsid w:val="00DF7FF6"/>
    <w:rsid w:val="00E00014"/>
    <w:rsid w:val="00E00152"/>
    <w:rsid w:val="00E001A2"/>
    <w:rsid w:val="00E00259"/>
    <w:rsid w:val="00E00299"/>
    <w:rsid w:val="00E004F1"/>
    <w:rsid w:val="00E0053E"/>
    <w:rsid w:val="00E0056F"/>
    <w:rsid w:val="00E008F1"/>
    <w:rsid w:val="00E008FF"/>
    <w:rsid w:val="00E00920"/>
    <w:rsid w:val="00E00A8D"/>
    <w:rsid w:val="00E00A8E"/>
    <w:rsid w:val="00E00BAD"/>
    <w:rsid w:val="00E00BCB"/>
    <w:rsid w:val="00E00BE5"/>
    <w:rsid w:val="00E00D84"/>
    <w:rsid w:val="00E00DAF"/>
    <w:rsid w:val="00E00E95"/>
    <w:rsid w:val="00E00FB0"/>
    <w:rsid w:val="00E00FC2"/>
    <w:rsid w:val="00E00FF1"/>
    <w:rsid w:val="00E012AE"/>
    <w:rsid w:val="00E012C8"/>
    <w:rsid w:val="00E01402"/>
    <w:rsid w:val="00E01612"/>
    <w:rsid w:val="00E01789"/>
    <w:rsid w:val="00E0180D"/>
    <w:rsid w:val="00E0188E"/>
    <w:rsid w:val="00E01A63"/>
    <w:rsid w:val="00E01AD8"/>
    <w:rsid w:val="00E01B6B"/>
    <w:rsid w:val="00E01C19"/>
    <w:rsid w:val="00E01C6E"/>
    <w:rsid w:val="00E01CC4"/>
    <w:rsid w:val="00E01D04"/>
    <w:rsid w:val="00E01D3C"/>
    <w:rsid w:val="00E01D84"/>
    <w:rsid w:val="00E01D8C"/>
    <w:rsid w:val="00E02044"/>
    <w:rsid w:val="00E0207C"/>
    <w:rsid w:val="00E021B5"/>
    <w:rsid w:val="00E02337"/>
    <w:rsid w:val="00E025A0"/>
    <w:rsid w:val="00E026AA"/>
    <w:rsid w:val="00E026D2"/>
    <w:rsid w:val="00E028BA"/>
    <w:rsid w:val="00E028F4"/>
    <w:rsid w:val="00E02B4D"/>
    <w:rsid w:val="00E02C0A"/>
    <w:rsid w:val="00E02CCB"/>
    <w:rsid w:val="00E02CDD"/>
    <w:rsid w:val="00E02D96"/>
    <w:rsid w:val="00E02DA8"/>
    <w:rsid w:val="00E02FD6"/>
    <w:rsid w:val="00E02FD7"/>
    <w:rsid w:val="00E0302F"/>
    <w:rsid w:val="00E030AF"/>
    <w:rsid w:val="00E031A2"/>
    <w:rsid w:val="00E031D5"/>
    <w:rsid w:val="00E0340C"/>
    <w:rsid w:val="00E03488"/>
    <w:rsid w:val="00E03492"/>
    <w:rsid w:val="00E0372F"/>
    <w:rsid w:val="00E0376C"/>
    <w:rsid w:val="00E03942"/>
    <w:rsid w:val="00E0396C"/>
    <w:rsid w:val="00E03B34"/>
    <w:rsid w:val="00E03B51"/>
    <w:rsid w:val="00E03C78"/>
    <w:rsid w:val="00E03D7D"/>
    <w:rsid w:val="00E03DEA"/>
    <w:rsid w:val="00E03E13"/>
    <w:rsid w:val="00E03ED3"/>
    <w:rsid w:val="00E03F92"/>
    <w:rsid w:val="00E04199"/>
    <w:rsid w:val="00E041ED"/>
    <w:rsid w:val="00E04375"/>
    <w:rsid w:val="00E043A5"/>
    <w:rsid w:val="00E043F1"/>
    <w:rsid w:val="00E043F3"/>
    <w:rsid w:val="00E0455B"/>
    <w:rsid w:val="00E0464E"/>
    <w:rsid w:val="00E04739"/>
    <w:rsid w:val="00E04804"/>
    <w:rsid w:val="00E0486D"/>
    <w:rsid w:val="00E048D5"/>
    <w:rsid w:val="00E04A72"/>
    <w:rsid w:val="00E04A99"/>
    <w:rsid w:val="00E04B26"/>
    <w:rsid w:val="00E04CE3"/>
    <w:rsid w:val="00E04CE5"/>
    <w:rsid w:val="00E04F1D"/>
    <w:rsid w:val="00E05150"/>
    <w:rsid w:val="00E05175"/>
    <w:rsid w:val="00E051BE"/>
    <w:rsid w:val="00E052CE"/>
    <w:rsid w:val="00E053DB"/>
    <w:rsid w:val="00E05526"/>
    <w:rsid w:val="00E05628"/>
    <w:rsid w:val="00E0569F"/>
    <w:rsid w:val="00E05A4C"/>
    <w:rsid w:val="00E05A8D"/>
    <w:rsid w:val="00E05BC5"/>
    <w:rsid w:val="00E05ED6"/>
    <w:rsid w:val="00E05F30"/>
    <w:rsid w:val="00E06033"/>
    <w:rsid w:val="00E060F1"/>
    <w:rsid w:val="00E061C1"/>
    <w:rsid w:val="00E061D9"/>
    <w:rsid w:val="00E062B8"/>
    <w:rsid w:val="00E06378"/>
    <w:rsid w:val="00E065C0"/>
    <w:rsid w:val="00E065F1"/>
    <w:rsid w:val="00E06621"/>
    <w:rsid w:val="00E068B4"/>
    <w:rsid w:val="00E0690A"/>
    <w:rsid w:val="00E06911"/>
    <w:rsid w:val="00E06A8D"/>
    <w:rsid w:val="00E06AC9"/>
    <w:rsid w:val="00E06BAE"/>
    <w:rsid w:val="00E06C3F"/>
    <w:rsid w:val="00E06D24"/>
    <w:rsid w:val="00E06DD9"/>
    <w:rsid w:val="00E07000"/>
    <w:rsid w:val="00E07027"/>
    <w:rsid w:val="00E0705D"/>
    <w:rsid w:val="00E07166"/>
    <w:rsid w:val="00E071D9"/>
    <w:rsid w:val="00E0720F"/>
    <w:rsid w:val="00E0753F"/>
    <w:rsid w:val="00E075B4"/>
    <w:rsid w:val="00E0784F"/>
    <w:rsid w:val="00E07875"/>
    <w:rsid w:val="00E078BC"/>
    <w:rsid w:val="00E079F0"/>
    <w:rsid w:val="00E07AE3"/>
    <w:rsid w:val="00E07B58"/>
    <w:rsid w:val="00E07BE2"/>
    <w:rsid w:val="00E07C8C"/>
    <w:rsid w:val="00E07CB0"/>
    <w:rsid w:val="00E07DC4"/>
    <w:rsid w:val="00E07FCA"/>
    <w:rsid w:val="00E10154"/>
    <w:rsid w:val="00E10197"/>
    <w:rsid w:val="00E101C6"/>
    <w:rsid w:val="00E10288"/>
    <w:rsid w:val="00E10354"/>
    <w:rsid w:val="00E105BA"/>
    <w:rsid w:val="00E10675"/>
    <w:rsid w:val="00E106D6"/>
    <w:rsid w:val="00E10874"/>
    <w:rsid w:val="00E108A2"/>
    <w:rsid w:val="00E108A5"/>
    <w:rsid w:val="00E10949"/>
    <w:rsid w:val="00E10A3B"/>
    <w:rsid w:val="00E10AB3"/>
    <w:rsid w:val="00E10AD8"/>
    <w:rsid w:val="00E10C21"/>
    <w:rsid w:val="00E10CF0"/>
    <w:rsid w:val="00E10D04"/>
    <w:rsid w:val="00E10D14"/>
    <w:rsid w:val="00E10D48"/>
    <w:rsid w:val="00E10D97"/>
    <w:rsid w:val="00E10DE5"/>
    <w:rsid w:val="00E10F09"/>
    <w:rsid w:val="00E10F1E"/>
    <w:rsid w:val="00E10F8E"/>
    <w:rsid w:val="00E10FE4"/>
    <w:rsid w:val="00E1125C"/>
    <w:rsid w:val="00E11546"/>
    <w:rsid w:val="00E11785"/>
    <w:rsid w:val="00E117CB"/>
    <w:rsid w:val="00E11865"/>
    <w:rsid w:val="00E119BA"/>
    <w:rsid w:val="00E11A52"/>
    <w:rsid w:val="00E11A7F"/>
    <w:rsid w:val="00E11A8A"/>
    <w:rsid w:val="00E11B2C"/>
    <w:rsid w:val="00E11C16"/>
    <w:rsid w:val="00E11C38"/>
    <w:rsid w:val="00E11CB9"/>
    <w:rsid w:val="00E11CFB"/>
    <w:rsid w:val="00E11DF0"/>
    <w:rsid w:val="00E11E14"/>
    <w:rsid w:val="00E11ED1"/>
    <w:rsid w:val="00E11F5E"/>
    <w:rsid w:val="00E1219E"/>
    <w:rsid w:val="00E121D9"/>
    <w:rsid w:val="00E12235"/>
    <w:rsid w:val="00E12285"/>
    <w:rsid w:val="00E12295"/>
    <w:rsid w:val="00E122A0"/>
    <w:rsid w:val="00E122CA"/>
    <w:rsid w:val="00E123B5"/>
    <w:rsid w:val="00E12426"/>
    <w:rsid w:val="00E1243E"/>
    <w:rsid w:val="00E1245F"/>
    <w:rsid w:val="00E12522"/>
    <w:rsid w:val="00E125BF"/>
    <w:rsid w:val="00E126D4"/>
    <w:rsid w:val="00E1287D"/>
    <w:rsid w:val="00E12886"/>
    <w:rsid w:val="00E12B5C"/>
    <w:rsid w:val="00E12C5E"/>
    <w:rsid w:val="00E12CB4"/>
    <w:rsid w:val="00E12CE5"/>
    <w:rsid w:val="00E12E9B"/>
    <w:rsid w:val="00E12EC7"/>
    <w:rsid w:val="00E12F20"/>
    <w:rsid w:val="00E130AD"/>
    <w:rsid w:val="00E131BD"/>
    <w:rsid w:val="00E131E1"/>
    <w:rsid w:val="00E1320A"/>
    <w:rsid w:val="00E132EC"/>
    <w:rsid w:val="00E13384"/>
    <w:rsid w:val="00E133C2"/>
    <w:rsid w:val="00E13467"/>
    <w:rsid w:val="00E1359E"/>
    <w:rsid w:val="00E135F7"/>
    <w:rsid w:val="00E1375E"/>
    <w:rsid w:val="00E137A6"/>
    <w:rsid w:val="00E1380F"/>
    <w:rsid w:val="00E138B5"/>
    <w:rsid w:val="00E138EE"/>
    <w:rsid w:val="00E13985"/>
    <w:rsid w:val="00E13CAC"/>
    <w:rsid w:val="00E13D5E"/>
    <w:rsid w:val="00E13DE3"/>
    <w:rsid w:val="00E13E9A"/>
    <w:rsid w:val="00E13F4D"/>
    <w:rsid w:val="00E13F6A"/>
    <w:rsid w:val="00E13FAF"/>
    <w:rsid w:val="00E1409D"/>
    <w:rsid w:val="00E1414A"/>
    <w:rsid w:val="00E143D1"/>
    <w:rsid w:val="00E147F8"/>
    <w:rsid w:val="00E149B0"/>
    <w:rsid w:val="00E14A8A"/>
    <w:rsid w:val="00E14C76"/>
    <w:rsid w:val="00E14C7E"/>
    <w:rsid w:val="00E14CB4"/>
    <w:rsid w:val="00E14D88"/>
    <w:rsid w:val="00E14DA2"/>
    <w:rsid w:val="00E14DD3"/>
    <w:rsid w:val="00E14E7E"/>
    <w:rsid w:val="00E14E98"/>
    <w:rsid w:val="00E14F2A"/>
    <w:rsid w:val="00E1508C"/>
    <w:rsid w:val="00E15168"/>
    <w:rsid w:val="00E1518C"/>
    <w:rsid w:val="00E152D9"/>
    <w:rsid w:val="00E153C4"/>
    <w:rsid w:val="00E153FC"/>
    <w:rsid w:val="00E1540A"/>
    <w:rsid w:val="00E15519"/>
    <w:rsid w:val="00E1563F"/>
    <w:rsid w:val="00E157D0"/>
    <w:rsid w:val="00E1581D"/>
    <w:rsid w:val="00E15876"/>
    <w:rsid w:val="00E15A4F"/>
    <w:rsid w:val="00E15ADC"/>
    <w:rsid w:val="00E15BCB"/>
    <w:rsid w:val="00E15CE4"/>
    <w:rsid w:val="00E15D6B"/>
    <w:rsid w:val="00E15DD3"/>
    <w:rsid w:val="00E15DEB"/>
    <w:rsid w:val="00E15F03"/>
    <w:rsid w:val="00E15FAE"/>
    <w:rsid w:val="00E16055"/>
    <w:rsid w:val="00E162FD"/>
    <w:rsid w:val="00E1639B"/>
    <w:rsid w:val="00E16495"/>
    <w:rsid w:val="00E164A1"/>
    <w:rsid w:val="00E16609"/>
    <w:rsid w:val="00E1663E"/>
    <w:rsid w:val="00E166C8"/>
    <w:rsid w:val="00E16735"/>
    <w:rsid w:val="00E16753"/>
    <w:rsid w:val="00E16A01"/>
    <w:rsid w:val="00E16A55"/>
    <w:rsid w:val="00E16AAF"/>
    <w:rsid w:val="00E16CDB"/>
    <w:rsid w:val="00E16CE4"/>
    <w:rsid w:val="00E16E56"/>
    <w:rsid w:val="00E16E8F"/>
    <w:rsid w:val="00E16EA8"/>
    <w:rsid w:val="00E16F44"/>
    <w:rsid w:val="00E170C6"/>
    <w:rsid w:val="00E17101"/>
    <w:rsid w:val="00E17267"/>
    <w:rsid w:val="00E17457"/>
    <w:rsid w:val="00E17681"/>
    <w:rsid w:val="00E17850"/>
    <w:rsid w:val="00E17870"/>
    <w:rsid w:val="00E178D0"/>
    <w:rsid w:val="00E17900"/>
    <w:rsid w:val="00E17914"/>
    <w:rsid w:val="00E1791F"/>
    <w:rsid w:val="00E17936"/>
    <w:rsid w:val="00E179A5"/>
    <w:rsid w:val="00E179BA"/>
    <w:rsid w:val="00E17A02"/>
    <w:rsid w:val="00E17A5D"/>
    <w:rsid w:val="00E17B16"/>
    <w:rsid w:val="00E17B92"/>
    <w:rsid w:val="00E17B98"/>
    <w:rsid w:val="00E17B9F"/>
    <w:rsid w:val="00E17C9D"/>
    <w:rsid w:val="00E17CC1"/>
    <w:rsid w:val="00E17D39"/>
    <w:rsid w:val="00E17DD4"/>
    <w:rsid w:val="00E17F85"/>
    <w:rsid w:val="00E20012"/>
    <w:rsid w:val="00E2004F"/>
    <w:rsid w:val="00E200FE"/>
    <w:rsid w:val="00E201B9"/>
    <w:rsid w:val="00E205E8"/>
    <w:rsid w:val="00E20608"/>
    <w:rsid w:val="00E2062C"/>
    <w:rsid w:val="00E20993"/>
    <w:rsid w:val="00E20E90"/>
    <w:rsid w:val="00E20F85"/>
    <w:rsid w:val="00E2100B"/>
    <w:rsid w:val="00E21019"/>
    <w:rsid w:val="00E21025"/>
    <w:rsid w:val="00E21043"/>
    <w:rsid w:val="00E2104B"/>
    <w:rsid w:val="00E210D2"/>
    <w:rsid w:val="00E2112A"/>
    <w:rsid w:val="00E21186"/>
    <w:rsid w:val="00E211E1"/>
    <w:rsid w:val="00E21308"/>
    <w:rsid w:val="00E21314"/>
    <w:rsid w:val="00E2134D"/>
    <w:rsid w:val="00E213E8"/>
    <w:rsid w:val="00E215D0"/>
    <w:rsid w:val="00E216BF"/>
    <w:rsid w:val="00E2172F"/>
    <w:rsid w:val="00E217F6"/>
    <w:rsid w:val="00E21888"/>
    <w:rsid w:val="00E218B6"/>
    <w:rsid w:val="00E219A8"/>
    <w:rsid w:val="00E219CF"/>
    <w:rsid w:val="00E21B46"/>
    <w:rsid w:val="00E21B8C"/>
    <w:rsid w:val="00E21C31"/>
    <w:rsid w:val="00E21C5C"/>
    <w:rsid w:val="00E21CD2"/>
    <w:rsid w:val="00E21D55"/>
    <w:rsid w:val="00E21E21"/>
    <w:rsid w:val="00E2200A"/>
    <w:rsid w:val="00E22053"/>
    <w:rsid w:val="00E22071"/>
    <w:rsid w:val="00E2214B"/>
    <w:rsid w:val="00E222BC"/>
    <w:rsid w:val="00E223FF"/>
    <w:rsid w:val="00E2250F"/>
    <w:rsid w:val="00E225D6"/>
    <w:rsid w:val="00E225E4"/>
    <w:rsid w:val="00E2263A"/>
    <w:rsid w:val="00E2271C"/>
    <w:rsid w:val="00E22B80"/>
    <w:rsid w:val="00E22BC4"/>
    <w:rsid w:val="00E22C16"/>
    <w:rsid w:val="00E22CFC"/>
    <w:rsid w:val="00E22D27"/>
    <w:rsid w:val="00E22D51"/>
    <w:rsid w:val="00E22E09"/>
    <w:rsid w:val="00E22E9F"/>
    <w:rsid w:val="00E232C7"/>
    <w:rsid w:val="00E23362"/>
    <w:rsid w:val="00E233AF"/>
    <w:rsid w:val="00E2345B"/>
    <w:rsid w:val="00E236B0"/>
    <w:rsid w:val="00E23733"/>
    <w:rsid w:val="00E237BC"/>
    <w:rsid w:val="00E2384F"/>
    <w:rsid w:val="00E23AC8"/>
    <w:rsid w:val="00E23ADB"/>
    <w:rsid w:val="00E23C59"/>
    <w:rsid w:val="00E23DCE"/>
    <w:rsid w:val="00E23DFF"/>
    <w:rsid w:val="00E23E25"/>
    <w:rsid w:val="00E23E31"/>
    <w:rsid w:val="00E23EB6"/>
    <w:rsid w:val="00E23F73"/>
    <w:rsid w:val="00E24042"/>
    <w:rsid w:val="00E2404B"/>
    <w:rsid w:val="00E2411B"/>
    <w:rsid w:val="00E24147"/>
    <w:rsid w:val="00E2426A"/>
    <w:rsid w:val="00E24297"/>
    <w:rsid w:val="00E242AB"/>
    <w:rsid w:val="00E24351"/>
    <w:rsid w:val="00E2439F"/>
    <w:rsid w:val="00E245AF"/>
    <w:rsid w:val="00E245B8"/>
    <w:rsid w:val="00E24638"/>
    <w:rsid w:val="00E246BB"/>
    <w:rsid w:val="00E24804"/>
    <w:rsid w:val="00E249C0"/>
    <w:rsid w:val="00E249CA"/>
    <w:rsid w:val="00E24B47"/>
    <w:rsid w:val="00E24B5A"/>
    <w:rsid w:val="00E24C08"/>
    <w:rsid w:val="00E24C65"/>
    <w:rsid w:val="00E24DC5"/>
    <w:rsid w:val="00E24EC6"/>
    <w:rsid w:val="00E251F5"/>
    <w:rsid w:val="00E2522E"/>
    <w:rsid w:val="00E25267"/>
    <w:rsid w:val="00E252A4"/>
    <w:rsid w:val="00E25302"/>
    <w:rsid w:val="00E25358"/>
    <w:rsid w:val="00E2544D"/>
    <w:rsid w:val="00E2581A"/>
    <w:rsid w:val="00E25821"/>
    <w:rsid w:val="00E2586E"/>
    <w:rsid w:val="00E2594B"/>
    <w:rsid w:val="00E25987"/>
    <w:rsid w:val="00E25A22"/>
    <w:rsid w:val="00E25B45"/>
    <w:rsid w:val="00E25BE0"/>
    <w:rsid w:val="00E25C27"/>
    <w:rsid w:val="00E25C65"/>
    <w:rsid w:val="00E25DCA"/>
    <w:rsid w:val="00E25E09"/>
    <w:rsid w:val="00E25E35"/>
    <w:rsid w:val="00E25ED1"/>
    <w:rsid w:val="00E260C8"/>
    <w:rsid w:val="00E260E5"/>
    <w:rsid w:val="00E26224"/>
    <w:rsid w:val="00E263CF"/>
    <w:rsid w:val="00E26411"/>
    <w:rsid w:val="00E26425"/>
    <w:rsid w:val="00E26774"/>
    <w:rsid w:val="00E267E9"/>
    <w:rsid w:val="00E26841"/>
    <w:rsid w:val="00E26859"/>
    <w:rsid w:val="00E268A3"/>
    <w:rsid w:val="00E26A1D"/>
    <w:rsid w:val="00E26C3A"/>
    <w:rsid w:val="00E26C54"/>
    <w:rsid w:val="00E26C89"/>
    <w:rsid w:val="00E26D08"/>
    <w:rsid w:val="00E26D88"/>
    <w:rsid w:val="00E26FB3"/>
    <w:rsid w:val="00E27111"/>
    <w:rsid w:val="00E271A7"/>
    <w:rsid w:val="00E27274"/>
    <w:rsid w:val="00E273DA"/>
    <w:rsid w:val="00E273FC"/>
    <w:rsid w:val="00E274E8"/>
    <w:rsid w:val="00E27548"/>
    <w:rsid w:val="00E275BA"/>
    <w:rsid w:val="00E276FE"/>
    <w:rsid w:val="00E27990"/>
    <w:rsid w:val="00E27AA9"/>
    <w:rsid w:val="00E27C73"/>
    <w:rsid w:val="00E27D03"/>
    <w:rsid w:val="00E27D54"/>
    <w:rsid w:val="00E27EAA"/>
    <w:rsid w:val="00E27EC5"/>
    <w:rsid w:val="00E3004F"/>
    <w:rsid w:val="00E30144"/>
    <w:rsid w:val="00E3031B"/>
    <w:rsid w:val="00E303BA"/>
    <w:rsid w:val="00E30434"/>
    <w:rsid w:val="00E30768"/>
    <w:rsid w:val="00E30A53"/>
    <w:rsid w:val="00E30C88"/>
    <w:rsid w:val="00E30CB6"/>
    <w:rsid w:val="00E30CED"/>
    <w:rsid w:val="00E30D7C"/>
    <w:rsid w:val="00E30F68"/>
    <w:rsid w:val="00E30FB6"/>
    <w:rsid w:val="00E3100E"/>
    <w:rsid w:val="00E310BC"/>
    <w:rsid w:val="00E310CA"/>
    <w:rsid w:val="00E3120F"/>
    <w:rsid w:val="00E312D7"/>
    <w:rsid w:val="00E313DB"/>
    <w:rsid w:val="00E3147F"/>
    <w:rsid w:val="00E31508"/>
    <w:rsid w:val="00E3151E"/>
    <w:rsid w:val="00E3153F"/>
    <w:rsid w:val="00E315BD"/>
    <w:rsid w:val="00E3178E"/>
    <w:rsid w:val="00E31833"/>
    <w:rsid w:val="00E31853"/>
    <w:rsid w:val="00E31893"/>
    <w:rsid w:val="00E3195F"/>
    <w:rsid w:val="00E31AF1"/>
    <w:rsid w:val="00E31C5B"/>
    <w:rsid w:val="00E31C67"/>
    <w:rsid w:val="00E31C8B"/>
    <w:rsid w:val="00E31CDF"/>
    <w:rsid w:val="00E31CF5"/>
    <w:rsid w:val="00E31FA7"/>
    <w:rsid w:val="00E31FAE"/>
    <w:rsid w:val="00E31FF1"/>
    <w:rsid w:val="00E32213"/>
    <w:rsid w:val="00E322AD"/>
    <w:rsid w:val="00E32305"/>
    <w:rsid w:val="00E32485"/>
    <w:rsid w:val="00E324A8"/>
    <w:rsid w:val="00E32565"/>
    <w:rsid w:val="00E3268D"/>
    <w:rsid w:val="00E327BD"/>
    <w:rsid w:val="00E327EC"/>
    <w:rsid w:val="00E327F9"/>
    <w:rsid w:val="00E328C5"/>
    <w:rsid w:val="00E328F6"/>
    <w:rsid w:val="00E329B8"/>
    <w:rsid w:val="00E329D0"/>
    <w:rsid w:val="00E32A6A"/>
    <w:rsid w:val="00E32A6B"/>
    <w:rsid w:val="00E32B18"/>
    <w:rsid w:val="00E32B54"/>
    <w:rsid w:val="00E32BCD"/>
    <w:rsid w:val="00E32C29"/>
    <w:rsid w:val="00E32C52"/>
    <w:rsid w:val="00E32D6A"/>
    <w:rsid w:val="00E32D83"/>
    <w:rsid w:val="00E32E61"/>
    <w:rsid w:val="00E32F81"/>
    <w:rsid w:val="00E32F8B"/>
    <w:rsid w:val="00E32FEB"/>
    <w:rsid w:val="00E33202"/>
    <w:rsid w:val="00E33298"/>
    <w:rsid w:val="00E33371"/>
    <w:rsid w:val="00E333BF"/>
    <w:rsid w:val="00E33415"/>
    <w:rsid w:val="00E334FA"/>
    <w:rsid w:val="00E3361A"/>
    <w:rsid w:val="00E3366B"/>
    <w:rsid w:val="00E336C4"/>
    <w:rsid w:val="00E3375E"/>
    <w:rsid w:val="00E337C3"/>
    <w:rsid w:val="00E33890"/>
    <w:rsid w:val="00E3389B"/>
    <w:rsid w:val="00E33976"/>
    <w:rsid w:val="00E33A7E"/>
    <w:rsid w:val="00E33A96"/>
    <w:rsid w:val="00E33B4C"/>
    <w:rsid w:val="00E33CAB"/>
    <w:rsid w:val="00E33D47"/>
    <w:rsid w:val="00E33ED1"/>
    <w:rsid w:val="00E33EE8"/>
    <w:rsid w:val="00E342DC"/>
    <w:rsid w:val="00E342E8"/>
    <w:rsid w:val="00E342F6"/>
    <w:rsid w:val="00E343F7"/>
    <w:rsid w:val="00E34555"/>
    <w:rsid w:val="00E345EF"/>
    <w:rsid w:val="00E3461B"/>
    <w:rsid w:val="00E34767"/>
    <w:rsid w:val="00E347F4"/>
    <w:rsid w:val="00E34843"/>
    <w:rsid w:val="00E349A7"/>
    <w:rsid w:val="00E349B4"/>
    <w:rsid w:val="00E34BF5"/>
    <w:rsid w:val="00E34D9D"/>
    <w:rsid w:val="00E34DAB"/>
    <w:rsid w:val="00E34F38"/>
    <w:rsid w:val="00E34F9A"/>
    <w:rsid w:val="00E3507D"/>
    <w:rsid w:val="00E350C1"/>
    <w:rsid w:val="00E352CF"/>
    <w:rsid w:val="00E352F0"/>
    <w:rsid w:val="00E353CC"/>
    <w:rsid w:val="00E35463"/>
    <w:rsid w:val="00E3565A"/>
    <w:rsid w:val="00E3565D"/>
    <w:rsid w:val="00E3573E"/>
    <w:rsid w:val="00E3582D"/>
    <w:rsid w:val="00E35889"/>
    <w:rsid w:val="00E358AF"/>
    <w:rsid w:val="00E358BB"/>
    <w:rsid w:val="00E35A34"/>
    <w:rsid w:val="00E35ADA"/>
    <w:rsid w:val="00E35E92"/>
    <w:rsid w:val="00E35FBC"/>
    <w:rsid w:val="00E3602C"/>
    <w:rsid w:val="00E36286"/>
    <w:rsid w:val="00E36293"/>
    <w:rsid w:val="00E362F9"/>
    <w:rsid w:val="00E36450"/>
    <w:rsid w:val="00E3645A"/>
    <w:rsid w:val="00E364EF"/>
    <w:rsid w:val="00E3692F"/>
    <w:rsid w:val="00E36C66"/>
    <w:rsid w:val="00E36D03"/>
    <w:rsid w:val="00E36DD4"/>
    <w:rsid w:val="00E36ED4"/>
    <w:rsid w:val="00E36F64"/>
    <w:rsid w:val="00E3705C"/>
    <w:rsid w:val="00E3705F"/>
    <w:rsid w:val="00E3714D"/>
    <w:rsid w:val="00E371C9"/>
    <w:rsid w:val="00E371D8"/>
    <w:rsid w:val="00E3731C"/>
    <w:rsid w:val="00E37577"/>
    <w:rsid w:val="00E37609"/>
    <w:rsid w:val="00E379EA"/>
    <w:rsid w:val="00E37AF3"/>
    <w:rsid w:val="00E37B3A"/>
    <w:rsid w:val="00E37BCB"/>
    <w:rsid w:val="00E37BF4"/>
    <w:rsid w:val="00E37C68"/>
    <w:rsid w:val="00E37D86"/>
    <w:rsid w:val="00E37D99"/>
    <w:rsid w:val="00E40095"/>
    <w:rsid w:val="00E401B7"/>
    <w:rsid w:val="00E40208"/>
    <w:rsid w:val="00E40319"/>
    <w:rsid w:val="00E40330"/>
    <w:rsid w:val="00E40487"/>
    <w:rsid w:val="00E40671"/>
    <w:rsid w:val="00E406E1"/>
    <w:rsid w:val="00E4077E"/>
    <w:rsid w:val="00E40869"/>
    <w:rsid w:val="00E408A9"/>
    <w:rsid w:val="00E408F4"/>
    <w:rsid w:val="00E40A5A"/>
    <w:rsid w:val="00E40BAF"/>
    <w:rsid w:val="00E40E11"/>
    <w:rsid w:val="00E40E5F"/>
    <w:rsid w:val="00E40EDB"/>
    <w:rsid w:val="00E40F63"/>
    <w:rsid w:val="00E412ED"/>
    <w:rsid w:val="00E41445"/>
    <w:rsid w:val="00E414B8"/>
    <w:rsid w:val="00E414F2"/>
    <w:rsid w:val="00E4153A"/>
    <w:rsid w:val="00E41556"/>
    <w:rsid w:val="00E4173C"/>
    <w:rsid w:val="00E41855"/>
    <w:rsid w:val="00E41934"/>
    <w:rsid w:val="00E41975"/>
    <w:rsid w:val="00E419FA"/>
    <w:rsid w:val="00E41B1E"/>
    <w:rsid w:val="00E41B30"/>
    <w:rsid w:val="00E41DCB"/>
    <w:rsid w:val="00E41FAA"/>
    <w:rsid w:val="00E420B5"/>
    <w:rsid w:val="00E42112"/>
    <w:rsid w:val="00E4235D"/>
    <w:rsid w:val="00E4243E"/>
    <w:rsid w:val="00E42514"/>
    <w:rsid w:val="00E425BD"/>
    <w:rsid w:val="00E425CE"/>
    <w:rsid w:val="00E425E1"/>
    <w:rsid w:val="00E42640"/>
    <w:rsid w:val="00E42882"/>
    <w:rsid w:val="00E428C6"/>
    <w:rsid w:val="00E429EE"/>
    <w:rsid w:val="00E429F3"/>
    <w:rsid w:val="00E42A85"/>
    <w:rsid w:val="00E42BC3"/>
    <w:rsid w:val="00E42BD0"/>
    <w:rsid w:val="00E42D52"/>
    <w:rsid w:val="00E42FC4"/>
    <w:rsid w:val="00E43025"/>
    <w:rsid w:val="00E430A1"/>
    <w:rsid w:val="00E430E4"/>
    <w:rsid w:val="00E43122"/>
    <w:rsid w:val="00E43192"/>
    <w:rsid w:val="00E4323E"/>
    <w:rsid w:val="00E43294"/>
    <w:rsid w:val="00E43297"/>
    <w:rsid w:val="00E432FE"/>
    <w:rsid w:val="00E43374"/>
    <w:rsid w:val="00E433A0"/>
    <w:rsid w:val="00E433D7"/>
    <w:rsid w:val="00E4350A"/>
    <w:rsid w:val="00E4350B"/>
    <w:rsid w:val="00E4353E"/>
    <w:rsid w:val="00E43705"/>
    <w:rsid w:val="00E4375C"/>
    <w:rsid w:val="00E4397F"/>
    <w:rsid w:val="00E43B41"/>
    <w:rsid w:val="00E43C2B"/>
    <w:rsid w:val="00E43CA0"/>
    <w:rsid w:val="00E43F56"/>
    <w:rsid w:val="00E440AA"/>
    <w:rsid w:val="00E44105"/>
    <w:rsid w:val="00E4412B"/>
    <w:rsid w:val="00E4446D"/>
    <w:rsid w:val="00E44527"/>
    <w:rsid w:val="00E445CF"/>
    <w:rsid w:val="00E44684"/>
    <w:rsid w:val="00E446D9"/>
    <w:rsid w:val="00E44841"/>
    <w:rsid w:val="00E44925"/>
    <w:rsid w:val="00E44945"/>
    <w:rsid w:val="00E44946"/>
    <w:rsid w:val="00E44A3B"/>
    <w:rsid w:val="00E44AB2"/>
    <w:rsid w:val="00E44B70"/>
    <w:rsid w:val="00E44C5F"/>
    <w:rsid w:val="00E44D67"/>
    <w:rsid w:val="00E44F7A"/>
    <w:rsid w:val="00E44FEE"/>
    <w:rsid w:val="00E4502B"/>
    <w:rsid w:val="00E4503A"/>
    <w:rsid w:val="00E45167"/>
    <w:rsid w:val="00E45302"/>
    <w:rsid w:val="00E4537F"/>
    <w:rsid w:val="00E45462"/>
    <w:rsid w:val="00E454C2"/>
    <w:rsid w:val="00E456D4"/>
    <w:rsid w:val="00E456F4"/>
    <w:rsid w:val="00E45780"/>
    <w:rsid w:val="00E457B7"/>
    <w:rsid w:val="00E45B90"/>
    <w:rsid w:val="00E45CED"/>
    <w:rsid w:val="00E45D79"/>
    <w:rsid w:val="00E45E6B"/>
    <w:rsid w:val="00E45E76"/>
    <w:rsid w:val="00E45EE2"/>
    <w:rsid w:val="00E45F82"/>
    <w:rsid w:val="00E45F91"/>
    <w:rsid w:val="00E4602F"/>
    <w:rsid w:val="00E460A6"/>
    <w:rsid w:val="00E460EF"/>
    <w:rsid w:val="00E46296"/>
    <w:rsid w:val="00E463F5"/>
    <w:rsid w:val="00E46485"/>
    <w:rsid w:val="00E46586"/>
    <w:rsid w:val="00E4666D"/>
    <w:rsid w:val="00E466B8"/>
    <w:rsid w:val="00E466C3"/>
    <w:rsid w:val="00E4682D"/>
    <w:rsid w:val="00E468BB"/>
    <w:rsid w:val="00E46961"/>
    <w:rsid w:val="00E46984"/>
    <w:rsid w:val="00E46997"/>
    <w:rsid w:val="00E469AC"/>
    <w:rsid w:val="00E46B2D"/>
    <w:rsid w:val="00E46B8C"/>
    <w:rsid w:val="00E46CB7"/>
    <w:rsid w:val="00E46DD8"/>
    <w:rsid w:val="00E46DDF"/>
    <w:rsid w:val="00E46E07"/>
    <w:rsid w:val="00E47004"/>
    <w:rsid w:val="00E47061"/>
    <w:rsid w:val="00E4708F"/>
    <w:rsid w:val="00E47161"/>
    <w:rsid w:val="00E47261"/>
    <w:rsid w:val="00E472A3"/>
    <w:rsid w:val="00E476B7"/>
    <w:rsid w:val="00E476C8"/>
    <w:rsid w:val="00E47795"/>
    <w:rsid w:val="00E477EB"/>
    <w:rsid w:val="00E4781A"/>
    <w:rsid w:val="00E47829"/>
    <w:rsid w:val="00E47865"/>
    <w:rsid w:val="00E47872"/>
    <w:rsid w:val="00E478DD"/>
    <w:rsid w:val="00E47A19"/>
    <w:rsid w:val="00E47A5F"/>
    <w:rsid w:val="00E47A8D"/>
    <w:rsid w:val="00E47B1A"/>
    <w:rsid w:val="00E47B48"/>
    <w:rsid w:val="00E47C27"/>
    <w:rsid w:val="00E47C5E"/>
    <w:rsid w:val="00E47C91"/>
    <w:rsid w:val="00E47DB8"/>
    <w:rsid w:val="00E47DD4"/>
    <w:rsid w:val="00E47DDD"/>
    <w:rsid w:val="00E47E03"/>
    <w:rsid w:val="00E47E08"/>
    <w:rsid w:val="00E47E0D"/>
    <w:rsid w:val="00E47E50"/>
    <w:rsid w:val="00E47EFC"/>
    <w:rsid w:val="00E47F9A"/>
    <w:rsid w:val="00E502B9"/>
    <w:rsid w:val="00E503E4"/>
    <w:rsid w:val="00E50430"/>
    <w:rsid w:val="00E5047F"/>
    <w:rsid w:val="00E504F5"/>
    <w:rsid w:val="00E50537"/>
    <w:rsid w:val="00E5054E"/>
    <w:rsid w:val="00E505BF"/>
    <w:rsid w:val="00E505E4"/>
    <w:rsid w:val="00E50602"/>
    <w:rsid w:val="00E50716"/>
    <w:rsid w:val="00E50781"/>
    <w:rsid w:val="00E507F5"/>
    <w:rsid w:val="00E5085E"/>
    <w:rsid w:val="00E50A03"/>
    <w:rsid w:val="00E50A8D"/>
    <w:rsid w:val="00E50B35"/>
    <w:rsid w:val="00E50C54"/>
    <w:rsid w:val="00E50D04"/>
    <w:rsid w:val="00E50E7C"/>
    <w:rsid w:val="00E50EF3"/>
    <w:rsid w:val="00E50FF2"/>
    <w:rsid w:val="00E510AA"/>
    <w:rsid w:val="00E510F2"/>
    <w:rsid w:val="00E5123C"/>
    <w:rsid w:val="00E51545"/>
    <w:rsid w:val="00E5171E"/>
    <w:rsid w:val="00E5171F"/>
    <w:rsid w:val="00E51722"/>
    <w:rsid w:val="00E517AF"/>
    <w:rsid w:val="00E518D9"/>
    <w:rsid w:val="00E51907"/>
    <w:rsid w:val="00E5195D"/>
    <w:rsid w:val="00E51A50"/>
    <w:rsid w:val="00E51B02"/>
    <w:rsid w:val="00E51BA0"/>
    <w:rsid w:val="00E51C31"/>
    <w:rsid w:val="00E51CA9"/>
    <w:rsid w:val="00E51CD1"/>
    <w:rsid w:val="00E51D9E"/>
    <w:rsid w:val="00E51DB4"/>
    <w:rsid w:val="00E51E85"/>
    <w:rsid w:val="00E51EE9"/>
    <w:rsid w:val="00E51F7C"/>
    <w:rsid w:val="00E51FD3"/>
    <w:rsid w:val="00E52043"/>
    <w:rsid w:val="00E52113"/>
    <w:rsid w:val="00E52148"/>
    <w:rsid w:val="00E521A2"/>
    <w:rsid w:val="00E521C3"/>
    <w:rsid w:val="00E5221C"/>
    <w:rsid w:val="00E52447"/>
    <w:rsid w:val="00E52551"/>
    <w:rsid w:val="00E52582"/>
    <w:rsid w:val="00E525FE"/>
    <w:rsid w:val="00E527A7"/>
    <w:rsid w:val="00E527BD"/>
    <w:rsid w:val="00E527C7"/>
    <w:rsid w:val="00E5283E"/>
    <w:rsid w:val="00E52AAF"/>
    <w:rsid w:val="00E52B13"/>
    <w:rsid w:val="00E52BAB"/>
    <w:rsid w:val="00E52C99"/>
    <w:rsid w:val="00E52EA1"/>
    <w:rsid w:val="00E52EE6"/>
    <w:rsid w:val="00E52F26"/>
    <w:rsid w:val="00E530A5"/>
    <w:rsid w:val="00E53237"/>
    <w:rsid w:val="00E53278"/>
    <w:rsid w:val="00E53284"/>
    <w:rsid w:val="00E532CA"/>
    <w:rsid w:val="00E5351D"/>
    <w:rsid w:val="00E53581"/>
    <w:rsid w:val="00E535D7"/>
    <w:rsid w:val="00E53737"/>
    <w:rsid w:val="00E537D1"/>
    <w:rsid w:val="00E5393A"/>
    <w:rsid w:val="00E53ABF"/>
    <w:rsid w:val="00E53C41"/>
    <w:rsid w:val="00E53C69"/>
    <w:rsid w:val="00E53CD9"/>
    <w:rsid w:val="00E53D3D"/>
    <w:rsid w:val="00E53EC2"/>
    <w:rsid w:val="00E53F5E"/>
    <w:rsid w:val="00E53FFE"/>
    <w:rsid w:val="00E54022"/>
    <w:rsid w:val="00E540D7"/>
    <w:rsid w:val="00E54353"/>
    <w:rsid w:val="00E54396"/>
    <w:rsid w:val="00E544BF"/>
    <w:rsid w:val="00E54549"/>
    <w:rsid w:val="00E54809"/>
    <w:rsid w:val="00E548A2"/>
    <w:rsid w:val="00E54974"/>
    <w:rsid w:val="00E549AF"/>
    <w:rsid w:val="00E54A5C"/>
    <w:rsid w:val="00E54C1A"/>
    <w:rsid w:val="00E54CCF"/>
    <w:rsid w:val="00E54DA9"/>
    <w:rsid w:val="00E54DF2"/>
    <w:rsid w:val="00E54E02"/>
    <w:rsid w:val="00E54E4E"/>
    <w:rsid w:val="00E54EC8"/>
    <w:rsid w:val="00E54F2D"/>
    <w:rsid w:val="00E55082"/>
    <w:rsid w:val="00E550D3"/>
    <w:rsid w:val="00E553B1"/>
    <w:rsid w:val="00E55418"/>
    <w:rsid w:val="00E55464"/>
    <w:rsid w:val="00E55682"/>
    <w:rsid w:val="00E556B9"/>
    <w:rsid w:val="00E556EB"/>
    <w:rsid w:val="00E556F6"/>
    <w:rsid w:val="00E5584A"/>
    <w:rsid w:val="00E55929"/>
    <w:rsid w:val="00E559F4"/>
    <w:rsid w:val="00E55DDE"/>
    <w:rsid w:val="00E55E97"/>
    <w:rsid w:val="00E55EAC"/>
    <w:rsid w:val="00E55F7B"/>
    <w:rsid w:val="00E55F85"/>
    <w:rsid w:val="00E55FE5"/>
    <w:rsid w:val="00E56080"/>
    <w:rsid w:val="00E560CE"/>
    <w:rsid w:val="00E56148"/>
    <w:rsid w:val="00E562E5"/>
    <w:rsid w:val="00E5640B"/>
    <w:rsid w:val="00E56488"/>
    <w:rsid w:val="00E567C0"/>
    <w:rsid w:val="00E567E6"/>
    <w:rsid w:val="00E56971"/>
    <w:rsid w:val="00E569F9"/>
    <w:rsid w:val="00E56A6F"/>
    <w:rsid w:val="00E56A8E"/>
    <w:rsid w:val="00E56ADE"/>
    <w:rsid w:val="00E56C1C"/>
    <w:rsid w:val="00E56D08"/>
    <w:rsid w:val="00E56D76"/>
    <w:rsid w:val="00E56E49"/>
    <w:rsid w:val="00E56E55"/>
    <w:rsid w:val="00E56FA4"/>
    <w:rsid w:val="00E5712A"/>
    <w:rsid w:val="00E57144"/>
    <w:rsid w:val="00E57145"/>
    <w:rsid w:val="00E57251"/>
    <w:rsid w:val="00E57269"/>
    <w:rsid w:val="00E57363"/>
    <w:rsid w:val="00E574CA"/>
    <w:rsid w:val="00E5755D"/>
    <w:rsid w:val="00E5757E"/>
    <w:rsid w:val="00E57640"/>
    <w:rsid w:val="00E577BB"/>
    <w:rsid w:val="00E57884"/>
    <w:rsid w:val="00E5788E"/>
    <w:rsid w:val="00E5796E"/>
    <w:rsid w:val="00E57C1D"/>
    <w:rsid w:val="00E57EAE"/>
    <w:rsid w:val="00E57F03"/>
    <w:rsid w:val="00E60046"/>
    <w:rsid w:val="00E600C5"/>
    <w:rsid w:val="00E60290"/>
    <w:rsid w:val="00E60446"/>
    <w:rsid w:val="00E60447"/>
    <w:rsid w:val="00E60678"/>
    <w:rsid w:val="00E60A13"/>
    <w:rsid w:val="00E60AC2"/>
    <w:rsid w:val="00E60C36"/>
    <w:rsid w:val="00E60F49"/>
    <w:rsid w:val="00E60FA2"/>
    <w:rsid w:val="00E6100B"/>
    <w:rsid w:val="00E6109D"/>
    <w:rsid w:val="00E61230"/>
    <w:rsid w:val="00E61437"/>
    <w:rsid w:val="00E61484"/>
    <w:rsid w:val="00E614F9"/>
    <w:rsid w:val="00E61518"/>
    <w:rsid w:val="00E6154E"/>
    <w:rsid w:val="00E61639"/>
    <w:rsid w:val="00E618DF"/>
    <w:rsid w:val="00E61956"/>
    <w:rsid w:val="00E61A62"/>
    <w:rsid w:val="00E61AEB"/>
    <w:rsid w:val="00E61B05"/>
    <w:rsid w:val="00E61B51"/>
    <w:rsid w:val="00E61B91"/>
    <w:rsid w:val="00E61D16"/>
    <w:rsid w:val="00E61EB2"/>
    <w:rsid w:val="00E61F08"/>
    <w:rsid w:val="00E61F4A"/>
    <w:rsid w:val="00E61F9C"/>
    <w:rsid w:val="00E62143"/>
    <w:rsid w:val="00E62205"/>
    <w:rsid w:val="00E62220"/>
    <w:rsid w:val="00E62242"/>
    <w:rsid w:val="00E6226F"/>
    <w:rsid w:val="00E6243F"/>
    <w:rsid w:val="00E626FA"/>
    <w:rsid w:val="00E6272A"/>
    <w:rsid w:val="00E62878"/>
    <w:rsid w:val="00E62B1E"/>
    <w:rsid w:val="00E62C94"/>
    <w:rsid w:val="00E62DC2"/>
    <w:rsid w:val="00E62F40"/>
    <w:rsid w:val="00E630E1"/>
    <w:rsid w:val="00E63240"/>
    <w:rsid w:val="00E6324E"/>
    <w:rsid w:val="00E63266"/>
    <w:rsid w:val="00E63301"/>
    <w:rsid w:val="00E6332E"/>
    <w:rsid w:val="00E633BD"/>
    <w:rsid w:val="00E633ED"/>
    <w:rsid w:val="00E6358E"/>
    <w:rsid w:val="00E6376B"/>
    <w:rsid w:val="00E638B5"/>
    <w:rsid w:val="00E6393F"/>
    <w:rsid w:val="00E639B9"/>
    <w:rsid w:val="00E63A12"/>
    <w:rsid w:val="00E63B0E"/>
    <w:rsid w:val="00E63BB9"/>
    <w:rsid w:val="00E63DE3"/>
    <w:rsid w:val="00E64070"/>
    <w:rsid w:val="00E640D1"/>
    <w:rsid w:val="00E64240"/>
    <w:rsid w:val="00E642DA"/>
    <w:rsid w:val="00E6437D"/>
    <w:rsid w:val="00E644C4"/>
    <w:rsid w:val="00E644D9"/>
    <w:rsid w:val="00E64527"/>
    <w:rsid w:val="00E64537"/>
    <w:rsid w:val="00E64580"/>
    <w:rsid w:val="00E645E5"/>
    <w:rsid w:val="00E6491D"/>
    <w:rsid w:val="00E64938"/>
    <w:rsid w:val="00E64ADD"/>
    <w:rsid w:val="00E64BEF"/>
    <w:rsid w:val="00E64BFA"/>
    <w:rsid w:val="00E64D2A"/>
    <w:rsid w:val="00E64E2C"/>
    <w:rsid w:val="00E64F49"/>
    <w:rsid w:val="00E6505C"/>
    <w:rsid w:val="00E6505D"/>
    <w:rsid w:val="00E652B4"/>
    <w:rsid w:val="00E654E9"/>
    <w:rsid w:val="00E6555C"/>
    <w:rsid w:val="00E65668"/>
    <w:rsid w:val="00E6566F"/>
    <w:rsid w:val="00E656E2"/>
    <w:rsid w:val="00E65774"/>
    <w:rsid w:val="00E65837"/>
    <w:rsid w:val="00E6587F"/>
    <w:rsid w:val="00E65938"/>
    <w:rsid w:val="00E65AC1"/>
    <w:rsid w:val="00E65AE5"/>
    <w:rsid w:val="00E65AE8"/>
    <w:rsid w:val="00E65B88"/>
    <w:rsid w:val="00E65D32"/>
    <w:rsid w:val="00E65E0F"/>
    <w:rsid w:val="00E65E53"/>
    <w:rsid w:val="00E661C5"/>
    <w:rsid w:val="00E6622F"/>
    <w:rsid w:val="00E66278"/>
    <w:rsid w:val="00E66868"/>
    <w:rsid w:val="00E668F4"/>
    <w:rsid w:val="00E66C90"/>
    <w:rsid w:val="00E66D91"/>
    <w:rsid w:val="00E66E35"/>
    <w:rsid w:val="00E66E78"/>
    <w:rsid w:val="00E66F5E"/>
    <w:rsid w:val="00E66FC2"/>
    <w:rsid w:val="00E6707F"/>
    <w:rsid w:val="00E67112"/>
    <w:rsid w:val="00E67136"/>
    <w:rsid w:val="00E671B6"/>
    <w:rsid w:val="00E671DF"/>
    <w:rsid w:val="00E67262"/>
    <w:rsid w:val="00E672E8"/>
    <w:rsid w:val="00E6745B"/>
    <w:rsid w:val="00E6755D"/>
    <w:rsid w:val="00E676C0"/>
    <w:rsid w:val="00E6773F"/>
    <w:rsid w:val="00E6774A"/>
    <w:rsid w:val="00E67AFE"/>
    <w:rsid w:val="00E67B7F"/>
    <w:rsid w:val="00E67BD5"/>
    <w:rsid w:val="00E67D0E"/>
    <w:rsid w:val="00E67DF3"/>
    <w:rsid w:val="00E67E99"/>
    <w:rsid w:val="00E67F19"/>
    <w:rsid w:val="00E67F44"/>
    <w:rsid w:val="00E67F61"/>
    <w:rsid w:val="00E67FDB"/>
    <w:rsid w:val="00E70021"/>
    <w:rsid w:val="00E700CC"/>
    <w:rsid w:val="00E700E5"/>
    <w:rsid w:val="00E70111"/>
    <w:rsid w:val="00E7017C"/>
    <w:rsid w:val="00E701BF"/>
    <w:rsid w:val="00E701EA"/>
    <w:rsid w:val="00E70264"/>
    <w:rsid w:val="00E70295"/>
    <w:rsid w:val="00E703AE"/>
    <w:rsid w:val="00E70431"/>
    <w:rsid w:val="00E70443"/>
    <w:rsid w:val="00E70510"/>
    <w:rsid w:val="00E70558"/>
    <w:rsid w:val="00E70644"/>
    <w:rsid w:val="00E7075D"/>
    <w:rsid w:val="00E707E7"/>
    <w:rsid w:val="00E70875"/>
    <w:rsid w:val="00E709F0"/>
    <w:rsid w:val="00E70ABC"/>
    <w:rsid w:val="00E70B0E"/>
    <w:rsid w:val="00E70B40"/>
    <w:rsid w:val="00E70B95"/>
    <w:rsid w:val="00E70BF0"/>
    <w:rsid w:val="00E70D91"/>
    <w:rsid w:val="00E70DF2"/>
    <w:rsid w:val="00E70FC6"/>
    <w:rsid w:val="00E7104D"/>
    <w:rsid w:val="00E711B4"/>
    <w:rsid w:val="00E711D7"/>
    <w:rsid w:val="00E712F6"/>
    <w:rsid w:val="00E713F7"/>
    <w:rsid w:val="00E71604"/>
    <w:rsid w:val="00E71621"/>
    <w:rsid w:val="00E719C2"/>
    <w:rsid w:val="00E719ED"/>
    <w:rsid w:val="00E71B9A"/>
    <w:rsid w:val="00E71C09"/>
    <w:rsid w:val="00E71DE2"/>
    <w:rsid w:val="00E71F6A"/>
    <w:rsid w:val="00E71FF9"/>
    <w:rsid w:val="00E7207A"/>
    <w:rsid w:val="00E72430"/>
    <w:rsid w:val="00E725CE"/>
    <w:rsid w:val="00E72668"/>
    <w:rsid w:val="00E726B8"/>
    <w:rsid w:val="00E7270F"/>
    <w:rsid w:val="00E72733"/>
    <w:rsid w:val="00E7280E"/>
    <w:rsid w:val="00E7286B"/>
    <w:rsid w:val="00E72899"/>
    <w:rsid w:val="00E728A4"/>
    <w:rsid w:val="00E72987"/>
    <w:rsid w:val="00E72B0A"/>
    <w:rsid w:val="00E72B6E"/>
    <w:rsid w:val="00E72B9D"/>
    <w:rsid w:val="00E72CE8"/>
    <w:rsid w:val="00E72D22"/>
    <w:rsid w:val="00E72D41"/>
    <w:rsid w:val="00E72D90"/>
    <w:rsid w:val="00E72E39"/>
    <w:rsid w:val="00E72E48"/>
    <w:rsid w:val="00E72E52"/>
    <w:rsid w:val="00E72EF6"/>
    <w:rsid w:val="00E7321A"/>
    <w:rsid w:val="00E734D1"/>
    <w:rsid w:val="00E735AC"/>
    <w:rsid w:val="00E736A8"/>
    <w:rsid w:val="00E736BF"/>
    <w:rsid w:val="00E73937"/>
    <w:rsid w:val="00E73ACE"/>
    <w:rsid w:val="00E740F5"/>
    <w:rsid w:val="00E74308"/>
    <w:rsid w:val="00E7433A"/>
    <w:rsid w:val="00E74370"/>
    <w:rsid w:val="00E74406"/>
    <w:rsid w:val="00E744E1"/>
    <w:rsid w:val="00E74549"/>
    <w:rsid w:val="00E74557"/>
    <w:rsid w:val="00E7465E"/>
    <w:rsid w:val="00E747E0"/>
    <w:rsid w:val="00E748A8"/>
    <w:rsid w:val="00E7492C"/>
    <w:rsid w:val="00E7493E"/>
    <w:rsid w:val="00E749AB"/>
    <w:rsid w:val="00E749DF"/>
    <w:rsid w:val="00E74A00"/>
    <w:rsid w:val="00E74A40"/>
    <w:rsid w:val="00E74AE2"/>
    <w:rsid w:val="00E74B71"/>
    <w:rsid w:val="00E74B84"/>
    <w:rsid w:val="00E74CA2"/>
    <w:rsid w:val="00E74DD8"/>
    <w:rsid w:val="00E75012"/>
    <w:rsid w:val="00E7502F"/>
    <w:rsid w:val="00E750B1"/>
    <w:rsid w:val="00E75298"/>
    <w:rsid w:val="00E7539A"/>
    <w:rsid w:val="00E7553B"/>
    <w:rsid w:val="00E75552"/>
    <w:rsid w:val="00E75585"/>
    <w:rsid w:val="00E756C6"/>
    <w:rsid w:val="00E75796"/>
    <w:rsid w:val="00E757AE"/>
    <w:rsid w:val="00E757DC"/>
    <w:rsid w:val="00E758C3"/>
    <w:rsid w:val="00E758DA"/>
    <w:rsid w:val="00E75B04"/>
    <w:rsid w:val="00E75B86"/>
    <w:rsid w:val="00E75C04"/>
    <w:rsid w:val="00E75DF7"/>
    <w:rsid w:val="00E75E9A"/>
    <w:rsid w:val="00E75F2A"/>
    <w:rsid w:val="00E75FFB"/>
    <w:rsid w:val="00E760DF"/>
    <w:rsid w:val="00E7619A"/>
    <w:rsid w:val="00E761B7"/>
    <w:rsid w:val="00E761D2"/>
    <w:rsid w:val="00E76214"/>
    <w:rsid w:val="00E76580"/>
    <w:rsid w:val="00E76657"/>
    <w:rsid w:val="00E766A1"/>
    <w:rsid w:val="00E766F1"/>
    <w:rsid w:val="00E7676B"/>
    <w:rsid w:val="00E7699B"/>
    <w:rsid w:val="00E76B36"/>
    <w:rsid w:val="00E76B5B"/>
    <w:rsid w:val="00E76DCE"/>
    <w:rsid w:val="00E76DE9"/>
    <w:rsid w:val="00E76E11"/>
    <w:rsid w:val="00E7701C"/>
    <w:rsid w:val="00E7714C"/>
    <w:rsid w:val="00E772AD"/>
    <w:rsid w:val="00E7741A"/>
    <w:rsid w:val="00E7742A"/>
    <w:rsid w:val="00E77461"/>
    <w:rsid w:val="00E77570"/>
    <w:rsid w:val="00E776E1"/>
    <w:rsid w:val="00E77713"/>
    <w:rsid w:val="00E7773D"/>
    <w:rsid w:val="00E7775D"/>
    <w:rsid w:val="00E77769"/>
    <w:rsid w:val="00E778C5"/>
    <w:rsid w:val="00E77ABC"/>
    <w:rsid w:val="00E77B0C"/>
    <w:rsid w:val="00E77D02"/>
    <w:rsid w:val="00E77D16"/>
    <w:rsid w:val="00E77E72"/>
    <w:rsid w:val="00E8006D"/>
    <w:rsid w:val="00E800EE"/>
    <w:rsid w:val="00E800F9"/>
    <w:rsid w:val="00E803A2"/>
    <w:rsid w:val="00E8041A"/>
    <w:rsid w:val="00E804AD"/>
    <w:rsid w:val="00E80521"/>
    <w:rsid w:val="00E8065D"/>
    <w:rsid w:val="00E807E9"/>
    <w:rsid w:val="00E8091A"/>
    <w:rsid w:val="00E8094E"/>
    <w:rsid w:val="00E80A9F"/>
    <w:rsid w:val="00E80C45"/>
    <w:rsid w:val="00E80D39"/>
    <w:rsid w:val="00E80E8F"/>
    <w:rsid w:val="00E80EB8"/>
    <w:rsid w:val="00E80EFD"/>
    <w:rsid w:val="00E80F1C"/>
    <w:rsid w:val="00E81099"/>
    <w:rsid w:val="00E811DC"/>
    <w:rsid w:val="00E81228"/>
    <w:rsid w:val="00E81285"/>
    <w:rsid w:val="00E81301"/>
    <w:rsid w:val="00E8142A"/>
    <w:rsid w:val="00E814DC"/>
    <w:rsid w:val="00E81538"/>
    <w:rsid w:val="00E815A1"/>
    <w:rsid w:val="00E815E1"/>
    <w:rsid w:val="00E816AC"/>
    <w:rsid w:val="00E81745"/>
    <w:rsid w:val="00E8184C"/>
    <w:rsid w:val="00E81881"/>
    <w:rsid w:val="00E81AA0"/>
    <w:rsid w:val="00E81AA3"/>
    <w:rsid w:val="00E81C3A"/>
    <w:rsid w:val="00E81C4B"/>
    <w:rsid w:val="00E81C6A"/>
    <w:rsid w:val="00E81CCD"/>
    <w:rsid w:val="00E81D33"/>
    <w:rsid w:val="00E81D5B"/>
    <w:rsid w:val="00E81F26"/>
    <w:rsid w:val="00E81FC8"/>
    <w:rsid w:val="00E820BE"/>
    <w:rsid w:val="00E820CE"/>
    <w:rsid w:val="00E82190"/>
    <w:rsid w:val="00E822D3"/>
    <w:rsid w:val="00E822E8"/>
    <w:rsid w:val="00E82376"/>
    <w:rsid w:val="00E824A9"/>
    <w:rsid w:val="00E824F6"/>
    <w:rsid w:val="00E82517"/>
    <w:rsid w:val="00E826E9"/>
    <w:rsid w:val="00E82AA5"/>
    <w:rsid w:val="00E82CB0"/>
    <w:rsid w:val="00E82DAA"/>
    <w:rsid w:val="00E82EA3"/>
    <w:rsid w:val="00E82FEE"/>
    <w:rsid w:val="00E82FF8"/>
    <w:rsid w:val="00E83089"/>
    <w:rsid w:val="00E830EB"/>
    <w:rsid w:val="00E83128"/>
    <w:rsid w:val="00E831CD"/>
    <w:rsid w:val="00E831E1"/>
    <w:rsid w:val="00E8326D"/>
    <w:rsid w:val="00E83626"/>
    <w:rsid w:val="00E8363D"/>
    <w:rsid w:val="00E837C3"/>
    <w:rsid w:val="00E8388F"/>
    <w:rsid w:val="00E8395D"/>
    <w:rsid w:val="00E83A18"/>
    <w:rsid w:val="00E83AB3"/>
    <w:rsid w:val="00E83BF8"/>
    <w:rsid w:val="00E83C1E"/>
    <w:rsid w:val="00E83C30"/>
    <w:rsid w:val="00E83D0E"/>
    <w:rsid w:val="00E83DC6"/>
    <w:rsid w:val="00E83FFC"/>
    <w:rsid w:val="00E84230"/>
    <w:rsid w:val="00E84253"/>
    <w:rsid w:val="00E842CE"/>
    <w:rsid w:val="00E84342"/>
    <w:rsid w:val="00E8441C"/>
    <w:rsid w:val="00E84536"/>
    <w:rsid w:val="00E84638"/>
    <w:rsid w:val="00E846F3"/>
    <w:rsid w:val="00E8473B"/>
    <w:rsid w:val="00E8475B"/>
    <w:rsid w:val="00E84811"/>
    <w:rsid w:val="00E8490B"/>
    <w:rsid w:val="00E8498C"/>
    <w:rsid w:val="00E84C24"/>
    <w:rsid w:val="00E84C87"/>
    <w:rsid w:val="00E84D81"/>
    <w:rsid w:val="00E84EA3"/>
    <w:rsid w:val="00E84F55"/>
    <w:rsid w:val="00E850FD"/>
    <w:rsid w:val="00E8510C"/>
    <w:rsid w:val="00E853B0"/>
    <w:rsid w:val="00E85450"/>
    <w:rsid w:val="00E855B3"/>
    <w:rsid w:val="00E855B7"/>
    <w:rsid w:val="00E8565F"/>
    <w:rsid w:val="00E8579C"/>
    <w:rsid w:val="00E8599E"/>
    <w:rsid w:val="00E859A1"/>
    <w:rsid w:val="00E859AA"/>
    <w:rsid w:val="00E85B1E"/>
    <w:rsid w:val="00E85B37"/>
    <w:rsid w:val="00E85BA1"/>
    <w:rsid w:val="00E85BC0"/>
    <w:rsid w:val="00E85CB1"/>
    <w:rsid w:val="00E85D50"/>
    <w:rsid w:val="00E85DBB"/>
    <w:rsid w:val="00E85E32"/>
    <w:rsid w:val="00E85F65"/>
    <w:rsid w:val="00E86315"/>
    <w:rsid w:val="00E863CA"/>
    <w:rsid w:val="00E863F8"/>
    <w:rsid w:val="00E8640E"/>
    <w:rsid w:val="00E8643C"/>
    <w:rsid w:val="00E866A8"/>
    <w:rsid w:val="00E8691C"/>
    <w:rsid w:val="00E8694F"/>
    <w:rsid w:val="00E869AF"/>
    <w:rsid w:val="00E86C6B"/>
    <w:rsid w:val="00E86C7A"/>
    <w:rsid w:val="00E86D5A"/>
    <w:rsid w:val="00E86DCD"/>
    <w:rsid w:val="00E86E16"/>
    <w:rsid w:val="00E86E68"/>
    <w:rsid w:val="00E86E7E"/>
    <w:rsid w:val="00E8700F"/>
    <w:rsid w:val="00E870B9"/>
    <w:rsid w:val="00E870CA"/>
    <w:rsid w:val="00E87354"/>
    <w:rsid w:val="00E873A2"/>
    <w:rsid w:val="00E873E7"/>
    <w:rsid w:val="00E874D4"/>
    <w:rsid w:val="00E87611"/>
    <w:rsid w:val="00E87662"/>
    <w:rsid w:val="00E877E9"/>
    <w:rsid w:val="00E87992"/>
    <w:rsid w:val="00E87B6F"/>
    <w:rsid w:val="00E87C6E"/>
    <w:rsid w:val="00E87E5B"/>
    <w:rsid w:val="00E901C4"/>
    <w:rsid w:val="00E901E3"/>
    <w:rsid w:val="00E90219"/>
    <w:rsid w:val="00E902B0"/>
    <w:rsid w:val="00E902E8"/>
    <w:rsid w:val="00E90334"/>
    <w:rsid w:val="00E903F1"/>
    <w:rsid w:val="00E903F5"/>
    <w:rsid w:val="00E9064C"/>
    <w:rsid w:val="00E907FB"/>
    <w:rsid w:val="00E9090E"/>
    <w:rsid w:val="00E90B54"/>
    <w:rsid w:val="00E90B8D"/>
    <w:rsid w:val="00E90C6C"/>
    <w:rsid w:val="00E90C87"/>
    <w:rsid w:val="00E90CF7"/>
    <w:rsid w:val="00E90E0C"/>
    <w:rsid w:val="00E90F77"/>
    <w:rsid w:val="00E90FA2"/>
    <w:rsid w:val="00E9107F"/>
    <w:rsid w:val="00E911AE"/>
    <w:rsid w:val="00E91560"/>
    <w:rsid w:val="00E91621"/>
    <w:rsid w:val="00E91676"/>
    <w:rsid w:val="00E916C2"/>
    <w:rsid w:val="00E917C7"/>
    <w:rsid w:val="00E9184E"/>
    <w:rsid w:val="00E91862"/>
    <w:rsid w:val="00E91897"/>
    <w:rsid w:val="00E91917"/>
    <w:rsid w:val="00E91952"/>
    <w:rsid w:val="00E91984"/>
    <w:rsid w:val="00E91BF0"/>
    <w:rsid w:val="00E91C69"/>
    <w:rsid w:val="00E91CDB"/>
    <w:rsid w:val="00E91D99"/>
    <w:rsid w:val="00E92087"/>
    <w:rsid w:val="00E92195"/>
    <w:rsid w:val="00E922A0"/>
    <w:rsid w:val="00E92418"/>
    <w:rsid w:val="00E9250B"/>
    <w:rsid w:val="00E92656"/>
    <w:rsid w:val="00E92671"/>
    <w:rsid w:val="00E92700"/>
    <w:rsid w:val="00E927B2"/>
    <w:rsid w:val="00E92916"/>
    <w:rsid w:val="00E9296B"/>
    <w:rsid w:val="00E929C8"/>
    <w:rsid w:val="00E92A4A"/>
    <w:rsid w:val="00E92D11"/>
    <w:rsid w:val="00E92D7A"/>
    <w:rsid w:val="00E92DD3"/>
    <w:rsid w:val="00E92FB8"/>
    <w:rsid w:val="00E93050"/>
    <w:rsid w:val="00E930E9"/>
    <w:rsid w:val="00E93161"/>
    <w:rsid w:val="00E931BD"/>
    <w:rsid w:val="00E9332F"/>
    <w:rsid w:val="00E933D1"/>
    <w:rsid w:val="00E934C5"/>
    <w:rsid w:val="00E9376D"/>
    <w:rsid w:val="00E937B5"/>
    <w:rsid w:val="00E93881"/>
    <w:rsid w:val="00E93995"/>
    <w:rsid w:val="00E93AA0"/>
    <w:rsid w:val="00E93BF9"/>
    <w:rsid w:val="00E93E95"/>
    <w:rsid w:val="00E93F30"/>
    <w:rsid w:val="00E93FFD"/>
    <w:rsid w:val="00E94073"/>
    <w:rsid w:val="00E942BA"/>
    <w:rsid w:val="00E942FA"/>
    <w:rsid w:val="00E9445D"/>
    <w:rsid w:val="00E9453E"/>
    <w:rsid w:val="00E946A7"/>
    <w:rsid w:val="00E94822"/>
    <w:rsid w:val="00E9487D"/>
    <w:rsid w:val="00E94912"/>
    <w:rsid w:val="00E94926"/>
    <w:rsid w:val="00E9498D"/>
    <w:rsid w:val="00E9499C"/>
    <w:rsid w:val="00E94A2B"/>
    <w:rsid w:val="00E94E1A"/>
    <w:rsid w:val="00E94F42"/>
    <w:rsid w:val="00E95034"/>
    <w:rsid w:val="00E9504F"/>
    <w:rsid w:val="00E9511B"/>
    <w:rsid w:val="00E95134"/>
    <w:rsid w:val="00E95148"/>
    <w:rsid w:val="00E95230"/>
    <w:rsid w:val="00E95254"/>
    <w:rsid w:val="00E952AE"/>
    <w:rsid w:val="00E952B2"/>
    <w:rsid w:val="00E95309"/>
    <w:rsid w:val="00E953B7"/>
    <w:rsid w:val="00E953B9"/>
    <w:rsid w:val="00E95455"/>
    <w:rsid w:val="00E954CD"/>
    <w:rsid w:val="00E958B2"/>
    <w:rsid w:val="00E95902"/>
    <w:rsid w:val="00E9593B"/>
    <w:rsid w:val="00E959D2"/>
    <w:rsid w:val="00E959E7"/>
    <w:rsid w:val="00E95A69"/>
    <w:rsid w:val="00E95A9A"/>
    <w:rsid w:val="00E95AFB"/>
    <w:rsid w:val="00E95BE2"/>
    <w:rsid w:val="00E95C66"/>
    <w:rsid w:val="00E95E17"/>
    <w:rsid w:val="00E95E52"/>
    <w:rsid w:val="00E95E71"/>
    <w:rsid w:val="00E95EA2"/>
    <w:rsid w:val="00E9607B"/>
    <w:rsid w:val="00E9649B"/>
    <w:rsid w:val="00E964DA"/>
    <w:rsid w:val="00E96555"/>
    <w:rsid w:val="00E965C6"/>
    <w:rsid w:val="00E965E8"/>
    <w:rsid w:val="00E96756"/>
    <w:rsid w:val="00E96776"/>
    <w:rsid w:val="00E967B4"/>
    <w:rsid w:val="00E96AAA"/>
    <w:rsid w:val="00E96B7F"/>
    <w:rsid w:val="00E96BF7"/>
    <w:rsid w:val="00E96F97"/>
    <w:rsid w:val="00E97021"/>
    <w:rsid w:val="00E970AC"/>
    <w:rsid w:val="00E97319"/>
    <w:rsid w:val="00E97352"/>
    <w:rsid w:val="00E973F3"/>
    <w:rsid w:val="00E97557"/>
    <w:rsid w:val="00E975BC"/>
    <w:rsid w:val="00E976A0"/>
    <w:rsid w:val="00E9777C"/>
    <w:rsid w:val="00E9778F"/>
    <w:rsid w:val="00E97806"/>
    <w:rsid w:val="00E9780D"/>
    <w:rsid w:val="00E979C8"/>
    <w:rsid w:val="00E97A92"/>
    <w:rsid w:val="00E97C19"/>
    <w:rsid w:val="00E97C39"/>
    <w:rsid w:val="00E97C91"/>
    <w:rsid w:val="00E97D7E"/>
    <w:rsid w:val="00E97DD0"/>
    <w:rsid w:val="00E97E99"/>
    <w:rsid w:val="00E97FC7"/>
    <w:rsid w:val="00E97FD0"/>
    <w:rsid w:val="00EA003E"/>
    <w:rsid w:val="00EA0047"/>
    <w:rsid w:val="00EA04CE"/>
    <w:rsid w:val="00EA0507"/>
    <w:rsid w:val="00EA062F"/>
    <w:rsid w:val="00EA0804"/>
    <w:rsid w:val="00EA0840"/>
    <w:rsid w:val="00EA08B7"/>
    <w:rsid w:val="00EA0927"/>
    <w:rsid w:val="00EA0A1A"/>
    <w:rsid w:val="00EA0A42"/>
    <w:rsid w:val="00EA0B4F"/>
    <w:rsid w:val="00EA0D1E"/>
    <w:rsid w:val="00EA0D71"/>
    <w:rsid w:val="00EA0D9E"/>
    <w:rsid w:val="00EA0DD2"/>
    <w:rsid w:val="00EA104A"/>
    <w:rsid w:val="00EA10F5"/>
    <w:rsid w:val="00EA113B"/>
    <w:rsid w:val="00EA1159"/>
    <w:rsid w:val="00EA1402"/>
    <w:rsid w:val="00EA15F2"/>
    <w:rsid w:val="00EA15FC"/>
    <w:rsid w:val="00EA1621"/>
    <w:rsid w:val="00EA196B"/>
    <w:rsid w:val="00EA196C"/>
    <w:rsid w:val="00EA1ACE"/>
    <w:rsid w:val="00EA1AF2"/>
    <w:rsid w:val="00EA1D29"/>
    <w:rsid w:val="00EA1D7F"/>
    <w:rsid w:val="00EA1DC8"/>
    <w:rsid w:val="00EA1FE2"/>
    <w:rsid w:val="00EA2118"/>
    <w:rsid w:val="00EA2278"/>
    <w:rsid w:val="00EA238F"/>
    <w:rsid w:val="00EA23AC"/>
    <w:rsid w:val="00EA2659"/>
    <w:rsid w:val="00EA2738"/>
    <w:rsid w:val="00EA287D"/>
    <w:rsid w:val="00EA2924"/>
    <w:rsid w:val="00EA2986"/>
    <w:rsid w:val="00EA2B6A"/>
    <w:rsid w:val="00EA2C90"/>
    <w:rsid w:val="00EA2E0B"/>
    <w:rsid w:val="00EA2F17"/>
    <w:rsid w:val="00EA2F7E"/>
    <w:rsid w:val="00EA2FF1"/>
    <w:rsid w:val="00EA309B"/>
    <w:rsid w:val="00EA326A"/>
    <w:rsid w:val="00EA32ED"/>
    <w:rsid w:val="00EA34C9"/>
    <w:rsid w:val="00EA34E3"/>
    <w:rsid w:val="00EA3599"/>
    <w:rsid w:val="00EA369C"/>
    <w:rsid w:val="00EA38A8"/>
    <w:rsid w:val="00EA38B8"/>
    <w:rsid w:val="00EA3939"/>
    <w:rsid w:val="00EA3982"/>
    <w:rsid w:val="00EA398F"/>
    <w:rsid w:val="00EA39BA"/>
    <w:rsid w:val="00EA39FE"/>
    <w:rsid w:val="00EA3AE7"/>
    <w:rsid w:val="00EA3BC0"/>
    <w:rsid w:val="00EA3BE6"/>
    <w:rsid w:val="00EA3C21"/>
    <w:rsid w:val="00EA3CCE"/>
    <w:rsid w:val="00EA3D18"/>
    <w:rsid w:val="00EA3D2D"/>
    <w:rsid w:val="00EA3D44"/>
    <w:rsid w:val="00EA3D69"/>
    <w:rsid w:val="00EA3F31"/>
    <w:rsid w:val="00EA3F9E"/>
    <w:rsid w:val="00EA4063"/>
    <w:rsid w:val="00EA413F"/>
    <w:rsid w:val="00EA424D"/>
    <w:rsid w:val="00EA4469"/>
    <w:rsid w:val="00EA4500"/>
    <w:rsid w:val="00EA4810"/>
    <w:rsid w:val="00EA48CC"/>
    <w:rsid w:val="00EA4B22"/>
    <w:rsid w:val="00EA4B47"/>
    <w:rsid w:val="00EA4B68"/>
    <w:rsid w:val="00EA4B80"/>
    <w:rsid w:val="00EA4D02"/>
    <w:rsid w:val="00EA4DEF"/>
    <w:rsid w:val="00EA4EA1"/>
    <w:rsid w:val="00EA4F18"/>
    <w:rsid w:val="00EA4F92"/>
    <w:rsid w:val="00EA502A"/>
    <w:rsid w:val="00EA504C"/>
    <w:rsid w:val="00EA51D1"/>
    <w:rsid w:val="00EA51DE"/>
    <w:rsid w:val="00EA5265"/>
    <w:rsid w:val="00EA526F"/>
    <w:rsid w:val="00EA5327"/>
    <w:rsid w:val="00EA5427"/>
    <w:rsid w:val="00EA546D"/>
    <w:rsid w:val="00EA550C"/>
    <w:rsid w:val="00EA5527"/>
    <w:rsid w:val="00EA5556"/>
    <w:rsid w:val="00EA56C0"/>
    <w:rsid w:val="00EA5728"/>
    <w:rsid w:val="00EA5876"/>
    <w:rsid w:val="00EA5935"/>
    <w:rsid w:val="00EA5B12"/>
    <w:rsid w:val="00EA5BBB"/>
    <w:rsid w:val="00EA5CC0"/>
    <w:rsid w:val="00EA5D7B"/>
    <w:rsid w:val="00EA5E08"/>
    <w:rsid w:val="00EA5E19"/>
    <w:rsid w:val="00EA5E43"/>
    <w:rsid w:val="00EA5E90"/>
    <w:rsid w:val="00EA60DB"/>
    <w:rsid w:val="00EA61D9"/>
    <w:rsid w:val="00EA6205"/>
    <w:rsid w:val="00EA62BC"/>
    <w:rsid w:val="00EA62D4"/>
    <w:rsid w:val="00EA62F0"/>
    <w:rsid w:val="00EA672E"/>
    <w:rsid w:val="00EA672F"/>
    <w:rsid w:val="00EA6732"/>
    <w:rsid w:val="00EA67C0"/>
    <w:rsid w:val="00EA689B"/>
    <w:rsid w:val="00EA68FB"/>
    <w:rsid w:val="00EA69DF"/>
    <w:rsid w:val="00EA6BB1"/>
    <w:rsid w:val="00EA6BF0"/>
    <w:rsid w:val="00EA6DA8"/>
    <w:rsid w:val="00EA6DD9"/>
    <w:rsid w:val="00EA701A"/>
    <w:rsid w:val="00EA709C"/>
    <w:rsid w:val="00EA70F7"/>
    <w:rsid w:val="00EA718C"/>
    <w:rsid w:val="00EA71A8"/>
    <w:rsid w:val="00EA72EE"/>
    <w:rsid w:val="00EA73BE"/>
    <w:rsid w:val="00EA745B"/>
    <w:rsid w:val="00EA7632"/>
    <w:rsid w:val="00EA7682"/>
    <w:rsid w:val="00EA797C"/>
    <w:rsid w:val="00EA7B0D"/>
    <w:rsid w:val="00EA7B73"/>
    <w:rsid w:val="00EA7C3D"/>
    <w:rsid w:val="00EA7C43"/>
    <w:rsid w:val="00EA7C9D"/>
    <w:rsid w:val="00EA7C9E"/>
    <w:rsid w:val="00EA7D63"/>
    <w:rsid w:val="00EA7DE0"/>
    <w:rsid w:val="00EA7E4D"/>
    <w:rsid w:val="00EA7F10"/>
    <w:rsid w:val="00EB00F8"/>
    <w:rsid w:val="00EB04D2"/>
    <w:rsid w:val="00EB04F0"/>
    <w:rsid w:val="00EB0518"/>
    <w:rsid w:val="00EB0670"/>
    <w:rsid w:val="00EB075D"/>
    <w:rsid w:val="00EB07DF"/>
    <w:rsid w:val="00EB0867"/>
    <w:rsid w:val="00EB0925"/>
    <w:rsid w:val="00EB09F8"/>
    <w:rsid w:val="00EB0B1C"/>
    <w:rsid w:val="00EB0D0F"/>
    <w:rsid w:val="00EB0DF9"/>
    <w:rsid w:val="00EB0EB8"/>
    <w:rsid w:val="00EB0FEA"/>
    <w:rsid w:val="00EB115B"/>
    <w:rsid w:val="00EB11D5"/>
    <w:rsid w:val="00EB125D"/>
    <w:rsid w:val="00EB1269"/>
    <w:rsid w:val="00EB1393"/>
    <w:rsid w:val="00EB13EC"/>
    <w:rsid w:val="00EB1421"/>
    <w:rsid w:val="00EB1464"/>
    <w:rsid w:val="00EB16BB"/>
    <w:rsid w:val="00EB186D"/>
    <w:rsid w:val="00EB1878"/>
    <w:rsid w:val="00EB197D"/>
    <w:rsid w:val="00EB19D3"/>
    <w:rsid w:val="00EB1BA9"/>
    <w:rsid w:val="00EB1C0A"/>
    <w:rsid w:val="00EB1C95"/>
    <w:rsid w:val="00EB1CB4"/>
    <w:rsid w:val="00EB1CDE"/>
    <w:rsid w:val="00EB1D03"/>
    <w:rsid w:val="00EB1D7C"/>
    <w:rsid w:val="00EB1E39"/>
    <w:rsid w:val="00EB1EE5"/>
    <w:rsid w:val="00EB1F02"/>
    <w:rsid w:val="00EB1F42"/>
    <w:rsid w:val="00EB1FBC"/>
    <w:rsid w:val="00EB1FF3"/>
    <w:rsid w:val="00EB20D0"/>
    <w:rsid w:val="00EB22AE"/>
    <w:rsid w:val="00EB2305"/>
    <w:rsid w:val="00EB24CB"/>
    <w:rsid w:val="00EB24DF"/>
    <w:rsid w:val="00EB25E1"/>
    <w:rsid w:val="00EB26B1"/>
    <w:rsid w:val="00EB26ED"/>
    <w:rsid w:val="00EB2B29"/>
    <w:rsid w:val="00EB2BB6"/>
    <w:rsid w:val="00EB2C37"/>
    <w:rsid w:val="00EB2C94"/>
    <w:rsid w:val="00EB2D0D"/>
    <w:rsid w:val="00EB2D1C"/>
    <w:rsid w:val="00EB2EEF"/>
    <w:rsid w:val="00EB2F68"/>
    <w:rsid w:val="00EB2F7F"/>
    <w:rsid w:val="00EB2FFF"/>
    <w:rsid w:val="00EB3021"/>
    <w:rsid w:val="00EB31D7"/>
    <w:rsid w:val="00EB32B8"/>
    <w:rsid w:val="00EB33D1"/>
    <w:rsid w:val="00EB33DE"/>
    <w:rsid w:val="00EB3440"/>
    <w:rsid w:val="00EB34D5"/>
    <w:rsid w:val="00EB35DB"/>
    <w:rsid w:val="00EB362F"/>
    <w:rsid w:val="00EB3785"/>
    <w:rsid w:val="00EB384C"/>
    <w:rsid w:val="00EB388F"/>
    <w:rsid w:val="00EB397B"/>
    <w:rsid w:val="00EB399F"/>
    <w:rsid w:val="00EB3A2E"/>
    <w:rsid w:val="00EB3B95"/>
    <w:rsid w:val="00EB3CB6"/>
    <w:rsid w:val="00EB3CEC"/>
    <w:rsid w:val="00EB3D4A"/>
    <w:rsid w:val="00EB3D88"/>
    <w:rsid w:val="00EB3E1A"/>
    <w:rsid w:val="00EB3EE5"/>
    <w:rsid w:val="00EB3F27"/>
    <w:rsid w:val="00EB4022"/>
    <w:rsid w:val="00EB40D4"/>
    <w:rsid w:val="00EB40DB"/>
    <w:rsid w:val="00EB4171"/>
    <w:rsid w:val="00EB41C4"/>
    <w:rsid w:val="00EB45E1"/>
    <w:rsid w:val="00EB4628"/>
    <w:rsid w:val="00EB4683"/>
    <w:rsid w:val="00EB46B8"/>
    <w:rsid w:val="00EB4835"/>
    <w:rsid w:val="00EB48BA"/>
    <w:rsid w:val="00EB4A15"/>
    <w:rsid w:val="00EB4A86"/>
    <w:rsid w:val="00EB4AFF"/>
    <w:rsid w:val="00EB4B0B"/>
    <w:rsid w:val="00EB4B31"/>
    <w:rsid w:val="00EB4CA2"/>
    <w:rsid w:val="00EB4CB4"/>
    <w:rsid w:val="00EB4F5C"/>
    <w:rsid w:val="00EB4FA0"/>
    <w:rsid w:val="00EB524D"/>
    <w:rsid w:val="00EB5301"/>
    <w:rsid w:val="00EB5383"/>
    <w:rsid w:val="00EB5395"/>
    <w:rsid w:val="00EB53F9"/>
    <w:rsid w:val="00EB542D"/>
    <w:rsid w:val="00EB5473"/>
    <w:rsid w:val="00EB5555"/>
    <w:rsid w:val="00EB55B4"/>
    <w:rsid w:val="00EB55B6"/>
    <w:rsid w:val="00EB56EE"/>
    <w:rsid w:val="00EB58A6"/>
    <w:rsid w:val="00EB58EE"/>
    <w:rsid w:val="00EB5942"/>
    <w:rsid w:val="00EB5A55"/>
    <w:rsid w:val="00EB5A57"/>
    <w:rsid w:val="00EB5B5A"/>
    <w:rsid w:val="00EB5BE9"/>
    <w:rsid w:val="00EB5C0F"/>
    <w:rsid w:val="00EB5CB0"/>
    <w:rsid w:val="00EB5CC1"/>
    <w:rsid w:val="00EB5CEC"/>
    <w:rsid w:val="00EB5D63"/>
    <w:rsid w:val="00EB5D6D"/>
    <w:rsid w:val="00EB5DF3"/>
    <w:rsid w:val="00EB5E22"/>
    <w:rsid w:val="00EB5EA5"/>
    <w:rsid w:val="00EB5EF1"/>
    <w:rsid w:val="00EB5F73"/>
    <w:rsid w:val="00EB5F77"/>
    <w:rsid w:val="00EB5F82"/>
    <w:rsid w:val="00EB6084"/>
    <w:rsid w:val="00EB613E"/>
    <w:rsid w:val="00EB6153"/>
    <w:rsid w:val="00EB61FF"/>
    <w:rsid w:val="00EB6423"/>
    <w:rsid w:val="00EB67BA"/>
    <w:rsid w:val="00EB67C1"/>
    <w:rsid w:val="00EB6878"/>
    <w:rsid w:val="00EB69B2"/>
    <w:rsid w:val="00EB6A8D"/>
    <w:rsid w:val="00EB6AF7"/>
    <w:rsid w:val="00EB6B27"/>
    <w:rsid w:val="00EB6C75"/>
    <w:rsid w:val="00EB6F22"/>
    <w:rsid w:val="00EB6FBE"/>
    <w:rsid w:val="00EB70A9"/>
    <w:rsid w:val="00EB7104"/>
    <w:rsid w:val="00EB7145"/>
    <w:rsid w:val="00EB718C"/>
    <w:rsid w:val="00EB71CB"/>
    <w:rsid w:val="00EB728C"/>
    <w:rsid w:val="00EB73AB"/>
    <w:rsid w:val="00EB7434"/>
    <w:rsid w:val="00EB74C8"/>
    <w:rsid w:val="00EB7578"/>
    <w:rsid w:val="00EB75AC"/>
    <w:rsid w:val="00EB75E6"/>
    <w:rsid w:val="00EB75F1"/>
    <w:rsid w:val="00EB7670"/>
    <w:rsid w:val="00EB76C5"/>
    <w:rsid w:val="00EB7742"/>
    <w:rsid w:val="00EB7882"/>
    <w:rsid w:val="00EB789E"/>
    <w:rsid w:val="00EB78B6"/>
    <w:rsid w:val="00EB79E7"/>
    <w:rsid w:val="00EB7B51"/>
    <w:rsid w:val="00EB7B97"/>
    <w:rsid w:val="00EB7BA9"/>
    <w:rsid w:val="00EB7BC9"/>
    <w:rsid w:val="00EB7C0D"/>
    <w:rsid w:val="00EB7D69"/>
    <w:rsid w:val="00EB7F65"/>
    <w:rsid w:val="00EC0139"/>
    <w:rsid w:val="00EC01B8"/>
    <w:rsid w:val="00EC0233"/>
    <w:rsid w:val="00EC04E9"/>
    <w:rsid w:val="00EC06CE"/>
    <w:rsid w:val="00EC08C4"/>
    <w:rsid w:val="00EC0AE7"/>
    <w:rsid w:val="00EC0C20"/>
    <w:rsid w:val="00EC0CE6"/>
    <w:rsid w:val="00EC0D32"/>
    <w:rsid w:val="00EC0E4C"/>
    <w:rsid w:val="00EC1201"/>
    <w:rsid w:val="00EC132A"/>
    <w:rsid w:val="00EC1452"/>
    <w:rsid w:val="00EC1979"/>
    <w:rsid w:val="00EC1AB4"/>
    <w:rsid w:val="00EC1C20"/>
    <w:rsid w:val="00EC1C31"/>
    <w:rsid w:val="00EC1C56"/>
    <w:rsid w:val="00EC1D22"/>
    <w:rsid w:val="00EC1DC1"/>
    <w:rsid w:val="00EC1E0E"/>
    <w:rsid w:val="00EC1E46"/>
    <w:rsid w:val="00EC20D1"/>
    <w:rsid w:val="00EC20E1"/>
    <w:rsid w:val="00EC236D"/>
    <w:rsid w:val="00EC2417"/>
    <w:rsid w:val="00EC26E2"/>
    <w:rsid w:val="00EC27BF"/>
    <w:rsid w:val="00EC2828"/>
    <w:rsid w:val="00EC284D"/>
    <w:rsid w:val="00EC2929"/>
    <w:rsid w:val="00EC2941"/>
    <w:rsid w:val="00EC29DC"/>
    <w:rsid w:val="00EC29FB"/>
    <w:rsid w:val="00EC2A17"/>
    <w:rsid w:val="00EC2AD4"/>
    <w:rsid w:val="00EC2AF2"/>
    <w:rsid w:val="00EC2B8E"/>
    <w:rsid w:val="00EC2BB3"/>
    <w:rsid w:val="00EC2E6A"/>
    <w:rsid w:val="00EC2EAF"/>
    <w:rsid w:val="00EC3101"/>
    <w:rsid w:val="00EC32AA"/>
    <w:rsid w:val="00EC33BF"/>
    <w:rsid w:val="00EC3565"/>
    <w:rsid w:val="00EC368D"/>
    <w:rsid w:val="00EC36EF"/>
    <w:rsid w:val="00EC3730"/>
    <w:rsid w:val="00EC37FE"/>
    <w:rsid w:val="00EC3865"/>
    <w:rsid w:val="00EC394C"/>
    <w:rsid w:val="00EC3C51"/>
    <w:rsid w:val="00EC3C70"/>
    <w:rsid w:val="00EC3C80"/>
    <w:rsid w:val="00EC3D6C"/>
    <w:rsid w:val="00EC3EE2"/>
    <w:rsid w:val="00EC3FED"/>
    <w:rsid w:val="00EC40F0"/>
    <w:rsid w:val="00EC41AD"/>
    <w:rsid w:val="00EC4211"/>
    <w:rsid w:val="00EC422B"/>
    <w:rsid w:val="00EC42E8"/>
    <w:rsid w:val="00EC4503"/>
    <w:rsid w:val="00EC455F"/>
    <w:rsid w:val="00EC456E"/>
    <w:rsid w:val="00EC45B0"/>
    <w:rsid w:val="00EC45FF"/>
    <w:rsid w:val="00EC4B35"/>
    <w:rsid w:val="00EC4BF7"/>
    <w:rsid w:val="00EC4C8A"/>
    <w:rsid w:val="00EC4CD4"/>
    <w:rsid w:val="00EC4D87"/>
    <w:rsid w:val="00EC4E17"/>
    <w:rsid w:val="00EC4E4E"/>
    <w:rsid w:val="00EC4F2D"/>
    <w:rsid w:val="00EC4F30"/>
    <w:rsid w:val="00EC5018"/>
    <w:rsid w:val="00EC5223"/>
    <w:rsid w:val="00EC5232"/>
    <w:rsid w:val="00EC54D4"/>
    <w:rsid w:val="00EC54EB"/>
    <w:rsid w:val="00EC55B2"/>
    <w:rsid w:val="00EC5604"/>
    <w:rsid w:val="00EC5673"/>
    <w:rsid w:val="00EC572E"/>
    <w:rsid w:val="00EC57D3"/>
    <w:rsid w:val="00EC597C"/>
    <w:rsid w:val="00EC5A0A"/>
    <w:rsid w:val="00EC5C03"/>
    <w:rsid w:val="00EC5CA3"/>
    <w:rsid w:val="00EC5F6B"/>
    <w:rsid w:val="00EC6181"/>
    <w:rsid w:val="00EC61D4"/>
    <w:rsid w:val="00EC6322"/>
    <w:rsid w:val="00EC63FC"/>
    <w:rsid w:val="00EC6413"/>
    <w:rsid w:val="00EC64A3"/>
    <w:rsid w:val="00EC66D2"/>
    <w:rsid w:val="00EC6739"/>
    <w:rsid w:val="00EC67C0"/>
    <w:rsid w:val="00EC6814"/>
    <w:rsid w:val="00EC686A"/>
    <w:rsid w:val="00EC6B16"/>
    <w:rsid w:val="00EC6B44"/>
    <w:rsid w:val="00EC6BBC"/>
    <w:rsid w:val="00EC6C3D"/>
    <w:rsid w:val="00EC6CED"/>
    <w:rsid w:val="00EC6E10"/>
    <w:rsid w:val="00EC6F91"/>
    <w:rsid w:val="00EC7018"/>
    <w:rsid w:val="00EC70DB"/>
    <w:rsid w:val="00EC7318"/>
    <w:rsid w:val="00EC7357"/>
    <w:rsid w:val="00EC7379"/>
    <w:rsid w:val="00EC73B3"/>
    <w:rsid w:val="00EC7557"/>
    <w:rsid w:val="00EC75E5"/>
    <w:rsid w:val="00EC75F2"/>
    <w:rsid w:val="00EC7762"/>
    <w:rsid w:val="00EC7888"/>
    <w:rsid w:val="00EC788A"/>
    <w:rsid w:val="00EC78DA"/>
    <w:rsid w:val="00EC7989"/>
    <w:rsid w:val="00EC7A19"/>
    <w:rsid w:val="00EC7A1A"/>
    <w:rsid w:val="00EC7C63"/>
    <w:rsid w:val="00EC7CEB"/>
    <w:rsid w:val="00EC7D67"/>
    <w:rsid w:val="00EC7D6A"/>
    <w:rsid w:val="00EC7E37"/>
    <w:rsid w:val="00EC7F91"/>
    <w:rsid w:val="00EC7FC2"/>
    <w:rsid w:val="00EC7FE5"/>
    <w:rsid w:val="00ED0023"/>
    <w:rsid w:val="00ED0064"/>
    <w:rsid w:val="00ED00AD"/>
    <w:rsid w:val="00ED00D1"/>
    <w:rsid w:val="00ED0486"/>
    <w:rsid w:val="00ED0497"/>
    <w:rsid w:val="00ED0579"/>
    <w:rsid w:val="00ED0586"/>
    <w:rsid w:val="00ED058B"/>
    <w:rsid w:val="00ED05F3"/>
    <w:rsid w:val="00ED0722"/>
    <w:rsid w:val="00ED0739"/>
    <w:rsid w:val="00ED074E"/>
    <w:rsid w:val="00ED075C"/>
    <w:rsid w:val="00ED07B9"/>
    <w:rsid w:val="00ED08BD"/>
    <w:rsid w:val="00ED09BA"/>
    <w:rsid w:val="00ED09F1"/>
    <w:rsid w:val="00ED0C89"/>
    <w:rsid w:val="00ED0CFA"/>
    <w:rsid w:val="00ED0E17"/>
    <w:rsid w:val="00ED0FF2"/>
    <w:rsid w:val="00ED10E0"/>
    <w:rsid w:val="00ED1110"/>
    <w:rsid w:val="00ED1152"/>
    <w:rsid w:val="00ED1196"/>
    <w:rsid w:val="00ED1220"/>
    <w:rsid w:val="00ED13B8"/>
    <w:rsid w:val="00ED13E4"/>
    <w:rsid w:val="00ED140F"/>
    <w:rsid w:val="00ED141D"/>
    <w:rsid w:val="00ED141F"/>
    <w:rsid w:val="00ED167B"/>
    <w:rsid w:val="00ED16F9"/>
    <w:rsid w:val="00ED173B"/>
    <w:rsid w:val="00ED1AEC"/>
    <w:rsid w:val="00ED1BDD"/>
    <w:rsid w:val="00ED1C2A"/>
    <w:rsid w:val="00ED1DA9"/>
    <w:rsid w:val="00ED1EA4"/>
    <w:rsid w:val="00ED1EBC"/>
    <w:rsid w:val="00ED1ECB"/>
    <w:rsid w:val="00ED1EE2"/>
    <w:rsid w:val="00ED2137"/>
    <w:rsid w:val="00ED2151"/>
    <w:rsid w:val="00ED221E"/>
    <w:rsid w:val="00ED22D7"/>
    <w:rsid w:val="00ED2347"/>
    <w:rsid w:val="00ED23AD"/>
    <w:rsid w:val="00ED2406"/>
    <w:rsid w:val="00ED24D8"/>
    <w:rsid w:val="00ED251E"/>
    <w:rsid w:val="00ED257C"/>
    <w:rsid w:val="00ED2644"/>
    <w:rsid w:val="00ED2673"/>
    <w:rsid w:val="00ED26BD"/>
    <w:rsid w:val="00ED274D"/>
    <w:rsid w:val="00ED27CC"/>
    <w:rsid w:val="00ED28FB"/>
    <w:rsid w:val="00ED2914"/>
    <w:rsid w:val="00ED29E2"/>
    <w:rsid w:val="00ED2CF1"/>
    <w:rsid w:val="00ED2D62"/>
    <w:rsid w:val="00ED2F01"/>
    <w:rsid w:val="00ED2F8C"/>
    <w:rsid w:val="00ED30CE"/>
    <w:rsid w:val="00ED31CE"/>
    <w:rsid w:val="00ED31DA"/>
    <w:rsid w:val="00ED331D"/>
    <w:rsid w:val="00ED349B"/>
    <w:rsid w:val="00ED34A6"/>
    <w:rsid w:val="00ED3528"/>
    <w:rsid w:val="00ED356C"/>
    <w:rsid w:val="00ED36F1"/>
    <w:rsid w:val="00ED37E7"/>
    <w:rsid w:val="00ED387B"/>
    <w:rsid w:val="00ED38E4"/>
    <w:rsid w:val="00ED39A6"/>
    <w:rsid w:val="00ED3BF5"/>
    <w:rsid w:val="00ED3C9E"/>
    <w:rsid w:val="00ED3EBE"/>
    <w:rsid w:val="00ED40BA"/>
    <w:rsid w:val="00ED40F9"/>
    <w:rsid w:val="00ED43EC"/>
    <w:rsid w:val="00ED4439"/>
    <w:rsid w:val="00ED445E"/>
    <w:rsid w:val="00ED4465"/>
    <w:rsid w:val="00ED4468"/>
    <w:rsid w:val="00ED446A"/>
    <w:rsid w:val="00ED44E5"/>
    <w:rsid w:val="00ED44F5"/>
    <w:rsid w:val="00ED453A"/>
    <w:rsid w:val="00ED47F7"/>
    <w:rsid w:val="00ED48A2"/>
    <w:rsid w:val="00ED4935"/>
    <w:rsid w:val="00ED4E2A"/>
    <w:rsid w:val="00ED4E75"/>
    <w:rsid w:val="00ED4E7F"/>
    <w:rsid w:val="00ED4ED9"/>
    <w:rsid w:val="00ED4F99"/>
    <w:rsid w:val="00ED50AC"/>
    <w:rsid w:val="00ED50FA"/>
    <w:rsid w:val="00ED5106"/>
    <w:rsid w:val="00ED5178"/>
    <w:rsid w:val="00ED5218"/>
    <w:rsid w:val="00ED52E1"/>
    <w:rsid w:val="00ED530B"/>
    <w:rsid w:val="00ED53C8"/>
    <w:rsid w:val="00ED544F"/>
    <w:rsid w:val="00ED54CF"/>
    <w:rsid w:val="00ED56BF"/>
    <w:rsid w:val="00ED586C"/>
    <w:rsid w:val="00ED59AF"/>
    <w:rsid w:val="00ED5A20"/>
    <w:rsid w:val="00ED5A2E"/>
    <w:rsid w:val="00ED5B62"/>
    <w:rsid w:val="00ED5C3F"/>
    <w:rsid w:val="00ED5C81"/>
    <w:rsid w:val="00ED5C8B"/>
    <w:rsid w:val="00ED5CDF"/>
    <w:rsid w:val="00ED5D37"/>
    <w:rsid w:val="00ED5F99"/>
    <w:rsid w:val="00ED6199"/>
    <w:rsid w:val="00ED61A3"/>
    <w:rsid w:val="00ED6325"/>
    <w:rsid w:val="00ED6414"/>
    <w:rsid w:val="00ED6424"/>
    <w:rsid w:val="00ED6447"/>
    <w:rsid w:val="00ED645E"/>
    <w:rsid w:val="00ED64F5"/>
    <w:rsid w:val="00ED6620"/>
    <w:rsid w:val="00ED66A7"/>
    <w:rsid w:val="00ED689F"/>
    <w:rsid w:val="00ED68A0"/>
    <w:rsid w:val="00ED68C4"/>
    <w:rsid w:val="00ED68CC"/>
    <w:rsid w:val="00ED6907"/>
    <w:rsid w:val="00ED6926"/>
    <w:rsid w:val="00ED6981"/>
    <w:rsid w:val="00ED6A53"/>
    <w:rsid w:val="00ED6A87"/>
    <w:rsid w:val="00ED6D8B"/>
    <w:rsid w:val="00ED6E85"/>
    <w:rsid w:val="00ED6EAD"/>
    <w:rsid w:val="00ED6EB5"/>
    <w:rsid w:val="00ED6F3A"/>
    <w:rsid w:val="00ED700C"/>
    <w:rsid w:val="00ED703B"/>
    <w:rsid w:val="00ED732F"/>
    <w:rsid w:val="00ED74DA"/>
    <w:rsid w:val="00ED75EA"/>
    <w:rsid w:val="00ED76D8"/>
    <w:rsid w:val="00ED787D"/>
    <w:rsid w:val="00ED78EC"/>
    <w:rsid w:val="00ED7992"/>
    <w:rsid w:val="00ED7B42"/>
    <w:rsid w:val="00ED7BD8"/>
    <w:rsid w:val="00ED7C78"/>
    <w:rsid w:val="00ED7FB2"/>
    <w:rsid w:val="00EE0000"/>
    <w:rsid w:val="00EE00CA"/>
    <w:rsid w:val="00EE00CE"/>
    <w:rsid w:val="00EE02AD"/>
    <w:rsid w:val="00EE0378"/>
    <w:rsid w:val="00EE0393"/>
    <w:rsid w:val="00EE0449"/>
    <w:rsid w:val="00EE04C4"/>
    <w:rsid w:val="00EE0584"/>
    <w:rsid w:val="00EE0628"/>
    <w:rsid w:val="00EE0649"/>
    <w:rsid w:val="00EE0763"/>
    <w:rsid w:val="00EE07E3"/>
    <w:rsid w:val="00EE08C2"/>
    <w:rsid w:val="00EE094B"/>
    <w:rsid w:val="00EE0ADA"/>
    <w:rsid w:val="00EE0B19"/>
    <w:rsid w:val="00EE0B3A"/>
    <w:rsid w:val="00EE0C5D"/>
    <w:rsid w:val="00EE0C6B"/>
    <w:rsid w:val="00EE0C7B"/>
    <w:rsid w:val="00EE0CC8"/>
    <w:rsid w:val="00EE0CCF"/>
    <w:rsid w:val="00EE0D97"/>
    <w:rsid w:val="00EE0DAD"/>
    <w:rsid w:val="00EE0E98"/>
    <w:rsid w:val="00EE0ED2"/>
    <w:rsid w:val="00EE0EE7"/>
    <w:rsid w:val="00EE0F52"/>
    <w:rsid w:val="00EE0FAB"/>
    <w:rsid w:val="00EE0FB9"/>
    <w:rsid w:val="00EE104D"/>
    <w:rsid w:val="00EE105D"/>
    <w:rsid w:val="00EE10C5"/>
    <w:rsid w:val="00EE1104"/>
    <w:rsid w:val="00EE112A"/>
    <w:rsid w:val="00EE1187"/>
    <w:rsid w:val="00EE11B1"/>
    <w:rsid w:val="00EE12E4"/>
    <w:rsid w:val="00EE140B"/>
    <w:rsid w:val="00EE1447"/>
    <w:rsid w:val="00EE154B"/>
    <w:rsid w:val="00EE17E3"/>
    <w:rsid w:val="00EE17EA"/>
    <w:rsid w:val="00EE18A6"/>
    <w:rsid w:val="00EE1A53"/>
    <w:rsid w:val="00EE1BF1"/>
    <w:rsid w:val="00EE1CDB"/>
    <w:rsid w:val="00EE1D7D"/>
    <w:rsid w:val="00EE1D7F"/>
    <w:rsid w:val="00EE1DBE"/>
    <w:rsid w:val="00EE1F15"/>
    <w:rsid w:val="00EE1F5C"/>
    <w:rsid w:val="00EE2066"/>
    <w:rsid w:val="00EE2122"/>
    <w:rsid w:val="00EE221A"/>
    <w:rsid w:val="00EE2377"/>
    <w:rsid w:val="00EE23C7"/>
    <w:rsid w:val="00EE23F2"/>
    <w:rsid w:val="00EE23F4"/>
    <w:rsid w:val="00EE243B"/>
    <w:rsid w:val="00EE246C"/>
    <w:rsid w:val="00EE2485"/>
    <w:rsid w:val="00EE258C"/>
    <w:rsid w:val="00EE26FD"/>
    <w:rsid w:val="00EE278A"/>
    <w:rsid w:val="00EE28FA"/>
    <w:rsid w:val="00EE29D8"/>
    <w:rsid w:val="00EE2AB9"/>
    <w:rsid w:val="00EE2ABD"/>
    <w:rsid w:val="00EE2AF2"/>
    <w:rsid w:val="00EE2B00"/>
    <w:rsid w:val="00EE2BDC"/>
    <w:rsid w:val="00EE2CBC"/>
    <w:rsid w:val="00EE2D1B"/>
    <w:rsid w:val="00EE2DA0"/>
    <w:rsid w:val="00EE2DC2"/>
    <w:rsid w:val="00EE2E28"/>
    <w:rsid w:val="00EE2EED"/>
    <w:rsid w:val="00EE2F3A"/>
    <w:rsid w:val="00EE2F9F"/>
    <w:rsid w:val="00EE2FA9"/>
    <w:rsid w:val="00EE2FBA"/>
    <w:rsid w:val="00EE3005"/>
    <w:rsid w:val="00EE30AA"/>
    <w:rsid w:val="00EE30C3"/>
    <w:rsid w:val="00EE31C3"/>
    <w:rsid w:val="00EE31DA"/>
    <w:rsid w:val="00EE31F2"/>
    <w:rsid w:val="00EE3254"/>
    <w:rsid w:val="00EE32E2"/>
    <w:rsid w:val="00EE3356"/>
    <w:rsid w:val="00EE3573"/>
    <w:rsid w:val="00EE3726"/>
    <w:rsid w:val="00EE382C"/>
    <w:rsid w:val="00EE3852"/>
    <w:rsid w:val="00EE38B8"/>
    <w:rsid w:val="00EE39DB"/>
    <w:rsid w:val="00EE3B80"/>
    <w:rsid w:val="00EE3C03"/>
    <w:rsid w:val="00EE3CCE"/>
    <w:rsid w:val="00EE3CFB"/>
    <w:rsid w:val="00EE3D08"/>
    <w:rsid w:val="00EE3D42"/>
    <w:rsid w:val="00EE3D86"/>
    <w:rsid w:val="00EE3DA0"/>
    <w:rsid w:val="00EE3E5B"/>
    <w:rsid w:val="00EE3ECA"/>
    <w:rsid w:val="00EE3F97"/>
    <w:rsid w:val="00EE4006"/>
    <w:rsid w:val="00EE4051"/>
    <w:rsid w:val="00EE4151"/>
    <w:rsid w:val="00EE41F0"/>
    <w:rsid w:val="00EE450D"/>
    <w:rsid w:val="00EE4522"/>
    <w:rsid w:val="00EE4543"/>
    <w:rsid w:val="00EE45CF"/>
    <w:rsid w:val="00EE47C3"/>
    <w:rsid w:val="00EE4864"/>
    <w:rsid w:val="00EE492E"/>
    <w:rsid w:val="00EE4946"/>
    <w:rsid w:val="00EE4968"/>
    <w:rsid w:val="00EE499F"/>
    <w:rsid w:val="00EE49A8"/>
    <w:rsid w:val="00EE49D4"/>
    <w:rsid w:val="00EE4A2E"/>
    <w:rsid w:val="00EE4D7B"/>
    <w:rsid w:val="00EE4F01"/>
    <w:rsid w:val="00EE4F4C"/>
    <w:rsid w:val="00EE4FC8"/>
    <w:rsid w:val="00EE502D"/>
    <w:rsid w:val="00EE50E1"/>
    <w:rsid w:val="00EE51C7"/>
    <w:rsid w:val="00EE523C"/>
    <w:rsid w:val="00EE539C"/>
    <w:rsid w:val="00EE53B4"/>
    <w:rsid w:val="00EE53F5"/>
    <w:rsid w:val="00EE546D"/>
    <w:rsid w:val="00EE54DA"/>
    <w:rsid w:val="00EE54F2"/>
    <w:rsid w:val="00EE5776"/>
    <w:rsid w:val="00EE5949"/>
    <w:rsid w:val="00EE59A9"/>
    <w:rsid w:val="00EE5A2A"/>
    <w:rsid w:val="00EE5A63"/>
    <w:rsid w:val="00EE5B1E"/>
    <w:rsid w:val="00EE5BEE"/>
    <w:rsid w:val="00EE5BF4"/>
    <w:rsid w:val="00EE5D04"/>
    <w:rsid w:val="00EE5DC6"/>
    <w:rsid w:val="00EE5F02"/>
    <w:rsid w:val="00EE600C"/>
    <w:rsid w:val="00EE6042"/>
    <w:rsid w:val="00EE6168"/>
    <w:rsid w:val="00EE642F"/>
    <w:rsid w:val="00EE6719"/>
    <w:rsid w:val="00EE6898"/>
    <w:rsid w:val="00EE6B10"/>
    <w:rsid w:val="00EE6B18"/>
    <w:rsid w:val="00EE6C4D"/>
    <w:rsid w:val="00EE6CD8"/>
    <w:rsid w:val="00EE7108"/>
    <w:rsid w:val="00EE71EA"/>
    <w:rsid w:val="00EE71ED"/>
    <w:rsid w:val="00EE74CC"/>
    <w:rsid w:val="00EE761E"/>
    <w:rsid w:val="00EE7744"/>
    <w:rsid w:val="00EE7828"/>
    <w:rsid w:val="00EE7920"/>
    <w:rsid w:val="00EE79F9"/>
    <w:rsid w:val="00EE7B08"/>
    <w:rsid w:val="00EE7BD0"/>
    <w:rsid w:val="00EE7CA1"/>
    <w:rsid w:val="00EE7E36"/>
    <w:rsid w:val="00EE7EA8"/>
    <w:rsid w:val="00EE7EC5"/>
    <w:rsid w:val="00EE7F1F"/>
    <w:rsid w:val="00EE7F8D"/>
    <w:rsid w:val="00EF001A"/>
    <w:rsid w:val="00EF010B"/>
    <w:rsid w:val="00EF01AE"/>
    <w:rsid w:val="00EF031B"/>
    <w:rsid w:val="00EF03E1"/>
    <w:rsid w:val="00EF055A"/>
    <w:rsid w:val="00EF0710"/>
    <w:rsid w:val="00EF0A52"/>
    <w:rsid w:val="00EF0B66"/>
    <w:rsid w:val="00EF0CA6"/>
    <w:rsid w:val="00EF0E04"/>
    <w:rsid w:val="00EF0E91"/>
    <w:rsid w:val="00EF0EA6"/>
    <w:rsid w:val="00EF0ED8"/>
    <w:rsid w:val="00EF0F5E"/>
    <w:rsid w:val="00EF1183"/>
    <w:rsid w:val="00EF11A4"/>
    <w:rsid w:val="00EF1276"/>
    <w:rsid w:val="00EF129B"/>
    <w:rsid w:val="00EF1343"/>
    <w:rsid w:val="00EF13E8"/>
    <w:rsid w:val="00EF145E"/>
    <w:rsid w:val="00EF14E3"/>
    <w:rsid w:val="00EF15DA"/>
    <w:rsid w:val="00EF15E9"/>
    <w:rsid w:val="00EF15EA"/>
    <w:rsid w:val="00EF1616"/>
    <w:rsid w:val="00EF1637"/>
    <w:rsid w:val="00EF167F"/>
    <w:rsid w:val="00EF1748"/>
    <w:rsid w:val="00EF1781"/>
    <w:rsid w:val="00EF17E6"/>
    <w:rsid w:val="00EF1822"/>
    <w:rsid w:val="00EF19B3"/>
    <w:rsid w:val="00EF1A3A"/>
    <w:rsid w:val="00EF1B5F"/>
    <w:rsid w:val="00EF1E8A"/>
    <w:rsid w:val="00EF1FB3"/>
    <w:rsid w:val="00EF2144"/>
    <w:rsid w:val="00EF222B"/>
    <w:rsid w:val="00EF226B"/>
    <w:rsid w:val="00EF22DE"/>
    <w:rsid w:val="00EF23BD"/>
    <w:rsid w:val="00EF242A"/>
    <w:rsid w:val="00EF2579"/>
    <w:rsid w:val="00EF25CC"/>
    <w:rsid w:val="00EF266B"/>
    <w:rsid w:val="00EF2673"/>
    <w:rsid w:val="00EF2773"/>
    <w:rsid w:val="00EF2827"/>
    <w:rsid w:val="00EF2838"/>
    <w:rsid w:val="00EF2AC5"/>
    <w:rsid w:val="00EF2B9F"/>
    <w:rsid w:val="00EF2BBB"/>
    <w:rsid w:val="00EF2BF3"/>
    <w:rsid w:val="00EF2C3F"/>
    <w:rsid w:val="00EF2C62"/>
    <w:rsid w:val="00EF2CB5"/>
    <w:rsid w:val="00EF2D55"/>
    <w:rsid w:val="00EF2D68"/>
    <w:rsid w:val="00EF2E28"/>
    <w:rsid w:val="00EF2E74"/>
    <w:rsid w:val="00EF2EF2"/>
    <w:rsid w:val="00EF2FDE"/>
    <w:rsid w:val="00EF2FF6"/>
    <w:rsid w:val="00EF300F"/>
    <w:rsid w:val="00EF3067"/>
    <w:rsid w:val="00EF3245"/>
    <w:rsid w:val="00EF3274"/>
    <w:rsid w:val="00EF32D8"/>
    <w:rsid w:val="00EF33B7"/>
    <w:rsid w:val="00EF3487"/>
    <w:rsid w:val="00EF34D1"/>
    <w:rsid w:val="00EF355F"/>
    <w:rsid w:val="00EF362B"/>
    <w:rsid w:val="00EF3632"/>
    <w:rsid w:val="00EF37B1"/>
    <w:rsid w:val="00EF3851"/>
    <w:rsid w:val="00EF38A8"/>
    <w:rsid w:val="00EF3938"/>
    <w:rsid w:val="00EF3961"/>
    <w:rsid w:val="00EF3A24"/>
    <w:rsid w:val="00EF3A35"/>
    <w:rsid w:val="00EF3B21"/>
    <w:rsid w:val="00EF3C88"/>
    <w:rsid w:val="00EF3D3B"/>
    <w:rsid w:val="00EF3D97"/>
    <w:rsid w:val="00EF3DC0"/>
    <w:rsid w:val="00EF3DF9"/>
    <w:rsid w:val="00EF4271"/>
    <w:rsid w:val="00EF43AC"/>
    <w:rsid w:val="00EF43DE"/>
    <w:rsid w:val="00EF43E8"/>
    <w:rsid w:val="00EF45AE"/>
    <w:rsid w:val="00EF46EE"/>
    <w:rsid w:val="00EF48F9"/>
    <w:rsid w:val="00EF4946"/>
    <w:rsid w:val="00EF496E"/>
    <w:rsid w:val="00EF4AE1"/>
    <w:rsid w:val="00EF4B33"/>
    <w:rsid w:val="00EF4C14"/>
    <w:rsid w:val="00EF4C23"/>
    <w:rsid w:val="00EF4D39"/>
    <w:rsid w:val="00EF4E13"/>
    <w:rsid w:val="00EF4EA2"/>
    <w:rsid w:val="00EF4F24"/>
    <w:rsid w:val="00EF5075"/>
    <w:rsid w:val="00EF51B0"/>
    <w:rsid w:val="00EF5228"/>
    <w:rsid w:val="00EF525E"/>
    <w:rsid w:val="00EF52BB"/>
    <w:rsid w:val="00EF5371"/>
    <w:rsid w:val="00EF53C2"/>
    <w:rsid w:val="00EF549A"/>
    <w:rsid w:val="00EF54D6"/>
    <w:rsid w:val="00EF5501"/>
    <w:rsid w:val="00EF5691"/>
    <w:rsid w:val="00EF57C8"/>
    <w:rsid w:val="00EF5812"/>
    <w:rsid w:val="00EF5990"/>
    <w:rsid w:val="00EF5A83"/>
    <w:rsid w:val="00EF5B11"/>
    <w:rsid w:val="00EF5BBE"/>
    <w:rsid w:val="00EF5C87"/>
    <w:rsid w:val="00EF5D8C"/>
    <w:rsid w:val="00EF6025"/>
    <w:rsid w:val="00EF6140"/>
    <w:rsid w:val="00EF61BC"/>
    <w:rsid w:val="00EF6216"/>
    <w:rsid w:val="00EF6235"/>
    <w:rsid w:val="00EF625A"/>
    <w:rsid w:val="00EF626B"/>
    <w:rsid w:val="00EF63EA"/>
    <w:rsid w:val="00EF6676"/>
    <w:rsid w:val="00EF67E5"/>
    <w:rsid w:val="00EF6996"/>
    <w:rsid w:val="00EF6A58"/>
    <w:rsid w:val="00EF6BF5"/>
    <w:rsid w:val="00EF6C3C"/>
    <w:rsid w:val="00EF6CF5"/>
    <w:rsid w:val="00EF6D4E"/>
    <w:rsid w:val="00EF6D7D"/>
    <w:rsid w:val="00EF6DB4"/>
    <w:rsid w:val="00EF6DC3"/>
    <w:rsid w:val="00EF6E53"/>
    <w:rsid w:val="00EF6EF2"/>
    <w:rsid w:val="00EF70BA"/>
    <w:rsid w:val="00EF71BA"/>
    <w:rsid w:val="00EF72A5"/>
    <w:rsid w:val="00EF72CD"/>
    <w:rsid w:val="00EF72EA"/>
    <w:rsid w:val="00EF73AE"/>
    <w:rsid w:val="00EF7420"/>
    <w:rsid w:val="00EF74E7"/>
    <w:rsid w:val="00EF761B"/>
    <w:rsid w:val="00EF76D2"/>
    <w:rsid w:val="00EF76E2"/>
    <w:rsid w:val="00EF77DA"/>
    <w:rsid w:val="00EF7838"/>
    <w:rsid w:val="00EF78B7"/>
    <w:rsid w:val="00EF7C50"/>
    <w:rsid w:val="00EF7C58"/>
    <w:rsid w:val="00F00117"/>
    <w:rsid w:val="00F0026D"/>
    <w:rsid w:val="00F002D0"/>
    <w:rsid w:val="00F00472"/>
    <w:rsid w:val="00F004A4"/>
    <w:rsid w:val="00F004D4"/>
    <w:rsid w:val="00F004D8"/>
    <w:rsid w:val="00F005FF"/>
    <w:rsid w:val="00F00621"/>
    <w:rsid w:val="00F00660"/>
    <w:rsid w:val="00F0069E"/>
    <w:rsid w:val="00F007C3"/>
    <w:rsid w:val="00F0082D"/>
    <w:rsid w:val="00F00982"/>
    <w:rsid w:val="00F009C5"/>
    <w:rsid w:val="00F00A52"/>
    <w:rsid w:val="00F00AA0"/>
    <w:rsid w:val="00F00D4C"/>
    <w:rsid w:val="00F00ECD"/>
    <w:rsid w:val="00F00F74"/>
    <w:rsid w:val="00F01088"/>
    <w:rsid w:val="00F010C2"/>
    <w:rsid w:val="00F01114"/>
    <w:rsid w:val="00F01354"/>
    <w:rsid w:val="00F01533"/>
    <w:rsid w:val="00F015AB"/>
    <w:rsid w:val="00F01698"/>
    <w:rsid w:val="00F01817"/>
    <w:rsid w:val="00F01911"/>
    <w:rsid w:val="00F01915"/>
    <w:rsid w:val="00F0197E"/>
    <w:rsid w:val="00F01A05"/>
    <w:rsid w:val="00F01BD4"/>
    <w:rsid w:val="00F01BE4"/>
    <w:rsid w:val="00F01D55"/>
    <w:rsid w:val="00F01EA3"/>
    <w:rsid w:val="00F01F3C"/>
    <w:rsid w:val="00F01F79"/>
    <w:rsid w:val="00F0215D"/>
    <w:rsid w:val="00F02195"/>
    <w:rsid w:val="00F023F2"/>
    <w:rsid w:val="00F024C9"/>
    <w:rsid w:val="00F0262C"/>
    <w:rsid w:val="00F0279B"/>
    <w:rsid w:val="00F027C9"/>
    <w:rsid w:val="00F0283F"/>
    <w:rsid w:val="00F028CC"/>
    <w:rsid w:val="00F028D3"/>
    <w:rsid w:val="00F02A2D"/>
    <w:rsid w:val="00F02B25"/>
    <w:rsid w:val="00F02E98"/>
    <w:rsid w:val="00F02EE0"/>
    <w:rsid w:val="00F02F32"/>
    <w:rsid w:val="00F030D5"/>
    <w:rsid w:val="00F03127"/>
    <w:rsid w:val="00F03265"/>
    <w:rsid w:val="00F0333A"/>
    <w:rsid w:val="00F03499"/>
    <w:rsid w:val="00F034A1"/>
    <w:rsid w:val="00F035DE"/>
    <w:rsid w:val="00F03798"/>
    <w:rsid w:val="00F037DD"/>
    <w:rsid w:val="00F0383B"/>
    <w:rsid w:val="00F0384F"/>
    <w:rsid w:val="00F038D2"/>
    <w:rsid w:val="00F038DF"/>
    <w:rsid w:val="00F0398D"/>
    <w:rsid w:val="00F039AC"/>
    <w:rsid w:val="00F03ACF"/>
    <w:rsid w:val="00F03AE4"/>
    <w:rsid w:val="00F03DA8"/>
    <w:rsid w:val="00F03E80"/>
    <w:rsid w:val="00F03FF9"/>
    <w:rsid w:val="00F0416C"/>
    <w:rsid w:val="00F04515"/>
    <w:rsid w:val="00F045E0"/>
    <w:rsid w:val="00F0473A"/>
    <w:rsid w:val="00F04744"/>
    <w:rsid w:val="00F04765"/>
    <w:rsid w:val="00F04843"/>
    <w:rsid w:val="00F048EA"/>
    <w:rsid w:val="00F049BE"/>
    <w:rsid w:val="00F04C18"/>
    <w:rsid w:val="00F04ED4"/>
    <w:rsid w:val="00F04EDE"/>
    <w:rsid w:val="00F04F05"/>
    <w:rsid w:val="00F04FE0"/>
    <w:rsid w:val="00F05097"/>
    <w:rsid w:val="00F051CD"/>
    <w:rsid w:val="00F053B0"/>
    <w:rsid w:val="00F05778"/>
    <w:rsid w:val="00F058CE"/>
    <w:rsid w:val="00F05A15"/>
    <w:rsid w:val="00F05BA9"/>
    <w:rsid w:val="00F05D10"/>
    <w:rsid w:val="00F060F6"/>
    <w:rsid w:val="00F061EB"/>
    <w:rsid w:val="00F06266"/>
    <w:rsid w:val="00F06388"/>
    <w:rsid w:val="00F06473"/>
    <w:rsid w:val="00F064B3"/>
    <w:rsid w:val="00F065F9"/>
    <w:rsid w:val="00F06664"/>
    <w:rsid w:val="00F06674"/>
    <w:rsid w:val="00F066E3"/>
    <w:rsid w:val="00F0685D"/>
    <w:rsid w:val="00F06938"/>
    <w:rsid w:val="00F0695C"/>
    <w:rsid w:val="00F069A9"/>
    <w:rsid w:val="00F06C08"/>
    <w:rsid w:val="00F06CAF"/>
    <w:rsid w:val="00F06D5D"/>
    <w:rsid w:val="00F06D61"/>
    <w:rsid w:val="00F06DB3"/>
    <w:rsid w:val="00F06DF1"/>
    <w:rsid w:val="00F06ECC"/>
    <w:rsid w:val="00F06F08"/>
    <w:rsid w:val="00F070DD"/>
    <w:rsid w:val="00F071EB"/>
    <w:rsid w:val="00F0724F"/>
    <w:rsid w:val="00F0741F"/>
    <w:rsid w:val="00F075EE"/>
    <w:rsid w:val="00F079BA"/>
    <w:rsid w:val="00F07A46"/>
    <w:rsid w:val="00F07B3B"/>
    <w:rsid w:val="00F07B54"/>
    <w:rsid w:val="00F07C09"/>
    <w:rsid w:val="00F07C37"/>
    <w:rsid w:val="00F07C90"/>
    <w:rsid w:val="00F07CAF"/>
    <w:rsid w:val="00F07CE9"/>
    <w:rsid w:val="00F07CF5"/>
    <w:rsid w:val="00F07D2F"/>
    <w:rsid w:val="00F07E49"/>
    <w:rsid w:val="00F07E8F"/>
    <w:rsid w:val="00F07EA8"/>
    <w:rsid w:val="00F07F42"/>
    <w:rsid w:val="00F1005C"/>
    <w:rsid w:val="00F10376"/>
    <w:rsid w:val="00F103F8"/>
    <w:rsid w:val="00F1043C"/>
    <w:rsid w:val="00F1051B"/>
    <w:rsid w:val="00F10535"/>
    <w:rsid w:val="00F105FA"/>
    <w:rsid w:val="00F1063A"/>
    <w:rsid w:val="00F10747"/>
    <w:rsid w:val="00F107C7"/>
    <w:rsid w:val="00F107D8"/>
    <w:rsid w:val="00F10A47"/>
    <w:rsid w:val="00F10CEC"/>
    <w:rsid w:val="00F10D13"/>
    <w:rsid w:val="00F10F00"/>
    <w:rsid w:val="00F10F08"/>
    <w:rsid w:val="00F10F81"/>
    <w:rsid w:val="00F1100F"/>
    <w:rsid w:val="00F11061"/>
    <w:rsid w:val="00F11117"/>
    <w:rsid w:val="00F1119F"/>
    <w:rsid w:val="00F111A6"/>
    <w:rsid w:val="00F111AB"/>
    <w:rsid w:val="00F1123D"/>
    <w:rsid w:val="00F11277"/>
    <w:rsid w:val="00F1128C"/>
    <w:rsid w:val="00F11328"/>
    <w:rsid w:val="00F1160A"/>
    <w:rsid w:val="00F116FA"/>
    <w:rsid w:val="00F11778"/>
    <w:rsid w:val="00F117A5"/>
    <w:rsid w:val="00F118B2"/>
    <w:rsid w:val="00F118DE"/>
    <w:rsid w:val="00F118F7"/>
    <w:rsid w:val="00F119FD"/>
    <w:rsid w:val="00F11C51"/>
    <w:rsid w:val="00F11D6C"/>
    <w:rsid w:val="00F11DDD"/>
    <w:rsid w:val="00F11E8D"/>
    <w:rsid w:val="00F11EF9"/>
    <w:rsid w:val="00F11F89"/>
    <w:rsid w:val="00F12246"/>
    <w:rsid w:val="00F123A9"/>
    <w:rsid w:val="00F12530"/>
    <w:rsid w:val="00F12564"/>
    <w:rsid w:val="00F12702"/>
    <w:rsid w:val="00F1272F"/>
    <w:rsid w:val="00F127CB"/>
    <w:rsid w:val="00F12A60"/>
    <w:rsid w:val="00F12B1B"/>
    <w:rsid w:val="00F12E03"/>
    <w:rsid w:val="00F12E67"/>
    <w:rsid w:val="00F12EA1"/>
    <w:rsid w:val="00F12EE1"/>
    <w:rsid w:val="00F12F56"/>
    <w:rsid w:val="00F12FF6"/>
    <w:rsid w:val="00F13034"/>
    <w:rsid w:val="00F130C5"/>
    <w:rsid w:val="00F131A9"/>
    <w:rsid w:val="00F131C5"/>
    <w:rsid w:val="00F131F5"/>
    <w:rsid w:val="00F1354A"/>
    <w:rsid w:val="00F1355A"/>
    <w:rsid w:val="00F13793"/>
    <w:rsid w:val="00F13807"/>
    <w:rsid w:val="00F13829"/>
    <w:rsid w:val="00F138C0"/>
    <w:rsid w:val="00F13994"/>
    <w:rsid w:val="00F139A8"/>
    <w:rsid w:val="00F139B9"/>
    <w:rsid w:val="00F13A66"/>
    <w:rsid w:val="00F13A75"/>
    <w:rsid w:val="00F13B33"/>
    <w:rsid w:val="00F13BE3"/>
    <w:rsid w:val="00F13C87"/>
    <w:rsid w:val="00F13CCB"/>
    <w:rsid w:val="00F13D06"/>
    <w:rsid w:val="00F13DC2"/>
    <w:rsid w:val="00F13E52"/>
    <w:rsid w:val="00F13E55"/>
    <w:rsid w:val="00F13F3B"/>
    <w:rsid w:val="00F13F71"/>
    <w:rsid w:val="00F140E4"/>
    <w:rsid w:val="00F1410F"/>
    <w:rsid w:val="00F14140"/>
    <w:rsid w:val="00F14224"/>
    <w:rsid w:val="00F14232"/>
    <w:rsid w:val="00F1437D"/>
    <w:rsid w:val="00F14494"/>
    <w:rsid w:val="00F14589"/>
    <w:rsid w:val="00F1459F"/>
    <w:rsid w:val="00F14647"/>
    <w:rsid w:val="00F1487F"/>
    <w:rsid w:val="00F14880"/>
    <w:rsid w:val="00F148DA"/>
    <w:rsid w:val="00F148FC"/>
    <w:rsid w:val="00F149A1"/>
    <w:rsid w:val="00F149E1"/>
    <w:rsid w:val="00F149EB"/>
    <w:rsid w:val="00F14A92"/>
    <w:rsid w:val="00F14B8D"/>
    <w:rsid w:val="00F14FEB"/>
    <w:rsid w:val="00F150FC"/>
    <w:rsid w:val="00F152C6"/>
    <w:rsid w:val="00F15346"/>
    <w:rsid w:val="00F15398"/>
    <w:rsid w:val="00F154A0"/>
    <w:rsid w:val="00F154AE"/>
    <w:rsid w:val="00F156B0"/>
    <w:rsid w:val="00F157B7"/>
    <w:rsid w:val="00F15844"/>
    <w:rsid w:val="00F15897"/>
    <w:rsid w:val="00F15BA1"/>
    <w:rsid w:val="00F15C9E"/>
    <w:rsid w:val="00F15DEE"/>
    <w:rsid w:val="00F15E02"/>
    <w:rsid w:val="00F15ED3"/>
    <w:rsid w:val="00F15ED8"/>
    <w:rsid w:val="00F1603D"/>
    <w:rsid w:val="00F1609E"/>
    <w:rsid w:val="00F16177"/>
    <w:rsid w:val="00F161B5"/>
    <w:rsid w:val="00F16521"/>
    <w:rsid w:val="00F166B6"/>
    <w:rsid w:val="00F16762"/>
    <w:rsid w:val="00F16875"/>
    <w:rsid w:val="00F16AAA"/>
    <w:rsid w:val="00F16ACE"/>
    <w:rsid w:val="00F16B5D"/>
    <w:rsid w:val="00F16B9A"/>
    <w:rsid w:val="00F16BFC"/>
    <w:rsid w:val="00F16C06"/>
    <w:rsid w:val="00F16CE6"/>
    <w:rsid w:val="00F16E3D"/>
    <w:rsid w:val="00F17047"/>
    <w:rsid w:val="00F171F5"/>
    <w:rsid w:val="00F1720D"/>
    <w:rsid w:val="00F174A0"/>
    <w:rsid w:val="00F174AA"/>
    <w:rsid w:val="00F1756F"/>
    <w:rsid w:val="00F175E0"/>
    <w:rsid w:val="00F1785D"/>
    <w:rsid w:val="00F1789A"/>
    <w:rsid w:val="00F179B2"/>
    <w:rsid w:val="00F17A17"/>
    <w:rsid w:val="00F17A6C"/>
    <w:rsid w:val="00F17C73"/>
    <w:rsid w:val="00F17CB9"/>
    <w:rsid w:val="00F17D91"/>
    <w:rsid w:val="00F17DB5"/>
    <w:rsid w:val="00F17F49"/>
    <w:rsid w:val="00F17F4B"/>
    <w:rsid w:val="00F17F76"/>
    <w:rsid w:val="00F17FFC"/>
    <w:rsid w:val="00F20038"/>
    <w:rsid w:val="00F20190"/>
    <w:rsid w:val="00F20217"/>
    <w:rsid w:val="00F2023F"/>
    <w:rsid w:val="00F2036A"/>
    <w:rsid w:val="00F2047F"/>
    <w:rsid w:val="00F2067F"/>
    <w:rsid w:val="00F2069B"/>
    <w:rsid w:val="00F206C1"/>
    <w:rsid w:val="00F206F8"/>
    <w:rsid w:val="00F20767"/>
    <w:rsid w:val="00F20953"/>
    <w:rsid w:val="00F20B47"/>
    <w:rsid w:val="00F20C77"/>
    <w:rsid w:val="00F20D1B"/>
    <w:rsid w:val="00F20D48"/>
    <w:rsid w:val="00F20F8A"/>
    <w:rsid w:val="00F21065"/>
    <w:rsid w:val="00F21193"/>
    <w:rsid w:val="00F211F5"/>
    <w:rsid w:val="00F211FC"/>
    <w:rsid w:val="00F2126D"/>
    <w:rsid w:val="00F21496"/>
    <w:rsid w:val="00F215B1"/>
    <w:rsid w:val="00F215E4"/>
    <w:rsid w:val="00F21603"/>
    <w:rsid w:val="00F2160D"/>
    <w:rsid w:val="00F2171A"/>
    <w:rsid w:val="00F217AA"/>
    <w:rsid w:val="00F219D0"/>
    <w:rsid w:val="00F219D6"/>
    <w:rsid w:val="00F219DF"/>
    <w:rsid w:val="00F21B0A"/>
    <w:rsid w:val="00F21B5A"/>
    <w:rsid w:val="00F21D72"/>
    <w:rsid w:val="00F21DD4"/>
    <w:rsid w:val="00F21E11"/>
    <w:rsid w:val="00F21E53"/>
    <w:rsid w:val="00F21EC4"/>
    <w:rsid w:val="00F21F58"/>
    <w:rsid w:val="00F22496"/>
    <w:rsid w:val="00F224F5"/>
    <w:rsid w:val="00F226D1"/>
    <w:rsid w:val="00F226F1"/>
    <w:rsid w:val="00F22711"/>
    <w:rsid w:val="00F2278E"/>
    <w:rsid w:val="00F227CE"/>
    <w:rsid w:val="00F22988"/>
    <w:rsid w:val="00F22A83"/>
    <w:rsid w:val="00F22B29"/>
    <w:rsid w:val="00F22B86"/>
    <w:rsid w:val="00F22BAE"/>
    <w:rsid w:val="00F22BB8"/>
    <w:rsid w:val="00F22C96"/>
    <w:rsid w:val="00F22E3A"/>
    <w:rsid w:val="00F22EE7"/>
    <w:rsid w:val="00F22FB0"/>
    <w:rsid w:val="00F22FD6"/>
    <w:rsid w:val="00F23142"/>
    <w:rsid w:val="00F2317B"/>
    <w:rsid w:val="00F23297"/>
    <w:rsid w:val="00F2332D"/>
    <w:rsid w:val="00F2346A"/>
    <w:rsid w:val="00F234A6"/>
    <w:rsid w:val="00F234B4"/>
    <w:rsid w:val="00F234F5"/>
    <w:rsid w:val="00F235FE"/>
    <w:rsid w:val="00F2368D"/>
    <w:rsid w:val="00F23756"/>
    <w:rsid w:val="00F238D4"/>
    <w:rsid w:val="00F238D5"/>
    <w:rsid w:val="00F238DC"/>
    <w:rsid w:val="00F23946"/>
    <w:rsid w:val="00F239D8"/>
    <w:rsid w:val="00F239F8"/>
    <w:rsid w:val="00F23A32"/>
    <w:rsid w:val="00F23A5B"/>
    <w:rsid w:val="00F23A8D"/>
    <w:rsid w:val="00F23D67"/>
    <w:rsid w:val="00F23D8A"/>
    <w:rsid w:val="00F23DD6"/>
    <w:rsid w:val="00F23F01"/>
    <w:rsid w:val="00F23F0D"/>
    <w:rsid w:val="00F23F83"/>
    <w:rsid w:val="00F23FF3"/>
    <w:rsid w:val="00F24204"/>
    <w:rsid w:val="00F24222"/>
    <w:rsid w:val="00F243A5"/>
    <w:rsid w:val="00F24532"/>
    <w:rsid w:val="00F2453D"/>
    <w:rsid w:val="00F24770"/>
    <w:rsid w:val="00F247BA"/>
    <w:rsid w:val="00F24862"/>
    <w:rsid w:val="00F24863"/>
    <w:rsid w:val="00F248FD"/>
    <w:rsid w:val="00F24930"/>
    <w:rsid w:val="00F24A11"/>
    <w:rsid w:val="00F24B3A"/>
    <w:rsid w:val="00F24B72"/>
    <w:rsid w:val="00F24C30"/>
    <w:rsid w:val="00F24C39"/>
    <w:rsid w:val="00F24CF2"/>
    <w:rsid w:val="00F24DAC"/>
    <w:rsid w:val="00F24E85"/>
    <w:rsid w:val="00F24EE7"/>
    <w:rsid w:val="00F24FF9"/>
    <w:rsid w:val="00F25020"/>
    <w:rsid w:val="00F25022"/>
    <w:rsid w:val="00F25076"/>
    <w:rsid w:val="00F25196"/>
    <w:rsid w:val="00F25357"/>
    <w:rsid w:val="00F253D2"/>
    <w:rsid w:val="00F25403"/>
    <w:rsid w:val="00F25592"/>
    <w:rsid w:val="00F25634"/>
    <w:rsid w:val="00F25649"/>
    <w:rsid w:val="00F2575A"/>
    <w:rsid w:val="00F257EA"/>
    <w:rsid w:val="00F25AB8"/>
    <w:rsid w:val="00F25C34"/>
    <w:rsid w:val="00F25CC8"/>
    <w:rsid w:val="00F25E01"/>
    <w:rsid w:val="00F25E20"/>
    <w:rsid w:val="00F25E40"/>
    <w:rsid w:val="00F25F4D"/>
    <w:rsid w:val="00F2603A"/>
    <w:rsid w:val="00F2608C"/>
    <w:rsid w:val="00F2617B"/>
    <w:rsid w:val="00F26227"/>
    <w:rsid w:val="00F2641E"/>
    <w:rsid w:val="00F264E5"/>
    <w:rsid w:val="00F26894"/>
    <w:rsid w:val="00F26B04"/>
    <w:rsid w:val="00F26C17"/>
    <w:rsid w:val="00F26D6B"/>
    <w:rsid w:val="00F26E32"/>
    <w:rsid w:val="00F27025"/>
    <w:rsid w:val="00F27058"/>
    <w:rsid w:val="00F270A4"/>
    <w:rsid w:val="00F27295"/>
    <w:rsid w:val="00F272AF"/>
    <w:rsid w:val="00F2741C"/>
    <w:rsid w:val="00F2743D"/>
    <w:rsid w:val="00F274D9"/>
    <w:rsid w:val="00F2758A"/>
    <w:rsid w:val="00F2764B"/>
    <w:rsid w:val="00F27680"/>
    <w:rsid w:val="00F2789B"/>
    <w:rsid w:val="00F279DC"/>
    <w:rsid w:val="00F27AF0"/>
    <w:rsid w:val="00F27BAA"/>
    <w:rsid w:val="00F27C48"/>
    <w:rsid w:val="00F27D25"/>
    <w:rsid w:val="00F27D60"/>
    <w:rsid w:val="00F27D74"/>
    <w:rsid w:val="00F27DF5"/>
    <w:rsid w:val="00F27E42"/>
    <w:rsid w:val="00F3004C"/>
    <w:rsid w:val="00F300D6"/>
    <w:rsid w:val="00F300E0"/>
    <w:rsid w:val="00F30166"/>
    <w:rsid w:val="00F301D9"/>
    <w:rsid w:val="00F304A4"/>
    <w:rsid w:val="00F304D2"/>
    <w:rsid w:val="00F304EE"/>
    <w:rsid w:val="00F3053C"/>
    <w:rsid w:val="00F305B2"/>
    <w:rsid w:val="00F305F3"/>
    <w:rsid w:val="00F30793"/>
    <w:rsid w:val="00F307EB"/>
    <w:rsid w:val="00F30975"/>
    <w:rsid w:val="00F309E4"/>
    <w:rsid w:val="00F30AFE"/>
    <w:rsid w:val="00F30B4A"/>
    <w:rsid w:val="00F30BAA"/>
    <w:rsid w:val="00F30BDF"/>
    <w:rsid w:val="00F30C16"/>
    <w:rsid w:val="00F30C17"/>
    <w:rsid w:val="00F30D3C"/>
    <w:rsid w:val="00F30D3E"/>
    <w:rsid w:val="00F30E62"/>
    <w:rsid w:val="00F30FE5"/>
    <w:rsid w:val="00F3100E"/>
    <w:rsid w:val="00F31020"/>
    <w:rsid w:val="00F31045"/>
    <w:rsid w:val="00F31241"/>
    <w:rsid w:val="00F3155E"/>
    <w:rsid w:val="00F315F5"/>
    <w:rsid w:val="00F31646"/>
    <w:rsid w:val="00F31647"/>
    <w:rsid w:val="00F31A6A"/>
    <w:rsid w:val="00F31A97"/>
    <w:rsid w:val="00F31B7A"/>
    <w:rsid w:val="00F31CD4"/>
    <w:rsid w:val="00F32010"/>
    <w:rsid w:val="00F32060"/>
    <w:rsid w:val="00F32151"/>
    <w:rsid w:val="00F3215B"/>
    <w:rsid w:val="00F322EC"/>
    <w:rsid w:val="00F3235E"/>
    <w:rsid w:val="00F323A4"/>
    <w:rsid w:val="00F323C4"/>
    <w:rsid w:val="00F324EF"/>
    <w:rsid w:val="00F32741"/>
    <w:rsid w:val="00F327F5"/>
    <w:rsid w:val="00F32834"/>
    <w:rsid w:val="00F32882"/>
    <w:rsid w:val="00F328BC"/>
    <w:rsid w:val="00F3291B"/>
    <w:rsid w:val="00F32958"/>
    <w:rsid w:val="00F329BA"/>
    <w:rsid w:val="00F32A67"/>
    <w:rsid w:val="00F32C0B"/>
    <w:rsid w:val="00F32CA6"/>
    <w:rsid w:val="00F32D0A"/>
    <w:rsid w:val="00F32F26"/>
    <w:rsid w:val="00F32F28"/>
    <w:rsid w:val="00F32F88"/>
    <w:rsid w:val="00F33060"/>
    <w:rsid w:val="00F331AB"/>
    <w:rsid w:val="00F331F2"/>
    <w:rsid w:val="00F3335F"/>
    <w:rsid w:val="00F33484"/>
    <w:rsid w:val="00F33497"/>
    <w:rsid w:val="00F33530"/>
    <w:rsid w:val="00F3354D"/>
    <w:rsid w:val="00F335CE"/>
    <w:rsid w:val="00F33621"/>
    <w:rsid w:val="00F33631"/>
    <w:rsid w:val="00F3369B"/>
    <w:rsid w:val="00F3379C"/>
    <w:rsid w:val="00F33820"/>
    <w:rsid w:val="00F3386B"/>
    <w:rsid w:val="00F338EB"/>
    <w:rsid w:val="00F338F1"/>
    <w:rsid w:val="00F3391F"/>
    <w:rsid w:val="00F33A28"/>
    <w:rsid w:val="00F33A8E"/>
    <w:rsid w:val="00F33CED"/>
    <w:rsid w:val="00F33D91"/>
    <w:rsid w:val="00F33DB8"/>
    <w:rsid w:val="00F33EE1"/>
    <w:rsid w:val="00F33F38"/>
    <w:rsid w:val="00F33F50"/>
    <w:rsid w:val="00F34238"/>
    <w:rsid w:val="00F34349"/>
    <w:rsid w:val="00F34356"/>
    <w:rsid w:val="00F3449D"/>
    <w:rsid w:val="00F34502"/>
    <w:rsid w:val="00F34696"/>
    <w:rsid w:val="00F34703"/>
    <w:rsid w:val="00F3471D"/>
    <w:rsid w:val="00F34859"/>
    <w:rsid w:val="00F349CC"/>
    <w:rsid w:val="00F34A3D"/>
    <w:rsid w:val="00F34AA7"/>
    <w:rsid w:val="00F34C38"/>
    <w:rsid w:val="00F34C3C"/>
    <w:rsid w:val="00F34D6F"/>
    <w:rsid w:val="00F34DD6"/>
    <w:rsid w:val="00F350E4"/>
    <w:rsid w:val="00F350E7"/>
    <w:rsid w:val="00F3515A"/>
    <w:rsid w:val="00F351CC"/>
    <w:rsid w:val="00F3522F"/>
    <w:rsid w:val="00F3526E"/>
    <w:rsid w:val="00F352C8"/>
    <w:rsid w:val="00F3541F"/>
    <w:rsid w:val="00F354C3"/>
    <w:rsid w:val="00F35505"/>
    <w:rsid w:val="00F35600"/>
    <w:rsid w:val="00F35632"/>
    <w:rsid w:val="00F358D2"/>
    <w:rsid w:val="00F358E5"/>
    <w:rsid w:val="00F35931"/>
    <w:rsid w:val="00F35995"/>
    <w:rsid w:val="00F359E9"/>
    <w:rsid w:val="00F359F3"/>
    <w:rsid w:val="00F35B1C"/>
    <w:rsid w:val="00F35B41"/>
    <w:rsid w:val="00F35BB3"/>
    <w:rsid w:val="00F35BD5"/>
    <w:rsid w:val="00F35C15"/>
    <w:rsid w:val="00F35C67"/>
    <w:rsid w:val="00F35D6F"/>
    <w:rsid w:val="00F35E08"/>
    <w:rsid w:val="00F35EC4"/>
    <w:rsid w:val="00F35F19"/>
    <w:rsid w:val="00F3600C"/>
    <w:rsid w:val="00F36116"/>
    <w:rsid w:val="00F362E0"/>
    <w:rsid w:val="00F36481"/>
    <w:rsid w:val="00F364BC"/>
    <w:rsid w:val="00F36640"/>
    <w:rsid w:val="00F366B4"/>
    <w:rsid w:val="00F36709"/>
    <w:rsid w:val="00F367DE"/>
    <w:rsid w:val="00F3683D"/>
    <w:rsid w:val="00F36848"/>
    <w:rsid w:val="00F36DBD"/>
    <w:rsid w:val="00F36E68"/>
    <w:rsid w:val="00F36F07"/>
    <w:rsid w:val="00F37013"/>
    <w:rsid w:val="00F3715B"/>
    <w:rsid w:val="00F3730A"/>
    <w:rsid w:val="00F37528"/>
    <w:rsid w:val="00F375B5"/>
    <w:rsid w:val="00F375C8"/>
    <w:rsid w:val="00F37693"/>
    <w:rsid w:val="00F3769A"/>
    <w:rsid w:val="00F37758"/>
    <w:rsid w:val="00F37848"/>
    <w:rsid w:val="00F3792C"/>
    <w:rsid w:val="00F37A03"/>
    <w:rsid w:val="00F37A54"/>
    <w:rsid w:val="00F37E4D"/>
    <w:rsid w:val="00F40017"/>
    <w:rsid w:val="00F4003C"/>
    <w:rsid w:val="00F4008F"/>
    <w:rsid w:val="00F40096"/>
    <w:rsid w:val="00F40209"/>
    <w:rsid w:val="00F40277"/>
    <w:rsid w:val="00F40355"/>
    <w:rsid w:val="00F403FC"/>
    <w:rsid w:val="00F4083D"/>
    <w:rsid w:val="00F40897"/>
    <w:rsid w:val="00F408A0"/>
    <w:rsid w:val="00F40914"/>
    <w:rsid w:val="00F409FE"/>
    <w:rsid w:val="00F40A4B"/>
    <w:rsid w:val="00F40A51"/>
    <w:rsid w:val="00F40AD7"/>
    <w:rsid w:val="00F40C2F"/>
    <w:rsid w:val="00F40E64"/>
    <w:rsid w:val="00F40FF5"/>
    <w:rsid w:val="00F4123D"/>
    <w:rsid w:val="00F4131D"/>
    <w:rsid w:val="00F41351"/>
    <w:rsid w:val="00F41547"/>
    <w:rsid w:val="00F417A5"/>
    <w:rsid w:val="00F4186B"/>
    <w:rsid w:val="00F41A13"/>
    <w:rsid w:val="00F41B33"/>
    <w:rsid w:val="00F41F51"/>
    <w:rsid w:val="00F421DD"/>
    <w:rsid w:val="00F4226B"/>
    <w:rsid w:val="00F423CC"/>
    <w:rsid w:val="00F42489"/>
    <w:rsid w:val="00F424AD"/>
    <w:rsid w:val="00F425BE"/>
    <w:rsid w:val="00F425F4"/>
    <w:rsid w:val="00F426CE"/>
    <w:rsid w:val="00F426E0"/>
    <w:rsid w:val="00F427B9"/>
    <w:rsid w:val="00F427ED"/>
    <w:rsid w:val="00F42844"/>
    <w:rsid w:val="00F4288A"/>
    <w:rsid w:val="00F428B7"/>
    <w:rsid w:val="00F429AD"/>
    <w:rsid w:val="00F42A23"/>
    <w:rsid w:val="00F42B5C"/>
    <w:rsid w:val="00F42BB8"/>
    <w:rsid w:val="00F42C63"/>
    <w:rsid w:val="00F42C76"/>
    <w:rsid w:val="00F42C89"/>
    <w:rsid w:val="00F42CF6"/>
    <w:rsid w:val="00F42DA0"/>
    <w:rsid w:val="00F42E89"/>
    <w:rsid w:val="00F42EE5"/>
    <w:rsid w:val="00F42F32"/>
    <w:rsid w:val="00F42F72"/>
    <w:rsid w:val="00F4306E"/>
    <w:rsid w:val="00F43084"/>
    <w:rsid w:val="00F43164"/>
    <w:rsid w:val="00F4317D"/>
    <w:rsid w:val="00F431A0"/>
    <w:rsid w:val="00F433C7"/>
    <w:rsid w:val="00F43449"/>
    <w:rsid w:val="00F4358F"/>
    <w:rsid w:val="00F4371F"/>
    <w:rsid w:val="00F43776"/>
    <w:rsid w:val="00F4379B"/>
    <w:rsid w:val="00F437F9"/>
    <w:rsid w:val="00F438CA"/>
    <w:rsid w:val="00F43900"/>
    <w:rsid w:val="00F4391C"/>
    <w:rsid w:val="00F43972"/>
    <w:rsid w:val="00F43AA8"/>
    <w:rsid w:val="00F43B2D"/>
    <w:rsid w:val="00F43BA4"/>
    <w:rsid w:val="00F43E3B"/>
    <w:rsid w:val="00F43EA0"/>
    <w:rsid w:val="00F43ED3"/>
    <w:rsid w:val="00F43F86"/>
    <w:rsid w:val="00F43F94"/>
    <w:rsid w:val="00F440C9"/>
    <w:rsid w:val="00F4413D"/>
    <w:rsid w:val="00F4414C"/>
    <w:rsid w:val="00F441FD"/>
    <w:rsid w:val="00F44302"/>
    <w:rsid w:val="00F44403"/>
    <w:rsid w:val="00F444FB"/>
    <w:rsid w:val="00F4486B"/>
    <w:rsid w:val="00F448BB"/>
    <w:rsid w:val="00F448EC"/>
    <w:rsid w:val="00F44AE2"/>
    <w:rsid w:val="00F44B1E"/>
    <w:rsid w:val="00F44DC3"/>
    <w:rsid w:val="00F44EFD"/>
    <w:rsid w:val="00F44FC3"/>
    <w:rsid w:val="00F45046"/>
    <w:rsid w:val="00F45151"/>
    <w:rsid w:val="00F45241"/>
    <w:rsid w:val="00F453C7"/>
    <w:rsid w:val="00F4547F"/>
    <w:rsid w:val="00F454F2"/>
    <w:rsid w:val="00F45597"/>
    <w:rsid w:val="00F455A5"/>
    <w:rsid w:val="00F45676"/>
    <w:rsid w:val="00F4568F"/>
    <w:rsid w:val="00F456CD"/>
    <w:rsid w:val="00F456DF"/>
    <w:rsid w:val="00F456FC"/>
    <w:rsid w:val="00F45927"/>
    <w:rsid w:val="00F45B67"/>
    <w:rsid w:val="00F45B8E"/>
    <w:rsid w:val="00F45BBF"/>
    <w:rsid w:val="00F45C7D"/>
    <w:rsid w:val="00F45CBC"/>
    <w:rsid w:val="00F45CEF"/>
    <w:rsid w:val="00F45EFC"/>
    <w:rsid w:val="00F45FCE"/>
    <w:rsid w:val="00F4611A"/>
    <w:rsid w:val="00F463A4"/>
    <w:rsid w:val="00F4642D"/>
    <w:rsid w:val="00F465C0"/>
    <w:rsid w:val="00F46848"/>
    <w:rsid w:val="00F46858"/>
    <w:rsid w:val="00F468F3"/>
    <w:rsid w:val="00F4691D"/>
    <w:rsid w:val="00F4693A"/>
    <w:rsid w:val="00F4696F"/>
    <w:rsid w:val="00F46A5E"/>
    <w:rsid w:val="00F46AD7"/>
    <w:rsid w:val="00F46BDD"/>
    <w:rsid w:val="00F46BE6"/>
    <w:rsid w:val="00F46C17"/>
    <w:rsid w:val="00F46F88"/>
    <w:rsid w:val="00F46FFC"/>
    <w:rsid w:val="00F47163"/>
    <w:rsid w:val="00F47209"/>
    <w:rsid w:val="00F476CC"/>
    <w:rsid w:val="00F477F3"/>
    <w:rsid w:val="00F47876"/>
    <w:rsid w:val="00F478F7"/>
    <w:rsid w:val="00F47913"/>
    <w:rsid w:val="00F47A30"/>
    <w:rsid w:val="00F47A40"/>
    <w:rsid w:val="00F47A4B"/>
    <w:rsid w:val="00F47AED"/>
    <w:rsid w:val="00F47B1B"/>
    <w:rsid w:val="00F47BC0"/>
    <w:rsid w:val="00F47CB9"/>
    <w:rsid w:val="00F47D38"/>
    <w:rsid w:val="00F47D4D"/>
    <w:rsid w:val="00F47D66"/>
    <w:rsid w:val="00F47E5F"/>
    <w:rsid w:val="00F47E6F"/>
    <w:rsid w:val="00F47E71"/>
    <w:rsid w:val="00F500C5"/>
    <w:rsid w:val="00F5027F"/>
    <w:rsid w:val="00F502CF"/>
    <w:rsid w:val="00F502D8"/>
    <w:rsid w:val="00F5055D"/>
    <w:rsid w:val="00F50580"/>
    <w:rsid w:val="00F506C6"/>
    <w:rsid w:val="00F506DE"/>
    <w:rsid w:val="00F50761"/>
    <w:rsid w:val="00F50869"/>
    <w:rsid w:val="00F50884"/>
    <w:rsid w:val="00F508E9"/>
    <w:rsid w:val="00F508F7"/>
    <w:rsid w:val="00F50959"/>
    <w:rsid w:val="00F509D3"/>
    <w:rsid w:val="00F50A1F"/>
    <w:rsid w:val="00F50A6C"/>
    <w:rsid w:val="00F50CC3"/>
    <w:rsid w:val="00F50E5F"/>
    <w:rsid w:val="00F50EDB"/>
    <w:rsid w:val="00F50FE8"/>
    <w:rsid w:val="00F510C0"/>
    <w:rsid w:val="00F516C1"/>
    <w:rsid w:val="00F516C4"/>
    <w:rsid w:val="00F517F1"/>
    <w:rsid w:val="00F51850"/>
    <w:rsid w:val="00F51856"/>
    <w:rsid w:val="00F51917"/>
    <w:rsid w:val="00F51AF9"/>
    <w:rsid w:val="00F51C97"/>
    <w:rsid w:val="00F51CAC"/>
    <w:rsid w:val="00F51D27"/>
    <w:rsid w:val="00F51D7F"/>
    <w:rsid w:val="00F51F1A"/>
    <w:rsid w:val="00F51F33"/>
    <w:rsid w:val="00F520D5"/>
    <w:rsid w:val="00F52125"/>
    <w:rsid w:val="00F521CA"/>
    <w:rsid w:val="00F52268"/>
    <w:rsid w:val="00F524BD"/>
    <w:rsid w:val="00F52539"/>
    <w:rsid w:val="00F5261B"/>
    <w:rsid w:val="00F52626"/>
    <w:rsid w:val="00F52686"/>
    <w:rsid w:val="00F5279C"/>
    <w:rsid w:val="00F527C7"/>
    <w:rsid w:val="00F52817"/>
    <w:rsid w:val="00F529AB"/>
    <w:rsid w:val="00F52A32"/>
    <w:rsid w:val="00F52A3F"/>
    <w:rsid w:val="00F52AE4"/>
    <w:rsid w:val="00F52AEE"/>
    <w:rsid w:val="00F52B30"/>
    <w:rsid w:val="00F52B69"/>
    <w:rsid w:val="00F52CA5"/>
    <w:rsid w:val="00F52CCE"/>
    <w:rsid w:val="00F52DD0"/>
    <w:rsid w:val="00F530BA"/>
    <w:rsid w:val="00F53105"/>
    <w:rsid w:val="00F531D3"/>
    <w:rsid w:val="00F531FA"/>
    <w:rsid w:val="00F532B7"/>
    <w:rsid w:val="00F53331"/>
    <w:rsid w:val="00F533EF"/>
    <w:rsid w:val="00F53406"/>
    <w:rsid w:val="00F53452"/>
    <w:rsid w:val="00F534FF"/>
    <w:rsid w:val="00F5365A"/>
    <w:rsid w:val="00F536D1"/>
    <w:rsid w:val="00F536E4"/>
    <w:rsid w:val="00F539ED"/>
    <w:rsid w:val="00F53BAA"/>
    <w:rsid w:val="00F54004"/>
    <w:rsid w:val="00F54020"/>
    <w:rsid w:val="00F5411B"/>
    <w:rsid w:val="00F5428A"/>
    <w:rsid w:val="00F5428E"/>
    <w:rsid w:val="00F542F1"/>
    <w:rsid w:val="00F54350"/>
    <w:rsid w:val="00F543DC"/>
    <w:rsid w:val="00F544EA"/>
    <w:rsid w:val="00F54600"/>
    <w:rsid w:val="00F5469B"/>
    <w:rsid w:val="00F54721"/>
    <w:rsid w:val="00F5479A"/>
    <w:rsid w:val="00F54867"/>
    <w:rsid w:val="00F549AF"/>
    <w:rsid w:val="00F54A1D"/>
    <w:rsid w:val="00F54AFC"/>
    <w:rsid w:val="00F54B3C"/>
    <w:rsid w:val="00F54BAB"/>
    <w:rsid w:val="00F54BDE"/>
    <w:rsid w:val="00F54C14"/>
    <w:rsid w:val="00F54CF3"/>
    <w:rsid w:val="00F54DB0"/>
    <w:rsid w:val="00F54E17"/>
    <w:rsid w:val="00F54EB0"/>
    <w:rsid w:val="00F54FAC"/>
    <w:rsid w:val="00F5508E"/>
    <w:rsid w:val="00F550C5"/>
    <w:rsid w:val="00F5516B"/>
    <w:rsid w:val="00F552E8"/>
    <w:rsid w:val="00F55335"/>
    <w:rsid w:val="00F5549D"/>
    <w:rsid w:val="00F554D5"/>
    <w:rsid w:val="00F555A3"/>
    <w:rsid w:val="00F55613"/>
    <w:rsid w:val="00F556FA"/>
    <w:rsid w:val="00F55776"/>
    <w:rsid w:val="00F557C5"/>
    <w:rsid w:val="00F557DF"/>
    <w:rsid w:val="00F5589E"/>
    <w:rsid w:val="00F558A4"/>
    <w:rsid w:val="00F559F4"/>
    <w:rsid w:val="00F55A1D"/>
    <w:rsid w:val="00F55A92"/>
    <w:rsid w:val="00F55BA6"/>
    <w:rsid w:val="00F55BB4"/>
    <w:rsid w:val="00F55C33"/>
    <w:rsid w:val="00F55C63"/>
    <w:rsid w:val="00F55CD4"/>
    <w:rsid w:val="00F55DA2"/>
    <w:rsid w:val="00F5606E"/>
    <w:rsid w:val="00F56098"/>
    <w:rsid w:val="00F5612C"/>
    <w:rsid w:val="00F561A3"/>
    <w:rsid w:val="00F5622D"/>
    <w:rsid w:val="00F562A2"/>
    <w:rsid w:val="00F5683C"/>
    <w:rsid w:val="00F56850"/>
    <w:rsid w:val="00F56A72"/>
    <w:rsid w:val="00F56B3F"/>
    <w:rsid w:val="00F56C1B"/>
    <w:rsid w:val="00F56CBF"/>
    <w:rsid w:val="00F56D6E"/>
    <w:rsid w:val="00F56F56"/>
    <w:rsid w:val="00F56F74"/>
    <w:rsid w:val="00F56FD3"/>
    <w:rsid w:val="00F56FF5"/>
    <w:rsid w:val="00F57091"/>
    <w:rsid w:val="00F57344"/>
    <w:rsid w:val="00F5748E"/>
    <w:rsid w:val="00F574C1"/>
    <w:rsid w:val="00F575AB"/>
    <w:rsid w:val="00F5763E"/>
    <w:rsid w:val="00F577C1"/>
    <w:rsid w:val="00F5786C"/>
    <w:rsid w:val="00F578F7"/>
    <w:rsid w:val="00F57967"/>
    <w:rsid w:val="00F579AA"/>
    <w:rsid w:val="00F579AB"/>
    <w:rsid w:val="00F579C5"/>
    <w:rsid w:val="00F57A1E"/>
    <w:rsid w:val="00F57B07"/>
    <w:rsid w:val="00F57B47"/>
    <w:rsid w:val="00F57BE5"/>
    <w:rsid w:val="00F57BED"/>
    <w:rsid w:val="00F57D05"/>
    <w:rsid w:val="00F57D7E"/>
    <w:rsid w:val="00F57E38"/>
    <w:rsid w:val="00F57EB2"/>
    <w:rsid w:val="00F57F7A"/>
    <w:rsid w:val="00F57FAC"/>
    <w:rsid w:val="00F57FEE"/>
    <w:rsid w:val="00F60041"/>
    <w:rsid w:val="00F60119"/>
    <w:rsid w:val="00F6016A"/>
    <w:rsid w:val="00F60198"/>
    <w:rsid w:val="00F6021C"/>
    <w:rsid w:val="00F60319"/>
    <w:rsid w:val="00F6034C"/>
    <w:rsid w:val="00F604AB"/>
    <w:rsid w:val="00F60605"/>
    <w:rsid w:val="00F60804"/>
    <w:rsid w:val="00F60807"/>
    <w:rsid w:val="00F608BE"/>
    <w:rsid w:val="00F60C05"/>
    <w:rsid w:val="00F60C98"/>
    <w:rsid w:val="00F60EF0"/>
    <w:rsid w:val="00F610F3"/>
    <w:rsid w:val="00F611C8"/>
    <w:rsid w:val="00F6136C"/>
    <w:rsid w:val="00F6137C"/>
    <w:rsid w:val="00F613B3"/>
    <w:rsid w:val="00F6142F"/>
    <w:rsid w:val="00F61681"/>
    <w:rsid w:val="00F616AC"/>
    <w:rsid w:val="00F61827"/>
    <w:rsid w:val="00F618E3"/>
    <w:rsid w:val="00F61A70"/>
    <w:rsid w:val="00F61AE9"/>
    <w:rsid w:val="00F61B30"/>
    <w:rsid w:val="00F61C07"/>
    <w:rsid w:val="00F61D0F"/>
    <w:rsid w:val="00F61E11"/>
    <w:rsid w:val="00F620A2"/>
    <w:rsid w:val="00F620BE"/>
    <w:rsid w:val="00F620F7"/>
    <w:rsid w:val="00F62229"/>
    <w:rsid w:val="00F622E2"/>
    <w:rsid w:val="00F62356"/>
    <w:rsid w:val="00F625D1"/>
    <w:rsid w:val="00F626C2"/>
    <w:rsid w:val="00F62840"/>
    <w:rsid w:val="00F62B3D"/>
    <w:rsid w:val="00F62B45"/>
    <w:rsid w:val="00F62C86"/>
    <w:rsid w:val="00F62D48"/>
    <w:rsid w:val="00F62D9A"/>
    <w:rsid w:val="00F62F78"/>
    <w:rsid w:val="00F62F81"/>
    <w:rsid w:val="00F63189"/>
    <w:rsid w:val="00F632D0"/>
    <w:rsid w:val="00F633B2"/>
    <w:rsid w:val="00F633C5"/>
    <w:rsid w:val="00F6344B"/>
    <w:rsid w:val="00F63624"/>
    <w:rsid w:val="00F63686"/>
    <w:rsid w:val="00F6373F"/>
    <w:rsid w:val="00F6388E"/>
    <w:rsid w:val="00F638A3"/>
    <w:rsid w:val="00F638AC"/>
    <w:rsid w:val="00F63BF0"/>
    <w:rsid w:val="00F63C52"/>
    <w:rsid w:val="00F63DA0"/>
    <w:rsid w:val="00F63F3D"/>
    <w:rsid w:val="00F64092"/>
    <w:rsid w:val="00F640DE"/>
    <w:rsid w:val="00F64111"/>
    <w:rsid w:val="00F643C9"/>
    <w:rsid w:val="00F6445C"/>
    <w:rsid w:val="00F64549"/>
    <w:rsid w:val="00F645C2"/>
    <w:rsid w:val="00F645C8"/>
    <w:rsid w:val="00F645D6"/>
    <w:rsid w:val="00F6460C"/>
    <w:rsid w:val="00F64674"/>
    <w:rsid w:val="00F64686"/>
    <w:rsid w:val="00F646BA"/>
    <w:rsid w:val="00F647F5"/>
    <w:rsid w:val="00F647FE"/>
    <w:rsid w:val="00F64A28"/>
    <w:rsid w:val="00F64A33"/>
    <w:rsid w:val="00F64CAE"/>
    <w:rsid w:val="00F64E26"/>
    <w:rsid w:val="00F64EA2"/>
    <w:rsid w:val="00F64F53"/>
    <w:rsid w:val="00F65039"/>
    <w:rsid w:val="00F65084"/>
    <w:rsid w:val="00F650CB"/>
    <w:rsid w:val="00F6511E"/>
    <w:rsid w:val="00F6557C"/>
    <w:rsid w:val="00F65581"/>
    <w:rsid w:val="00F655D6"/>
    <w:rsid w:val="00F6562C"/>
    <w:rsid w:val="00F65687"/>
    <w:rsid w:val="00F656EC"/>
    <w:rsid w:val="00F65752"/>
    <w:rsid w:val="00F657EC"/>
    <w:rsid w:val="00F658C2"/>
    <w:rsid w:val="00F6596F"/>
    <w:rsid w:val="00F659E2"/>
    <w:rsid w:val="00F65A49"/>
    <w:rsid w:val="00F65C5C"/>
    <w:rsid w:val="00F65C68"/>
    <w:rsid w:val="00F65D93"/>
    <w:rsid w:val="00F65F95"/>
    <w:rsid w:val="00F66220"/>
    <w:rsid w:val="00F66267"/>
    <w:rsid w:val="00F6632F"/>
    <w:rsid w:val="00F6643A"/>
    <w:rsid w:val="00F664FB"/>
    <w:rsid w:val="00F66554"/>
    <w:rsid w:val="00F66665"/>
    <w:rsid w:val="00F6668A"/>
    <w:rsid w:val="00F6680C"/>
    <w:rsid w:val="00F669CD"/>
    <w:rsid w:val="00F66EEA"/>
    <w:rsid w:val="00F671E8"/>
    <w:rsid w:val="00F6732E"/>
    <w:rsid w:val="00F67391"/>
    <w:rsid w:val="00F67554"/>
    <w:rsid w:val="00F6758B"/>
    <w:rsid w:val="00F676CC"/>
    <w:rsid w:val="00F677E0"/>
    <w:rsid w:val="00F677F2"/>
    <w:rsid w:val="00F67855"/>
    <w:rsid w:val="00F678E5"/>
    <w:rsid w:val="00F6792C"/>
    <w:rsid w:val="00F67A63"/>
    <w:rsid w:val="00F67A9E"/>
    <w:rsid w:val="00F67B8A"/>
    <w:rsid w:val="00F67BAC"/>
    <w:rsid w:val="00F67BAF"/>
    <w:rsid w:val="00F67BBE"/>
    <w:rsid w:val="00F67BEE"/>
    <w:rsid w:val="00F67E0C"/>
    <w:rsid w:val="00F67E70"/>
    <w:rsid w:val="00F67ED9"/>
    <w:rsid w:val="00F67EF4"/>
    <w:rsid w:val="00F67F28"/>
    <w:rsid w:val="00F700B2"/>
    <w:rsid w:val="00F701B0"/>
    <w:rsid w:val="00F7063C"/>
    <w:rsid w:val="00F7078D"/>
    <w:rsid w:val="00F7082A"/>
    <w:rsid w:val="00F70A90"/>
    <w:rsid w:val="00F70B91"/>
    <w:rsid w:val="00F70B9C"/>
    <w:rsid w:val="00F70C79"/>
    <w:rsid w:val="00F70E50"/>
    <w:rsid w:val="00F71034"/>
    <w:rsid w:val="00F7104B"/>
    <w:rsid w:val="00F71105"/>
    <w:rsid w:val="00F711E6"/>
    <w:rsid w:val="00F712D2"/>
    <w:rsid w:val="00F713DC"/>
    <w:rsid w:val="00F716F3"/>
    <w:rsid w:val="00F71791"/>
    <w:rsid w:val="00F718BA"/>
    <w:rsid w:val="00F71D18"/>
    <w:rsid w:val="00F71D71"/>
    <w:rsid w:val="00F71E00"/>
    <w:rsid w:val="00F71E2B"/>
    <w:rsid w:val="00F71E37"/>
    <w:rsid w:val="00F71F16"/>
    <w:rsid w:val="00F7200E"/>
    <w:rsid w:val="00F72117"/>
    <w:rsid w:val="00F721DC"/>
    <w:rsid w:val="00F72273"/>
    <w:rsid w:val="00F72334"/>
    <w:rsid w:val="00F72494"/>
    <w:rsid w:val="00F726B7"/>
    <w:rsid w:val="00F727E1"/>
    <w:rsid w:val="00F72802"/>
    <w:rsid w:val="00F728CD"/>
    <w:rsid w:val="00F728E4"/>
    <w:rsid w:val="00F7293F"/>
    <w:rsid w:val="00F72955"/>
    <w:rsid w:val="00F72A1A"/>
    <w:rsid w:val="00F72A3D"/>
    <w:rsid w:val="00F72AC8"/>
    <w:rsid w:val="00F72AD4"/>
    <w:rsid w:val="00F72B86"/>
    <w:rsid w:val="00F72B92"/>
    <w:rsid w:val="00F72C75"/>
    <w:rsid w:val="00F72D3F"/>
    <w:rsid w:val="00F72EC9"/>
    <w:rsid w:val="00F73079"/>
    <w:rsid w:val="00F730AC"/>
    <w:rsid w:val="00F731E8"/>
    <w:rsid w:val="00F732C1"/>
    <w:rsid w:val="00F732CA"/>
    <w:rsid w:val="00F7343B"/>
    <w:rsid w:val="00F73584"/>
    <w:rsid w:val="00F7358E"/>
    <w:rsid w:val="00F737DB"/>
    <w:rsid w:val="00F7387E"/>
    <w:rsid w:val="00F7397D"/>
    <w:rsid w:val="00F739FD"/>
    <w:rsid w:val="00F73A82"/>
    <w:rsid w:val="00F73CE4"/>
    <w:rsid w:val="00F7428B"/>
    <w:rsid w:val="00F742D8"/>
    <w:rsid w:val="00F74365"/>
    <w:rsid w:val="00F743F4"/>
    <w:rsid w:val="00F7459A"/>
    <w:rsid w:val="00F746BD"/>
    <w:rsid w:val="00F74835"/>
    <w:rsid w:val="00F7483B"/>
    <w:rsid w:val="00F74A0E"/>
    <w:rsid w:val="00F74B6B"/>
    <w:rsid w:val="00F74B88"/>
    <w:rsid w:val="00F74EA5"/>
    <w:rsid w:val="00F74ED8"/>
    <w:rsid w:val="00F75107"/>
    <w:rsid w:val="00F7516A"/>
    <w:rsid w:val="00F75186"/>
    <w:rsid w:val="00F75291"/>
    <w:rsid w:val="00F75297"/>
    <w:rsid w:val="00F752C4"/>
    <w:rsid w:val="00F7534B"/>
    <w:rsid w:val="00F753E8"/>
    <w:rsid w:val="00F75656"/>
    <w:rsid w:val="00F7570C"/>
    <w:rsid w:val="00F75715"/>
    <w:rsid w:val="00F759FB"/>
    <w:rsid w:val="00F75CDB"/>
    <w:rsid w:val="00F75D86"/>
    <w:rsid w:val="00F760DE"/>
    <w:rsid w:val="00F7613A"/>
    <w:rsid w:val="00F761D8"/>
    <w:rsid w:val="00F7628A"/>
    <w:rsid w:val="00F762A2"/>
    <w:rsid w:val="00F762DD"/>
    <w:rsid w:val="00F76334"/>
    <w:rsid w:val="00F7636B"/>
    <w:rsid w:val="00F764DB"/>
    <w:rsid w:val="00F765DA"/>
    <w:rsid w:val="00F765F3"/>
    <w:rsid w:val="00F765F6"/>
    <w:rsid w:val="00F76795"/>
    <w:rsid w:val="00F768E6"/>
    <w:rsid w:val="00F76961"/>
    <w:rsid w:val="00F769A2"/>
    <w:rsid w:val="00F769E9"/>
    <w:rsid w:val="00F76BB2"/>
    <w:rsid w:val="00F76BFB"/>
    <w:rsid w:val="00F76C6A"/>
    <w:rsid w:val="00F76FCF"/>
    <w:rsid w:val="00F7705A"/>
    <w:rsid w:val="00F7708A"/>
    <w:rsid w:val="00F770B2"/>
    <w:rsid w:val="00F77179"/>
    <w:rsid w:val="00F774E2"/>
    <w:rsid w:val="00F7766A"/>
    <w:rsid w:val="00F776A2"/>
    <w:rsid w:val="00F77717"/>
    <w:rsid w:val="00F7772D"/>
    <w:rsid w:val="00F7779A"/>
    <w:rsid w:val="00F778DD"/>
    <w:rsid w:val="00F77973"/>
    <w:rsid w:val="00F779A0"/>
    <w:rsid w:val="00F77AE9"/>
    <w:rsid w:val="00F77B5B"/>
    <w:rsid w:val="00F77B7A"/>
    <w:rsid w:val="00F77C30"/>
    <w:rsid w:val="00F77C57"/>
    <w:rsid w:val="00F77DE6"/>
    <w:rsid w:val="00F77E9F"/>
    <w:rsid w:val="00F77ED1"/>
    <w:rsid w:val="00F77F14"/>
    <w:rsid w:val="00F80258"/>
    <w:rsid w:val="00F802AB"/>
    <w:rsid w:val="00F802F7"/>
    <w:rsid w:val="00F80311"/>
    <w:rsid w:val="00F80402"/>
    <w:rsid w:val="00F80492"/>
    <w:rsid w:val="00F804CE"/>
    <w:rsid w:val="00F8054B"/>
    <w:rsid w:val="00F806A1"/>
    <w:rsid w:val="00F808F1"/>
    <w:rsid w:val="00F8092B"/>
    <w:rsid w:val="00F80A61"/>
    <w:rsid w:val="00F80A81"/>
    <w:rsid w:val="00F80AB0"/>
    <w:rsid w:val="00F80B1D"/>
    <w:rsid w:val="00F80C77"/>
    <w:rsid w:val="00F80D43"/>
    <w:rsid w:val="00F80EBE"/>
    <w:rsid w:val="00F80F30"/>
    <w:rsid w:val="00F80F55"/>
    <w:rsid w:val="00F810C7"/>
    <w:rsid w:val="00F810E9"/>
    <w:rsid w:val="00F81102"/>
    <w:rsid w:val="00F81218"/>
    <w:rsid w:val="00F81259"/>
    <w:rsid w:val="00F8143B"/>
    <w:rsid w:val="00F8147D"/>
    <w:rsid w:val="00F81626"/>
    <w:rsid w:val="00F816CC"/>
    <w:rsid w:val="00F817C0"/>
    <w:rsid w:val="00F81806"/>
    <w:rsid w:val="00F8182C"/>
    <w:rsid w:val="00F81A74"/>
    <w:rsid w:val="00F81BEF"/>
    <w:rsid w:val="00F81C27"/>
    <w:rsid w:val="00F81C88"/>
    <w:rsid w:val="00F81D00"/>
    <w:rsid w:val="00F81D39"/>
    <w:rsid w:val="00F81D3D"/>
    <w:rsid w:val="00F81DE7"/>
    <w:rsid w:val="00F81F13"/>
    <w:rsid w:val="00F82003"/>
    <w:rsid w:val="00F8204D"/>
    <w:rsid w:val="00F820CE"/>
    <w:rsid w:val="00F82334"/>
    <w:rsid w:val="00F82370"/>
    <w:rsid w:val="00F824CA"/>
    <w:rsid w:val="00F82574"/>
    <w:rsid w:val="00F82746"/>
    <w:rsid w:val="00F828E4"/>
    <w:rsid w:val="00F82989"/>
    <w:rsid w:val="00F82ABA"/>
    <w:rsid w:val="00F82B34"/>
    <w:rsid w:val="00F82B67"/>
    <w:rsid w:val="00F82D26"/>
    <w:rsid w:val="00F82E06"/>
    <w:rsid w:val="00F82E87"/>
    <w:rsid w:val="00F82F37"/>
    <w:rsid w:val="00F830BF"/>
    <w:rsid w:val="00F83116"/>
    <w:rsid w:val="00F8313B"/>
    <w:rsid w:val="00F832EC"/>
    <w:rsid w:val="00F8353A"/>
    <w:rsid w:val="00F83545"/>
    <w:rsid w:val="00F83581"/>
    <w:rsid w:val="00F836AF"/>
    <w:rsid w:val="00F836C2"/>
    <w:rsid w:val="00F836F9"/>
    <w:rsid w:val="00F83703"/>
    <w:rsid w:val="00F8373B"/>
    <w:rsid w:val="00F83B3D"/>
    <w:rsid w:val="00F83B76"/>
    <w:rsid w:val="00F83BD2"/>
    <w:rsid w:val="00F83C2A"/>
    <w:rsid w:val="00F83D76"/>
    <w:rsid w:val="00F83DD7"/>
    <w:rsid w:val="00F83E04"/>
    <w:rsid w:val="00F83E58"/>
    <w:rsid w:val="00F83E7F"/>
    <w:rsid w:val="00F83F52"/>
    <w:rsid w:val="00F83F88"/>
    <w:rsid w:val="00F84077"/>
    <w:rsid w:val="00F840EB"/>
    <w:rsid w:val="00F840F6"/>
    <w:rsid w:val="00F84261"/>
    <w:rsid w:val="00F84410"/>
    <w:rsid w:val="00F845B2"/>
    <w:rsid w:val="00F845D7"/>
    <w:rsid w:val="00F847BA"/>
    <w:rsid w:val="00F8481A"/>
    <w:rsid w:val="00F848CB"/>
    <w:rsid w:val="00F84908"/>
    <w:rsid w:val="00F84938"/>
    <w:rsid w:val="00F849D8"/>
    <w:rsid w:val="00F84B28"/>
    <w:rsid w:val="00F84B50"/>
    <w:rsid w:val="00F84B53"/>
    <w:rsid w:val="00F84C3C"/>
    <w:rsid w:val="00F84D4F"/>
    <w:rsid w:val="00F84D5C"/>
    <w:rsid w:val="00F84D7C"/>
    <w:rsid w:val="00F84FD7"/>
    <w:rsid w:val="00F84FF7"/>
    <w:rsid w:val="00F850EA"/>
    <w:rsid w:val="00F851EF"/>
    <w:rsid w:val="00F8554F"/>
    <w:rsid w:val="00F8558D"/>
    <w:rsid w:val="00F85682"/>
    <w:rsid w:val="00F85755"/>
    <w:rsid w:val="00F857D7"/>
    <w:rsid w:val="00F85852"/>
    <w:rsid w:val="00F8586B"/>
    <w:rsid w:val="00F8591F"/>
    <w:rsid w:val="00F85C01"/>
    <w:rsid w:val="00F85C52"/>
    <w:rsid w:val="00F85EAB"/>
    <w:rsid w:val="00F85F02"/>
    <w:rsid w:val="00F85F19"/>
    <w:rsid w:val="00F861AF"/>
    <w:rsid w:val="00F861EE"/>
    <w:rsid w:val="00F86440"/>
    <w:rsid w:val="00F86504"/>
    <w:rsid w:val="00F8672B"/>
    <w:rsid w:val="00F8676F"/>
    <w:rsid w:val="00F867F1"/>
    <w:rsid w:val="00F86879"/>
    <w:rsid w:val="00F86A24"/>
    <w:rsid w:val="00F86B67"/>
    <w:rsid w:val="00F86C82"/>
    <w:rsid w:val="00F86E54"/>
    <w:rsid w:val="00F86ECD"/>
    <w:rsid w:val="00F86F74"/>
    <w:rsid w:val="00F87020"/>
    <w:rsid w:val="00F8719B"/>
    <w:rsid w:val="00F872A2"/>
    <w:rsid w:val="00F872B5"/>
    <w:rsid w:val="00F8735B"/>
    <w:rsid w:val="00F87400"/>
    <w:rsid w:val="00F87445"/>
    <w:rsid w:val="00F87489"/>
    <w:rsid w:val="00F87639"/>
    <w:rsid w:val="00F8773D"/>
    <w:rsid w:val="00F878D0"/>
    <w:rsid w:val="00F878E3"/>
    <w:rsid w:val="00F87962"/>
    <w:rsid w:val="00F87A6F"/>
    <w:rsid w:val="00F87AAF"/>
    <w:rsid w:val="00F87ABD"/>
    <w:rsid w:val="00F87B94"/>
    <w:rsid w:val="00F87C59"/>
    <w:rsid w:val="00F87C8E"/>
    <w:rsid w:val="00F87D4A"/>
    <w:rsid w:val="00F87D8F"/>
    <w:rsid w:val="00F87DE9"/>
    <w:rsid w:val="00F87E4F"/>
    <w:rsid w:val="00F87F48"/>
    <w:rsid w:val="00F87FAD"/>
    <w:rsid w:val="00F87FF3"/>
    <w:rsid w:val="00F900C1"/>
    <w:rsid w:val="00F90210"/>
    <w:rsid w:val="00F902C2"/>
    <w:rsid w:val="00F90472"/>
    <w:rsid w:val="00F904F0"/>
    <w:rsid w:val="00F90845"/>
    <w:rsid w:val="00F908A4"/>
    <w:rsid w:val="00F9093D"/>
    <w:rsid w:val="00F90A13"/>
    <w:rsid w:val="00F90B4E"/>
    <w:rsid w:val="00F90C17"/>
    <w:rsid w:val="00F90D17"/>
    <w:rsid w:val="00F90DE6"/>
    <w:rsid w:val="00F91162"/>
    <w:rsid w:val="00F9139D"/>
    <w:rsid w:val="00F9142A"/>
    <w:rsid w:val="00F914B9"/>
    <w:rsid w:val="00F914D4"/>
    <w:rsid w:val="00F917BD"/>
    <w:rsid w:val="00F91803"/>
    <w:rsid w:val="00F91811"/>
    <w:rsid w:val="00F9184A"/>
    <w:rsid w:val="00F9191C"/>
    <w:rsid w:val="00F919B1"/>
    <w:rsid w:val="00F91A49"/>
    <w:rsid w:val="00F91AB2"/>
    <w:rsid w:val="00F91AF0"/>
    <w:rsid w:val="00F91BD9"/>
    <w:rsid w:val="00F91C21"/>
    <w:rsid w:val="00F91C4F"/>
    <w:rsid w:val="00F91CD3"/>
    <w:rsid w:val="00F91DE7"/>
    <w:rsid w:val="00F91DEA"/>
    <w:rsid w:val="00F91F11"/>
    <w:rsid w:val="00F91F93"/>
    <w:rsid w:val="00F92049"/>
    <w:rsid w:val="00F9214E"/>
    <w:rsid w:val="00F92212"/>
    <w:rsid w:val="00F92240"/>
    <w:rsid w:val="00F92279"/>
    <w:rsid w:val="00F92288"/>
    <w:rsid w:val="00F922CB"/>
    <w:rsid w:val="00F923E7"/>
    <w:rsid w:val="00F9265B"/>
    <w:rsid w:val="00F92676"/>
    <w:rsid w:val="00F9267E"/>
    <w:rsid w:val="00F926D5"/>
    <w:rsid w:val="00F928AE"/>
    <w:rsid w:val="00F92950"/>
    <w:rsid w:val="00F92991"/>
    <w:rsid w:val="00F92999"/>
    <w:rsid w:val="00F929C0"/>
    <w:rsid w:val="00F92BEB"/>
    <w:rsid w:val="00F92BF3"/>
    <w:rsid w:val="00F92DAC"/>
    <w:rsid w:val="00F92E4A"/>
    <w:rsid w:val="00F92E67"/>
    <w:rsid w:val="00F92F48"/>
    <w:rsid w:val="00F93137"/>
    <w:rsid w:val="00F9319D"/>
    <w:rsid w:val="00F931D0"/>
    <w:rsid w:val="00F931FD"/>
    <w:rsid w:val="00F9328E"/>
    <w:rsid w:val="00F93491"/>
    <w:rsid w:val="00F93595"/>
    <w:rsid w:val="00F935BE"/>
    <w:rsid w:val="00F937EA"/>
    <w:rsid w:val="00F93825"/>
    <w:rsid w:val="00F9382F"/>
    <w:rsid w:val="00F9392D"/>
    <w:rsid w:val="00F93A58"/>
    <w:rsid w:val="00F93A83"/>
    <w:rsid w:val="00F93AFA"/>
    <w:rsid w:val="00F93C77"/>
    <w:rsid w:val="00F93CCE"/>
    <w:rsid w:val="00F93DCA"/>
    <w:rsid w:val="00F9403B"/>
    <w:rsid w:val="00F9418F"/>
    <w:rsid w:val="00F9422A"/>
    <w:rsid w:val="00F942EF"/>
    <w:rsid w:val="00F945FC"/>
    <w:rsid w:val="00F9461B"/>
    <w:rsid w:val="00F94674"/>
    <w:rsid w:val="00F9467A"/>
    <w:rsid w:val="00F9477D"/>
    <w:rsid w:val="00F947A1"/>
    <w:rsid w:val="00F94825"/>
    <w:rsid w:val="00F94939"/>
    <w:rsid w:val="00F94A1C"/>
    <w:rsid w:val="00F94C24"/>
    <w:rsid w:val="00F94C4C"/>
    <w:rsid w:val="00F94C72"/>
    <w:rsid w:val="00F94DE9"/>
    <w:rsid w:val="00F94E65"/>
    <w:rsid w:val="00F94E9A"/>
    <w:rsid w:val="00F94F1C"/>
    <w:rsid w:val="00F94FDB"/>
    <w:rsid w:val="00F9503B"/>
    <w:rsid w:val="00F95091"/>
    <w:rsid w:val="00F950D8"/>
    <w:rsid w:val="00F95135"/>
    <w:rsid w:val="00F9513A"/>
    <w:rsid w:val="00F95267"/>
    <w:rsid w:val="00F95349"/>
    <w:rsid w:val="00F9542B"/>
    <w:rsid w:val="00F954CA"/>
    <w:rsid w:val="00F954DF"/>
    <w:rsid w:val="00F9558F"/>
    <w:rsid w:val="00F956A7"/>
    <w:rsid w:val="00F95897"/>
    <w:rsid w:val="00F958F1"/>
    <w:rsid w:val="00F95913"/>
    <w:rsid w:val="00F9592B"/>
    <w:rsid w:val="00F9597A"/>
    <w:rsid w:val="00F95B69"/>
    <w:rsid w:val="00F95D70"/>
    <w:rsid w:val="00F95D84"/>
    <w:rsid w:val="00F95D93"/>
    <w:rsid w:val="00F95EB9"/>
    <w:rsid w:val="00F962F7"/>
    <w:rsid w:val="00F96343"/>
    <w:rsid w:val="00F96369"/>
    <w:rsid w:val="00F9640F"/>
    <w:rsid w:val="00F96460"/>
    <w:rsid w:val="00F9653C"/>
    <w:rsid w:val="00F96573"/>
    <w:rsid w:val="00F9657F"/>
    <w:rsid w:val="00F965DF"/>
    <w:rsid w:val="00F96614"/>
    <w:rsid w:val="00F96617"/>
    <w:rsid w:val="00F968E4"/>
    <w:rsid w:val="00F9691E"/>
    <w:rsid w:val="00F96A3A"/>
    <w:rsid w:val="00F96AB0"/>
    <w:rsid w:val="00F96E31"/>
    <w:rsid w:val="00F96EC4"/>
    <w:rsid w:val="00F96FC7"/>
    <w:rsid w:val="00F97072"/>
    <w:rsid w:val="00F9717F"/>
    <w:rsid w:val="00F9728A"/>
    <w:rsid w:val="00F97384"/>
    <w:rsid w:val="00F974AD"/>
    <w:rsid w:val="00F975D7"/>
    <w:rsid w:val="00F975ED"/>
    <w:rsid w:val="00F977CC"/>
    <w:rsid w:val="00F9781F"/>
    <w:rsid w:val="00F978E0"/>
    <w:rsid w:val="00F97925"/>
    <w:rsid w:val="00F9799A"/>
    <w:rsid w:val="00F979C3"/>
    <w:rsid w:val="00F97D0D"/>
    <w:rsid w:val="00F97E7F"/>
    <w:rsid w:val="00F97EEC"/>
    <w:rsid w:val="00F97F1A"/>
    <w:rsid w:val="00F97FFC"/>
    <w:rsid w:val="00FA003C"/>
    <w:rsid w:val="00FA0215"/>
    <w:rsid w:val="00FA026C"/>
    <w:rsid w:val="00FA0367"/>
    <w:rsid w:val="00FA0426"/>
    <w:rsid w:val="00FA04A0"/>
    <w:rsid w:val="00FA04A2"/>
    <w:rsid w:val="00FA0730"/>
    <w:rsid w:val="00FA076C"/>
    <w:rsid w:val="00FA07B4"/>
    <w:rsid w:val="00FA0868"/>
    <w:rsid w:val="00FA099F"/>
    <w:rsid w:val="00FA09FB"/>
    <w:rsid w:val="00FA0C01"/>
    <w:rsid w:val="00FA0C10"/>
    <w:rsid w:val="00FA0C6E"/>
    <w:rsid w:val="00FA0CC1"/>
    <w:rsid w:val="00FA0CCD"/>
    <w:rsid w:val="00FA0EC3"/>
    <w:rsid w:val="00FA101A"/>
    <w:rsid w:val="00FA11C4"/>
    <w:rsid w:val="00FA1226"/>
    <w:rsid w:val="00FA1330"/>
    <w:rsid w:val="00FA1486"/>
    <w:rsid w:val="00FA1487"/>
    <w:rsid w:val="00FA15AF"/>
    <w:rsid w:val="00FA160F"/>
    <w:rsid w:val="00FA1632"/>
    <w:rsid w:val="00FA16A7"/>
    <w:rsid w:val="00FA173C"/>
    <w:rsid w:val="00FA179C"/>
    <w:rsid w:val="00FA17D8"/>
    <w:rsid w:val="00FA17E1"/>
    <w:rsid w:val="00FA187E"/>
    <w:rsid w:val="00FA1A4F"/>
    <w:rsid w:val="00FA1B18"/>
    <w:rsid w:val="00FA1B40"/>
    <w:rsid w:val="00FA1B82"/>
    <w:rsid w:val="00FA1C2A"/>
    <w:rsid w:val="00FA1C93"/>
    <w:rsid w:val="00FA1DA1"/>
    <w:rsid w:val="00FA1DB7"/>
    <w:rsid w:val="00FA1DD2"/>
    <w:rsid w:val="00FA1E0C"/>
    <w:rsid w:val="00FA2066"/>
    <w:rsid w:val="00FA20F1"/>
    <w:rsid w:val="00FA2147"/>
    <w:rsid w:val="00FA2258"/>
    <w:rsid w:val="00FA227F"/>
    <w:rsid w:val="00FA232F"/>
    <w:rsid w:val="00FA2470"/>
    <w:rsid w:val="00FA2489"/>
    <w:rsid w:val="00FA24B2"/>
    <w:rsid w:val="00FA2686"/>
    <w:rsid w:val="00FA275E"/>
    <w:rsid w:val="00FA2843"/>
    <w:rsid w:val="00FA28C6"/>
    <w:rsid w:val="00FA28D1"/>
    <w:rsid w:val="00FA28F6"/>
    <w:rsid w:val="00FA2940"/>
    <w:rsid w:val="00FA2AE3"/>
    <w:rsid w:val="00FA2B7F"/>
    <w:rsid w:val="00FA2B89"/>
    <w:rsid w:val="00FA2BC7"/>
    <w:rsid w:val="00FA2BDC"/>
    <w:rsid w:val="00FA2BF7"/>
    <w:rsid w:val="00FA2CD9"/>
    <w:rsid w:val="00FA2E80"/>
    <w:rsid w:val="00FA2EFE"/>
    <w:rsid w:val="00FA319E"/>
    <w:rsid w:val="00FA3214"/>
    <w:rsid w:val="00FA32FF"/>
    <w:rsid w:val="00FA335B"/>
    <w:rsid w:val="00FA33B5"/>
    <w:rsid w:val="00FA35F1"/>
    <w:rsid w:val="00FA35F6"/>
    <w:rsid w:val="00FA3665"/>
    <w:rsid w:val="00FA37F6"/>
    <w:rsid w:val="00FA385B"/>
    <w:rsid w:val="00FA3863"/>
    <w:rsid w:val="00FA3A50"/>
    <w:rsid w:val="00FA3A65"/>
    <w:rsid w:val="00FA3A80"/>
    <w:rsid w:val="00FA3E5D"/>
    <w:rsid w:val="00FA40E0"/>
    <w:rsid w:val="00FA410E"/>
    <w:rsid w:val="00FA41A6"/>
    <w:rsid w:val="00FA41B7"/>
    <w:rsid w:val="00FA41D7"/>
    <w:rsid w:val="00FA420E"/>
    <w:rsid w:val="00FA439B"/>
    <w:rsid w:val="00FA43D6"/>
    <w:rsid w:val="00FA441D"/>
    <w:rsid w:val="00FA4456"/>
    <w:rsid w:val="00FA44B6"/>
    <w:rsid w:val="00FA44BC"/>
    <w:rsid w:val="00FA457D"/>
    <w:rsid w:val="00FA45A7"/>
    <w:rsid w:val="00FA45E6"/>
    <w:rsid w:val="00FA464E"/>
    <w:rsid w:val="00FA467C"/>
    <w:rsid w:val="00FA48DF"/>
    <w:rsid w:val="00FA4959"/>
    <w:rsid w:val="00FA49DE"/>
    <w:rsid w:val="00FA4A4E"/>
    <w:rsid w:val="00FA4B0F"/>
    <w:rsid w:val="00FA4CCD"/>
    <w:rsid w:val="00FA4EEE"/>
    <w:rsid w:val="00FA4FCB"/>
    <w:rsid w:val="00FA50AF"/>
    <w:rsid w:val="00FA54DC"/>
    <w:rsid w:val="00FA54F9"/>
    <w:rsid w:val="00FA54FA"/>
    <w:rsid w:val="00FA5500"/>
    <w:rsid w:val="00FA55F8"/>
    <w:rsid w:val="00FA5686"/>
    <w:rsid w:val="00FA5755"/>
    <w:rsid w:val="00FA57AF"/>
    <w:rsid w:val="00FA58CB"/>
    <w:rsid w:val="00FA5919"/>
    <w:rsid w:val="00FA5A98"/>
    <w:rsid w:val="00FA5D80"/>
    <w:rsid w:val="00FA5DC2"/>
    <w:rsid w:val="00FA5EDA"/>
    <w:rsid w:val="00FA5F76"/>
    <w:rsid w:val="00FA6053"/>
    <w:rsid w:val="00FA61D5"/>
    <w:rsid w:val="00FA6215"/>
    <w:rsid w:val="00FA62F6"/>
    <w:rsid w:val="00FA6443"/>
    <w:rsid w:val="00FA6525"/>
    <w:rsid w:val="00FA6656"/>
    <w:rsid w:val="00FA67B0"/>
    <w:rsid w:val="00FA688B"/>
    <w:rsid w:val="00FA68C7"/>
    <w:rsid w:val="00FA6A32"/>
    <w:rsid w:val="00FA6B12"/>
    <w:rsid w:val="00FA6B72"/>
    <w:rsid w:val="00FA6CBF"/>
    <w:rsid w:val="00FA6D32"/>
    <w:rsid w:val="00FA6DE0"/>
    <w:rsid w:val="00FA6F11"/>
    <w:rsid w:val="00FA7193"/>
    <w:rsid w:val="00FA728A"/>
    <w:rsid w:val="00FA745F"/>
    <w:rsid w:val="00FA7609"/>
    <w:rsid w:val="00FA765C"/>
    <w:rsid w:val="00FA76F0"/>
    <w:rsid w:val="00FA78A0"/>
    <w:rsid w:val="00FA7964"/>
    <w:rsid w:val="00FA7BF7"/>
    <w:rsid w:val="00FA7C3A"/>
    <w:rsid w:val="00FA7D00"/>
    <w:rsid w:val="00FA7D0C"/>
    <w:rsid w:val="00FA7D27"/>
    <w:rsid w:val="00FA7D53"/>
    <w:rsid w:val="00FA7EED"/>
    <w:rsid w:val="00FA7EFD"/>
    <w:rsid w:val="00FA7F1B"/>
    <w:rsid w:val="00FB01E4"/>
    <w:rsid w:val="00FB029E"/>
    <w:rsid w:val="00FB042E"/>
    <w:rsid w:val="00FB0487"/>
    <w:rsid w:val="00FB0498"/>
    <w:rsid w:val="00FB04CC"/>
    <w:rsid w:val="00FB070F"/>
    <w:rsid w:val="00FB0738"/>
    <w:rsid w:val="00FB0879"/>
    <w:rsid w:val="00FB09CF"/>
    <w:rsid w:val="00FB0AC3"/>
    <w:rsid w:val="00FB0C26"/>
    <w:rsid w:val="00FB0D30"/>
    <w:rsid w:val="00FB0EC0"/>
    <w:rsid w:val="00FB1275"/>
    <w:rsid w:val="00FB14E1"/>
    <w:rsid w:val="00FB17B6"/>
    <w:rsid w:val="00FB1833"/>
    <w:rsid w:val="00FB1899"/>
    <w:rsid w:val="00FB195B"/>
    <w:rsid w:val="00FB1AED"/>
    <w:rsid w:val="00FB1B13"/>
    <w:rsid w:val="00FB1BBC"/>
    <w:rsid w:val="00FB1D12"/>
    <w:rsid w:val="00FB1D48"/>
    <w:rsid w:val="00FB1FB5"/>
    <w:rsid w:val="00FB1FD9"/>
    <w:rsid w:val="00FB1FFE"/>
    <w:rsid w:val="00FB2006"/>
    <w:rsid w:val="00FB218A"/>
    <w:rsid w:val="00FB2249"/>
    <w:rsid w:val="00FB22F2"/>
    <w:rsid w:val="00FB2307"/>
    <w:rsid w:val="00FB236F"/>
    <w:rsid w:val="00FB254F"/>
    <w:rsid w:val="00FB259D"/>
    <w:rsid w:val="00FB26C3"/>
    <w:rsid w:val="00FB26CA"/>
    <w:rsid w:val="00FB26F5"/>
    <w:rsid w:val="00FB2764"/>
    <w:rsid w:val="00FB277B"/>
    <w:rsid w:val="00FB29B3"/>
    <w:rsid w:val="00FB2A57"/>
    <w:rsid w:val="00FB2B04"/>
    <w:rsid w:val="00FB2B49"/>
    <w:rsid w:val="00FB2BAE"/>
    <w:rsid w:val="00FB2C03"/>
    <w:rsid w:val="00FB2C92"/>
    <w:rsid w:val="00FB2D2E"/>
    <w:rsid w:val="00FB2E21"/>
    <w:rsid w:val="00FB3063"/>
    <w:rsid w:val="00FB30BD"/>
    <w:rsid w:val="00FB31AA"/>
    <w:rsid w:val="00FB31B1"/>
    <w:rsid w:val="00FB31D7"/>
    <w:rsid w:val="00FB31F6"/>
    <w:rsid w:val="00FB324A"/>
    <w:rsid w:val="00FB3413"/>
    <w:rsid w:val="00FB34B0"/>
    <w:rsid w:val="00FB34F6"/>
    <w:rsid w:val="00FB3A7B"/>
    <w:rsid w:val="00FB3AEA"/>
    <w:rsid w:val="00FB3BCA"/>
    <w:rsid w:val="00FB3C35"/>
    <w:rsid w:val="00FB3F11"/>
    <w:rsid w:val="00FB3F7A"/>
    <w:rsid w:val="00FB4087"/>
    <w:rsid w:val="00FB41B8"/>
    <w:rsid w:val="00FB4281"/>
    <w:rsid w:val="00FB42C4"/>
    <w:rsid w:val="00FB43AC"/>
    <w:rsid w:val="00FB46CD"/>
    <w:rsid w:val="00FB482C"/>
    <w:rsid w:val="00FB482E"/>
    <w:rsid w:val="00FB489D"/>
    <w:rsid w:val="00FB48A4"/>
    <w:rsid w:val="00FB4927"/>
    <w:rsid w:val="00FB492F"/>
    <w:rsid w:val="00FB4989"/>
    <w:rsid w:val="00FB49E5"/>
    <w:rsid w:val="00FB4A7A"/>
    <w:rsid w:val="00FB4A92"/>
    <w:rsid w:val="00FB4B93"/>
    <w:rsid w:val="00FB4CAA"/>
    <w:rsid w:val="00FB4CCD"/>
    <w:rsid w:val="00FB4D21"/>
    <w:rsid w:val="00FB4DE1"/>
    <w:rsid w:val="00FB4E61"/>
    <w:rsid w:val="00FB4F56"/>
    <w:rsid w:val="00FB4F7D"/>
    <w:rsid w:val="00FB5075"/>
    <w:rsid w:val="00FB5090"/>
    <w:rsid w:val="00FB52B8"/>
    <w:rsid w:val="00FB52C2"/>
    <w:rsid w:val="00FB5316"/>
    <w:rsid w:val="00FB534D"/>
    <w:rsid w:val="00FB5426"/>
    <w:rsid w:val="00FB5439"/>
    <w:rsid w:val="00FB5479"/>
    <w:rsid w:val="00FB548E"/>
    <w:rsid w:val="00FB54A2"/>
    <w:rsid w:val="00FB5630"/>
    <w:rsid w:val="00FB56F4"/>
    <w:rsid w:val="00FB5700"/>
    <w:rsid w:val="00FB5957"/>
    <w:rsid w:val="00FB5ABE"/>
    <w:rsid w:val="00FB5BDD"/>
    <w:rsid w:val="00FB5CE3"/>
    <w:rsid w:val="00FB5CF7"/>
    <w:rsid w:val="00FB5CF9"/>
    <w:rsid w:val="00FB5D02"/>
    <w:rsid w:val="00FB5DED"/>
    <w:rsid w:val="00FB5E96"/>
    <w:rsid w:val="00FB6128"/>
    <w:rsid w:val="00FB6374"/>
    <w:rsid w:val="00FB64E3"/>
    <w:rsid w:val="00FB6574"/>
    <w:rsid w:val="00FB65E2"/>
    <w:rsid w:val="00FB6621"/>
    <w:rsid w:val="00FB66B4"/>
    <w:rsid w:val="00FB6737"/>
    <w:rsid w:val="00FB67BC"/>
    <w:rsid w:val="00FB6849"/>
    <w:rsid w:val="00FB689E"/>
    <w:rsid w:val="00FB691F"/>
    <w:rsid w:val="00FB69D7"/>
    <w:rsid w:val="00FB6AD1"/>
    <w:rsid w:val="00FB6BD5"/>
    <w:rsid w:val="00FB6C83"/>
    <w:rsid w:val="00FB6CD0"/>
    <w:rsid w:val="00FB6CF1"/>
    <w:rsid w:val="00FB6DD1"/>
    <w:rsid w:val="00FB7081"/>
    <w:rsid w:val="00FB70FC"/>
    <w:rsid w:val="00FB722B"/>
    <w:rsid w:val="00FB7234"/>
    <w:rsid w:val="00FB73BF"/>
    <w:rsid w:val="00FB762B"/>
    <w:rsid w:val="00FB7657"/>
    <w:rsid w:val="00FB76F0"/>
    <w:rsid w:val="00FB7A2C"/>
    <w:rsid w:val="00FB7A4C"/>
    <w:rsid w:val="00FB7AE3"/>
    <w:rsid w:val="00FB7BBB"/>
    <w:rsid w:val="00FB7CB6"/>
    <w:rsid w:val="00FB7E51"/>
    <w:rsid w:val="00FB7FD8"/>
    <w:rsid w:val="00FC039B"/>
    <w:rsid w:val="00FC0457"/>
    <w:rsid w:val="00FC0595"/>
    <w:rsid w:val="00FC060B"/>
    <w:rsid w:val="00FC06BB"/>
    <w:rsid w:val="00FC07EF"/>
    <w:rsid w:val="00FC086D"/>
    <w:rsid w:val="00FC09D0"/>
    <w:rsid w:val="00FC0AB9"/>
    <w:rsid w:val="00FC0C69"/>
    <w:rsid w:val="00FC0E72"/>
    <w:rsid w:val="00FC0FE9"/>
    <w:rsid w:val="00FC0FF2"/>
    <w:rsid w:val="00FC1016"/>
    <w:rsid w:val="00FC1017"/>
    <w:rsid w:val="00FC1040"/>
    <w:rsid w:val="00FC1058"/>
    <w:rsid w:val="00FC12EC"/>
    <w:rsid w:val="00FC130E"/>
    <w:rsid w:val="00FC16BE"/>
    <w:rsid w:val="00FC1925"/>
    <w:rsid w:val="00FC1987"/>
    <w:rsid w:val="00FC1A48"/>
    <w:rsid w:val="00FC1B7C"/>
    <w:rsid w:val="00FC1B91"/>
    <w:rsid w:val="00FC1BDD"/>
    <w:rsid w:val="00FC1EBB"/>
    <w:rsid w:val="00FC1F93"/>
    <w:rsid w:val="00FC20B9"/>
    <w:rsid w:val="00FC21D2"/>
    <w:rsid w:val="00FC22BB"/>
    <w:rsid w:val="00FC24AA"/>
    <w:rsid w:val="00FC2565"/>
    <w:rsid w:val="00FC25FA"/>
    <w:rsid w:val="00FC2722"/>
    <w:rsid w:val="00FC299A"/>
    <w:rsid w:val="00FC29C4"/>
    <w:rsid w:val="00FC2A2E"/>
    <w:rsid w:val="00FC2ACF"/>
    <w:rsid w:val="00FC2B4E"/>
    <w:rsid w:val="00FC2C0A"/>
    <w:rsid w:val="00FC2C1D"/>
    <w:rsid w:val="00FC2D05"/>
    <w:rsid w:val="00FC2D13"/>
    <w:rsid w:val="00FC2D16"/>
    <w:rsid w:val="00FC2D9B"/>
    <w:rsid w:val="00FC2E34"/>
    <w:rsid w:val="00FC2E52"/>
    <w:rsid w:val="00FC2FEE"/>
    <w:rsid w:val="00FC308B"/>
    <w:rsid w:val="00FC3119"/>
    <w:rsid w:val="00FC3195"/>
    <w:rsid w:val="00FC3291"/>
    <w:rsid w:val="00FC3310"/>
    <w:rsid w:val="00FC34DB"/>
    <w:rsid w:val="00FC3543"/>
    <w:rsid w:val="00FC3549"/>
    <w:rsid w:val="00FC3703"/>
    <w:rsid w:val="00FC3707"/>
    <w:rsid w:val="00FC3892"/>
    <w:rsid w:val="00FC390D"/>
    <w:rsid w:val="00FC3A23"/>
    <w:rsid w:val="00FC3A84"/>
    <w:rsid w:val="00FC3B90"/>
    <w:rsid w:val="00FC3B9D"/>
    <w:rsid w:val="00FC3F8F"/>
    <w:rsid w:val="00FC414B"/>
    <w:rsid w:val="00FC4166"/>
    <w:rsid w:val="00FC41C3"/>
    <w:rsid w:val="00FC41F4"/>
    <w:rsid w:val="00FC42C7"/>
    <w:rsid w:val="00FC43FE"/>
    <w:rsid w:val="00FC4453"/>
    <w:rsid w:val="00FC4498"/>
    <w:rsid w:val="00FC449B"/>
    <w:rsid w:val="00FC4558"/>
    <w:rsid w:val="00FC462A"/>
    <w:rsid w:val="00FC46C7"/>
    <w:rsid w:val="00FC47A0"/>
    <w:rsid w:val="00FC48D7"/>
    <w:rsid w:val="00FC49E8"/>
    <w:rsid w:val="00FC49EA"/>
    <w:rsid w:val="00FC49F0"/>
    <w:rsid w:val="00FC4A36"/>
    <w:rsid w:val="00FC4A5C"/>
    <w:rsid w:val="00FC4B42"/>
    <w:rsid w:val="00FC4B4B"/>
    <w:rsid w:val="00FC51E4"/>
    <w:rsid w:val="00FC523F"/>
    <w:rsid w:val="00FC5343"/>
    <w:rsid w:val="00FC53AA"/>
    <w:rsid w:val="00FC547B"/>
    <w:rsid w:val="00FC5486"/>
    <w:rsid w:val="00FC554D"/>
    <w:rsid w:val="00FC5566"/>
    <w:rsid w:val="00FC55CD"/>
    <w:rsid w:val="00FC5609"/>
    <w:rsid w:val="00FC56A2"/>
    <w:rsid w:val="00FC5762"/>
    <w:rsid w:val="00FC58C3"/>
    <w:rsid w:val="00FC5C0C"/>
    <w:rsid w:val="00FC5CEC"/>
    <w:rsid w:val="00FC5D9A"/>
    <w:rsid w:val="00FC605D"/>
    <w:rsid w:val="00FC6123"/>
    <w:rsid w:val="00FC6176"/>
    <w:rsid w:val="00FC629F"/>
    <w:rsid w:val="00FC6332"/>
    <w:rsid w:val="00FC643B"/>
    <w:rsid w:val="00FC6495"/>
    <w:rsid w:val="00FC64A0"/>
    <w:rsid w:val="00FC6636"/>
    <w:rsid w:val="00FC66EF"/>
    <w:rsid w:val="00FC677C"/>
    <w:rsid w:val="00FC68B5"/>
    <w:rsid w:val="00FC6ADA"/>
    <w:rsid w:val="00FC6AF8"/>
    <w:rsid w:val="00FC6B93"/>
    <w:rsid w:val="00FC6BDA"/>
    <w:rsid w:val="00FC6CDE"/>
    <w:rsid w:val="00FC6EA0"/>
    <w:rsid w:val="00FC70CA"/>
    <w:rsid w:val="00FC70EB"/>
    <w:rsid w:val="00FC7263"/>
    <w:rsid w:val="00FC7281"/>
    <w:rsid w:val="00FC7327"/>
    <w:rsid w:val="00FC7382"/>
    <w:rsid w:val="00FC7478"/>
    <w:rsid w:val="00FC7587"/>
    <w:rsid w:val="00FC7636"/>
    <w:rsid w:val="00FC76E6"/>
    <w:rsid w:val="00FC7735"/>
    <w:rsid w:val="00FC77A2"/>
    <w:rsid w:val="00FC78C5"/>
    <w:rsid w:val="00FC7ABB"/>
    <w:rsid w:val="00FC7AF3"/>
    <w:rsid w:val="00FC7B1D"/>
    <w:rsid w:val="00FC7C0D"/>
    <w:rsid w:val="00FC7E7A"/>
    <w:rsid w:val="00FC7EFB"/>
    <w:rsid w:val="00FC7F81"/>
    <w:rsid w:val="00FC7FBF"/>
    <w:rsid w:val="00FC7FC4"/>
    <w:rsid w:val="00FC7FE8"/>
    <w:rsid w:val="00FD00B8"/>
    <w:rsid w:val="00FD00F0"/>
    <w:rsid w:val="00FD0116"/>
    <w:rsid w:val="00FD0171"/>
    <w:rsid w:val="00FD04C0"/>
    <w:rsid w:val="00FD051D"/>
    <w:rsid w:val="00FD06F1"/>
    <w:rsid w:val="00FD070C"/>
    <w:rsid w:val="00FD0754"/>
    <w:rsid w:val="00FD078B"/>
    <w:rsid w:val="00FD0893"/>
    <w:rsid w:val="00FD08B7"/>
    <w:rsid w:val="00FD090C"/>
    <w:rsid w:val="00FD0A39"/>
    <w:rsid w:val="00FD0A4F"/>
    <w:rsid w:val="00FD0A53"/>
    <w:rsid w:val="00FD0A54"/>
    <w:rsid w:val="00FD0B0F"/>
    <w:rsid w:val="00FD0C54"/>
    <w:rsid w:val="00FD0CD4"/>
    <w:rsid w:val="00FD0CF5"/>
    <w:rsid w:val="00FD0DFB"/>
    <w:rsid w:val="00FD0F8C"/>
    <w:rsid w:val="00FD0FB2"/>
    <w:rsid w:val="00FD1031"/>
    <w:rsid w:val="00FD116F"/>
    <w:rsid w:val="00FD11F3"/>
    <w:rsid w:val="00FD124A"/>
    <w:rsid w:val="00FD1311"/>
    <w:rsid w:val="00FD1357"/>
    <w:rsid w:val="00FD1380"/>
    <w:rsid w:val="00FD1399"/>
    <w:rsid w:val="00FD1450"/>
    <w:rsid w:val="00FD145B"/>
    <w:rsid w:val="00FD1639"/>
    <w:rsid w:val="00FD16BC"/>
    <w:rsid w:val="00FD1789"/>
    <w:rsid w:val="00FD17D8"/>
    <w:rsid w:val="00FD1802"/>
    <w:rsid w:val="00FD1988"/>
    <w:rsid w:val="00FD1990"/>
    <w:rsid w:val="00FD1A2C"/>
    <w:rsid w:val="00FD1AF4"/>
    <w:rsid w:val="00FD1B58"/>
    <w:rsid w:val="00FD1BF7"/>
    <w:rsid w:val="00FD1EA1"/>
    <w:rsid w:val="00FD1EE1"/>
    <w:rsid w:val="00FD1F17"/>
    <w:rsid w:val="00FD201B"/>
    <w:rsid w:val="00FD20DF"/>
    <w:rsid w:val="00FD21C9"/>
    <w:rsid w:val="00FD224F"/>
    <w:rsid w:val="00FD240D"/>
    <w:rsid w:val="00FD247A"/>
    <w:rsid w:val="00FD2575"/>
    <w:rsid w:val="00FD2790"/>
    <w:rsid w:val="00FD27DD"/>
    <w:rsid w:val="00FD29AF"/>
    <w:rsid w:val="00FD29C0"/>
    <w:rsid w:val="00FD2A65"/>
    <w:rsid w:val="00FD2A79"/>
    <w:rsid w:val="00FD2A96"/>
    <w:rsid w:val="00FD2B3B"/>
    <w:rsid w:val="00FD2DC2"/>
    <w:rsid w:val="00FD2E1C"/>
    <w:rsid w:val="00FD2E7E"/>
    <w:rsid w:val="00FD3023"/>
    <w:rsid w:val="00FD30FA"/>
    <w:rsid w:val="00FD31BF"/>
    <w:rsid w:val="00FD3227"/>
    <w:rsid w:val="00FD330B"/>
    <w:rsid w:val="00FD330E"/>
    <w:rsid w:val="00FD3380"/>
    <w:rsid w:val="00FD3428"/>
    <w:rsid w:val="00FD3484"/>
    <w:rsid w:val="00FD34E4"/>
    <w:rsid w:val="00FD35E0"/>
    <w:rsid w:val="00FD35EF"/>
    <w:rsid w:val="00FD36C5"/>
    <w:rsid w:val="00FD3801"/>
    <w:rsid w:val="00FD382F"/>
    <w:rsid w:val="00FD3BB5"/>
    <w:rsid w:val="00FD3BE5"/>
    <w:rsid w:val="00FD3C53"/>
    <w:rsid w:val="00FD3CE4"/>
    <w:rsid w:val="00FD3DD3"/>
    <w:rsid w:val="00FD4341"/>
    <w:rsid w:val="00FD446B"/>
    <w:rsid w:val="00FD45AC"/>
    <w:rsid w:val="00FD4667"/>
    <w:rsid w:val="00FD4829"/>
    <w:rsid w:val="00FD4A8C"/>
    <w:rsid w:val="00FD4B63"/>
    <w:rsid w:val="00FD4CAF"/>
    <w:rsid w:val="00FD4DC7"/>
    <w:rsid w:val="00FD4E10"/>
    <w:rsid w:val="00FD4E25"/>
    <w:rsid w:val="00FD4E38"/>
    <w:rsid w:val="00FD4EB6"/>
    <w:rsid w:val="00FD4EFF"/>
    <w:rsid w:val="00FD506A"/>
    <w:rsid w:val="00FD5225"/>
    <w:rsid w:val="00FD5441"/>
    <w:rsid w:val="00FD5496"/>
    <w:rsid w:val="00FD5539"/>
    <w:rsid w:val="00FD557E"/>
    <w:rsid w:val="00FD55D2"/>
    <w:rsid w:val="00FD5604"/>
    <w:rsid w:val="00FD5608"/>
    <w:rsid w:val="00FD562C"/>
    <w:rsid w:val="00FD570F"/>
    <w:rsid w:val="00FD5877"/>
    <w:rsid w:val="00FD5AEF"/>
    <w:rsid w:val="00FD5CA7"/>
    <w:rsid w:val="00FD5DB8"/>
    <w:rsid w:val="00FD60CC"/>
    <w:rsid w:val="00FD610D"/>
    <w:rsid w:val="00FD6180"/>
    <w:rsid w:val="00FD618D"/>
    <w:rsid w:val="00FD61F1"/>
    <w:rsid w:val="00FD62BD"/>
    <w:rsid w:val="00FD63C1"/>
    <w:rsid w:val="00FD67AF"/>
    <w:rsid w:val="00FD6919"/>
    <w:rsid w:val="00FD69D4"/>
    <w:rsid w:val="00FD6B25"/>
    <w:rsid w:val="00FD6B69"/>
    <w:rsid w:val="00FD6B75"/>
    <w:rsid w:val="00FD6D85"/>
    <w:rsid w:val="00FD6EF8"/>
    <w:rsid w:val="00FD6F12"/>
    <w:rsid w:val="00FD6F93"/>
    <w:rsid w:val="00FD7081"/>
    <w:rsid w:val="00FD70BF"/>
    <w:rsid w:val="00FD70E5"/>
    <w:rsid w:val="00FD727C"/>
    <w:rsid w:val="00FD72D5"/>
    <w:rsid w:val="00FD7467"/>
    <w:rsid w:val="00FD75A2"/>
    <w:rsid w:val="00FD7685"/>
    <w:rsid w:val="00FD76A5"/>
    <w:rsid w:val="00FD76A9"/>
    <w:rsid w:val="00FD78A7"/>
    <w:rsid w:val="00FD793E"/>
    <w:rsid w:val="00FD7A1F"/>
    <w:rsid w:val="00FD7AED"/>
    <w:rsid w:val="00FD7C5A"/>
    <w:rsid w:val="00FD7D2A"/>
    <w:rsid w:val="00FD7D50"/>
    <w:rsid w:val="00FD7DAA"/>
    <w:rsid w:val="00FD7F43"/>
    <w:rsid w:val="00FD7FFA"/>
    <w:rsid w:val="00FE00B9"/>
    <w:rsid w:val="00FE0172"/>
    <w:rsid w:val="00FE0200"/>
    <w:rsid w:val="00FE03E4"/>
    <w:rsid w:val="00FE0456"/>
    <w:rsid w:val="00FE06A5"/>
    <w:rsid w:val="00FE06FF"/>
    <w:rsid w:val="00FE071E"/>
    <w:rsid w:val="00FE0783"/>
    <w:rsid w:val="00FE07D7"/>
    <w:rsid w:val="00FE0B4B"/>
    <w:rsid w:val="00FE0C01"/>
    <w:rsid w:val="00FE0C47"/>
    <w:rsid w:val="00FE0CDB"/>
    <w:rsid w:val="00FE0D71"/>
    <w:rsid w:val="00FE0D7B"/>
    <w:rsid w:val="00FE0F3D"/>
    <w:rsid w:val="00FE0FE8"/>
    <w:rsid w:val="00FE1028"/>
    <w:rsid w:val="00FE10F2"/>
    <w:rsid w:val="00FE11DF"/>
    <w:rsid w:val="00FE13C7"/>
    <w:rsid w:val="00FE142C"/>
    <w:rsid w:val="00FE14BF"/>
    <w:rsid w:val="00FE1506"/>
    <w:rsid w:val="00FE1658"/>
    <w:rsid w:val="00FE171A"/>
    <w:rsid w:val="00FE1802"/>
    <w:rsid w:val="00FE183E"/>
    <w:rsid w:val="00FE1934"/>
    <w:rsid w:val="00FE1B7E"/>
    <w:rsid w:val="00FE1B81"/>
    <w:rsid w:val="00FE1C34"/>
    <w:rsid w:val="00FE1D46"/>
    <w:rsid w:val="00FE1D9F"/>
    <w:rsid w:val="00FE1DC0"/>
    <w:rsid w:val="00FE1EBB"/>
    <w:rsid w:val="00FE1F35"/>
    <w:rsid w:val="00FE1FDB"/>
    <w:rsid w:val="00FE2143"/>
    <w:rsid w:val="00FE214C"/>
    <w:rsid w:val="00FE2225"/>
    <w:rsid w:val="00FE2400"/>
    <w:rsid w:val="00FE250A"/>
    <w:rsid w:val="00FE2687"/>
    <w:rsid w:val="00FE269A"/>
    <w:rsid w:val="00FE2ACC"/>
    <w:rsid w:val="00FE2B8F"/>
    <w:rsid w:val="00FE2BB1"/>
    <w:rsid w:val="00FE2BC9"/>
    <w:rsid w:val="00FE2CD2"/>
    <w:rsid w:val="00FE2D4E"/>
    <w:rsid w:val="00FE2D7C"/>
    <w:rsid w:val="00FE2FFF"/>
    <w:rsid w:val="00FE3204"/>
    <w:rsid w:val="00FE3285"/>
    <w:rsid w:val="00FE32F8"/>
    <w:rsid w:val="00FE3546"/>
    <w:rsid w:val="00FE3596"/>
    <w:rsid w:val="00FE36D2"/>
    <w:rsid w:val="00FE3877"/>
    <w:rsid w:val="00FE3958"/>
    <w:rsid w:val="00FE39CB"/>
    <w:rsid w:val="00FE3A47"/>
    <w:rsid w:val="00FE3CF1"/>
    <w:rsid w:val="00FE3DC7"/>
    <w:rsid w:val="00FE3F81"/>
    <w:rsid w:val="00FE411D"/>
    <w:rsid w:val="00FE414F"/>
    <w:rsid w:val="00FE42C3"/>
    <w:rsid w:val="00FE42DF"/>
    <w:rsid w:val="00FE432D"/>
    <w:rsid w:val="00FE43A3"/>
    <w:rsid w:val="00FE4510"/>
    <w:rsid w:val="00FE4585"/>
    <w:rsid w:val="00FE458A"/>
    <w:rsid w:val="00FE467C"/>
    <w:rsid w:val="00FE46F9"/>
    <w:rsid w:val="00FE472B"/>
    <w:rsid w:val="00FE4738"/>
    <w:rsid w:val="00FE4784"/>
    <w:rsid w:val="00FE497E"/>
    <w:rsid w:val="00FE4AC3"/>
    <w:rsid w:val="00FE4ADD"/>
    <w:rsid w:val="00FE4C52"/>
    <w:rsid w:val="00FE4CDA"/>
    <w:rsid w:val="00FE4D44"/>
    <w:rsid w:val="00FE4E35"/>
    <w:rsid w:val="00FE4EAE"/>
    <w:rsid w:val="00FE500F"/>
    <w:rsid w:val="00FE50FD"/>
    <w:rsid w:val="00FE5131"/>
    <w:rsid w:val="00FE53D4"/>
    <w:rsid w:val="00FE5509"/>
    <w:rsid w:val="00FE5534"/>
    <w:rsid w:val="00FE555E"/>
    <w:rsid w:val="00FE55BC"/>
    <w:rsid w:val="00FE572C"/>
    <w:rsid w:val="00FE575A"/>
    <w:rsid w:val="00FE575B"/>
    <w:rsid w:val="00FE5908"/>
    <w:rsid w:val="00FE5913"/>
    <w:rsid w:val="00FE5932"/>
    <w:rsid w:val="00FE59FD"/>
    <w:rsid w:val="00FE5ADD"/>
    <w:rsid w:val="00FE5AE3"/>
    <w:rsid w:val="00FE5CE3"/>
    <w:rsid w:val="00FE5E95"/>
    <w:rsid w:val="00FE5F44"/>
    <w:rsid w:val="00FE60CF"/>
    <w:rsid w:val="00FE60FF"/>
    <w:rsid w:val="00FE6277"/>
    <w:rsid w:val="00FE62DB"/>
    <w:rsid w:val="00FE63DD"/>
    <w:rsid w:val="00FE65D2"/>
    <w:rsid w:val="00FE669E"/>
    <w:rsid w:val="00FE6A0B"/>
    <w:rsid w:val="00FE6BDF"/>
    <w:rsid w:val="00FE6D5C"/>
    <w:rsid w:val="00FE6D70"/>
    <w:rsid w:val="00FE6D7C"/>
    <w:rsid w:val="00FE6F11"/>
    <w:rsid w:val="00FE7103"/>
    <w:rsid w:val="00FE737E"/>
    <w:rsid w:val="00FE7451"/>
    <w:rsid w:val="00FE745C"/>
    <w:rsid w:val="00FE749A"/>
    <w:rsid w:val="00FE74A9"/>
    <w:rsid w:val="00FE74B7"/>
    <w:rsid w:val="00FE755A"/>
    <w:rsid w:val="00FE77E4"/>
    <w:rsid w:val="00FE7867"/>
    <w:rsid w:val="00FE7948"/>
    <w:rsid w:val="00FE79ED"/>
    <w:rsid w:val="00FE7C69"/>
    <w:rsid w:val="00FE7CD4"/>
    <w:rsid w:val="00FE7D18"/>
    <w:rsid w:val="00FE7D22"/>
    <w:rsid w:val="00FE7D29"/>
    <w:rsid w:val="00FE7E88"/>
    <w:rsid w:val="00FE7F78"/>
    <w:rsid w:val="00FE7F79"/>
    <w:rsid w:val="00FF025C"/>
    <w:rsid w:val="00FF02E9"/>
    <w:rsid w:val="00FF0373"/>
    <w:rsid w:val="00FF03E3"/>
    <w:rsid w:val="00FF0494"/>
    <w:rsid w:val="00FF04E1"/>
    <w:rsid w:val="00FF04F1"/>
    <w:rsid w:val="00FF0552"/>
    <w:rsid w:val="00FF05A1"/>
    <w:rsid w:val="00FF0795"/>
    <w:rsid w:val="00FF07F2"/>
    <w:rsid w:val="00FF083B"/>
    <w:rsid w:val="00FF08D6"/>
    <w:rsid w:val="00FF09C1"/>
    <w:rsid w:val="00FF0AAE"/>
    <w:rsid w:val="00FF0B8E"/>
    <w:rsid w:val="00FF0C72"/>
    <w:rsid w:val="00FF0C8F"/>
    <w:rsid w:val="00FF0D18"/>
    <w:rsid w:val="00FF0D37"/>
    <w:rsid w:val="00FF0E58"/>
    <w:rsid w:val="00FF0E7D"/>
    <w:rsid w:val="00FF0F30"/>
    <w:rsid w:val="00FF1047"/>
    <w:rsid w:val="00FF1060"/>
    <w:rsid w:val="00FF107B"/>
    <w:rsid w:val="00FF10E0"/>
    <w:rsid w:val="00FF1100"/>
    <w:rsid w:val="00FF1110"/>
    <w:rsid w:val="00FF11CE"/>
    <w:rsid w:val="00FF12F4"/>
    <w:rsid w:val="00FF139F"/>
    <w:rsid w:val="00FF153C"/>
    <w:rsid w:val="00FF15F5"/>
    <w:rsid w:val="00FF16D7"/>
    <w:rsid w:val="00FF179E"/>
    <w:rsid w:val="00FF17E3"/>
    <w:rsid w:val="00FF1800"/>
    <w:rsid w:val="00FF187D"/>
    <w:rsid w:val="00FF1908"/>
    <w:rsid w:val="00FF1A42"/>
    <w:rsid w:val="00FF1AF5"/>
    <w:rsid w:val="00FF1C15"/>
    <w:rsid w:val="00FF1D0D"/>
    <w:rsid w:val="00FF1DBC"/>
    <w:rsid w:val="00FF1F34"/>
    <w:rsid w:val="00FF2064"/>
    <w:rsid w:val="00FF2245"/>
    <w:rsid w:val="00FF2273"/>
    <w:rsid w:val="00FF24E5"/>
    <w:rsid w:val="00FF2561"/>
    <w:rsid w:val="00FF2573"/>
    <w:rsid w:val="00FF2618"/>
    <w:rsid w:val="00FF2628"/>
    <w:rsid w:val="00FF26A8"/>
    <w:rsid w:val="00FF27B1"/>
    <w:rsid w:val="00FF29C8"/>
    <w:rsid w:val="00FF2A83"/>
    <w:rsid w:val="00FF2AD0"/>
    <w:rsid w:val="00FF2B98"/>
    <w:rsid w:val="00FF2C5A"/>
    <w:rsid w:val="00FF2D6A"/>
    <w:rsid w:val="00FF2E3A"/>
    <w:rsid w:val="00FF2FCE"/>
    <w:rsid w:val="00FF3030"/>
    <w:rsid w:val="00FF3039"/>
    <w:rsid w:val="00FF30D3"/>
    <w:rsid w:val="00FF30E8"/>
    <w:rsid w:val="00FF3126"/>
    <w:rsid w:val="00FF3137"/>
    <w:rsid w:val="00FF3268"/>
    <w:rsid w:val="00FF33A0"/>
    <w:rsid w:val="00FF33BC"/>
    <w:rsid w:val="00FF3502"/>
    <w:rsid w:val="00FF364F"/>
    <w:rsid w:val="00FF368F"/>
    <w:rsid w:val="00FF3800"/>
    <w:rsid w:val="00FF388C"/>
    <w:rsid w:val="00FF3959"/>
    <w:rsid w:val="00FF39A0"/>
    <w:rsid w:val="00FF3A48"/>
    <w:rsid w:val="00FF3C04"/>
    <w:rsid w:val="00FF3C2E"/>
    <w:rsid w:val="00FF3CBF"/>
    <w:rsid w:val="00FF3DDC"/>
    <w:rsid w:val="00FF3E04"/>
    <w:rsid w:val="00FF3E0C"/>
    <w:rsid w:val="00FF4068"/>
    <w:rsid w:val="00FF41C4"/>
    <w:rsid w:val="00FF4306"/>
    <w:rsid w:val="00FF49AD"/>
    <w:rsid w:val="00FF4B66"/>
    <w:rsid w:val="00FF4BC6"/>
    <w:rsid w:val="00FF4BFD"/>
    <w:rsid w:val="00FF4CA0"/>
    <w:rsid w:val="00FF4CCF"/>
    <w:rsid w:val="00FF4D7C"/>
    <w:rsid w:val="00FF4E5D"/>
    <w:rsid w:val="00FF4F02"/>
    <w:rsid w:val="00FF4FF6"/>
    <w:rsid w:val="00FF5121"/>
    <w:rsid w:val="00FF5137"/>
    <w:rsid w:val="00FF5147"/>
    <w:rsid w:val="00FF518C"/>
    <w:rsid w:val="00FF525A"/>
    <w:rsid w:val="00FF5265"/>
    <w:rsid w:val="00FF5343"/>
    <w:rsid w:val="00FF5431"/>
    <w:rsid w:val="00FF55D0"/>
    <w:rsid w:val="00FF58FC"/>
    <w:rsid w:val="00FF593A"/>
    <w:rsid w:val="00FF597C"/>
    <w:rsid w:val="00FF5991"/>
    <w:rsid w:val="00FF5B1F"/>
    <w:rsid w:val="00FF5C3F"/>
    <w:rsid w:val="00FF5CAA"/>
    <w:rsid w:val="00FF5E8A"/>
    <w:rsid w:val="00FF5F5F"/>
    <w:rsid w:val="00FF6122"/>
    <w:rsid w:val="00FF6134"/>
    <w:rsid w:val="00FF6208"/>
    <w:rsid w:val="00FF6243"/>
    <w:rsid w:val="00FF6460"/>
    <w:rsid w:val="00FF649E"/>
    <w:rsid w:val="00FF64C1"/>
    <w:rsid w:val="00FF64ED"/>
    <w:rsid w:val="00FF664C"/>
    <w:rsid w:val="00FF665B"/>
    <w:rsid w:val="00FF67BA"/>
    <w:rsid w:val="00FF6A13"/>
    <w:rsid w:val="00FF6ABA"/>
    <w:rsid w:val="00FF6BE0"/>
    <w:rsid w:val="00FF6BFF"/>
    <w:rsid w:val="00FF6D20"/>
    <w:rsid w:val="00FF6DA0"/>
    <w:rsid w:val="00FF6E0D"/>
    <w:rsid w:val="00FF6E9E"/>
    <w:rsid w:val="00FF6F04"/>
    <w:rsid w:val="00FF6FDD"/>
    <w:rsid w:val="00FF70BE"/>
    <w:rsid w:val="00FF710D"/>
    <w:rsid w:val="00FF7360"/>
    <w:rsid w:val="00FF74B8"/>
    <w:rsid w:val="00FF74EC"/>
    <w:rsid w:val="00FF7635"/>
    <w:rsid w:val="00FF772A"/>
    <w:rsid w:val="00FF786A"/>
    <w:rsid w:val="00FF78C6"/>
    <w:rsid w:val="00FF7A0A"/>
    <w:rsid w:val="00FF7A16"/>
    <w:rsid w:val="00FF7B73"/>
    <w:rsid w:val="00FF7D25"/>
    <w:rsid w:val="00FF7F50"/>
    <w:rsid w:val="0111069B"/>
    <w:rsid w:val="011319F5"/>
    <w:rsid w:val="0117CE84"/>
    <w:rsid w:val="0118D8BC"/>
    <w:rsid w:val="013D4157"/>
    <w:rsid w:val="014821B3"/>
    <w:rsid w:val="015BFA04"/>
    <w:rsid w:val="01610539"/>
    <w:rsid w:val="01A4B86B"/>
    <w:rsid w:val="01ABFBF9"/>
    <w:rsid w:val="01AD1D92"/>
    <w:rsid w:val="01AF37B6"/>
    <w:rsid w:val="01C8ADE8"/>
    <w:rsid w:val="01CCB9EE"/>
    <w:rsid w:val="01CF18FC"/>
    <w:rsid w:val="020A7315"/>
    <w:rsid w:val="022D6DA9"/>
    <w:rsid w:val="025A27D4"/>
    <w:rsid w:val="025ACDB0"/>
    <w:rsid w:val="0266D7FA"/>
    <w:rsid w:val="026DFA9C"/>
    <w:rsid w:val="0276344F"/>
    <w:rsid w:val="0278830B"/>
    <w:rsid w:val="028A51E7"/>
    <w:rsid w:val="0290E1B8"/>
    <w:rsid w:val="02B094CF"/>
    <w:rsid w:val="02B639E8"/>
    <w:rsid w:val="02CC1D39"/>
    <w:rsid w:val="02F5C815"/>
    <w:rsid w:val="032833CC"/>
    <w:rsid w:val="0331ABD1"/>
    <w:rsid w:val="03341665"/>
    <w:rsid w:val="034AB315"/>
    <w:rsid w:val="034D4EE7"/>
    <w:rsid w:val="039042A1"/>
    <w:rsid w:val="039F38E2"/>
    <w:rsid w:val="03A7F22A"/>
    <w:rsid w:val="03B21574"/>
    <w:rsid w:val="03BDABBE"/>
    <w:rsid w:val="03E9C304"/>
    <w:rsid w:val="03F0DDE9"/>
    <w:rsid w:val="0419D2AB"/>
    <w:rsid w:val="042F96CA"/>
    <w:rsid w:val="0430CFEA"/>
    <w:rsid w:val="044D6338"/>
    <w:rsid w:val="0455867C"/>
    <w:rsid w:val="04619000"/>
    <w:rsid w:val="0475F40E"/>
    <w:rsid w:val="04768C40"/>
    <w:rsid w:val="048F8B46"/>
    <w:rsid w:val="049019A4"/>
    <w:rsid w:val="04937826"/>
    <w:rsid w:val="04977B0D"/>
    <w:rsid w:val="049E6480"/>
    <w:rsid w:val="04A5D17A"/>
    <w:rsid w:val="04D25F1B"/>
    <w:rsid w:val="04D62624"/>
    <w:rsid w:val="04E83D6B"/>
    <w:rsid w:val="04F138AA"/>
    <w:rsid w:val="05085BB9"/>
    <w:rsid w:val="050CE3B4"/>
    <w:rsid w:val="0514F8AB"/>
    <w:rsid w:val="054549BF"/>
    <w:rsid w:val="054F4AF4"/>
    <w:rsid w:val="055FFC6A"/>
    <w:rsid w:val="0584EF5A"/>
    <w:rsid w:val="0590CA25"/>
    <w:rsid w:val="0599051D"/>
    <w:rsid w:val="05A07145"/>
    <w:rsid w:val="05B3FEFA"/>
    <w:rsid w:val="05C6DBFC"/>
    <w:rsid w:val="05DCDE63"/>
    <w:rsid w:val="060DEB75"/>
    <w:rsid w:val="061B1E36"/>
    <w:rsid w:val="062339D4"/>
    <w:rsid w:val="0626E1D2"/>
    <w:rsid w:val="06310D19"/>
    <w:rsid w:val="0633704B"/>
    <w:rsid w:val="063834F4"/>
    <w:rsid w:val="06461E46"/>
    <w:rsid w:val="065406A7"/>
    <w:rsid w:val="067414BB"/>
    <w:rsid w:val="06759949"/>
    <w:rsid w:val="0675CC9F"/>
    <w:rsid w:val="067C99D7"/>
    <w:rsid w:val="0696236D"/>
    <w:rsid w:val="06A923A6"/>
    <w:rsid w:val="0739D8DB"/>
    <w:rsid w:val="0741F038"/>
    <w:rsid w:val="07546B29"/>
    <w:rsid w:val="0755824D"/>
    <w:rsid w:val="075CFF3A"/>
    <w:rsid w:val="0771F50E"/>
    <w:rsid w:val="0777ACD3"/>
    <w:rsid w:val="0792AD23"/>
    <w:rsid w:val="079A2525"/>
    <w:rsid w:val="07B0982C"/>
    <w:rsid w:val="07B5F8E4"/>
    <w:rsid w:val="07D6FFF1"/>
    <w:rsid w:val="07D84013"/>
    <w:rsid w:val="07DADC10"/>
    <w:rsid w:val="07FAC02D"/>
    <w:rsid w:val="080F72F5"/>
    <w:rsid w:val="08194449"/>
    <w:rsid w:val="083804A9"/>
    <w:rsid w:val="0840F9A8"/>
    <w:rsid w:val="084BEB0D"/>
    <w:rsid w:val="084E5008"/>
    <w:rsid w:val="08502239"/>
    <w:rsid w:val="0858182B"/>
    <w:rsid w:val="086C57DA"/>
    <w:rsid w:val="08761080"/>
    <w:rsid w:val="08795593"/>
    <w:rsid w:val="08905111"/>
    <w:rsid w:val="08C5CAAB"/>
    <w:rsid w:val="08D5521F"/>
    <w:rsid w:val="08D72F14"/>
    <w:rsid w:val="08E4A6C2"/>
    <w:rsid w:val="08E4AE5C"/>
    <w:rsid w:val="08EC43CF"/>
    <w:rsid w:val="08EF7025"/>
    <w:rsid w:val="08EFB07E"/>
    <w:rsid w:val="08FA7CF8"/>
    <w:rsid w:val="0912712C"/>
    <w:rsid w:val="09541662"/>
    <w:rsid w:val="0958E1F5"/>
    <w:rsid w:val="09679F76"/>
    <w:rsid w:val="097FAA34"/>
    <w:rsid w:val="098A4AFB"/>
    <w:rsid w:val="09D84C3E"/>
    <w:rsid w:val="09F1CE9F"/>
    <w:rsid w:val="0A06433C"/>
    <w:rsid w:val="0A0EE60C"/>
    <w:rsid w:val="0A0EE887"/>
    <w:rsid w:val="0A1904DB"/>
    <w:rsid w:val="0A22A488"/>
    <w:rsid w:val="0A34EE94"/>
    <w:rsid w:val="0A3A479B"/>
    <w:rsid w:val="0A8D25A4"/>
    <w:rsid w:val="0A9328C6"/>
    <w:rsid w:val="0AA9AF83"/>
    <w:rsid w:val="0ABB7FDC"/>
    <w:rsid w:val="0AC75211"/>
    <w:rsid w:val="0AE4D0F5"/>
    <w:rsid w:val="0AF0FCA7"/>
    <w:rsid w:val="0B064504"/>
    <w:rsid w:val="0B0764E0"/>
    <w:rsid w:val="0B09C241"/>
    <w:rsid w:val="0B1D221A"/>
    <w:rsid w:val="0B41C953"/>
    <w:rsid w:val="0B52CCFB"/>
    <w:rsid w:val="0B562405"/>
    <w:rsid w:val="0B6B32A1"/>
    <w:rsid w:val="0BA175C9"/>
    <w:rsid w:val="0BBAF97F"/>
    <w:rsid w:val="0BC08A32"/>
    <w:rsid w:val="0BC120DB"/>
    <w:rsid w:val="0BCB4F29"/>
    <w:rsid w:val="0BCBCBAE"/>
    <w:rsid w:val="0BD310F8"/>
    <w:rsid w:val="0BEF2553"/>
    <w:rsid w:val="0BF2E55D"/>
    <w:rsid w:val="0BF98BCC"/>
    <w:rsid w:val="0BFA3C7A"/>
    <w:rsid w:val="0BFCDC4C"/>
    <w:rsid w:val="0BFF858A"/>
    <w:rsid w:val="0C2ED774"/>
    <w:rsid w:val="0C311E81"/>
    <w:rsid w:val="0C3B081B"/>
    <w:rsid w:val="0C3C5EB0"/>
    <w:rsid w:val="0C8D9DC9"/>
    <w:rsid w:val="0CBCFFE7"/>
    <w:rsid w:val="0CEBB9C5"/>
    <w:rsid w:val="0CEFF89F"/>
    <w:rsid w:val="0CF607B5"/>
    <w:rsid w:val="0CFC69D2"/>
    <w:rsid w:val="0D06C3CA"/>
    <w:rsid w:val="0D11B41A"/>
    <w:rsid w:val="0D18B884"/>
    <w:rsid w:val="0D3CF9CB"/>
    <w:rsid w:val="0D511745"/>
    <w:rsid w:val="0D67AC78"/>
    <w:rsid w:val="0D81E7FE"/>
    <w:rsid w:val="0D83ED43"/>
    <w:rsid w:val="0D9CA957"/>
    <w:rsid w:val="0DA62C24"/>
    <w:rsid w:val="0DB41726"/>
    <w:rsid w:val="0DDC65E3"/>
    <w:rsid w:val="0DE9AF66"/>
    <w:rsid w:val="0E0619E0"/>
    <w:rsid w:val="0E3A2A0B"/>
    <w:rsid w:val="0E7C130D"/>
    <w:rsid w:val="0E97DD8B"/>
    <w:rsid w:val="0EA40FF9"/>
    <w:rsid w:val="0EA9705A"/>
    <w:rsid w:val="0EB27AD3"/>
    <w:rsid w:val="0EB6F8FD"/>
    <w:rsid w:val="0ED71C4C"/>
    <w:rsid w:val="0EFEF0BA"/>
    <w:rsid w:val="0F2655D7"/>
    <w:rsid w:val="0F38D0CA"/>
    <w:rsid w:val="0F3F03F5"/>
    <w:rsid w:val="0F5CAC51"/>
    <w:rsid w:val="0F636629"/>
    <w:rsid w:val="0F6DF824"/>
    <w:rsid w:val="0F8F362A"/>
    <w:rsid w:val="0F937808"/>
    <w:rsid w:val="0F9FECCC"/>
    <w:rsid w:val="0FA00DC6"/>
    <w:rsid w:val="0FB178B6"/>
    <w:rsid w:val="0FDA5059"/>
    <w:rsid w:val="0FFAC946"/>
    <w:rsid w:val="0FFF2189"/>
    <w:rsid w:val="100B9784"/>
    <w:rsid w:val="10219511"/>
    <w:rsid w:val="102DA278"/>
    <w:rsid w:val="1032989E"/>
    <w:rsid w:val="10462C77"/>
    <w:rsid w:val="104C57A1"/>
    <w:rsid w:val="105452CC"/>
    <w:rsid w:val="106E9410"/>
    <w:rsid w:val="1083DF6C"/>
    <w:rsid w:val="1086A18C"/>
    <w:rsid w:val="10A6B64D"/>
    <w:rsid w:val="10AAACD2"/>
    <w:rsid w:val="10B14576"/>
    <w:rsid w:val="10BADD70"/>
    <w:rsid w:val="10F11B06"/>
    <w:rsid w:val="10F506A9"/>
    <w:rsid w:val="1100677D"/>
    <w:rsid w:val="11177FD3"/>
    <w:rsid w:val="11201A94"/>
    <w:rsid w:val="11249CDE"/>
    <w:rsid w:val="112E5097"/>
    <w:rsid w:val="1138EA88"/>
    <w:rsid w:val="113EAF38"/>
    <w:rsid w:val="115D3BB6"/>
    <w:rsid w:val="115E8F6A"/>
    <w:rsid w:val="1175A2E0"/>
    <w:rsid w:val="1175C4B1"/>
    <w:rsid w:val="1197BE9D"/>
    <w:rsid w:val="11A34E99"/>
    <w:rsid w:val="11B51E5E"/>
    <w:rsid w:val="11CBCF8E"/>
    <w:rsid w:val="11ECCAF1"/>
    <w:rsid w:val="11EED100"/>
    <w:rsid w:val="11F71086"/>
    <w:rsid w:val="11F71CB2"/>
    <w:rsid w:val="1213AF8E"/>
    <w:rsid w:val="1231F6F9"/>
    <w:rsid w:val="123EE70E"/>
    <w:rsid w:val="1255A799"/>
    <w:rsid w:val="12614A8E"/>
    <w:rsid w:val="126DDC44"/>
    <w:rsid w:val="12793C36"/>
    <w:rsid w:val="128AF530"/>
    <w:rsid w:val="129FC435"/>
    <w:rsid w:val="12C62362"/>
    <w:rsid w:val="12D11916"/>
    <w:rsid w:val="12D906F4"/>
    <w:rsid w:val="12EA6D41"/>
    <w:rsid w:val="12EE2788"/>
    <w:rsid w:val="12F784B3"/>
    <w:rsid w:val="1334DECB"/>
    <w:rsid w:val="134D1555"/>
    <w:rsid w:val="1352B4CF"/>
    <w:rsid w:val="135495ED"/>
    <w:rsid w:val="1371AF1F"/>
    <w:rsid w:val="1376D92C"/>
    <w:rsid w:val="1378CD64"/>
    <w:rsid w:val="139A1A77"/>
    <w:rsid w:val="13A14214"/>
    <w:rsid w:val="13BC14C2"/>
    <w:rsid w:val="13C5B9F1"/>
    <w:rsid w:val="13D84E4B"/>
    <w:rsid w:val="13DE633B"/>
    <w:rsid w:val="13F0EF37"/>
    <w:rsid w:val="13FE9078"/>
    <w:rsid w:val="1406BD07"/>
    <w:rsid w:val="140CAA66"/>
    <w:rsid w:val="1420A588"/>
    <w:rsid w:val="142CF1DF"/>
    <w:rsid w:val="1459A823"/>
    <w:rsid w:val="145C27B4"/>
    <w:rsid w:val="14AD8FE5"/>
    <w:rsid w:val="14B74858"/>
    <w:rsid w:val="14BA796B"/>
    <w:rsid w:val="14BFB75A"/>
    <w:rsid w:val="14C01D15"/>
    <w:rsid w:val="14C35970"/>
    <w:rsid w:val="14D31435"/>
    <w:rsid w:val="14DFAA69"/>
    <w:rsid w:val="14E7E63B"/>
    <w:rsid w:val="153C4D78"/>
    <w:rsid w:val="15549F1A"/>
    <w:rsid w:val="156710F5"/>
    <w:rsid w:val="15677CC5"/>
    <w:rsid w:val="15781AD7"/>
    <w:rsid w:val="15963CAC"/>
    <w:rsid w:val="15C07431"/>
    <w:rsid w:val="15D11F23"/>
    <w:rsid w:val="15E2D02F"/>
    <w:rsid w:val="15F4DACE"/>
    <w:rsid w:val="15FB0CAC"/>
    <w:rsid w:val="15FDC11C"/>
    <w:rsid w:val="161AFED1"/>
    <w:rsid w:val="161E759C"/>
    <w:rsid w:val="1644495B"/>
    <w:rsid w:val="164A66B6"/>
    <w:rsid w:val="1669581D"/>
    <w:rsid w:val="166F4052"/>
    <w:rsid w:val="167008F0"/>
    <w:rsid w:val="1681DB76"/>
    <w:rsid w:val="168737DE"/>
    <w:rsid w:val="1687F1BB"/>
    <w:rsid w:val="16A8AAAC"/>
    <w:rsid w:val="16AA4DD5"/>
    <w:rsid w:val="16C0DA20"/>
    <w:rsid w:val="16CF9BE3"/>
    <w:rsid w:val="16D7EC34"/>
    <w:rsid w:val="16F1E963"/>
    <w:rsid w:val="16F484E6"/>
    <w:rsid w:val="1700F20F"/>
    <w:rsid w:val="1701B825"/>
    <w:rsid w:val="17217780"/>
    <w:rsid w:val="1735AACE"/>
    <w:rsid w:val="17596725"/>
    <w:rsid w:val="176716E4"/>
    <w:rsid w:val="1769BA8C"/>
    <w:rsid w:val="1771FDF6"/>
    <w:rsid w:val="1776530F"/>
    <w:rsid w:val="177A102E"/>
    <w:rsid w:val="177EFE61"/>
    <w:rsid w:val="17BB9A75"/>
    <w:rsid w:val="17BF830F"/>
    <w:rsid w:val="17D0B896"/>
    <w:rsid w:val="17D40EAA"/>
    <w:rsid w:val="1820C04A"/>
    <w:rsid w:val="183ED7DE"/>
    <w:rsid w:val="18567029"/>
    <w:rsid w:val="1856BB51"/>
    <w:rsid w:val="18613D26"/>
    <w:rsid w:val="186BF743"/>
    <w:rsid w:val="186EC0A8"/>
    <w:rsid w:val="18705938"/>
    <w:rsid w:val="187F08A6"/>
    <w:rsid w:val="1889BC5C"/>
    <w:rsid w:val="188D62FB"/>
    <w:rsid w:val="189A90CD"/>
    <w:rsid w:val="18AF24BF"/>
    <w:rsid w:val="18C29D8D"/>
    <w:rsid w:val="18D53A64"/>
    <w:rsid w:val="18FDE634"/>
    <w:rsid w:val="1905F5A0"/>
    <w:rsid w:val="1908C5A2"/>
    <w:rsid w:val="1913A4B9"/>
    <w:rsid w:val="19229865"/>
    <w:rsid w:val="1944DA90"/>
    <w:rsid w:val="197991FB"/>
    <w:rsid w:val="198752AC"/>
    <w:rsid w:val="199111BA"/>
    <w:rsid w:val="19A145C9"/>
    <w:rsid w:val="19C0970E"/>
    <w:rsid w:val="19CA418A"/>
    <w:rsid w:val="19CC8C14"/>
    <w:rsid w:val="19E34447"/>
    <w:rsid w:val="19E59002"/>
    <w:rsid w:val="19E87223"/>
    <w:rsid w:val="19EB50B0"/>
    <w:rsid w:val="1A0276F5"/>
    <w:rsid w:val="1A08A14B"/>
    <w:rsid w:val="1A09612D"/>
    <w:rsid w:val="1A10AB07"/>
    <w:rsid w:val="1A1E7F9F"/>
    <w:rsid w:val="1A22A502"/>
    <w:rsid w:val="1A35DF7C"/>
    <w:rsid w:val="1A3C8204"/>
    <w:rsid w:val="1A3E67F6"/>
    <w:rsid w:val="1A652E86"/>
    <w:rsid w:val="1A9E01F3"/>
    <w:rsid w:val="1AB864CD"/>
    <w:rsid w:val="1ABE2492"/>
    <w:rsid w:val="1ACAB620"/>
    <w:rsid w:val="1AD4D4B1"/>
    <w:rsid w:val="1AE50C68"/>
    <w:rsid w:val="1AF4C640"/>
    <w:rsid w:val="1B05F43F"/>
    <w:rsid w:val="1B0F4059"/>
    <w:rsid w:val="1B13C447"/>
    <w:rsid w:val="1B3701CA"/>
    <w:rsid w:val="1B40BFB2"/>
    <w:rsid w:val="1B4F271B"/>
    <w:rsid w:val="1B7322AC"/>
    <w:rsid w:val="1B9675E7"/>
    <w:rsid w:val="1BA0280B"/>
    <w:rsid w:val="1BA923E8"/>
    <w:rsid w:val="1BAAD315"/>
    <w:rsid w:val="1BAB8836"/>
    <w:rsid w:val="1BBCBF1A"/>
    <w:rsid w:val="1BC61B46"/>
    <w:rsid w:val="1BD7F386"/>
    <w:rsid w:val="1BE34908"/>
    <w:rsid w:val="1BEA62FF"/>
    <w:rsid w:val="1BEAFD79"/>
    <w:rsid w:val="1BEC398E"/>
    <w:rsid w:val="1BF0DFAE"/>
    <w:rsid w:val="1C1BE33B"/>
    <w:rsid w:val="1C343F81"/>
    <w:rsid w:val="1C4D2393"/>
    <w:rsid w:val="1C84ACE8"/>
    <w:rsid w:val="1C84C47A"/>
    <w:rsid w:val="1C9386C3"/>
    <w:rsid w:val="1C9813E3"/>
    <w:rsid w:val="1C99A2D4"/>
    <w:rsid w:val="1CAD64FE"/>
    <w:rsid w:val="1CC50831"/>
    <w:rsid w:val="1CC6709F"/>
    <w:rsid w:val="1CCF802B"/>
    <w:rsid w:val="1CE460AA"/>
    <w:rsid w:val="1CFF59BD"/>
    <w:rsid w:val="1D021595"/>
    <w:rsid w:val="1D2864AD"/>
    <w:rsid w:val="1D2F294A"/>
    <w:rsid w:val="1D3CD510"/>
    <w:rsid w:val="1D43C7B1"/>
    <w:rsid w:val="1D455D73"/>
    <w:rsid w:val="1D53308D"/>
    <w:rsid w:val="1D569432"/>
    <w:rsid w:val="1D6F8193"/>
    <w:rsid w:val="1D787B36"/>
    <w:rsid w:val="1D8FE097"/>
    <w:rsid w:val="1DA0CF3B"/>
    <w:rsid w:val="1DA6363C"/>
    <w:rsid w:val="1DA74AC1"/>
    <w:rsid w:val="1DC4681B"/>
    <w:rsid w:val="1DD960BF"/>
    <w:rsid w:val="1DDEE8EF"/>
    <w:rsid w:val="1DEE1FF6"/>
    <w:rsid w:val="1E046D23"/>
    <w:rsid w:val="1E06E326"/>
    <w:rsid w:val="1E2F9E41"/>
    <w:rsid w:val="1E3961DD"/>
    <w:rsid w:val="1E3BF13F"/>
    <w:rsid w:val="1E49A152"/>
    <w:rsid w:val="1E4FA03A"/>
    <w:rsid w:val="1E530DAF"/>
    <w:rsid w:val="1E614672"/>
    <w:rsid w:val="1E619248"/>
    <w:rsid w:val="1E768B05"/>
    <w:rsid w:val="1E9077D1"/>
    <w:rsid w:val="1EEA93BB"/>
    <w:rsid w:val="1EFEC906"/>
    <w:rsid w:val="1F2EBE25"/>
    <w:rsid w:val="1F49503A"/>
    <w:rsid w:val="1F7B26D7"/>
    <w:rsid w:val="1F82B632"/>
    <w:rsid w:val="1FA51DFE"/>
    <w:rsid w:val="1FA89EFA"/>
    <w:rsid w:val="1FBCC0CE"/>
    <w:rsid w:val="1FBF32FD"/>
    <w:rsid w:val="1FD14E51"/>
    <w:rsid w:val="1FD8312C"/>
    <w:rsid w:val="1FFD2859"/>
    <w:rsid w:val="20083AEB"/>
    <w:rsid w:val="200E7CD6"/>
    <w:rsid w:val="20168E47"/>
    <w:rsid w:val="2017C03A"/>
    <w:rsid w:val="2033952F"/>
    <w:rsid w:val="20386057"/>
    <w:rsid w:val="204A50AC"/>
    <w:rsid w:val="205A566A"/>
    <w:rsid w:val="20651C35"/>
    <w:rsid w:val="206B2E75"/>
    <w:rsid w:val="2070A9E3"/>
    <w:rsid w:val="20876CC2"/>
    <w:rsid w:val="2090F05D"/>
    <w:rsid w:val="209FA6EA"/>
    <w:rsid w:val="20A5273C"/>
    <w:rsid w:val="20B22B8A"/>
    <w:rsid w:val="20CF0952"/>
    <w:rsid w:val="20D21178"/>
    <w:rsid w:val="21099009"/>
    <w:rsid w:val="210E5DE0"/>
    <w:rsid w:val="211311AD"/>
    <w:rsid w:val="21179F0B"/>
    <w:rsid w:val="2118BAC8"/>
    <w:rsid w:val="2122D28C"/>
    <w:rsid w:val="21360582"/>
    <w:rsid w:val="213A3FC1"/>
    <w:rsid w:val="213A5E53"/>
    <w:rsid w:val="216AAF07"/>
    <w:rsid w:val="2170AAAD"/>
    <w:rsid w:val="2177A929"/>
    <w:rsid w:val="217A3F88"/>
    <w:rsid w:val="217AE5E2"/>
    <w:rsid w:val="217E6C08"/>
    <w:rsid w:val="218C1398"/>
    <w:rsid w:val="2190D3C6"/>
    <w:rsid w:val="21A3C100"/>
    <w:rsid w:val="21A8093B"/>
    <w:rsid w:val="21C7FCBD"/>
    <w:rsid w:val="21DDFCB5"/>
    <w:rsid w:val="21DEF784"/>
    <w:rsid w:val="21E104AE"/>
    <w:rsid w:val="2204EFDB"/>
    <w:rsid w:val="2214241E"/>
    <w:rsid w:val="2220E483"/>
    <w:rsid w:val="222649E3"/>
    <w:rsid w:val="2231214E"/>
    <w:rsid w:val="22339A9A"/>
    <w:rsid w:val="224F6725"/>
    <w:rsid w:val="225DC2AE"/>
    <w:rsid w:val="22631A72"/>
    <w:rsid w:val="2276A00B"/>
    <w:rsid w:val="227ACB4F"/>
    <w:rsid w:val="227F09D2"/>
    <w:rsid w:val="2298B852"/>
    <w:rsid w:val="22A66AB5"/>
    <w:rsid w:val="22ADF854"/>
    <w:rsid w:val="22BAD136"/>
    <w:rsid w:val="231099A4"/>
    <w:rsid w:val="2326EFA5"/>
    <w:rsid w:val="23284A80"/>
    <w:rsid w:val="233CABBC"/>
    <w:rsid w:val="2342691C"/>
    <w:rsid w:val="2348297F"/>
    <w:rsid w:val="234B6076"/>
    <w:rsid w:val="236C35EF"/>
    <w:rsid w:val="236CDCCE"/>
    <w:rsid w:val="237BF927"/>
    <w:rsid w:val="237EED16"/>
    <w:rsid w:val="238452D8"/>
    <w:rsid w:val="238EE02A"/>
    <w:rsid w:val="239FB4E6"/>
    <w:rsid w:val="23AA00DE"/>
    <w:rsid w:val="23AA15AA"/>
    <w:rsid w:val="23ACE1A7"/>
    <w:rsid w:val="23FF560E"/>
    <w:rsid w:val="2418BF6C"/>
    <w:rsid w:val="2418DFCD"/>
    <w:rsid w:val="241D9AAA"/>
    <w:rsid w:val="243165DB"/>
    <w:rsid w:val="2450B607"/>
    <w:rsid w:val="2453F4D6"/>
    <w:rsid w:val="247191BC"/>
    <w:rsid w:val="247828B7"/>
    <w:rsid w:val="247B76AB"/>
    <w:rsid w:val="248C6405"/>
    <w:rsid w:val="24983360"/>
    <w:rsid w:val="249C452B"/>
    <w:rsid w:val="24B449CB"/>
    <w:rsid w:val="24EF4993"/>
    <w:rsid w:val="24F1AF31"/>
    <w:rsid w:val="25017721"/>
    <w:rsid w:val="250E6572"/>
    <w:rsid w:val="254B2F09"/>
    <w:rsid w:val="254C5783"/>
    <w:rsid w:val="254CD58E"/>
    <w:rsid w:val="256E4B85"/>
    <w:rsid w:val="257FD72F"/>
    <w:rsid w:val="259778F7"/>
    <w:rsid w:val="2598F12A"/>
    <w:rsid w:val="25A5A39E"/>
    <w:rsid w:val="25A6D7F5"/>
    <w:rsid w:val="25C95D8E"/>
    <w:rsid w:val="25D29214"/>
    <w:rsid w:val="2619E693"/>
    <w:rsid w:val="26424168"/>
    <w:rsid w:val="265D86CF"/>
    <w:rsid w:val="2664C1EA"/>
    <w:rsid w:val="26790962"/>
    <w:rsid w:val="26857B6C"/>
    <w:rsid w:val="268DCF9D"/>
    <w:rsid w:val="2697627B"/>
    <w:rsid w:val="26AEC078"/>
    <w:rsid w:val="26B43BB8"/>
    <w:rsid w:val="26B4D5B6"/>
    <w:rsid w:val="26E6D494"/>
    <w:rsid w:val="26F8E56F"/>
    <w:rsid w:val="2704C0EE"/>
    <w:rsid w:val="2707676A"/>
    <w:rsid w:val="272B1DBB"/>
    <w:rsid w:val="273401C8"/>
    <w:rsid w:val="273732CB"/>
    <w:rsid w:val="27463E2B"/>
    <w:rsid w:val="275C4AC2"/>
    <w:rsid w:val="275DE134"/>
    <w:rsid w:val="2767B4AE"/>
    <w:rsid w:val="2778393F"/>
    <w:rsid w:val="277931DF"/>
    <w:rsid w:val="2792BCCA"/>
    <w:rsid w:val="27B40826"/>
    <w:rsid w:val="27D2E065"/>
    <w:rsid w:val="27DB5787"/>
    <w:rsid w:val="27EEDB04"/>
    <w:rsid w:val="27FAE90E"/>
    <w:rsid w:val="2807E7E2"/>
    <w:rsid w:val="28389041"/>
    <w:rsid w:val="28496BDC"/>
    <w:rsid w:val="2865EE25"/>
    <w:rsid w:val="2871CAEF"/>
    <w:rsid w:val="28A0DAA2"/>
    <w:rsid w:val="28E43E54"/>
    <w:rsid w:val="28E7A164"/>
    <w:rsid w:val="290AFAA2"/>
    <w:rsid w:val="290F88DE"/>
    <w:rsid w:val="2918017C"/>
    <w:rsid w:val="291B0BAF"/>
    <w:rsid w:val="29243685"/>
    <w:rsid w:val="29391048"/>
    <w:rsid w:val="294F6A5B"/>
    <w:rsid w:val="2959B7C4"/>
    <w:rsid w:val="297A615A"/>
    <w:rsid w:val="2980DF09"/>
    <w:rsid w:val="29856472"/>
    <w:rsid w:val="298C8034"/>
    <w:rsid w:val="298EBBC9"/>
    <w:rsid w:val="29A6C40E"/>
    <w:rsid w:val="29BF20B4"/>
    <w:rsid w:val="29EAF344"/>
    <w:rsid w:val="29ED64A9"/>
    <w:rsid w:val="29EF6F9D"/>
    <w:rsid w:val="2A00125E"/>
    <w:rsid w:val="2A27DA19"/>
    <w:rsid w:val="2A4E0F3D"/>
    <w:rsid w:val="2A57DF60"/>
    <w:rsid w:val="2A5992B6"/>
    <w:rsid w:val="2A6C7E05"/>
    <w:rsid w:val="2A762EC7"/>
    <w:rsid w:val="2A9B00ED"/>
    <w:rsid w:val="2AA9B39F"/>
    <w:rsid w:val="2ACD4962"/>
    <w:rsid w:val="2AD4D8AB"/>
    <w:rsid w:val="2ADF096C"/>
    <w:rsid w:val="2AE1BBF1"/>
    <w:rsid w:val="2AEAC2EB"/>
    <w:rsid w:val="2AF5A751"/>
    <w:rsid w:val="2AF8500F"/>
    <w:rsid w:val="2AF9CDB3"/>
    <w:rsid w:val="2B01339A"/>
    <w:rsid w:val="2B05C848"/>
    <w:rsid w:val="2B299020"/>
    <w:rsid w:val="2B2D548E"/>
    <w:rsid w:val="2B2FCF5C"/>
    <w:rsid w:val="2B3090BA"/>
    <w:rsid w:val="2B377668"/>
    <w:rsid w:val="2B3F5E22"/>
    <w:rsid w:val="2B4D1666"/>
    <w:rsid w:val="2B4FC377"/>
    <w:rsid w:val="2B569C6C"/>
    <w:rsid w:val="2B885E26"/>
    <w:rsid w:val="2B8CADBD"/>
    <w:rsid w:val="2B982B39"/>
    <w:rsid w:val="2BA77EF6"/>
    <w:rsid w:val="2BB6988B"/>
    <w:rsid w:val="2BCE92D0"/>
    <w:rsid w:val="2BD7F5B3"/>
    <w:rsid w:val="2BE98FFB"/>
    <w:rsid w:val="2BFE5B7C"/>
    <w:rsid w:val="2C3A2BDE"/>
    <w:rsid w:val="2C3B0700"/>
    <w:rsid w:val="2C51762A"/>
    <w:rsid w:val="2C5A3820"/>
    <w:rsid w:val="2C8491BF"/>
    <w:rsid w:val="2C8553BC"/>
    <w:rsid w:val="2CA60B9B"/>
    <w:rsid w:val="2CAA8DFE"/>
    <w:rsid w:val="2CACA322"/>
    <w:rsid w:val="2CB1DE46"/>
    <w:rsid w:val="2CB4F452"/>
    <w:rsid w:val="2CCDF042"/>
    <w:rsid w:val="2CCEF632"/>
    <w:rsid w:val="2CD92DED"/>
    <w:rsid w:val="2CFA17FF"/>
    <w:rsid w:val="2CFF8815"/>
    <w:rsid w:val="2D1EB9A0"/>
    <w:rsid w:val="2D20AB0A"/>
    <w:rsid w:val="2D227620"/>
    <w:rsid w:val="2D25DCC6"/>
    <w:rsid w:val="2D351853"/>
    <w:rsid w:val="2D381B46"/>
    <w:rsid w:val="2D4AB198"/>
    <w:rsid w:val="2D5B7491"/>
    <w:rsid w:val="2D83275E"/>
    <w:rsid w:val="2D915881"/>
    <w:rsid w:val="2D973F6C"/>
    <w:rsid w:val="2DA6CDDA"/>
    <w:rsid w:val="2DB97FE3"/>
    <w:rsid w:val="2DC67F16"/>
    <w:rsid w:val="2DDB27A9"/>
    <w:rsid w:val="2DE56513"/>
    <w:rsid w:val="2DEB8BD8"/>
    <w:rsid w:val="2E1138F1"/>
    <w:rsid w:val="2E17B376"/>
    <w:rsid w:val="2E1C9D09"/>
    <w:rsid w:val="2E1DA396"/>
    <w:rsid w:val="2E29F85C"/>
    <w:rsid w:val="2E561BC9"/>
    <w:rsid w:val="2E56C4F2"/>
    <w:rsid w:val="2E78DE8F"/>
    <w:rsid w:val="2E7AAEC9"/>
    <w:rsid w:val="2E80BDB6"/>
    <w:rsid w:val="2E98237E"/>
    <w:rsid w:val="2EAB274D"/>
    <w:rsid w:val="2ECE0A7F"/>
    <w:rsid w:val="2ED31178"/>
    <w:rsid w:val="2EFC703A"/>
    <w:rsid w:val="2EFFCC02"/>
    <w:rsid w:val="2F385200"/>
    <w:rsid w:val="2F3C11B3"/>
    <w:rsid w:val="2F41A7A5"/>
    <w:rsid w:val="2F641F4D"/>
    <w:rsid w:val="2F70A3FA"/>
    <w:rsid w:val="2F7E0AD7"/>
    <w:rsid w:val="2F7F9A7F"/>
    <w:rsid w:val="2F951E86"/>
    <w:rsid w:val="2FB0ED40"/>
    <w:rsid w:val="2FB27E01"/>
    <w:rsid w:val="2FBF14C3"/>
    <w:rsid w:val="2FF5AD16"/>
    <w:rsid w:val="300C9E31"/>
    <w:rsid w:val="303091F0"/>
    <w:rsid w:val="303192D1"/>
    <w:rsid w:val="3031A25C"/>
    <w:rsid w:val="3041A4CA"/>
    <w:rsid w:val="304C0912"/>
    <w:rsid w:val="3086C274"/>
    <w:rsid w:val="30A1F72A"/>
    <w:rsid w:val="30BE33A1"/>
    <w:rsid w:val="30C9B6EE"/>
    <w:rsid w:val="30CC355D"/>
    <w:rsid w:val="30CC45BD"/>
    <w:rsid w:val="30ED060A"/>
    <w:rsid w:val="30EF7338"/>
    <w:rsid w:val="31167418"/>
    <w:rsid w:val="311A857F"/>
    <w:rsid w:val="31319ED6"/>
    <w:rsid w:val="3135F463"/>
    <w:rsid w:val="313BFC57"/>
    <w:rsid w:val="314CB314"/>
    <w:rsid w:val="3151912C"/>
    <w:rsid w:val="3158F355"/>
    <w:rsid w:val="3187EF87"/>
    <w:rsid w:val="318C28E1"/>
    <w:rsid w:val="31AFF327"/>
    <w:rsid w:val="31B0BFC7"/>
    <w:rsid w:val="31D2912D"/>
    <w:rsid w:val="31DF36F3"/>
    <w:rsid w:val="31E04D1C"/>
    <w:rsid w:val="31EF17CE"/>
    <w:rsid w:val="31F2ED45"/>
    <w:rsid w:val="3213A518"/>
    <w:rsid w:val="32187F85"/>
    <w:rsid w:val="3221F7C0"/>
    <w:rsid w:val="32232FDB"/>
    <w:rsid w:val="324A2462"/>
    <w:rsid w:val="3250325E"/>
    <w:rsid w:val="32578053"/>
    <w:rsid w:val="3260CB4A"/>
    <w:rsid w:val="326AC35F"/>
    <w:rsid w:val="3280F620"/>
    <w:rsid w:val="328F7C4A"/>
    <w:rsid w:val="329C4025"/>
    <w:rsid w:val="32C42DA7"/>
    <w:rsid w:val="32C99FE5"/>
    <w:rsid w:val="32DD0767"/>
    <w:rsid w:val="32E925E5"/>
    <w:rsid w:val="32F8CFEC"/>
    <w:rsid w:val="3302A2AF"/>
    <w:rsid w:val="33094E14"/>
    <w:rsid w:val="3331EF6F"/>
    <w:rsid w:val="334642BD"/>
    <w:rsid w:val="335520BA"/>
    <w:rsid w:val="3381FB26"/>
    <w:rsid w:val="338D7097"/>
    <w:rsid w:val="33926D95"/>
    <w:rsid w:val="33B8990A"/>
    <w:rsid w:val="33E42A53"/>
    <w:rsid w:val="33EC8539"/>
    <w:rsid w:val="33EFB5BA"/>
    <w:rsid w:val="33F83762"/>
    <w:rsid w:val="341FD202"/>
    <w:rsid w:val="3423B61B"/>
    <w:rsid w:val="3423D7BF"/>
    <w:rsid w:val="3430F734"/>
    <w:rsid w:val="343A72A9"/>
    <w:rsid w:val="344A8DCA"/>
    <w:rsid w:val="345BC683"/>
    <w:rsid w:val="345C9E54"/>
    <w:rsid w:val="345ED6C1"/>
    <w:rsid w:val="34800867"/>
    <w:rsid w:val="349D5B5C"/>
    <w:rsid w:val="34B1587A"/>
    <w:rsid w:val="34B9C6E4"/>
    <w:rsid w:val="34D1F5C4"/>
    <w:rsid w:val="34E4DD9C"/>
    <w:rsid w:val="34F39739"/>
    <w:rsid w:val="3508973A"/>
    <w:rsid w:val="353A9EA3"/>
    <w:rsid w:val="355BDDA0"/>
    <w:rsid w:val="3562650C"/>
    <w:rsid w:val="3580E1C6"/>
    <w:rsid w:val="35823C0A"/>
    <w:rsid w:val="358EA0E7"/>
    <w:rsid w:val="35A2A2A1"/>
    <w:rsid w:val="35B77AD8"/>
    <w:rsid w:val="35C45BA1"/>
    <w:rsid w:val="35D58ADA"/>
    <w:rsid w:val="35D87AEE"/>
    <w:rsid w:val="35E02C84"/>
    <w:rsid w:val="35E042B2"/>
    <w:rsid w:val="35E87C1B"/>
    <w:rsid w:val="35FAB213"/>
    <w:rsid w:val="360B9B4F"/>
    <w:rsid w:val="3622A21F"/>
    <w:rsid w:val="362F85A6"/>
    <w:rsid w:val="363FC760"/>
    <w:rsid w:val="3642A3D3"/>
    <w:rsid w:val="365B74B0"/>
    <w:rsid w:val="3662F065"/>
    <w:rsid w:val="3674DF1E"/>
    <w:rsid w:val="368BCC75"/>
    <w:rsid w:val="369B87DA"/>
    <w:rsid w:val="36B59775"/>
    <w:rsid w:val="36CB2274"/>
    <w:rsid w:val="36CC2E46"/>
    <w:rsid w:val="36D6B077"/>
    <w:rsid w:val="36D9C229"/>
    <w:rsid w:val="36DEFAAE"/>
    <w:rsid w:val="36E3F2AC"/>
    <w:rsid w:val="36F4461D"/>
    <w:rsid w:val="370ECFF4"/>
    <w:rsid w:val="37208D9A"/>
    <w:rsid w:val="372A3149"/>
    <w:rsid w:val="373D8ED9"/>
    <w:rsid w:val="374F80AF"/>
    <w:rsid w:val="3757642D"/>
    <w:rsid w:val="3778A8E9"/>
    <w:rsid w:val="37BC89A9"/>
    <w:rsid w:val="37D17F24"/>
    <w:rsid w:val="37D94D2F"/>
    <w:rsid w:val="37DB8487"/>
    <w:rsid w:val="38071DB1"/>
    <w:rsid w:val="3811B9AF"/>
    <w:rsid w:val="381974BD"/>
    <w:rsid w:val="3823DC50"/>
    <w:rsid w:val="386E6FE5"/>
    <w:rsid w:val="38734C97"/>
    <w:rsid w:val="387943B3"/>
    <w:rsid w:val="3888E395"/>
    <w:rsid w:val="38B2D8A7"/>
    <w:rsid w:val="38D1EE0C"/>
    <w:rsid w:val="38D3D202"/>
    <w:rsid w:val="38E55BC0"/>
    <w:rsid w:val="38E67E87"/>
    <w:rsid w:val="38EDCC23"/>
    <w:rsid w:val="38F2820D"/>
    <w:rsid w:val="38F90FA3"/>
    <w:rsid w:val="391B418C"/>
    <w:rsid w:val="391D854E"/>
    <w:rsid w:val="392EDED2"/>
    <w:rsid w:val="39349E5A"/>
    <w:rsid w:val="3937688C"/>
    <w:rsid w:val="3970B1FB"/>
    <w:rsid w:val="39718F40"/>
    <w:rsid w:val="397E8DA2"/>
    <w:rsid w:val="398064C6"/>
    <w:rsid w:val="39A94720"/>
    <w:rsid w:val="39B49EDA"/>
    <w:rsid w:val="39BC3675"/>
    <w:rsid w:val="39C1FC87"/>
    <w:rsid w:val="39DCF57D"/>
    <w:rsid w:val="39E84FF4"/>
    <w:rsid w:val="3A05F942"/>
    <w:rsid w:val="3A080DF9"/>
    <w:rsid w:val="3A08F94C"/>
    <w:rsid w:val="3A269EB5"/>
    <w:rsid w:val="3A2F2264"/>
    <w:rsid w:val="3A340340"/>
    <w:rsid w:val="3A39A088"/>
    <w:rsid w:val="3A513A3F"/>
    <w:rsid w:val="3A601418"/>
    <w:rsid w:val="3A8803DD"/>
    <w:rsid w:val="3AA8F5E8"/>
    <w:rsid w:val="3ACB101B"/>
    <w:rsid w:val="3AD5F8F5"/>
    <w:rsid w:val="3B012F74"/>
    <w:rsid w:val="3B0C7D91"/>
    <w:rsid w:val="3B165B9E"/>
    <w:rsid w:val="3B3FC529"/>
    <w:rsid w:val="3B555256"/>
    <w:rsid w:val="3B97B62D"/>
    <w:rsid w:val="3BCE2DB2"/>
    <w:rsid w:val="3BE93001"/>
    <w:rsid w:val="3BFCABF0"/>
    <w:rsid w:val="3C01EE5A"/>
    <w:rsid w:val="3C150C05"/>
    <w:rsid w:val="3C25B4B6"/>
    <w:rsid w:val="3C2A83CB"/>
    <w:rsid w:val="3C31884F"/>
    <w:rsid w:val="3C41E59E"/>
    <w:rsid w:val="3C4AD5CD"/>
    <w:rsid w:val="3C4B3DAA"/>
    <w:rsid w:val="3C4DE808"/>
    <w:rsid w:val="3C61BADF"/>
    <w:rsid w:val="3C821902"/>
    <w:rsid w:val="3CBF412F"/>
    <w:rsid w:val="3CC29E5A"/>
    <w:rsid w:val="3CCE1791"/>
    <w:rsid w:val="3CD2B89A"/>
    <w:rsid w:val="3CF143B8"/>
    <w:rsid w:val="3D0152CC"/>
    <w:rsid w:val="3D076DE9"/>
    <w:rsid w:val="3D0E7F64"/>
    <w:rsid w:val="3D104D30"/>
    <w:rsid w:val="3D3DF828"/>
    <w:rsid w:val="3D4D94C0"/>
    <w:rsid w:val="3D652314"/>
    <w:rsid w:val="3D662DF0"/>
    <w:rsid w:val="3D75ECF1"/>
    <w:rsid w:val="3D7F0EE3"/>
    <w:rsid w:val="3D826DDC"/>
    <w:rsid w:val="3D82E2F7"/>
    <w:rsid w:val="3D84F233"/>
    <w:rsid w:val="3D9525F4"/>
    <w:rsid w:val="3D9A752C"/>
    <w:rsid w:val="3DA4AA11"/>
    <w:rsid w:val="3DCB8F49"/>
    <w:rsid w:val="3DF71082"/>
    <w:rsid w:val="3DFD26E4"/>
    <w:rsid w:val="3DFE96E6"/>
    <w:rsid w:val="3DFFA7BD"/>
    <w:rsid w:val="3E17221E"/>
    <w:rsid w:val="3E45A8FF"/>
    <w:rsid w:val="3E57F9AC"/>
    <w:rsid w:val="3E5A3FB9"/>
    <w:rsid w:val="3E5AC9AB"/>
    <w:rsid w:val="3E6ECEE4"/>
    <w:rsid w:val="3E97BB34"/>
    <w:rsid w:val="3E9E2213"/>
    <w:rsid w:val="3EA162DC"/>
    <w:rsid w:val="3EB62D1B"/>
    <w:rsid w:val="3EDBA285"/>
    <w:rsid w:val="3EDF13ED"/>
    <w:rsid w:val="3EE1DEE0"/>
    <w:rsid w:val="3EE4C47C"/>
    <w:rsid w:val="3F2AA666"/>
    <w:rsid w:val="3F3E832F"/>
    <w:rsid w:val="3F465570"/>
    <w:rsid w:val="3F6CC75B"/>
    <w:rsid w:val="3F7067F4"/>
    <w:rsid w:val="3F727D1C"/>
    <w:rsid w:val="3F7799F0"/>
    <w:rsid w:val="3F87720A"/>
    <w:rsid w:val="3FB8BA2A"/>
    <w:rsid w:val="3FE36BF6"/>
    <w:rsid w:val="3FE7763E"/>
    <w:rsid w:val="3FFF63E0"/>
    <w:rsid w:val="400DDB6C"/>
    <w:rsid w:val="401397A4"/>
    <w:rsid w:val="4042A3F7"/>
    <w:rsid w:val="40482E85"/>
    <w:rsid w:val="40743413"/>
    <w:rsid w:val="407882B3"/>
    <w:rsid w:val="407E925E"/>
    <w:rsid w:val="4089D6E3"/>
    <w:rsid w:val="40988151"/>
    <w:rsid w:val="409E5653"/>
    <w:rsid w:val="40ADCE10"/>
    <w:rsid w:val="40B1127C"/>
    <w:rsid w:val="40B41FB2"/>
    <w:rsid w:val="40B62440"/>
    <w:rsid w:val="40B999F9"/>
    <w:rsid w:val="40E23789"/>
    <w:rsid w:val="41029F63"/>
    <w:rsid w:val="410CE694"/>
    <w:rsid w:val="410FEAC5"/>
    <w:rsid w:val="41293010"/>
    <w:rsid w:val="412CF7D7"/>
    <w:rsid w:val="413427C0"/>
    <w:rsid w:val="4139E98D"/>
    <w:rsid w:val="413F20CB"/>
    <w:rsid w:val="415705C3"/>
    <w:rsid w:val="415B2FCA"/>
    <w:rsid w:val="417EFC58"/>
    <w:rsid w:val="4182C7A2"/>
    <w:rsid w:val="41921624"/>
    <w:rsid w:val="41B18C51"/>
    <w:rsid w:val="41B5888B"/>
    <w:rsid w:val="41B92F80"/>
    <w:rsid w:val="41CC6F08"/>
    <w:rsid w:val="41CFCFA4"/>
    <w:rsid w:val="41D63B2F"/>
    <w:rsid w:val="41DCC3CA"/>
    <w:rsid w:val="41FFEED7"/>
    <w:rsid w:val="421A7848"/>
    <w:rsid w:val="4242C54A"/>
    <w:rsid w:val="4254F07A"/>
    <w:rsid w:val="4272591E"/>
    <w:rsid w:val="42758A32"/>
    <w:rsid w:val="428249DD"/>
    <w:rsid w:val="42891E4A"/>
    <w:rsid w:val="428DC6E5"/>
    <w:rsid w:val="42AAD974"/>
    <w:rsid w:val="42BF18E1"/>
    <w:rsid w:val="42BFCD71"/>
    <w:rsid w:val="42C36B0E"/>
    <w:rsid w:val="42CB1541"/>
    <w:rsid w:val="42D6A5C0"/>
    <w:rsid w:val="42F29A53"/>
    <w:rsid w:val="42FD9C88"/>
    <w:rsid w:val="4303288F"/>
    <w:rsid w:val="431363A0"/>
    <w:rsid w:val="431B04C0"/>
    <w:rsid w:val="4333FD82"/>
    <w:rsid w:val="4358EE56"/>
    <w:rsid w:val="4373976D"/>
    <w:rsid w:val="438704F3"/>
    <w:rsid w:val="4397C0BD"/>
    <w:rsid w:val="439C9D39"/>
    <w:rsid w:val="43A12072"/>
    <w:rsid w:val="43A2FB72"/>
    <w:rsid w:val="43A5E3E1"/>
    <w:rsid w:val="43BA2208"/>
    <w:rsid w:val="43C8B0E1"/>
    <w:rsid w:val="43CAA718"/>
    <w:rsid w:val="43D84068"/>
    <w:rsid w:val="43DF3BC4"/>
    <w:rsid w:val="44124D9B"/>
    <w:rsid w:val="44193DCD"/>
    <w:rsid w:val="441F3E89"/>
    <w:rsid w:val="4436D508"/>
    <w:rsid w:val="44377917"/>
    <w:rsid w:val="444271BD"/>
    <w:rsid w:val="444BF39F"/>
    <w:rsid w:val="445DA68D"/>
    <w:rsid w:val="446E7C5D"/>
    <w:rsid w:val="447B7383"/>
    <w:rsid w:val="4484F2A3"/>
    <w:rsid w:val="4490CF36"/>
    <w:rsid w:val="44BFB840"/>
    <w:rsid w:val="44C3B437"/>
    <w:rsid w:val="44E75675"/>
    <w:rsid w:val="45063AFC"/>
    <w:rsid w:val="450E9CD4"/>
    <w:rsid w:val="452FDA81"/>
    <w:rsid w:val="453B1B2F"/>
    <w:rsid w:val="453E63C4"/>
    <w:rsid w:val="45402D2E"/>
    <w:rsid w:val="454077AE"/>
    <w:rsid w:val="45552367"/>
    <w:rsid w:val="455FFBC8"/>
    <w:rsid w:val="456EB941"/>
    <w:rsid w:val="45702DD7"/>
    <w:rsid w:val="457FD6A6"/>
    <w:rsid w:val="45965A40"/>
    <w:rsid w:val="45A6EF65"/>
    <w:rsid w:val="45A8DA7D"/>
    <w:rsid w:val="45B0EEC8"/>
    <w:rsid w:val="45CAB84D"/>
    <w:rsid w:val="45D885A7"/>
    <w:rsid w:val="45FE6907"/>
    <w:rsid w:val="46115B4F"/>
    <w:rsid w:val="462BC686"/>
    <w:rsid w:val="462EBBB1"/>
    <w:rsid w:val="4638E34E"/>
    <w:rsid w:val="464B3986"/>
    <w:rsid w:val="4672D4D4"/>
    <w:rsid w:val="469052BD"/>
    <w:rsid w:val="46976223"/>
    <w:rsid w:val="469B244D"/>
    <w:rsid w:val="469EF70A"/>
    <w:rsid w:val="46A6A51E"/>
    <w:rsid w:val="46A97DE6"/>
    <w:rsid w:val="46C08987"/>
    <w:rsid w:val="46C7E32F"/>
    <w:rsid w:val="46CDA7DE"/>
    <w:rsid w:val="46E09A17"/>
    <w:rsid w:val="46FB93A0"/>
    <w:rsid w:val="471A2341"/>
    <w:rsid w:val="479A5BBF"/>
    <w:rsid w:val="479BF900"/>
    <w:rsid w:val="479DFD16"/>
    <w:rsid w:val="480E1957"/>
    <w:rsid w:val="48139762"/>
    <w:rsid w:val="481CC903"/>
    <w:rsid w:val="482B5D8F"/>
    <w:rsid w:val="482CA517"/>
    <w:rsid w:val="482E49B9"/>
    <w:rsid w:val="4833F76B"/>
    <w:rsid w:val="484D5C05"/>
    <w:rsid w:val="48510D9C"/>
    <w:rsid w:val="4869774F"/>
    <w:rsid w:val="4898BF65"/>
    <w:rsid w:val="48A45E56"/>
    <w:rsid w:val="48E578BA"/>
    <w:rsid w:val="48EA7BC6"/>
    <w:rsid w:val="48F28071"/>
    <w:rsid w:val="48F9561C"/>
    <w:rsid w:val="48FDDE38"/>
    <w:rsid w:val="4908D685"/>
    <w:rsid w:val="49223730"/>
    <w:rsid w:val="492BEC8F"/>
    <w:rsid w:val="492FEFB0"/>
    <w:rsid w:val="4935BC9A"/>
    <w:rsid w:val="4969C4F5"/>
    <w:rsid w:val="49AE1F6B"/>
    <w:rsid w:val="49B5BFF1"/>
    <w:rsid w:val="49C4DE9F"/>
    <w:rsid w:val="49D74A00"/>
    <w:rsid w:val="49DFE283"/>
    <w:rsid w:val="49E81CEF"/>
    <w:rsid w:val="49F6FC1A"/>
    <w:rsid w:val="4A02423D"/>
    <w:rsid w:val="4A300E40"/>
    <w:rsid w:val="4A384024"/>
    <w:rsid w:val="4A45F01D"/>
    <w:rsid w:val="4A4C0BED"/>
    <w:rsid w:val="4A6666D5"/>
    <w:rsid w:val="4A7BF950"/>
    <w:rsid w:val="4A9558E2"/>
    <w:rsid w:val="4A96FA90"/>
    <w:rsid w:val="4AA8B6C4"/>
    <w:rsid w:val="4AE5BC81"/>
    <w:rsid w:val="4B1A7C5D"/>
    <w:rsid w:val="4B65A766"/>
    <w:rsid w:val="4B81A8BE"/>
    <w:rsid w:val="4B8B6489"/>
    <w:rsid w:val="4B8BAE1B"/>
    <w:rsid w:val="4BADC2CF"/>
    <w:rsid w:val="4BB4B3F9"/>
    <w:rsid w:val="4BD76215"/>
    <w:rsid w:val="4BDE2DB3"/>
    <w:rsid w:val="4BE4D4D8"/>
    <w:rsid w:val="4C0A07E8"/>
    <w:rsid w:val="4C6D9D3C"/>
    <w:rsid w:val="4C78528D"/>
    <w:rsid w:val="4C9D1084"/>
    <w:rsid w:val="4CA7D469"/>
    <w:rsid w:val="4CAA3F46"/>
    <w:rsid w:val="4CAFD32A"/>
    <w:rsid w:val="4CCA3485"/>
    <w:rsid w:val="4CE0BC5C"/>
    <w:rsid w:val="4CFA2026"/>
    <w:rsid w:val="4D0F129A"/>
    <w:rsid w:val="4D2E06ED"/>
    <w:rsid w:val="4D670C11"/>
    <w:rsid w:val="4D714FC0"/>
    <w:rsid w:val="4D8D39CB"/>
    <w:rsid w:val="4D8E2B72"/>
    <w:rsid w:val="4DB27437"/>
    <w:rsid w:val="4DCAA90B"/>
    <w:rsid w:val="4DCD2EF0"/>
    <w:rsid w:val="4DCD770A"/>
    <w:rsid w:val="4DE03B17"/>
    <w:rsid w:val="4DE4093B"/>
    <w:rsid w:val="4DE9E721"/>
    <w:rsid w:val="4E0A583E"/>
    <w:rsid w:val="4E0FA32F"/>
    <w:rsid w:val="4E128A5C"/>
    <w:rsid w:val="4E12E130"/>
    <w:rsid w:val="4E524E3E"/>
    <w:rsid w:val="4E5748B8"/>
    <w:rsid w:val="4E67ABC8"/>
    <w:rsid w:val="4E6B787F"/>
    <w:rsid w:val="4E73D459"/>
    <w:rsid w:val="4E869330"/>
    <w:rsid w:val="4ED0ABFE"/>
    <w:rsid w:val="4ED3015C"/>
    <w:rsid w:val="4EEB3D4B"/>
    <w:rsid w:val="4EFF9C4A"/>
    <w:rsid w:val="4F055EFD"/>
    <w:rsid w:val="4F0AFBC7"/>
    <w:rsid w:val="4F183AB1"/>
    <w:rsid w:val="4F47C2D7"/>
    <w:rsid w:val="4F4FFC3D"/>
    <w:rsid w:val="4F5BDC4F"/>
    <w:rsid w:val="4F6C53DE"/>
    <w:rsid w:val="4F6DA8E8"/>
    <w:rsid w:val="4F7C91DA"/>
    <w:rsid w:val="4F7E230C"/>
    <w:rsid w:val="4F9EC172"/>
    <w:rsid w:val="4F9F7DEA"/>
    <w:rsid w:val="4FAA7CE7"/>
    <w:rsid w:val="4FB6E263"/>
    <w:rsid w:val="4FD70223"/>
    <w:rsid w:val="4FDF8936"/>
    <w:rsid w:val="4FE80F3A"/>
    <w:rsid w:val="4FEC5718"/>
    <w:rsid w:val="5001CE2B"/>
    <w:rsid w:val="5004135A"/>
    <w:rsid w:val="5052A8DC"/>
    <w:rsid w:val="5088D39C"/>
    <w:rsid w:val="50A6318B"/>
    <w:rsid w:val="50BBB833"/>
    <w:rsid w:val="50CC1E7B"/>
    <w:rsid w:val="50DCD97D"/>
    <w:rsid w:val="50F0E64E"/>
    <w:rsid w:val="50F1DBC0"/>
    <w:rsid w:val="510BEAFC"/>
    <w:rsid w:val="51119B0A"/>
    <w:rsid w:val="512017D2"/>
    <w:rsid w:val="51313CC0"/>
    <w:rsid w:val="5140BA25"/>
    <w:rsid w:val="51417C8D"/>
    <w:rsid w:val="5154759D"/>
    <w:rsid w:val="51556346"/>
    <w:rsid w:val="516FBB9A"/>
    <w:rsid w:val="517A53BB"/>
    <w:rsid w:val="5190A120"/>
    <w:rsid w:val="51951704"/>
    <w:rsid w:val="51ABCF0A"/>
    <w:rsid w:val="51B3724E"/>
    <w:rsid w:val="51B69F59"/>
    <w:rsid w:val="51CAA075"/>
    <w:rsid w:val="51D29815"/>
    <w:rsid w:val="51FB88D2"/>
    <w:rsid w:val="5262D5E6"/>
    <w:rsid w:val="527A954F"/>
    <w:rsid w:val="528C4BD2"/>
    <w:rsid w:val="528FAE43"/>
    <w:rsid w:val="5294C867"/>
    <w:rsid w:val="5295DD13"/>
    <w:rsid w:val="5299BE46"/>
    <w:rsid w:val="52A1EFC5"/>
    <w:rsid w:val="52B8F1CB"/>
    <w:rsid w:val="52C2A818"/>
    <w:rsid w:val="52CC1FA7"/>
    <w:rsid w:val="52EF83C7"/>
    <w:rsid w:val="52F7F1E7"/>
    <w:rsid w:val="531464A5"/>
    <w:rsid w:val="532170CF"/>
    <w:rsid w:val="533471A2"/>
    <w:rsid w:val="534EC4F6"/>
    <w:rsid w:val="53520199"/>
    <w:rsid w:val="53556C57"/>
    <w:rsid w:val="5365998F"/>
    <w:rsid w:val="537FBB02"/>
    <w:rsid w:val="53870F7C"/>
    <w:rsid w:val="53A91277"/>
    <w:rsid w:val="53C7C5E9"/>
    <w:rsid w:val="53D4BA3A"/>
    <w:rsid w:val="53D5AD56"/>
    <w:rsid w:val="53DA4CD4"/>
    <w:rsid w:val="53EB5B2A"/>
    <w:rsid w:val="5455E541"/>
    <w:rsid w:val="546D86E8"/>
    <w:rsid w:val="549FC557"/>
    <w:rsid w:val="54B82887"/>
    <w:rsid w:val="54BE4266"/>
    <w:rsid w:val="54D4838A"/>
    <w:rsid w:val="54E466F2"/>
    <w:rsid w:val="54EA46F2"/>
    <w:rsid w:val="5500FBC5"/>
    <w:rsid w:val="5509F574"/>
    <w:rsid w:val="5512F1F7"/>
    <w:rsid w:val="554FA7EF"/>
    <w:rsid w:val="55768D90"/>
    <w:rsid w:val="55841CDB"/>
    <w:rsid w:val="558587B5"/>
    <w:rsid w:val="55C0B60F"/>
    <w:rsid w:val="55C0C9D4"/>
    <w:rsid w:val="55DDD793"/>
    <w:rsid w:val="55E36118"/>
    <w:rsid w:val="55EC17B1"/>
    <w:rsid w:val="55F769CE"/>
    <w:rsid w:val="55F91E12"/>
    <w:rsid w:val="55FA5056"/>
    <w:rsid w:val="5623DF13"/>
    <w:rsid w:val="563AB5C1"/>
    <w:rsid w:val="56454CB9"/>
    <w:rsid w:val="5648B111"/>
    <w:rsid w:val="565F39F9"/>
    <w:rsid w:val="5672A4EF"/>
    <w:rsid w:val="56C45A67"/>
    <w:rsid w:val="56EB340D"/>
    <w:rsid w:val="56EB5FEA"/>
    <w:rsid w:val="56F26599"/>
    <w:rsid w:val="571C6222"/>
    <w:rsid w:val="57309352"/>
    <w:rsid w:val="57381EB8"/>
    <w:rsid w:val="5773AF0C"/>
    <w:rsid w:val="578B853B"/>
    <w:rsid w:val="578BFA3A"/>
    <w:rsid w:val="57ADA469"/>
    <w:rsid w:val="57BD8B19"/>
    <w:rsid w:val="57C002EA"/>
    <w:rsid w:val="57CCEDF4"/>
    <w:rsid w:val="57D63803"/>
    <w:rsid w:val="57D8110C"/>
    <w:rsid w:val="57EA513E"/>
    <w:rsid w:val="57F43C4C"/>
    <w:rsid w:val="57F86FDA"/>
    <w:rsid w:val="58154E33"/>
    <w:rsid w:val="581FCE25"/>
    <w:rsid w:val="582A3A45"/>
    <w:rsid w:val="5845B49D"/>
    <w:rsid w:val="584DFFD1"/>
    <w:rsid w:val="585A75AF"/>
    <w:rsid w:val="5875A428"/>
    <w:rsid w:val="5896A1F4"/>
    <w:rsid w:val="5898C317"/>
    <w:rsid w:val="58AF3548"/>
    <w:rsid w:val="58C852BD"/>
    <w:rsid w:val="58DA6087"/>
    <w:rsid w:val="58FF611D"/>
    <w:rsid w:val="5917AFF6"/>
    <w:rsid w:val="592F0866"/>
    <w:rsid w:val="5949BC38"/>
    <w:rsid w:val="59576FB0"/>
    <w:rsid w:val="596DAF69"/>
    <w:rsid w:val="5981268A"/>
    <w:rsid w:val="598DC90D"/>
    <w:rsid w:val="59B2F199"/>
    <w:rsid w:val="59BFFCD3"/>
    <w:rsid w:val="59C1B9BD"/>
    <w:rsid w:val="59C1DE8F"/>
    <w:rsid w:val="59CA9F74"/>
    <w:rsid w:val="59D0BB22"/>
    <w:rsid w:val="59E174D7"/>
    <w:rsid w:val="59E4A004"/>
    <w:rsid w:val="59FBCF8B"/>
    <w:rsid w:val="5A0A188C"/>
    <w:rsid w:val="5A17750F"/>
    <w:rsid w:val="5A17A438"/>
    <w:rsid w:val="5A3C73FC"/>
    <w:rsid w:val="5A48AF08"/>
    <w:rsid w:val="5A57B9E9"/>
    <w:rsid w:val="5A5E30A1"/>
    <w:rsid w:val="5A61B3B2"/>
    <w:rsid w:val="5A7F12BE"/>
    <w:rsid w:val="5A854B4E"/>
    <w:rsid w:val="5A858F96"/>
    <w:rsid w:val="5A9A4005"/>
    <w:rsid w:val="5A9B9917"/>
    <w:rsid w:val="5AA360AD"/>
    <w:rsid w:val="5AAE8BD9"/>
    <w:rsid w:val="5ABD2E07"/>
    <w:rsid w:val="5ACBDBB3"/>
    <w:rsid w:val="5AF0A9E2"/>
    <w:rsid w:val="5AF0DED6"/>
    <w:rsid w:val="5B035538"/>
    <w:rsid w:val="5B26F1DE"/>
    <w:rsid w:val="5B4F7DD8"/>
    <w:rsid w:val="5B5146F6"/>
    <w:rsid w:val="5B57E84A"/>
    <w:rsid w:val="5B5D6972"/>
    <w:rsid w:val="5B6AA576"/>
    <w:rsid w:val="5B826A47"/>
    <w:rsid w:val="5B8614E9"/>
    <w:rsid w:val="5BAC63DB"/>
    <w:rsid w:val="5BAF0A1B"/>
    <w:rsid w:val="5BB342ED"/>
    <w:rsid w:val="5BB3A5C4"/>
    <w:rsid w:val="5BD082CD"/>
    <w:rsid w:val="5BE9601D"/>
    <w:rsid w:val="5BEC3DD4"/>
    <w:rsid w:val="5BF73C8C"/>
    <w:rsid w:val="5C043E65"/>
    <w:rsid w:val="5C0B52FF"/>
    <w:rsid w:val="5C0E06F2"/>
    <w:rsid w:val="5C271CD6"/>
    <w:rsid w:val="5C4198CB"/>
    <w:rsid w:val="5C48842F"/>
    <w:rsid w:val="5C4E6E0F"/>
    <w:rsid w:val="5C4E834E"/>
    <w:rsid w:val="5C553916"/>
    <w:rsid w:val="5C625A40"/>
    <w:rsid w:val="5C65B394"/>
    <w:rsid w:val="5C81DF6C"/>
    <w:rsid w:val="5C95406C"/>
    <w:rsid w:val="5C98A94D"/>
    <w:rsid w:val="5CB37841"/>
    <w:rsid w:val="5CC535A0"/>
    <w:rsid w:val="5CD0080E"/>
    <w:rsid w:val="5CD53B1A"/>
    <w:rsid w:val="5CD6D0AB"/>
    <w:rsid w:val="5D012F4F"/>
    <w:rsid w:val="5D47171F"/>
    <w:rsid w:val="5D6603BE"/>
    <w:rsid w:val="5D709E95"/>
    <w:rsid w:val="5D7E4656"/>
    <w:rsid w:val="5DA99C49"/>
    <w:rsid w:val="5DB7E6A5"/>
    <w:rsid w:val="5DBCD951"/>
    <w:rsid w:val="5DC6AE71"/>
    <w:rsid w:val="5DD3905E"/>
    <w:rsid w:val="5DDEFA64"/>
    <w:rsid w:val="5DEC4CCE"/>
    <w:rsid w:val="5E16D0E7"/>
    <w:rsid w:val="5E1E6FBA"/>
    <w:rsid w:val="5E2D1A4E"/>
    <w:rsid w:val="5E349C5C"/>
    <w:rsid w:val="5E36539B"/>
    <w:rsid w:val="5E486794"/>
    <w:rsid w:val="5E6A208A"/>
    <w:rsid w:val="5E88B927"/>
    <w:rsid w:val="5E91543B"/>
    <w:rsid w:val="5EA519FE"/>
    <w:rsid w:val="5EAC1D2A"/>
    <w:rsid w:val="5EB2C7FE"/>
    <w:rsid w:val="5EDB15EA"/>
    <w:rsid w:val="5EE0D44E"/>
    <w:rsid w:val="5EE469BF"/>
    <w:rsid w:val="5EF43EEA"/>
    <w:rsid w:val="5F0DAECE"/>
    <w:rsid w:val="5F148ACC"/>
    <w:rsid w:val="5F1516AD"/>
    <w:rsid w:val="5F1653FD"/>
    <w:rsid w:val="5F290BBF"/>
    <w:rsid w:val="5F2A1CA8"/>
    <w:rsid w:val="5F338F06"/>
    <w:rsid w:val="5F548ADE"/>
    <w:rsid w:val="5F68EAFF"/>
    <w:rsid w:val="5F68F8EE"/>
    <w:rsid w:val="5F77A7E8"/>
    <w:rsid w:val="5F9AF7A7"/>
    <w:rsid w:val="5F9F935D"/>
    <w:rsid w:val="5FB3DC26"/>
    <w:rsid w:val="5FBC2101"/>
    <w:rsid w:val="5FC02B2A"/>
    <w:rsid w:val="5FC798A9"/>
    <w:rsid w:val="5FCDFE48"/>
    <w:rsid w:val="5FD1F445"/>
    <w:rsid w:val="5FDD9BBE"/>
    <w:rsid w:val="5FF81EA1"/>
    <w:rsid w:val="5FFC82F1"/>
    <w:rsid w:val="600B81AA"/>
    <w:rsid w:val="600B83FC"/>
    <w:rsid w:val="6012AE63"/>
    <w:rsid w:val="6018B9B5"/>
    <w:rsid w:val="60478B6B"/>
    <w:rsid w:val="6071DE37"/>
    <w:rsid w:val="60D74F0E"/>
    <w:rsid w:val="60DDD748"/>
    <w:rsid w:val="60EBC7AE"/>
    <w:rsid w:val="60ED9408"/>
    <w:rsid w:val="60F336C7"/>
    <w:rsid w:val="60FDDDF8"/>
    <w:rsid w:val="6104004C"/>
    <w:rsid w:val="6115440C"/>
    <w:rsid w:val="611C71F9"/>
    <w:rsid w:val="6130B5DA"/>
    <w:rsid w:val="613230D4"/>
    <w:rsid w:val="6135EBE9"/>
    <w:rsid w:val="613D6E5C"/>
    <w:rsid w:val="61666CA2"/>
    <w:rsid w:val="616CBC8F"/>
    <w:rsid w:val="617DE4A0"/>
    <w:rsid w:val="6191DCA9"/>
    <w:rsid w:val="6196F33B"/>
    <w:rsid w:val="61A48019"/>
    <w:rsid w:val="61A922D8"/>
    <w:rsid w:val="61A976ED"/>
    <w:rsid w:val="61B219F5"/>
    <w:rsid w:val="61B83895"/>
    <w:rsid w:val="61E9D2B5"/>
    <w:rsid w:val="61F9FCD5"/>
    <w:rsid w:val="6210F6D8"/>
    <w:rsid w:val="622BB757"/>
    <w:rsid w:val="62357FF5"/>
    <w:rsid w:val="6240D96B"/>
    <w:rsid w:val="6264A529"/>
    <w:rsid w:val="6287F78A"/>
    <w:rsid w:val="62923A01"/>
    <w:rsid w:val="6296DF4A"/>
    <w:rsid w:val="62E1F1E9"/>
    <w:rsid w:val="62FD1498"/>
    <w:rsid w:val="63221B6F"/>
    <w:rsid w:val="633EA398"/>
    <w:rsid w:val="6347E16A"/>
    <w:rsid w:val="634BCB5A"/>
    <w:rsid w:val="63533B4A"/>
    <w:rsid w:val="6356016A"/>
    <w:rsid w:val="6372BAEE"/>
    <w:rsid w:val="638A0151"/>
    <w:rsid w:val="638B1F9A"/>
    <w:rsid w:val="63B251F5"/>
    <w:rsid w:val="63F2C24D"/>
    <w:rsid w:val="642D8DF6"/>
    <w:rsid w:val="64351791"/>
    <w:rsid w:val="64563BC2"/>
    <w:rsid w:val="64800F03"/>
    <w:rsid w:val="6492F4EC"/>
    <w:rsid w:val="6496FE4F"/>
    <w:rsid w:val="6498B23E"/>
    <w:rsid w:val="64A7338E"/>
    <w:rsid w:val="64A8FB26"/>
    <w:rsid w:val="64B5EE81"/>
    <w:rsid w:val="64BE11DC"/>
    <w:rsid w:val="64D7C3E1"/>
    <w:rsid w:val="64D8FFAB"/>
    <w:rsid w:val="650CF1A6"/>
    <w:rsid w:val="651AC71E"/>
    <w:rsid w:val="652D4949"/>
    <w:rsid w:val="658B8DFC"/>
    <w:rsid w:val="65979397"/>
    <w:rsid w:val="65AE0B17"/>
    <w:rsid w:val="65B023C7"/>
    <w:rsid w:val="65B69464"/>
    <w:rsid w:val="65B9D803"/>
    <w:rsid w:val="65CC3C32"/>
    <w:rsid w:val="65D9E3EF"/>
    <w:rsid w:val="65DE2FD9"/>
    <w:rsid w:val="65F635F1"/>
    <w:rsid w:val="660AD70C"/>
    <w:rsid w:val="6619E5F5"/>
    <w:rsid w:val="661DCD4F"/>
    <w:rsid w:val="6622EE2F"/>
    <w:rsid w:val="6623E42B"/>
    <w:rsid w:val="66356352"/>
    <w:rsid w:val="6635B715"/>
    <w:rsid w:val="665AF779"/>
    <w:rsid w:val="665C9A36"/>
    <w:rsid w:val="666A9484"/>
    <w:rsid w:val="666C5634"/>
    <w:rsid w:val="66765F74"/>
    <w:rsid w:val="667D67B5"/>
    <w:rsid w:val="669F320F"/>
    <w:rsid w:val="66A52D3B"/>
    <w:rsid w:val="66B3AA2D"/>
    <w:rsid w:val="66B40990"/>
    <w:rsid w:val="66BBF66E"/>
    <w:rsid w:val="66CF6B08"/>
    <w:rsid w:val="66E027F5"/>
    <w:rsid w:val="66E1CC99"/>
    <w:rsid w:val="66E69BB4"/>
    <w:rsid w:val="67098B0C"/>
    <w:rsid w:val="671BAC0F"/>
    <w:rsid w:val="671D14EB"/>
    <w:rsid w:val="6726371C"/>
    <w:rsid w:val="6781AB06"/>
    <w:rsid w:val="67963764"/>
    <w:rsid w:val="67C78922"/>
    <w:rsid w:val="67DBF024"/>
    <w:rsid w:val="67E88C46"/>
    <w:rsid w:val="680883C1"/>
    <w:rsid w:val="680C9AE3"/>
    <w:rsid w:val="6811D75E"/>
    <w:rsid w:val="6827E860"/>
    <w:rsid w:val="682D1D2F"/>
    <w:rsid w:val="6851F42D"/>
    <w:rsid w:val="68727234"/>
    <w:rsid w:val="68733068"/>
    <w:rsid w:val="687AB5B7"/>
    <w:rsid w:val="689445D8"/>
    <w:rsid w:val="68C12640"/>
    <w:rsid w:val="68D2E497"/>
    <w:rsid w:val="69064579"/>
    <w:rsid w:val="690DE0DE"/>
    <w:rsid w:val="691D262D"/>
    <w:rsid w:val="692833D1"/>
    <w:rsid w:val="69291D6C"/>
    <w:rsid w:val="694038AD"/>
    <w:rsid w:val="69588CA4"/>
    <w:rsid w:val="695B37F6"/>
    <w:rsid w:val="69632359"/>
    <w:rsid w:val="6970AD58"/>
    <w:rsid w:val="69891875"/>
    <w:rsid w:val="6998A610"/>
    <w:rsid w:val="69C769C6"/>
    <w:rsid w:val="69C79862"/>
    <w:rsid w:val="69D246CA"/>
    <w:rsid w:val="69F1A5BB"/>
    <w:rsid w:val="6A0DB3CD"/>
    <w:rsid w:val="6A385D04"/>
    <w:rsid w:val="6A4FEF9A"/>
    <w:rsid w:val="6A6F7AF8"/>
    <w:rsid w:val="6A739C78"/>
    <w:rsid w:val="6A8BE2EC"/>
    <w:rsid w:val="6AC1BA59"/>
    <w:rsid w:val="6B06BC92"/>
    <w:rsid w:val="6B279050"/>
    <w:rsid w:val="6B2DD3B6"/>
    <w:rsid w:val="6B37F310"/>
    <w:rsid w:val="6B3B68E5"/>
    <w:rsid w:val="6B5C4C22"/>
    <w:rsid w:val="6B6D9950"/>
    <w:rsid w:val="6B7DDE81"/>
    <w:rsid w:val="6BE6857B"/>
    <w:rsid w:val="6BF0FC24"/>
    <w:rsid w:val="6C0AA896"/>
    <w:rsid w:val="6C1FBFF5"/>
    <w:rsid w:val="6C33FF0B"/>
    <w:rsid w:val="6C37F396"/>
    <w:rsid w:val="6C385097"/>
    <w:rsid w:val="6C3D4E1E"/>
    <w:rsid w:val="6C4DFF82"/>
    <w:rsid w:val="6C58B8B9"/>
    <w:rsid w:val="6C5AA351"/>
    <w:rsid w:val="6C7236F2"/>
    <w:rsid w:val="6C8456F9"/>
    <w:rsid w:val="6CA7E6CE"/>
    <w:rsid w:val="6CA837C8"/>
    <w:rsid w:val="6CABA4DC"/>
    <w:rsid w:val="6CB5ABFC"/>
    <w:rsid w:val="6CC9B90E"/>
    <w:rsid w:val="6CEA1021"/>
    <w:rsid w:val="6D07277F"/>
    <w:rsid w:val="6D0D5CC9"/>
    <w:rsid w:val="6D206185"/>
    <w:rsid w:val="6D3B1FAD"/>
    <w:rsid w:val="6D4B85E4"/>
    <w:rsid w:val="6D5EBEF8"/>
    <w:rsid w:val="6D63FA01"/>
    <w:rsid w:val="6D77CA90"/>
    <w:rsid w:val="6DA09DC6"/>
    <w:rsid w:val="6DC93896"/>
    <w:rsid w:val="6DCE3527"/>
    <w:rsid w:val="6DD1F313"/>
    <w:rsid w:val="6DE438EF"/>
    <w:rsid w:val="6DE5BE62"/>
    <w:rsid w:val="6DE89078"/>
    <w:rsid w:val="6DF86EF1"/>
    <w:rsid w:val="6E0CE7EB"/>
    <w:rsid w:val="6E4BAE3A"/>
    <w:rsid w:val="6E7547A1"/>
    <w:rsid w:val="6E76A53D"/>
    <w:rsid w:val="6E8259C4"/>
    <w:rsid w:val="6E84521B"/>
    <w:rsid w:val="6E8EAB29"/>
    <w:rsid w:val="6EA2E6E9"/>
    <w:rsid w:val="6EA88DD9"/>
    <w:rsid w:val="6EB10479"/>
    <w:rsid w:val="6EBC52F1"/>
    <w:rsid w:val="6EBF4F7B"/>
    <w:rsid w:val="6ED0ADD9"/>
    <w:rsid w:val="6EDAF5D6"/>
    <w:rsid w:val="6EE79257"/>
    <w:rsid w:val="6EE9DF56"/>
    <w:rsid w:val="6F084EC2"/>
    <w:rsid w:val="6F0F0341"/>
    <w:rsid w:val="6F14047D"/>
    <w:rsid w:val="6F2EFB4C"/>
    <w:rsid w:val="6F5032BB"/>
    <w:rsid w:val="6F51535D"/>
    <w:rsid w:val="6F607FF2"/>
    <w:rsid w:val="6FA68493"/>
    <w:rsid w:val="6FB7A2D5"/>
    <w:rsid w:val="6FB8B0D7"/>
    <w:rsid w:val="6FC4FA7F"/>
    <w:rsid w:val="6FD176DC"/>
    <w:rsid w:val="6FE0DBF8"/>
    <w:rsid w:val="6FEB54A0"/>
    <w:rsid w:val="6FF0E593"/>
    <w:rsid w:val="7011745B"/>
    <w:rsid w:val="702ABB07"/>
    <w:rsid w:val="7058CEF8"/>
    <w:rsid w:val="7061E3B7"/>
    <w:rsid w:val="7073A70A"/>
    <w:rsid w:val="7076AC0B"/>
    <w:rsid w:val="708F6AD7"/>
    <w:rsid w:val="7097F78D"/>
    <w:rsid w:val="70A65BBC"/>
    <w:rsid w:val="70C0982C"/>
    <w:rsid w:val="70D568B2"/>
    <w:rsid w:val="70E6364E"/>
    <w:rsid w:val="70FB0317"/>
    <w:rsid w:val="7114B512"/>
    <w:rsid w:val="71422F09"/>
    <w:rsid w:val="715266AF"/>
    <w:rsid w:val="715D8479"/>
    <w:rsid w:val="71660528"/>
    <w:rsid w:val="716B3AFE"/>
    <w:rsid w:val="71759163"/>
    <w:rsid w:val="71A33F54"/>
    <w:rsid w:val="71BBC529"/>
    <w:rsid w:val="71E5B0B9"/>
    <w:rsid w:val="71ECB933"/>
    <w:rsid w:val="71F049E4"/>
    <w:rsid w:val="72392B5C"/>
    <w:rsid w:val="723E968C"/>
    <w:rsid w:val="7245D234"/>
    <w:rsid w:val="724E6782"/>
    <w:rsid w:val="72506086"/>
    <w:rsid w:val="72588360"/>
    <w:rsid w:val="725B14A9"/>
    <w:rsid w:val="725BD53C"/>
    <w:rsid w:val="727ABB9F"/>
    <w:rsid w:val="727CE2B5"/>
    <w:rsid w:val="727EA69A"/>
    <w:rsid w:val="72833E0B"/>
    <w:rsid w:val="72888CBD"/>
    <w:rsid w:val="72C6ABEF"/>
    <w:rsid w:val="72CB0050"/>
    <w:rsid w:val="72F4BF7B"/>
    <w:rsid w:val="730B9BEC"/>
    <w:rsid w:val="735202B2"/>
    <w:rsid w:val="73625B8F"/>
    <w:rsid w:val="73A52F50"/>
    <w:rsid w:val="73A91F5C"/>
    <w:rsid w:val="73C0431A"/>
    <w:rsid w:val="73C2BDEA"/>
    <w:rsid w:val="73CC34BA"/>
    <w:rsid w:val="73CC6C94"/>
    <w:rsid w:val="73F3534E"/>
    <w:rsid w:val="740DA503"/>
    <w:rsid w:val="741BC91B"/>
    <w:rsid w:val="7422128F"/>
    <w:rsid w:val="74221B9C"/>
    <w:rsid w:val="74251931"/>
    <w:rsid w:val="74332A95"/>
    <w:rsid w:val="743D5395"/>
    <w:rsid w:val="745033E2"/>
    <w:rsid w:val="74572249"/>
    <w:rsid w:val="745FD0CC"/>
    <w:rsid w:val="74645A0B"/>
    <w:rsid w:val="747B7508"/>
    <w:rsid w:val="748D1F97"/>
    <w:rsid w:val="749B4ACB"/>
    <w:rsid w:val="74A2D123"/>
    <w:rsid w:val="74AEAD07"/>
    <w:rsid w:val="74BDF1A1"/>
    <w:rsid w:val="74D618BE"/>
    <w:rsid w:val="74D868D4"/>
    <w:rsid w:val="74D9861F"/>
    <w:rsid w:val="74DEEFDD"/>
    <w:rsid w:val="74DF5EEC"/>
    <w:rsid w:val="75259C68"/>
    <w:rsid w:val="7526E061"/>
    <w:rsid w:val="7557C7CA"/>
    <w:rsid w:val="75630557"/>
    <w:rsid w:val="7566A7B7"/>
    <w:rsid w:val="7584D3E5"/>
    <w:rsid w:val="7586E7D6"/>
    <w:rsid w:val="75AE721E"/>
    <w:rsid w:val="75D8E63C"/>
    <w:rsid w:val="75F1F7C8"/>
    <w:rsid w:val="75FE790D"/>
    <w:rsid w:val="765F59C1"/>
    <w:rsid w:val="76620CDD"/>
    <w:rsid w:val="76623014"/>
    <w:rsid w:val="7684CCC8"/>
    <w:rsid w:val="7689BC15"/>
    <w:rsid w:val="768A4C5D"/>
    <w:rsid w:val="76A52A41"/>
    <w:rsid w:val="76CD3BC0"/>
    <w:rsid w:val="770789E2"/>
    <w:rsid w:val="7712A29C"/>
    <w:rsid w:val="7722CECF"/>
    <w:rsid w:val="77359D15"/>
    <w:rsid w:val="77439AF0"/>
    <w:rsid w:val="77C6CCBE"/>
    <w:rsid w:val="77E5B676"/>
    <w:rsid w:val="77FC6708"/>
    <w:rsid w:val="783FBD45"/>
    <w:rsid w:val="7869180C"/>
    <w:rsid w:val="786CF03C"/>
    <w:rsid w:val="787E9278"/>
    <w:rsid w:val="78D1C3D2"/>
    <w:rsid w:val="78E4B9AA"/>
    <w:rsid w:val="78ECE463"/>
    <w:rsid w:val="790D0018"/>
    <w:rsid w:val="796E49D7"/>
    <w:rsid w:val="7976D913"/>
    <w:rsid w:val="7984F439"/>
    <w:rsid w:val="799EE5A9"/>
    <w:rsid w:val="79A2DC8C"/>
    <w:rsid w:val="79C900F7"/>
    <w:rsid w:val="79CFFE11"/>
    <w:rsid w:val="79D187BE"/>
    <w:rsid w:val="79D28F51"/>
    <w:rsid w:val="79D54D56"/>
    <w:rsid w:val="79D77340"/>
    <w:rsid w:val="7A0D759F"/>
    <w:rsid w:val="7A1674DF"/>
    <w:rsid w:val="7A3697A6"/>
    <w:rsid w:val="7A3752DC"/>
    <w:rsid w:val="7A43227C"/>
    <w:rsid w:val="7A6438B5"/>
    <w:rsid w:val="7A93C727"/>
    <w:rsid w:val="7A99CE04"/>
    <w:rsid w:val="7ABDC99E"/>
    <w:rsid w:val="7AE03445"/>
    <w:rsid w:val="7AEC55C3"/>
    <w:rsid w:val="7B06A4E4"/>
    <w:rsid w:val="7B1144E2"/>
    <w:rsid w:val="7B29CB19"/>
    <w:rsid w:val="7B29F1EF"/>
    <w:rsid w:val="7B2E2F1B"/>
    <w:rsid w:val="7B32539C"/>
    <w:rsid w:val="7B373351"/>
    <w:rsid w:val="7B753D76"/>
    <w:rsid w:val="7B78E7EA"/>
    <w:rsid w:val="7B7D948D"/>
    <w:rsid w:val="7B82280C"/>
    <w:rsid w:val="7B8BDB9B"/>
    <w:rsid w:val="7B9B14BF"/>
    <w:rsid w:val="7B9B9F7B"/>
    <w:rsid w:val="7BA2BD2E"/>
    <w:rsid w:val="7BAA0FA8"/>
    <w:rsid w:val="7BAB62EA"/>
    <w:rsid w:val="7BBC3BFB"/>
    <w:rsid w:val="7BBD1480"/>
    <w:rsid w:val="7BE19B6E"/>
    <w:rsid w:val="7BEE61D2"/>
    <w:rsid w:val="7BF73337"/>
    <w:rsid w:val="7C1C0451"/>
    <w:rsid w:val="7C2E5042"/>
    <w:rsid w:val="7C368291"/>
    <w:rsid w:val="7C42E228"/>
    <w:rsid w:val="7C5CF9D2"/>
    <w:rsid w:val="7C61FD0D"/>
    <w:rsid w:val="7C6D6F73"/>
    <w:rsid w:val="7C874515"/>
    <w:rsid w:val="7C8BB55A"/>
    <w:rsid w:val="7CAC9703"/>
    <w:rsid w:val="7CB46C2E"/>
    <w:rsid w:val="7CBBD9A9"/>
    <w:rsid w:val="7CD37B62"/>
    <w:rsid w:val="7CF7AEE5"/>
    <w:rsid w:val="7CFF85C0"/>
    <w:rsid w:val="7D009A9B"/>
    <w:rsid w:val="7D0416F7"/>
    <w:rsid w:val="7D0C89B2"/>
    <w:rsid w:val="7D0DDFC4"/>
    <w:rsid w:val="7D1FDDD8"/>
    <w:rsid w:val="7D2C2E71"/>
    <w:rsid w:val="7D2C57F8"/>
    <w:rsid w:val="7D3B97FD"/>
    <w:rsid w:val="7D3C7006"/>
    <w:rsid w:val="7D4EC551"/>
    <w:rsid w:val="7D5478D0"/>
    <w:rsid w:val="7D557CC2"/>
    <w:rsid w:val="7D7D1D35"/>
    <w:rsid w:val="7D87CEDE"/>
    <w:rsid w:val="7DC5704D"/>
    <w:rsid w:val="7DCD2499"/>
    <w:rsid w:val="7DCFC1DD"/>
    <w:rsid w:val="7DD5D2AD"/>
    <w:rsid w:val="7DD9D59D"/>
    <w:rsid w:val="7DE336FD"/>
    <w:rsid w:val="7DE59D10"/>
    <w:rsid w:val="7DF023DE"/>
    <w:rsid w:val="7E371758"/>
    <w:rsid w:val="7E43D577"/>
    <w:rsid w:val="7E5CC98E"/>
    <w:rsid w:val="7E6A4A7F"/>
    <w:rsid w:val="7E6F9AC0"/>
    <w:rsid w:val="7E860DE7"/>
    <w:rsid w:val="7EA09555"/>
    <w:rsid w:val="7EA25C0F"/>
    <w:rsid w:val="7EB88668"/>
    <w:rsid w:val="7EBCD5AB"/>
    <w:rsid w:val="7EF9AF00"/>
    <w:rsid w:val="7F056A3F"/>
    <w:rsid w:val="7F21981D"/>
    <w:rsid w:val="7F235ED5"/>
    <w:rsid w:val="7F37FD54"/>
    <w:rsid w:val="7F38B7C0"/>
    <w:rsid w:val="7F559C98"/>
    <w:rsid w:val="7F63E2FD"/>
    <w:rsid w:val="7F795C09"/>
    <w:rsid w:val="7F8AFEA9"/>
    <w:rsid w:val="7FA4263F"/>
    <w:rsid w:val="7FA4ADA5"/>
    <w:rsid w:val="7FADA178"/>
    <w:rsid w:val="7FB75534"/>
    <w:rsid w:val="7FC4062E"/>
    <w:rsid w:val="7FD24A83"/>
    <w:rsid w:val="7FE11A34"/>
    <w:rsid w:val="7FEFB12F"/>
    <w:rsid w:val="7FF4CDE9"/>
    <w:rsid w:val="7FFE80F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2"/>
    </o:shapelayout>
  </w:shapeDefaults>
  <w:decimalSymbol w:val="."/>
  <w:listSeparator w:val=","/>
  <w14:docId w14:val="158CB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86F"/>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3D486F"/>
    <w:pPr>
      <w:spacing w:before="600" w:line="460" w:lineRule="exact"/>
      <w:outlineLvl w:val="0"/>
    </w:pPr>
    <w:rPr>
      <w:b/>
      <w:bCs w:val="0"/>
      <w:color w:val="5D779D" w:themeColor="accent3"/>
      <w:sz w:val="44"/>
    </w:rPr>
  </w:style>
  <w:style w:type="paragraph" w:styleId="Heading2">
    <w:name w:val="heading 2"/>
    <w:basedOn w:val="HeadingBase"/>
    <w:next w:val="Normal"/>
    <w:link w:val="Heading2Char"/>
    <w:qFormat/>
    <w:rsid w:val="003D486F"/>
    <w:pPr>
      <w:spacing w:before="360" w:line="460" w:lineRule="exact"/>
      <w:outlineLvl w:val="1"/>
    </w:pPr>
    <w:rPr>
      <w:bCs w:val="0"/>
      <w:iCs/>
      <w:color w:val="2C384A" w:themeColor="accent1"/>
      <w:sz w:val="36"/>
      <w:szCs w:val="28"/>
    </w:rPr>
  </w:style>
  <w:style w:type="paragraph" w:styleId="Heading3">
    <w:name w:val="heading 3"/>
    <w:basedOn w:val="HeadingBase"/>
    <w:next w:val="Normal"/>
    <w:link w:val="Heading3Char"/>
    <w:qFormat/>
    <w:rsid w:val="003D486F"/>
    <w:pPr>
      <w:spacing w:before="320" w:after="0" w:line="276" w:lineRule="auto"/>
      <w:outlineLvl w:val="2"/>
    </w:pPr>
    <w:rPr>
      <w:b/>
      <w:bCs w:val="0"/>
      <w:color w:val="4D7861" w:themeColor="accent2"/>
      <w:sz w:val="28"/>
      <w:szCs w:val="26"/>
    </w:rPr>
  </w:style>
  <w:style w:type="paragraph" w:styleId="Heading4">
    <w:name w:val="heading 4"/>
    <w:basedOn w:val="HeadingBase"/>
    <w:next w:val="Normal"/>
    <w:link w:val="Heading4Char"/>
    <w:qFormat/>
    <w:rsid w:val="003D486F"/>
    <w:pPr>
      <w:spacing w:before="280" w:after="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rsid w:val="003D486F"/>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3D486F"/>
    <w:pPr>
      <w:spacing w:before="120" w:after="0" w:line="276" w:lineRule="auto"/>
      <w:outlineLvl w:val="5"/>
    </w:pPr>
    <w:rPr>
      <w:rFonts w:ascii="Calibri Light" w:hAnsi="Calibri Light"/>
      <w:bCs w:val="0"/>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D486F"/>
    <w:rPr>
      <w:rFonts w:ascii="Calibri" w:eastAsia="Times New Roman" w:hAnsi="Calibri" w:cs="Arial"/>
      <w:b/>
      <w:color w:val="5D779D" w:themeColor="accent3"/>
      <w:kern w:val="32"/>
      <w:sz w:val="44"/>
      <w:szCs w:val="36"/>
      <w:lang w:eastAsia="en-AU"/>
    </w:rPr>
  </w:style>
  <w:style w:type="character" w:customStyle="1" w:styleId="Heading2Char">
    <w:name w:val="Heading 2 Char"/>
    <w:basedOn w:val="DefaultParagraphFont"/>
    <w:link w:val="Heading2"/>
    <w:rsid w:val="003D486F"/>
    <w:rPr>
      <w:rFonts w:ascii="Calibri" w:eastAsia="Times New Roman" w:hAnsi="Calibri" w:cs="Arial"/>
      <w:iCs/>
      <w:color w:val="2C384A" w:themeColor="accent1"/>
      <w:kern w:val="32"/>
      <w:sz w:val="36"/>
      <w:szCs w:val="28"/>
      <w:lang w:eastAsia="en-AU"/>
    </w:rPr>
  </w:style>
  <w:style w:type="character" w:customStyle="1" w:styleId="Heading3Char">
    <w:name w:val="Heading 3 Char"/>
    <w:basedOn w:val="DefaultParagraphFont"/>
    <w:link w:val="Heading3"/>
    <w:rsid w:val="003D486F"/>
    <w:rPr>
      <w:rFonts w:ascii="Calibri" w:eastAsia="Times New Roman" w:hAnsi="Calibri" w:cs="Arial"/>
      <w:b/>
      <w:color w:val="4D7861" w:themeColor="accent2"/>
      <w:kern w:val="32"/>
      <w:sz w:val="28"/>
      <w:szCs w:val="26"/>
      <w:lang w:eastAsia="en-AU"/>
    </w:rPr>
  </w:style>
  <w:style w:type="character" w:customStyle="1" w:styleId="Heading4Char">
    <w:name w:val="Heading 4 Char"/>
    <w:basedOn w:val="DefaultParagraphFont"/>
    <w:link w:val="Heading4"/>
    <w:rsid w:val="003D486F"/>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rsid w:val="003D486F"/>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3D486F"/>
    <w:rPr>
      <w:rFonts w:ascii="Calibri Light" w:eastAsia="Times New Roman" w:hAnsi="Calibri Light" w:cs="Arial"/>
      <w:color w:val="000000" w:themeColor="text1"/>
      <w:kern w:val="32"/>
      <w:lang w:eastAsia="en-AU"/>
    </w:rPr>
  </w:style>
  <w:style w:type="paragraph" w:customStyle="1" w:styleId="ChartGraphic">
    <w:name w:val="Chart Graphic"/>
    <w:basedOn w:val="Normal"/>
    <w:next w:val="Normal"/>
    <w:rsid w:val="003D486F"/>
    <w:pPr>
      <w:keepNext/>
      <w:spacing w:before="0" w:after="0"/>
      <w:jc w:val="center"/>
    </w:pPr>
    <w:rPr>
      <w:color w:val="004A7F"/>
      <w:sz w:val="20"/>
    </w:rPr>
  </w:style>
  <w:style w:type="paragraph" w:customStyle="1" w:styleId="AlphaParagraph">
    <w:name w:val="Alpha Paragraph"/>
    <w:basedOn w:val="Normal"/>
    <w:qFormat/>
    <w:rsid w:val="003D486F"/>
    <w:pPr>
      <w:numPr>
        <w:ilvl w:val="1"/>
        <w:numId w:val="7"/>
      </w:numPr>
      <w:spacing w:before="0"/>
    </w:pPr>
  </w:style>
  <w:style w:type="character" w:customStyle="1" w:styleId="DashChar">
    <w:name w:val="Dash Char"/>
    <w:basedOn w:val="DefaultParagraphFont"/>
    <w:link w:val="Dash"/>
    <w:uiPriority w:val="99"/>
    <w:locked/>
    <w:rsid w:val="003D486F"/>
    <w:rPr>
      <w:rFonts w:ascii="Calibri Light" w:eastAsia="Times New Roman" w:hAnsi="Calibri Light" w:cs="Times New Roman"/>
      <w:szCs w:val="20"/>
      <w:lang w:eastAsia="en-AU"/>
    </w:rPr>
  </w:style>
  <w:style w:type="character" w:customStyle="1" w:styleId="DoubleDotChar">
    <w:name w:val="Double Dot Char"/>
    <w:basedOn w:val="DefaultParagraphFont"/>
    <w:link w:val="DoubleDot"/>
    <w:uiPriority w:val="99"/>
    <w:locked/>
    <w:rsid w:val="003D486F"/>
    <w:rPr>
      <w:rFonts w:ascii="Calibri Light" w:eastAsia="Times New Roman" w:hAnsi="Calibri Light" w:cs="Times New Roman"/>
      <w:szCs w:val="20"/>
      <w:lang w:eastAsia="en-AU"/>
    </w:rPr>
  </w:style>
  <w:style w:type="character" w:customStyle="1" w:styleId="BulletChar">
    <w:name w:val="Bullet Char"/>
    <w:basedOn w:val="DefaultParagraphFont"/>
    <w:link w:val="Bullet"/>
    <w:locked/>
    <w:rsid w:val="003D486F"/>
    <w:rPr>
      <w:rFonts w:ascii="Calibri Light" w:eastAsia="Times New Roman" w:hAnsi="Calibri Light" w:cs="Times New Roman"/>
      <w:szCs w:val="20"/>
      <w:lang w:eastAsia="en-AU"/>
    </w:rPr>
  </w:style>
  <w:style w:type="paragraph" w:customStyle="1" w:styleId="BoxHeading">
    <w:name w:val="Box Heading"/>
    <w:basedOn w:val="Normal"/>
    <w:next w:val="Normal"/>
    <w:rsid w:val="003D486F"/>
    <w:pPr>
      <w:keepNext/>
      <w:spacing w:before="240"/>
    </w:pPr>
    <w:rPr>
      <w:b/>
      <w:color w:val="2C384A" w:themeColor="accent1"/>
      <w:sz w:val="26"/>
      <w:szCs w:val="26"/>
    </w:rPr>
  </w:style>
  <w:style w:type="paragraph" w:customStyle="1" w:styleId="BoxText">
    <w:name w:val="Box Text"/>
    <w:basedOn w:val="Normal"/>
    <w:link w:val="BoxTextChar"/>
    <w:rsid w:val="003D486F"/>
  </w:style>
  <w:style w:type="paragraph" w:customStyle="1" w:styleId="Bullet">
    <w:name w:val="Bullet"/>
    <w:basedOn w:val="Normal"/>
    <w:link w:val="BulletChar"/>
    <w:qFormat/>
    <w:rsid w:val="003D486F"/>
    <w:pPr>
      <w:numPr>
        <w:numId w:val="9"/>
      </w:numPr>
      <w:tabs>
        <w:tab w:val="left" w:pos="720"/>
      </w:tabs>
      <w:spacing w:before="0" w:line="276" w:lineRule="auto"/>
    </w:pPr>
  </w:style>
  <w:style w:type="paragraph" w:customStyle="1" w:styleId="ChartandTableFootnoteAlpha">
    <w:name w:val="Chart and Table Footnote Alpha"/>
    <w:rsid w:val="003D486F"/>
    <w:pPr>
      <w:numPr>
        <w:numId w:val="8"/>
      </w:numPr>
      <w:spacing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3D486F"/>
    <w:pPr>
      <w:jc w:val="center"/>
    </w:pPr>
  </w:style>
  <w:style w:type="paragraph" w:customStyle="1" w:styleId="ChartorTableNote">
    <w:name w:val="Chart or Table Note"/>
    <w:next w:val="Normal"/>
    <w:rsid w:val="003D486F"/>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3D486F"/>
    <w:pPr>
      <w:jc w:val="center"/>
    </w:pPr>
    <w:rPr>
      <w:b w:val="0"/>
      <w:bCs/>
    </w:rPr>
  </w:style>
  <w:style w:type="paragraph" w:customStyle="1" w:styleId="ReportDate">
    <w:name w:val="Report Date"/>
    <w:basedOn w:val="Normal"/>
    <w:link w:val="ReportDateChar"/>
    <w:rsid w:val="003D486F"/>
    <w:pPr>
      <w:keepNext/>
      <w:spacing w:before="0" w:after="360"/>
    </w:pPr>
    <w:rPr>
      <w:color w:val="90B6F0"/>
      <w:sz w:val="32"/>
    </w:rPr>
  </w:style>
  <w:style w:type="paragraph" w:customStyle="1" w:styleId="Dash">
    <w:name w:val="Dash"/>
    <w:basedOn w:val="Normal"/>
    <w:link w:val="DashChar"/>
    <w:uiPriority w:val="99"/>
    <w:qFormat/>
    <w:rsid w:val="003D486F"/>
    <w:pPr>
      <w:numPr>
        <w:ilvl w:val="1"/>
        <w:numId w:val="9"/>
      </w:numPr>
      <w:spacing w:before="0"/>
    </w:pPr>
  </w:style>
  <w:style w:type="paragraph" w:customStyle="1" w:styleId="DoubleDot">
    <w:name w:val="Double Dot"/>
    <w:basedOn w:val="Normal"/>
    <w:link w:val="DoubleDotChar"/>
    <w:uiPriority w:val="99"/>
    <w:qFormat/>
    <w:rsid w:val="003D486F"/>
    <w:pPr>
      <w:numPr>
        <w:ilvl w:val="2"/>
        <w:numId w:val="9"/>
      </w:numPr>
      <w:spacing w:before="0"/>
    </w:pPr>
  </w:style>
  <w:style w:type="paragraph" w:customStyle="1" w:styleId="TableMainHeading">
    <w:name w:val="Table Main Heading"/>
    <w:basedOn w:val="Heading3"/>
    <w:next w:val="Normal"/>
    <w:rsid w:val="00975965"/>
    <w:pPr>
      <w:spacing w:before="120"/>
      <w:outlineLvl w:val="9"/>
    </w:pPr>
    <w:rPr>
      <w:b w:val="0"/>
      <w:sz w:val="26"/>
    </w:rPr>
  </w:style>
  <w:style w:type="paragraph" w:customStyle="1" w:styleId="FooterEven">
    <w:name w:val="Footer Even"/>
    <w:basedOn w:val="Footer"/>
    <w:rsid w:val="003D486F"/>
    <w:pPr>
      <w:keepNext/>
      <w:tabs>
        <w:tab w:val="clear" w:pos="4513"/>
        <w:tab w:val="clear" w:pos="9026"/>
        <w:tab w:val="right" w:pos="9072"/>
      </w:tabs>
      <w:jc w:val="left"/>
    </w:pPr>
    <w:rPr>
      <w:noProof/>
      <w:color w:val="2C384A" w:themeColor="accent1"/>
    </w:rPr>
  </w:style>
  <w:style w:type="paragraph" w:customStyle="1" w:styleId="FooterOdd">
    <w:name w:val="Footer Odd"/>
    <w:basedOn w:val="Footer"/>
    <w:rsid w:val="003D486F"/>
    <w:pPr>
      <w:keepNext/>
      <w:tabs>
        <w:tab w:val="clear" w:pos="4513"/>
        <w:tab w:val="clear" w:pos="9026"/>
        <w:tab w:val="right" w:pos="9072"/>
      </w:tabs>
      <w:jc w:val="right"/>
    </w:pPr>
    <w:rPr>
      <w:color w:val="2C384A" w:themeColor="accent1"/>
    </w:rPr>
  </w:style>
  <w:style w:type="character" w:styleId="Hyperlink">
    <w:name w:val="Hyperlink"/>
    <w:aliases w:val="table"/>
    <w:basedOn w:val="DefaultParagraphFont"/>
    <w:uiPriority w:val="99"/>
    <w:rsid w:val="003D486F"/>
    <w:rPr>
      <w:color w:val="3A6FAF"/>
      <w:u w:val="none"/>
    </w:rPr>
  </w:style>
  <w:style w:type="paragraph" w:customStyle="1" w:styleId="OutlineNumbered1">
    <w:name w:val="Outline Numbered 1"/>
    <w:basedOn w:val="Normal"/>
    <w:link w:val="OutlineNumbered1Char"/>
    <w:rsid w:val="003D486F"/>
    <w:pPr>
      <w:numPr>
        <w:numId w:val="5"/>
      </w:numPr>
      <w:spacing w:before="0"/>
    </w:pPr>
  </w:style>
  <w:style w:type="paragraph" w:customStyle="1" w:styleId="OutlineNumbered2">
    <w:name w:val="Outline Numbered 2"/>
    <w:basedOn w:val="Normal"/>
    <w:rsid w:val="003D486F"/>
    <w:pPr>
      <w:numPr>
        <w:ilvl w:val="1"/>
        <w:numId w:val="5"/>
      </w:numPr>
      <w:spacing w:before="0"/>
    </w:pPr>
  </w:style>
  <w:style w:type="paragraph" w:customStyle="1" w:styleId="OutlineNumbered3">
    <w:name w:val="Outline Numbered 3"/>
    <w:basedOn w:val="Normal"/>
    <w:rsid w:val="003D486F"/>
    <w:pPr>
      <w:numPr>
        <w:ilvl w:val="2"/>
        <w:numId w:val="5"/>
      </w:numPr>
      <w:spacing w:before="0"/>
    </w:pPr>
  </w:style>
  <w:style w:type="paragraph" w:customStyle="1" w:styleId="SingleParagraph">
    <w:name w:val="Single Paragraph"/>
    <w:basedOn w:val="Normal"/>
    <w:next w:val="Normal"/>
    <w:link w:val="SingleParagraphChar"/>
    <w:rsid w:val="003D486F"/>
    <w:pPr>
      <w:spacing w:before="0" w:after="0"/>
    </w:pPr>
  </w:style>
  <w:style w:type="paragraph" w:customStyle="1" w:styleId="TableSecondHeading">
    <w:name w:val="Table Second Heading"/>
    <w:basedOn w:val="Normal"/>
    <w:next w:val="Normal"/>
    <w:rsid w:val="003D486F"/>
    <w:pPr>
      <w:keepNext/>
      <w:spacing w:before="0" w:after="20"/>
    </w:pPr>
    <w:rPr>
      <w:b/>
      <w:color w:val="004A7F"/>
    </w:rPr>
  </w:style>
  <w:style w:type="paragraph" w:customStyle="1" w:styleId="TableColumnHeadingCentred">
    <w:name w:val="Table Column Heading Centred"/>
    <w:basedOn w:val="TableTextLeft"/>
    <w:rsid w:val="003D486F"/>
    <w:pPr>
      <w:jc w:val="center"/>
    </w:pPr>
    <w:rPr>
      <w:b/>
      <w:color w:val="2C384A" w:themeColor="accent1"/>
      <w:sz w:val="20"/>
    </w:rPr>
  </w:style>
  <w:style w:type="paragraph" w:customStyle="1" w:styleId="TableColumnHeadingLeft">
    <w:name w:val="Table Column Heading Left"/>
    <w:basedOn w:val="TableTextLeft"/>
    <w:rsid w:val="003D486F"/>
    <w:rPr>
      <w:b/>
      <w:color w:val="2C384A" w:themeColor="accent1"/>
      <w:sz w:val="20"/>
    </w:rPr>
  </w:style>
  <w:style w:type="paragraph" w:customStyle="1" w:styleId="TableColumnHeadingRight">
    <w:name w:val="Table Column Heading Right"/>
    <w:basedOn w:val="TableTextLeft"/>
    <w:rsid w:val="003D486F"/>
    <w:pPr>
      <w:jc w:val="right"/>
    </w:pPr>
    <w:rPr>
      <w:b/>
      <w:color w:val="2C384A" w:themeColor="accent1"/>
      <w:sz w:val="20"/>
    </w:rPr>
  </w:style>
  <w:style w:type="table" w:styleId="TableGrid">
    <w:name w:val="Table Grid"/>
    <w:basedOn w:val="TableNormal"/>
    <w:rsid w:val="003D486F"/>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themeColor="accent1"/>
        <w:sz w:val="20"/>
      </w:rPr>
      <w:tblPr/>
      <w:tcPr>
        <w:shd w:val="clear" w:color="auto" w:fill="EEEEEE" w:themeFill="background2"/>
      </w:tcPr>
    </w:tblStylePr>
  </w:style>
  <w:style w:type="paragraph" w:customStyle="1" w:styleId="TableTextCentered">
    <w:name w:val="Table Text Centered"/>
    <w:basedOn w:val="TableTextRight"/>
    <w:rsid w:val="003D486F"/>
    <w:pPr>
      <w:jc w:val="center"/>
    </w:pPr>
  </w:style>
  <w:style w:type="paragraph" w:customStyle="1" w:styleId="TableTextLeft">
    <w:name w:val="Table Text Left"/>
    <w:basedOn w:val="TableTextRight"/>
    <w:link w:val="TableTextLeftChar"/>
    <w:rsid w:val="00283753"/>
    <w:pPr>
      <w:jc w:val="left"/>
    </w:pPr>
    <w:rPr>
      <w:sz w:val="16"/>
    </w:rPr>
  </w:style>
  <w:style w:type="paragraph" w:customStyle="1" w:styleId="TableTextRight">
    <w:name w:val="Table Text Right"/>
    <w:basedOn w:val="Normal"/>
    <w:rsid w:val="003D486F"/>
    <w:pPr>
      <w:spacing w:before="40" w:after="40"/>
      <w:jc w:val="right"/>
    </w:pPr>
    <w:rPr>
      <w:color w:val="000000"/>
      <w:sz w:val="18"/>
    </w:rPr>
  </w:style>
  <w:style w:type="paragraph" w:styleId="TOC1">
    <w:name w:val="toc 1"/>
    <w:basedOn w:val="Normal"/>
    <w:next w:val="Normal"/>
    <w:uiPriority w:val="39"/>
    <w:rsid w:val="003D486F"/>
    <w:pPr>
      <w:keepNext/>
      <w:tabs>
        <w:tab w:val="right" w:leader="dot" w:pos="9072"/>
      </w:tabs>
      <w:spacing w:before="180" w:after="0"/>
      <w:ind w:right="-2"/>
    </w:pPr>
    <w:rPr>
      <w:b/>
      <w:noProof/>
      <w:color w:val="2C384A" w:themeColor="accent1"/>
      <w:szCs w:val="22"/>
    </w:rPr>
  </w:style>
  <w:style w:type="paragraph" w:styleId="TOC2">
    <w:name w:val="toc 2"/>
    <w:basedOn w:val="Normal"/>
    <w:next w:val="Normal"/>
    <w:uiPriority w:val="39"/>
    <w:rsid w:val="003D486F"/>
    <w:pPr>
      <w:keepNext/>
      <w:tabs>
        <w:tab w:val="right" w:leader="dot" w:pos="9072"/>
      </w:tabs>
      <w:spacing w:before="40" w:after="20"/>
      <w:ind w:right="-2"/>
    </w:pPr>
    <w:rPr>
      <w:noProof/>
      <w:color w:val="5D779D" w:themeColor="accent3"/>
    </w:rPr>
  </w:style>
  <w:style w:type="paragraph" w:styleId="TOC3">
    <w:name w:val="toc 3"/>
    <w:basedOn w:val="Normal"/>
    <w:next w:val="Normal"/>
    <w:uiPriority w:val="39"/>
    <w:rsid w:val="003D486F"/>
    <w:pPr>
      <w:tabs>
        <w:tab w:val="right" w:leader="dot" w:pos="9072"/>
      </w:tabs>
      <w:spacing w:before="20" w:after="0"/>
      <w:ind w:left="284" w:right="-2"/>
    </w:pPr>
    <w:rPr>
      <w:rFonts w:cs="Calibri"/>
      <w:noProof/>
    </w:rPr>
  </w:style>
  <w:style w:type="numbering" w:customStyle="1" w:styleId="OutlineList">
    <w:name w:val="OutlineList"/>
    <w:uiPriority w:val="99"/>
    <w:rsid w:val="003D486F"/>
    <w:pPr>
      <w:numPr>
        <w:numId w:val="4"/>
      </w:numPr>
    </w:pPr>
  </w:style>
  <w:style w:type="numbering" w:customStyle="1" w:styleId="BulletedList">
    <w:name w:val="Bulleted List"/>
    <w:uiPriority w:val="99"/>
    <w:rsid w:val="003D486F"/>
    <w:pPr>
      <w:numPr>
        <w:numId w:val="1"/>
      </w:numPr>
    </w:pPr>
  </w:style>
  <w:style w:type="numbering" w:customStyle="1" w:styleId="BoxBulletedList">
    <w:name w:val="Box Bulleted List"/>
    <w:uiPriority w:val="99"/>
    <w:rsid w:val="003D486F"/>
    <w:pPr>
      <w:numPr>
        <w:numId w:val="2"/>
      </w:numPr>
    </w:pPr>
  </w:style>
  <w:style w:type="numbering" w:customStyle="1" w:styleId="OneLevelList">
    <w:name w:val="OneLevelList"/>
    <w:uiPriority w:val="99"/>
    <w:rsid w:val="003D486F"/>
    <w:pPr>
      <w:numPr>
        <w:numId w:val="3"/>
      </w:numPr>
    </w:pPr>
  </w:style>
  <w:style w:type="numbering" w:customStyle="1" w:styleId="ChartandTableFootnoteAlphaList">
    <w:name w:val="ChartandTableFootnoteAlphaList"/>
    <w:uiPriority w:val="99"/>
    <w:rsid w:val="003D486F"/>
    <w:pPr>
      <w:numPr>
        <w:numId w:val="8"/>
      </w:numPr>
    </w:pPr>
  </w:style>
  <w:style w:type="paragraph" w:customStyle="1" w:styleId="Heading1Numbered">
    <w:name w:val="Heading 1 Numbered"/>
    <w:basedOn w:val="Heading1"/>
    <w:next w:val="Normal"/>
    <w:rsid w:val="003D486F"/>
    <w:pPr>
      <w:numPr>
        <w:numId w:val="6"/>
      </w:numPr>
    </w:pPr>
  </w:style>
  <w:style w:type="character" w:customStyle="1" w:styleId="SingleParagraphChar">
    <w:name w:val="Single Paragraph Char"/>
    <w:basedOn w:val="DefaultParagraphFont"/>
    <w:link w:val="SingleParagraph"/>
    <w:rsid w:val="003D486F"/>
    <w:rPr>
      <w:rFonts w:ascii="Calibri Light" w:eastAsia="Times New Roman" w:hAnsi="Calibri Light" w:cs="Times New Roman"/>
      <w:szCs w:val="20"/>
      <w:lang w:eastAsia="en-AU"/>
    </w:rPr>
  </w:style>
  <w:style w:type="paragraph" w:customStyle="1" w:styleId="Heading2Numbered">
    <w:name w:val="Heading 2 Numbered"/>
    <w:basedOn w:val="Heading2"/>
    <w:next w:val="Normal"/>
    <w:rsid w:val="003D486F"/>
    <w:pPr>
      <w:numPr>
        <w:ilvl w:val="1"/>
        <w:numId w:val="6"/>
      </w:numPr>
      <w:ind w:left="284" w:hanging="284"/>
    </w:pPr>
  </w:style>
  <w:style w:type="paragraph" w:customStyle="1" w:styleId="Heading3Numbered">
    <w:name w:val="Heading 3 Numbered"/>
    <w:basedOn w:val="Heading3"/>
    <w:rsid w:val="003D486F"/>
    <w:pPr>
      <w:numPr>
        <w:ilvl w:val="2"/>
        <w:numId w:val="6"/>
      </w:numPr>
      <w:ind w:left="284" w:hanging="284"/>
    </w:pPr>
  </w:style>
  <w:style w:type="paragraph" w:styleId="Title">
    <w:name w:val="Title"/>
    <w:basedOn w:val="Normal"/>
    <w:next w:val="Normal"/>
    <w:link w:val="TitleChar"/>
    <w:uiPriority w:val="10"/>
    <w:rsid w:val="003D486F"/>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3D486F"/>
    <w:rPr>
      <w:rFonts w:ascii="Calibri Light" w:eastAsiaTheme="majorEastAsia" w:hAnsi="Calibri Light"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rsid w:val="003D486F"/>
    <w:pPr>
      <w:numPr>
        <w:ilvl w:val="1"/>
      </w:numPr>
    </w:pPr>
    <w:rPr>
      <w:rFonts w:eastAsiaTheme="majorEastAsia" w:cstheme="majorBidi"/>
      <w:iCs/>
      <w:color w:val="EEEEEE"/>
      <w:sz w:val="44"/>
      <w:szCs w:val="44"/>
    </w:rPr>
  </w:style>
  <w:style w:type="character" w:customStyle="1" w:styleId="SubtitleChar">
    <w:name w:val="Subtitle Char"/>
    <w:basedOn w:val="DefaultParagraphFont"/>
    <w:link w:val="Subtitle"/>
    <w:uiPriority w:val="11"/>
    <w:rsid w:val="003D486F"/>
    <w:rPr>
      <w:rFonts w:ascii="Calibri Light" w:eastAsiaTheme="majorEastAsia" w:hAnsi="Calibri Light" w:cstheme="majorBidi"/>
      <w:iCs/>
      <w:color w:val="EEEEEE"/>
      <w:sz w:val="44"/>
      <w:szCs w:val="44"/>
      <w:lang w:eastAsia="en-AU"/>
    </w:rPr>
  </w:style>
  <w:style w:type="character" w:styleId="SubtleEmphasis">
    <w:name w:val="Subtle Emphasis"/>
    <w:basedOn w:val="DefaultParagraphFont"/>
    <w:uiPriority w:val="19"/>
    <w:rsid w:val="003D486F"/>
    <w:rPr>
      <w:i/>
      <w:iCs/>
      <w:color w:val="808080" w:themeColor="text1" w:themeTint="7F"/>
    </w:rPr>
  </w:style>
  <w:style w:type="paragraph" w:styleId="Footer">
    <w:name w:val="footer"/>
    <w:basedOn w:val="Normal"/>
    <w:link w:val="FooterChar"/>
    <w:unhideWhenUsed/>
    <w:rsid w:val="003D486F"/>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rsid w:val="003D486F"/>
    <w:rPr>
      <w:rFonts w:ascii="Calibri Light" w:eastAsia="Times New Roman" w:hAnsi="Calibri Light" w:cs="Times New Roman"/>
      <w:color w:val="002C47"/>
      <w:sz w:val="20"/>
      <w:szCs w:val="20"/>
      <w:lang w:eastAsia="en-AU"/>
    </w:rPr>
  </w:style>
  <w:style w:type="paragraph" w:styleId="Header">
    <w:name w:val="header"/>
    <w:basedOn w:val="Normal"/>
    <w:link w:val="HeaderChar"/>
    <w:uiPriority w:val="99"/>
    <w:unhideWhenUsed/>
    <w:rsid w:val="003D486F"/>
    <w:pPr>
      <w:keepNext/>
      <w:spacing w:before="0" w:after="0"/>
      <w:jc w:val="right"/>
    </w:pPr>
    <w:rPr>
      <w:color w:val="004A7F"/>
      <w:sz w:val="20"/>
    </w:rPr>
  </w:style>
  <w:style w:type="character" w:customStyle="1" w:styleId="HeaderChar">
    <w:name w:val="Header Char"/>
    <w:basedOn w:val="DefaultParagraphFont"/>
    <w:link w:val="Header"/>
    <w:uiPriority w:val="99"/>
    <w:rsid w:val="003D486F"/>
    <w:rPr>
      <w:rFonts w:ascii="Calibri Light" w:eastAsia="Times New Roman" w:hAnsi="Calibri Light" w:cs="Times New Roman"/>
      <w:color w:val="004A7F"/>
      <w:sz w:val="20"/>
      <w:szCs w:val="20"/>
      <w:lang w:eastAsia="en-AU"/>
    </w:rPr>
  </w:style>
  <w:style w:type="character" w:styleId="PlaceholderText">
    <w:name w:val="Placeholder Text"/>
    <w:basedOn w:val="DefaultParagraphFont"/>
    <w:uiPriority w:val="99"/>
    <w:semiHidden/>
    <w:rsid w:val="003D486F"/>
    <w:rPr>
      <w:color w:val="808080"/>
    </w:rPr>
  </w:style>
  <w:style w:type="paragraph" w:customStyle="1" w:styleId="AppendixHeading">
    <w:name w:val="Appendix Heading"/>
    <w:basedOn w:val="Heading1"/>
    <w:next w:val="Normal"/>
    <w:rsid w:val="003D486F"/>
  </w:style>
  <w:style w:type="paragraph" w:customStyle="1" w:styleId="HeadingBase">
    <w:name w:val="Heading Base"/>
    <w:rsid w:val="003D486F"/>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3D486F"/>
    <w:rPr>
      <w:rFonts w:ascii="Calibri Light" w:eastAsia="Times New Roman" w:hAnsi="Calibri Light" w:cs="Times New Roman"/>
      <w:color w:val="90B6F0"/>
      <w:sz w:val="32"/>
      <w:szCs w:val="20"/>
      <w:lang w:eastAsia="en-AU"/>
    </w:rPr>
  </w:style>
  <w:style w:type="paragraph" w:customStyle="1" w:styleId="NotesHeading">
    <w:name w:val="Notes Heading"/>
    <w:basedOn w:val="Normal"/>
    <w:rsid w:val="003D486F"/>
    <w:pPr>
      <w:keepNext/>
      <w:spacing w:before="240" w:after="360"/>
      <w:jc w:val="center"/>
    </w:pPr>
    <w:rPr>
      <w:rFonts w:ascii="Century Gothic" w:hAnsi="Century Gothic"/>
      <w:smallCaps/>
      <w:color w:val="5F5F5F" w:themeColor="text2"/>
      <w:sz w:val="36"/>
      <w:szCs w:val="36"/>
    </w:rPr>
  </w:style>
  <w:style w:type="paragraph" w:styleId="ListParagraph">
    <w:name w:val="List Paragraph"/>
    <w:basedOn w:val="Normal"/>
    <w:uiPriority w:val="34"/>
    <w:rsid w:val="003D486F"/>
    <w:pPr>
      <w:ind w:left="720"/>
      <w:contextualSpacing/>
    </w:pPr>
  </w:style>
  <w:style w:type="paragraph" w:customStyle="1" w:styleId="TableTextIndented">
    <w:name w:val="Table Text Indented"/>
    <w:basedOn w:val="TableTextLeft"/>
    <w:rsid w:val="003D486F"/>
    <w:pPr>
      <w:ind w:left="284"/>
    </w:pPr>
  </w:style>
  <w:style w:type="paragraph" w:customStyle="1" w:styleId="TableHeadingContinued">
    <w:name w:val="Table Heading Continued"/>
    <w:basedOn w:val="TableMainHeading"/>
    <w:next w:val="TableGraphic"/>
    <w:rsid w:val="003D486F"/>
  </w:style>
  <w:style w:type="paragraph" w:customStyle="1" w:styleId="TableGraphic">
    <w:name w:val="Table Graphic"/>
    <w:basedOn w:val="HeadingBase"/>
    <w:next w:val="Normal"/>
    <w:rsid w:val="003D486F"/>
    <w:pPr>
      <w:spacing w:after="0"/>
    </w:pPr>
  </w:style>
  <w:style w:type="paragraph" w:customStyle="1" w:styleId="HeaderEven">
    <w:name w:val="Header Even"/>
    <w:basedOn w:val="Header"/>
    <w:qFormat/>
    <w:rsid w:val="003D486F"/>
    <w:pPr>
      <w:jc w:val="left"/>
    </w:pPr>
    <w:rPr>
      <w:color w:val="002C47"/>
    </w:rPr>
  </w:style>
  <w:style w:type="paragraph" w:customStyle="1" w:styleId="HeaderOdd">
    <w:name w:val="Header Odd"/>
    <w:basedOn w:val="Header"/>
    <w:qFormat/>
    <w:rsid w:val="003D486F"/>
    <w:rPr>
      <w:color w:val="002C47"/>
    </w:rPr>
  </w:style>
  <w:style w:type="paragraph" w:styleId="FootnoteText">
    <w:name w:val="footnote text"/>
    <w:basedOn w:val="Normal"/>
    <w:link w:val="FootnoteTextChar"/>
    <w:uiPriority w:val="99"/>
    <w:rsid w:val="003D486F"/>
    <w:pPr>
      <w:spacing w:before="0" w:after="0"/>
      <w:ind w:left="397" w:hanging="397"/>
    </w:pPr>
    <w:rPr>
      <w:sz w:val="20"/>
    </w:rPr>
  </w:style>
  <w:style w:type="character" w:customStyle="1" w:styleId="FootnoteTextChar">
    <w:name w:val="Footnote Text Char"/>
    <w:basedOn w:val="DefaultParagraphFont"/>
    <w:link w:val="FootnoteText"/>
    <w:uiPriority w:val="99"/>
    <w:rsid w:val="003D486F"/>
    <w:rPr>
      <w:rFonts w:ascii="Calibri Light" w:eastAsia="Times New Roman" w:hAnsi="Calibri Light" w:cs="Times New Roman"/>
      <w:sz w:val="20"/>
      <w:szCs w:val="20"/>
      <w:lang w:eastAsia="en-AU"/>
    </w:rPr>
  </w:style>
  <w:style w:type="character" w:styleId="FootnoteReference">
    <w:name w:val="footnote reference"/>
    <w:basedOn w:val="DefaultParagraphFont"/>
    <w:uiPriority w:val="99"/>
    <w:rsid w:val="003D486F"/>
    <w:rPr>
      <w:sz w:val="18"/>
    </w:rPr>
  </w:style>
  <w:style w:type="paragraph" w:styleId="BalloonText">
    <w:name w:val="Balloon Text"/>
    <w:basedOn w:val="Normal"/>
    <w:link w:val="BalloonTextChar"/>
    <w:uiPriority w:val="99"/>
    <w:semiHidden/>
    <w:unhideWhenUsed/>
    <w:rsid w:val="003D486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86F"/>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3D486F"/>
    <w:rPr>
      <w:rFonts w:ascii="Calibri Light" w:eastAsia="Times New Roman" w:hAnsi="Calibri Light" w:cs="Times New Roman"/>
      <w:szCs w:val="20"/>
      <w:lang w:eastAsia="en-AU"/>
    </w:rPr>
  </w:style>
  <w:style w:type="paragraph" w:customStyle="1" w:styleId="Boxbullet">
    <w:name w:val="Box bullet"/>
    <w:basedOn w:val="Bullet"/>
    <w:rsid w:val="003D486F"/>
    <w:pPr>
      <w:numPr>
        <w:numId w:val="11"/>
      </w:numPr>
      <w:tabs>
        <w:tab w:val="clear" w:pos="283"/>
        <w:tab w:val="num" w:pos="284"/>
        <w:tab w:val="num" w:pos="520"/>
      </w:tabs>
      <w:spacing w:before="60"/>
    </w:pPr>
    <w:rPr>
      <w:color w:val="0D0D0D" w:themeColor="text1" w:themeTint="F2"/>
    </w:rPr>
  </w:style>
  <w:style w:type="paragraph" w:customStyle="1" w:styleId="Boxdash">
    <w:name w:val="Box dash"/>
    <w:basedOn w:val="Dash"/>
    <w:rsid w:val="003D486F"/>
    <w:pPr>
      <w:numPr>
        <w:numId w:val="11"/>
      </w:numPr>
      <w:tabs>
        <w:tab w:val="clear" w:pos="567"/>
        <w:tab w:val="num" w:pos="1040"/>
      </w:tabs>
      <w:spacing w:before="60" w:after="0" w:line="276" w:lineRule="auto"/>
    </w:pPr>
    <w:rPr>
      <w:rFonts w:eastAsiaTheme="minorHAnsi"/>
      <w:color w:val="0D0D0D" w:themeColor="text1" w:themeTint="F2"/>
      <w:lang w:eastAsia="en-US"/>
    </w:rPr>
  </w:style>
  <w:style w:type="paragraph" w:customStyle="1" w:styleId="Boxdoubledot">
    <w:name w:val="Box double dot"/>
    <w:basedOn w:val="DoubleDot"/>
    <w:rsid w:val="003D486F"/>
    <w:pPr>
      <w:numPr>
        <w:numId w:val="11"/>
      </w:numPr>
      <w:tabs>
        <w:tab w:val="clear" w:pos="851"/>
        <w:tab w:val="left" w:pos="567"/>
        <w:tab w:val="num" w:pos="1560"/>
      </w:tabs>
      <w:spacing w:before="60" w:after="0" w:line="276" w:lineRule="auto"/>
    </w:pPr>
    <w:rPr>
      <w:rFonts w:eastAsiaTheme="minorHAnsi"/>
      <w:color w:val="0D0D0D" w:themeColor="text1" w:themeTint="F2"/>
      <w:lang w:eastAsia="en-US"/>
    </w:rPr>
  </w:style>
  <w:style w:type="paragraph" w:customStyle="1" w:styleId="Instructions">
    <w:name w:val="Instructions"/>
    <w:basedOn w:val="Normal"/>
    <w:uiPriority w:val="1"/>
    <w:qFormat/>
    <w:rsid w:val="003D486F"/>
    <w:pPr>
      <w:shd w:val="clear" w:color="auto" w:fill="FFFF00"/>
      <w:ind w:left="170" w:hanging="170"/>
    </w:pPr>
    <w:rPr>
      <w:rFonts w:asciiTheme="minorHAnsi" w:hAnsiTheme="minorHAnsi"/>
      <w:sz w:val="20"/>
      <w:szCs w:val="24"/>
    </w:rPr>
  </w:style>
  <w:style w:type="character" w:styleId="CommentReference">
    <w:name w:val="annotation reference"/>
    <w:basedOn w:val="DefaultParagraphFont"/>
    <w:uiPriority w:val="99"/>
    <w:semiHidden/>
    <w:unhideWhenUsed/>
    <w:rsid w:val="003D486F"/>
    <w:rPr>
      <w:sz w:val="16"/>
      <w:szCs w:val="16"/>
    </w:rPr>
  </w:style>
  <w:style w:type="paragraph" w:styleId="CommentText">
    <w:name w:val="annotation text"/>
    <w:basedOn w:val="Normal"/>
    <w:link w:val="CommentTextChar"/>
    <w:uiPriority w:val="99"/>
    <w:unhideWhenUsed/>
    <w:rsid w:val="003D486F"/>
    <w:rPr>
      <w:rFonts w:ascii="Calibri" w:hAnsi="Calibri"/>
      <w:sz w:val="20"/>
    </w:rPr>
  </w:style>
  <w:style w:type="character" w:customStyle="1" w:styleId="CommentTextChar">
    <w:name w:val="Comment Text Char"/>
    <w:basedOn w:val="DefaultParagraphFont"/>
    <w:link w:val="CommentText"/>
    <w:uiPriority w:val="99"/>
    <w:rsid w:val="003D486F"/>
    <w:rPr>
      <w:rFonts w:ascii="Calibri" w:eastAsia="Times New Roman" w:hAnsi="Calibri" w:cs="Times New Roman"/>
      <w:sz w:val="20"/>
      <w:szCs w:val="20"/>
      <w:lang w:eastAsia="en-AU"/>
    </w:rPr>
  </w:style>
  <w:style w:type="paragraph" w:customStyle="1" w:styleId="SecurityClassificationHeader">
    <w:name w:val="Security Classification Header"/>
    <w:link w:val="SecurityClassificationHeaderChar"/>
    <w:rsid w:val="003D486F"/>
    <w:pPr>
      <w:spacing w:before="360" w:after="60"/>
      <w:jc w:val="center"/>
    </w:pPr>
    <w:rPr>
      <w:rFonts w:ascii="Calibri" w:eastAsia="Times New Roman" w:hAnsi="Calibri" w:cs="Calibri"/>
      <w:b/>
      <w:color w:val="FF0000"/>
      <w:sz w:val="24"/>
      <w:szCs w:val="20"/>
      <w:lang w:eastAsia="en-AU"/>
    </w:rPr>
  </w:style>
  <w:style w:type="character" w:customStyle="1" w:styleId="SecurityClassificationHeaderChar">
    <w:name w:val="Security Classification Header Char"/>
    <w:basedOn w:val="HeaderChar"/>
    <w:link w:val="SecurityClassificationHeader"/>
    <w:rsid w:val="003D486F"/>
    <w:rPr>
      <w:rFonts w:ascii="Calibri" w:eastAsia="Times New Roman" w:hAnsi="Calibri" w:cs="Calibri"/>
      <w:b/>
      <w:color w:val="FF0000"/>
      <w:sz w:val="24"/>
      <w:szCs w:val="20"/>
      <w:lang w:eastAsia="en-AU"/>
    </w:rPr>
  </w:style>
  <w:style w:type="paragraph" w:customStyle="1" w:styleId="SecurityClassificationFooter">
    <w:name w:val="Security Classification Footer"/>
    <w:link w:val="SecurityClassificationFooterChar"/>
    <w:rsid w:val="003D486F"/>
    <w:pPr>
      <w:spacing w:before="360" w:after="60"/>
      <w:jc w:val="center"/>
    </w:pPr>
    <w:rPr>
      <w:rFonts w:ascii="Calibri" w:eastAsia="Times New Roman" w:hAnsi="Calibri" w:cs="Calibri"/>
      <w:b/>
      <w:color w:val="FF0000"/>
      <w:sz w:val="24"/>
      <w:szCs w:val="20"/>
      <w:lang w:eastAsia="en-AU"/>
    </w:rPr>
  </w:style>
  <w:style w:type="character" w:customStyle="1" w:styleId="SecurityClassificationFooterChar">
    <w:name w:val="Security Classification Footer Char"/>
    <w:basedOn w:val="HeaderChar"/>
    <w:link w:val="SecurityClassificationFooter"/>
    <w:rsid w:val="003D486F"/>
    <w:rPr>
      <w:rFonts w:ascii="Calibri" w:eastAsia="Times New Roman" w:hAnsi="Calibri" w:cs="Calibri"/>
      <w:b/>
      <w:color w:val="FF0000"/>
      <w:sz w:val="24"/>
      <w:szCs w:val="20"/>
      <w:lang w:eastAsia="en-AU"/>
    </w:rPr>
  </w:style>
  <w:style w:type="paragraph" w:customStyle="1" w:styleId="DLMSecurityHeader">
    <w:name w:val="DLM Security Header"/>
    <w:link w:val="DLMSecurityHeaderChar"/>
    <w:rsid w:val="003D486F"/>
    <w:pPr>
      <w:spacing w:before="60" w:after="240"/>
      <w:jc w:val="center"/>
    </w:pPr>
    <w:rPr>
      <w:rFonts w:ascii="Calibri" w:eastAsia="Times New Roman" w:hAnsi="Calibri" w:cs="Calibri"/>
      <w:b/>
      <w:color w:val="FF0000"/>
      <w:sz w:val="24"/>
      <w:szCs w:val="20"/>
      <w:lang w:eastAsia="en-AU"/>
    </w:rPr>
  </w:style>
  <w:style w:type="character" w:customStyle="1" w:styleId="DLMSecurityHeaderChar">
    <w:name w:val="DLM Security Header Char"/>
    <w:basedOn w:val="HeaderChar"/>
    <w:link w:val="DLMSecurityHeader"/>
    <w:rsid w:val="003D486F"/>
    <w:rPr>
      <w:rFonts w:ascii="Calibri" w:eastAsia="Times New Roman" w:hAnsi="Calibri" w:cs="Calibri"/>
      <w:b/>
      <w:color w:val="FF0000"/>
      <w:sz w:val="24"/>
      <w:szCs w:val="20"/>
      <w:lang w:eastAsia="en-AU"/>
    </w:rPr>
  </w:style>
  <w:style w:type="paragraph" w:customStyle="1" w:styleId="DLMSecurityFooter">
    <w:name w:val="DLM Security Footer"/>
    <w:link w:val="DLMSecurityFooterChar"/>
    <w:rsid w:val="003D486F"/>
    <w:pPr>
      <w:spacing w:before="240" w:after="60"/>
      <w:jc w:val="center"/>
    </w:pPr>
    <w:rPr>
      <w:rFonts w:ascii="Calibri" w:eastAsia="Times New Roman" w:hAnsi="Calibri" w:cs="Calibri"/>
      <w:b/>
      <w:color w:val="FF0000"/>
      <w:sz w:val="24"/>
      <w:szCs w:val="20"/>
      <w:lang w:eastAsia="en-AU"/>
    </w:rPr>
  </w:style>
  <w:style w:type="character" w:customStyle="1" w:styleId="DLMSecurityFooterChar">
    <w:name w:val="DLM Security Footer Char"/>
    <w:basedOn w:val="HeaderChar"/>
    <w:link w:val="DLMSecurityFooter"/>
    <w:rsid w:val="003D486F"/>
    <w:rPr>
      <w:rFonts w:ascii="Calibri" w:eastAsia="Times New Roman" w:hAnsi="Calibri" w:cs="Calibri"/>
      <w:b/>
      <w:color w:val="FF0000"/>
      <w:sz w:val="24"/>
      <w:szCs w:val="20"/>
      <w:lang w:eastAsia="en-AU"/>
    </w:rPr>
  </w:style>
  <w:style w:type="paragraph" w:customStyle="1" w:styleId="CreativeCommons">
    <w:name w:val="Creative Commons"/>
    <w:qFormat/>
    <w:rsid w:val="00571A20"/>
    <w:pPr>
      <w:spacing w:before="120" w:after="120" w:line="240" w:lineRule="auto"/>
    </w:pPr>
    <w:rPr>
      <w:rFonts w:ascii="Calibri Light" w:eastAsia="Times New Roman" w:hAnsi="Calibri Light" w:cs="Times New Roman"/>
      <w:sz w:val="17"/>
      <w:szCs w:val="16"/>
      <w:lang w:eastAsia="en-AU"/>
    </w:rPr>
  </w:style>
  <w:style w:type="character" w:styleId="Strong">
    <w:name w:val="Strong"/>
    <w:basedOn w:val="DefaultParagraphFont"/>
    <w:qFormat/>
    <w:rsid w:val="003D486F"/>
    <w:rPr>
      <w:b/>
      <w:bCs/>
    </w:rPr>
  </w:style>
  <w:style w:type="paragraph" w:styleId="CommentSubject">
    <w:name w:val="annotation subject"/>
    <w:basedOn w:val="CommentText"/>
    <w:next w:val="CommentText"/>
    <w:link w:val="CommentSubjectChar"/>
    <w:uiPriority w:val="99"/>
    <w:semiHidden/>
    <w:unhideWhenUsed/>
    <w:rsid w:val="000033C8"/>
    <w:rPr>
      <w:b/>
      <w:bCs/>
    </w:rPr>
  </w:style>
  <w:style w:type="character" w:customStyle="1" w:styleId="CommentSubjectChar">
    <w:name w:val="Comment Subject Char"/>
    <w:basedOn w:val="CommentTextChar"/>
    <w:link w:val="CommentSubject"/>
    <w:uiPriority w:val="99"/>
    <w:semiHidden/>
    <w:rsid w:val="000033C8"/>
    <w:rPr>
      <w:rFonts w:ascii="Calibri" w:eastAsia="Times New Roman" w:hAnsi="Calibri" w:cs="Times New Roman"/>
      <w:b/>
      <w:bCs/>
      <w:sz w:val="20"/>
      <w:szCs w:val="20"/>
      <w:lang w:eastAsia="en-AU"/>
    </w:rPr>
  </w:style>
  <w:style w:type="paragraph" w:customStyle="1" w:styleId="paragraph">
    <w:name w:val="paragraph"/>
    <w:basedOn w:val="Normal"/>
    <w:rsid w:val="00E34DAB"/>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E34DAB"/>
  </w:style>
  <w:style w:type="character" w:customStyle="1" w:styleId="eop">
    <w:name w:val="eop"/>
    <w:basedOn w:val="DefaultParagraphFont"/>
    <w:rsid w:val="00E34DAB"/>
  </w:style>
  <w:style w:type="character" w:styleId="FollowedHyperlink">
    <w:name w:val="FollowedHyperlink"/>
    <w:basedOn w:val="DefaultParagraphFont"/>
    <w:uiPriority w:val="99"/>
    <w:semiHidden/>
    <w:unhideWhenUsed/>
    <w:rsid w:val="00E34DAB"/>
    <w:rPr>
      <w:color w:val="844D9E" w:themeColor="followedHyperlink"/>
      <w:u w:val="single"/>
    </w:rPr>
  </w:style>
  <w:style w:type="character" w:styleId="UnresolvedMention">
    <w:name w:val="Unresolved Mention"/>
    <w:basedOn w:val="DefaultParagraphFont"/>
    <w:uiPriority w:val="99"/>
    <w:unhideWhenUsed/>
    <w:rsid w:val="000033C8"/>
    <w:rPr>
      <w:color w:val="605E5C"/>
      <w:shd w:val="clear" w:color="auto" w:fill="E1DFDD"/>
    </w:rPr>
  </w:style>
  <w:style w:type="paragraph" w:styleId="Revision">
    <w:name w:val="Revision"/>
    <w:hidden/>
    <w:uiPriority w:val="99"/>
    <w:semiHidden/>
    <w:rsid w:val="00E34DAB"/>
    <w:pPr>
      <w:spacing w:after="0" w:line="240" w:lineRule="auto"/>
    </w:pPr>
    <w:rPr>
      <w:rFonts w:ascii="Calibri Light" w:eastAsia="Times New Roman" w:hAnsi="Calibri Light" w:cs="Times New Roman"/>
      <w:szCs w:val="20"/>
      <w:lang w:eastAsia="en-AU"/>
    </w:rPr>
  </w:style>
  <w:style w:type="table" w:customStyle="1" w:styleId="TableGrid1">
    <w:name w:val="Table Grid1"/>
    <w:basedOn w:val="TableNormal"/>
    <w:next w:val="TableGrid"/>
    <w:uiPriority w:val="39"/>
    <w:rsid w:val="00E34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utlineNumbered1Char">
    <w:name w:val="Outline Numbered 1 Char"/>
    <w:basedOn w:val="DefaultParagraphFont"/>
    <w:link w:val="OutlineNumbered1"/>
    <w:rsid w:val="00BC6BE2"/>
    <w:rPr>
      <w:rFonts w:ascii="Calibri Light" w:eastAsia="Times New Roman" w:hAnsi="Calibri Light" w:cs="Times New Roman"/>
      <w:szCs w:val="20"/>
      <w:lang w:eastAsia="en-AU"/>
    </w:rPr>
  </w:style>
  <w:style w:type="table" w:customStyle="1" w:styleId="TableGrid2">
    <w:name w:val="Table Grid2"/>
    <w:basedOn w:val="TableNormal"/>
    <w:next w:val="TableGrid"/>
    <w:uiPriority w:val="39"/>
    <w:rsid w:val="00E34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34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34DAB"/>
    <w:pPr>
      <w:keepLines/>
      <w:spacing w:before="240" w:after="0" w:line="259" w:lineRule="auto"/>
      <w:outlineLvl w:val="9"/>
    </w:pPr>
    <w:rPr>
      <w:rFonts w:eastAsiaTheme="majorEastAsia" w:cstheme="majorBidi"/>
      <w:b w:val="0"/>
      <w:color w:val="212937" w:themeColor="accent1" w:themeShade="BF"/>
      <w:kern w:val="0"/>
      <w:sz w:val="32"/>
      <w:szCs w:val="32"/>
      <w:lang w:val="en-US" w:eastAsia="en-US"/>
    </w:rPr>
  </w:style>
  <w:style w:type="character" w:customStyle="1" w:styleId="cf01">
    <w:name w:val="cf01"/>
    <w:basedOn w:val="DefaultParagraphFont"/>
    <w:rsid w:val="00E34DAB"/>
    <w:rPr>
      <w:rFonts w:ascii="Segoe UI" w:hAnsi="Segoe UI" w:cs="Segoe UI" w:hint="default"/>
      <w:i/>
      <w:iCs/>
      <w:sz w:val="18"/>
      <w:szCs w:val="18"/>
    </w:rPr>
  </w:style>
  <w:style w:type="character" w:customStyle="1" w:styleId="cf11">
    <w:name w:val="cf11"/>
    <w:basedOn w:val="DefaultParagraphFont"/>
    <w:rsid w:val="00E34DAB"/>
    <w:rPr>
      <w:rFonts w:ascii="Segoe UI" w:hAnsi="Segoe UI" w:cs="Segoe UI" w:hint="default"/>
      <w:sz w:val="18"/>
      <w:szCs w:val="18"/>
    </w:rPr>
  </w:style>
  <w:style w:type="paragraph" w:customStyle="1" w:styleId="TableTextLeft7pt">
    <w:name w:val="Table Text Left 7pt"/>
    <w:qFormat/>
    <w:rsid w:val="00D83411"/>
    <w:pPr>
      <w:spacing w:before="60" w:after="60" w:line="240" w:lineRule="auto"/>
    </w:pPr>
    <w:rPr>
      <w:rFonts w:ascii="Calibri Light" w:eastAsia="Times New Roman" w:hAnsi="Calibri Light" w:cs="Times New Roman"/>
      <w:color w:val="000000"/>
      <w:sz w:val="14"/>
      <w:szCs w:val="14"/>
      <w:lang w:eastAsia="en-AU"/>
    </w:rPr>
  </w:style>
  <w:style w:type="paragraph" w:customStyle="1" w:styleId="TableTextBullet">
    <w:name w:val="Table Text Bullet"/>
    <w:qFormat/>
    <w:rsid w:val="00E92916"/>
    <w:pPr>
      <w:numPr>
        <w:numId w:val="10"/>
      </w:numPr>
      <w:spacing w:before="60" w:after="60" w:line="240" w:lineRule="auto"/>
      <w:ind w:left="170" w:hanging="170"/>
    </w:pPr>
    <w:rPr>
      <w:rFonts w:ascii="Calibri Light" w:eastAsia="Times New Roman" w:hAnsi="Calibri Light" w:cs="Times New Roman"/>
      <w:sz w:val="16"/>
      <w:szCs w:val="20"/>
      <w:lang w:eastAsia="en-AU"/>
    </w:rPr>
  </w:style>
  <w:style w:type="paragraph" w:customStyle="1" w:styleId="TableColumnHeadingLeft7pt">
    <w:name w:val="Table Column Heading Left  7pt"/>
    <w:qFormat/>
    <w:rsid w:val="00597E44"/>
    <w:pPr>
      <w:spacing w:before="60" w:after="60" w:line="240" w:lineRule="auto"/>
    </w:pPr>
    <w:rPr>
      <w:rFonts w:ascii="Calibri Light" w:eastAsia="Times New Roman" w:hAnsi="Calibri Light" w:cs="Times New Roman"/>
      <w:b/>
      <w:color w:val="2C384A" w:themeColor="accent1"/>
      <w:sz w:val="16"/>
      <w:szCs w:val="20"/>
      <w:lang w:eastAsia="en-AU"/>
    </w:rPr>
  </w:style>
  <w:style w:type="paragraph" w:customStyle="1" w:styleId="GhostLine">
    <w:name w:val="Ghost Line"/>
    <w:qFormat/>
    <w:rsid w:val="00923DF6"/>
    <w:pPr>
      <w:spacing w:after="0" w:line="240" w:lineRule="auto"/>
    </w:pPr>
    <w:rPr>
      <w:rFonts w:ascii="Calibri Light" w:eastAsia="Times New Roman" w:hAnsi="Calibri Light" w:cs="Times New Roman"/>
      <w:sz w:val="2"/>
      <w:szCs w:val="20"/>
      <w:lang w:eastAsia="en-AU"/>
    </w:rPr>
  </w:style>
  <w:style w:type="table" w:styleId="GridTable1Light-Accent2">
    <w:name w:val="Grid Table 1 Light Accent 2"/>
    <w:basedOn w:val="TableNormal"/>
    <w:uiPriority w:val="46"/>
    <w:rsid w:val="00B54CF6"/>
    <w:pPr>
      <w:spacing w:after="0" w:line="240" w:lineRule="auto"/>
    </w:pPr>
    <w:rPr>
      <w:rFonts w:eastAsiaTheme="minorEastAsia"/>
      <w:sz w:val="24"/>
      <w:szCs w:val="24"/>
      <w:lang w:val="en-US" w:eastAsia="ja-JP"/>
    </w:rPr>
    <w:tblPr>
      <w:tblStyleRowBandSize w:val="1"/>
      <w:tblStyleColBandSize w:val="1"/>
      <w:tblBorders>
        <w:top w:val="single" w:sz="4" w:space="0" w:color="B2CEBF" w:themeColor="accent2" w:themeTint="66"/>
        <w:left w:val="single" w:sz="4" w:space="0" w:color="B2CEBF" w:themeColor="accent2" w:themeTint="66"/>
        <w:bottom w:val="single" w:sz="4" w:space="0" w:color="B2CEBF" w:themeColor="accent2" w:themeTint="66"/>
        <w:right w:val="single" w:sz="4" w:space="0" w:color="B2CEBF" w:themeColor="accent2" w:themeTint="66"/>
        <w:insideH w:val="single" w:sz="4" w:space="0" w:color="B2CEBF" w:themeColor="accent2" w:themeTint="66"/>
        <w:insideV w:val="single" w:sz="4" w:space="0" w:color="B2CEBF" w:themeColor="accent2" w:themeTint="66"/>
      </w:tblBorders>
    </w:tblPr>
    <w:tblStylePr w:type="firstRow">
      <w:rPr>
        <w:b/>
        <w:bCs/>
      </w:rPr>
      <w:tblPr/>
      <w:tcPr>
        <w:tcBorders>
          <w:bottom w:val="single" w:sz="12" w:space="0" w:color="8CB59F" w:themeColor="accent2" w:themeTint="99"/>
        </w:tcBorders>
      </w:tcPr>
    </w:tblStylePr>
    <w:tblStylePr w:type="lastRow">
      <w:rPr>
        <w:b/>
        <w:bCs/>
      </w:rPr>
      <w:tblPr/>
      <w:tcPr>
        <w:tcBorders>
          <w:top w:val="double" w:sz="2" w:space="0" w:color="8CB59F"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7B1691"/>
    <w:rPr>
      <w:rFonts w:ascii="Times New Roman" w:hAnsi="Times New Roman"/>
      <w:sz w:val="24"/>
      <w:szCs w:val="24"/>
    </w:rPr>
  </w:style>
  <w:style w:type="character" w:styleId="Mention">
    <w:name w:val="Mention"/>
    <w:basedOn w:val="DefaultParagraphFont"/>
    <w:uiPriority w:val="99"/>
    <w:unhideWhenUsed/>
    <w:rsid w:val="00150B3B"/>
    <w:rPr>
      <w:color w:val="2B579A"/>
      <w:shd w:val="clear" w:color="auto" w:fill="E1DFDD"/>
    </w:rPr>
  </w:style>
  <w:style w:type="paragraph" w:customStyle="1" w:styleId="TableLink">
    <w:name w:val="Table Link"/>
    <w:basedOn w:val="TableTextLeft"/>
    <w:qFormat/>
    <w:rsid w:val="00F31CD4"/>
    <w:rPr>
      <w:b/>
      <w:color w:val="5D779D" w:themeColor="accent3"/>
      <w:u w:val="single"/>
      <w:lang w:val="en-US"/>
    </w:rPr>
  </w:style>
  <w:style w:type="paragraph" w:customStyle="1" w:styleId="TableLeadAgency">
    <w:name w:val="Table Lead Agency"/>
    <w:basedOn w:val="TableTextLeft"/>
    <w:qFormat/>
    <w:rsid w:val="00FA2B7F"/>
    <w:rPr>
      <w:b/>
      <w:bCs/>
      <w:color w:val="000000" w:themeColor="text1"/>
    </w:rPr>
  </w:style>
  <w:style w:type="paragraph" w:customStyle="1" w:styleId="TableSecondaryAgency">
    <w:name w:val="Table Secondary Agency"/>
    <w:basedOn w:val="TableTextLeft"/>
    <w:qFormat/>
    <w:rsid w:val="00791A91"/>
    <w:rPr>
      <w:bCs/>
      <w:i/>
      <w:iCs/>
      <w:color w:val="000000" w:themeColor="text1"/>
    </w:rPr>
  </w:style>
  <w:style w:type="character" w:styleId="SmartLink">
    <w:name w:val="Smart Link"/>
    <w:basedOn w:val="DefaultParagraphFont"/>
    <w:uiPriority w:val="99"/>
    <w:semiHidden/>
    <w:unhideWhenUsed/>
    <w:rsid w:val="0026209C"/>
    <w:rPr>
      <w:color w:val="0000FF"/>
      <w:u w:val="single"/>
      <w:shd w:val="clear" w:color="auto" w:fill="F3F2F1"/>
    </w:rPr>
  </w:style>
  <w:style w:type="character" w:styleId="Emphasis">
    <w:name w:val="Emphasis"/>
    <w:basedOn w:val="DefaultParagraphFont"/>
    <w:uiPriority w:val="20"/>
    <w:rsid w:val="003D486F"/>
    <w:rPr>
      <w:i/>
      <w:iCs/>
    </w:rPr>
  </w:style>
  <w:style w:type="table" w:customStyle="1" w:styleId="BlueBox">
    <w:name w:val="Blue Box"/>
    <w:basedOn w:val="TableNormal"/>
    <w:uiPriority w:val="99"/>
    <w:rsid w:val="00CE6139"/>
    <w:pPr>
      <w:spacing w:after="0" w:line="240" w:lineRule="auto"/>
    </w:pPr>
    <w:rPr>
      <w:rFonts w:ascii="Calibri" w:hAnsi="Calibri" w:cs="Times New Roman"/>
      <w:sz w:val="20"/>
      <w:szCs w:val="20"/>
    </w:rPr>
    <w:tblPr>
      <w:tblCellMar>
        <w:top w:w="227" w:type="dxa"/>
        <w:left w:w="227" w:type="dxa"/>
        <w:bottom w:w="227" w:type="dxa"/>
        <w:right w:w="227" w:type="dxa"/>
      </w:tblCellMar>
    </w:tblPr>
    <w:tcPr>
      <w:shd w:val="clear" w:color="auto" w:fill="F2F9FC"/>
    </w:tcPr>
  </w:style>
  <w:style w:type="paragraph" w:customStyle="1" w:styleId="TableNoHyerlink">
    <w:name w:val="Table No Hyerlink"/>
    <w:basedOn w:val="TableTextLeft"/>
    <w:link w:val="TableNoHyerlinkChar"/>
    <w:rsid w:val="005726BE"/>
    <w:rPr>
      <w:b/>
      <w:bCs/>
      <w:color w:val="000000" w:themeColor="text1"/>
      <w:lang w:val="en-US"/>
    </w:rPr>
  </w:style>
  <w:style w:type="character" w:customStyle="1" w:styleId="TableTextLeftChar">
    <w:name w:val="Table Text Left Char"/>
    <w:basedOn w:val="DefaultParagraphFont"/>
    <w:link w:val="TableTextLeft"/>
    <w:rsid w:val="00283753"/>
    <w:rPr>
      <w:rFonts w:ascii="Calibri Light" w:eastAsia="Times New Roman" w:hAnsi="Calibri Light" w:cs="Times New Roman"/>
      <w:color w:val="000000"/>
      <w:sz w:val="16"/>
      <w:szCs w:val="20"/>
      <w:lang w:eastAsia="en-AU"/>
    </w:rPr>
  </w:style>
  <w:style w:type="character" w:customStyle="1" w:styleId="TableNoHyerlinkChar">
    <w:name w:val="Table No Hyerlink Char"/>
    <w:basedOn w:val="TableTextLeftChar"/>
    <w:link w:val="TableNoHyerlink"/>
    <w:rsid w:val="005726BE"/>
    <w:rPr>
      <w:rFonts w:ascii="Calibri Light" w:eastAsia="Times New Roman" w:hAnsi="Calibri Light" w:cs="Times New Roman"/>
      <w:b/>
      <w:bCs/>
      <w:color w:val="000000" w:themeColor="text1"/>
      <w:sz w:val="18"/>
      <w:szCs w:val="20"/>
      <w:lang w:val="en-US" w:eastAsia="en-AU"/>
    </w:rPr>
  </w:style>
  <w:style w:type="paragraph" w:styleId="NoSpacing">
    <w:name w:val="No Spacing"/>
    <w:uiPriority w:val="1"/>
    <w:rsid w:val="00ED09F1"/>
    <w:pPr>
      <w:spacing w:after="0" w:line="240" w:lineRule="auto"/>
    </w:pPr>
    <w:rPr>
      <w:rFonts w:ascii="Calibri Light" w:eastAsia="Times New Roman" w:hAnsi="Calibri Light" w:cs="Times New Roman"/>
      <w:szCs w:val="20"/>
      <w:lang w:eastAsia="en-AU"/>
    </w:rPr>
  </w:style>
  <w:style w:type="table" w:customStyle="1" w:styleId="SidebySideChartTable">
    <w:name w:val="Side by Side Chart Table"/>
    <w:basedOn w:val="TableNormal"/>
    <w:uiPriority w:val="99"/>
    <w:rsid w:val="000033C8"/>
    <w:pPr>
      <w:spacing w:after="0" w:line="240" w:lineRule="auto"/>
    </w:pPr>
    <w:tblPr>
      <w:tblStyleRowBandSize w:val="1"/>
      <w:tblStyleColBandSize w:val="1"/>
      <w:tblCellMar>
        <w:left w:w="0" w:type="dxa"/>
        <w:right w:w="0" w:type="dxa"/>
      </w:tblCellMar>
    </w:tblPr>
    <w:trPr>
      <w:cantSplit/>
    </w:trPr>
    <w:tblStylePr w:type="firstRow">
      <w:tblPr/>
      <w:trPr>
        <w:cantSplit/>
        <w:tblHeader/>
      </w:trPr>
    </w:tblStylePr>
  </w:style>
  <w:style w:type="table" w:customStyle="1" w:styleId="BoxStyle">
    <w:name w:val="Box Style"/>
    <w:basedOn w:val="TableNormal"/>
    <w:uiPriority w:val="99"/>
    <w:rsid w:val="000033C8"/>
    <w:pPr>
      <w:spacing w:after="0" w:line="240" w:lineRule="auto"/>
    </w:pPr>
    <w:rPr>
      <w:sz w:val="20"/>
    </w:rPr>
    <w:tblPr>
      <w:tblCellMar>
        <w:top w:w="284" w:type="dxa"/>
        <w:left w:w="284" w:type="dxa"/>
        <w:bottom w:w="284" w:type="dxa"/>
        <w:right w:w="284" w:type="dxa"/>
      </w:tblCellMar>
    </w:tblPr>
    <w:tcPr>
      <w:shd w:val="clear" w:color="auto" w:fill="EEEEEE" w:themeFill="background2"/>
    </w:tcPr>
  </w:style>
  <w:style w:type="table" w:styleId="PlainTable4">
    <w:name w:val="Plain Table 4"/>
    <w:basedOn w:val="TableNormal"/>
    <w:uiPriority w:val="44"/>
    <w:rsid w:val="004C7F6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ewInitiative">
    <w:name w:val="New Initiative"/>
    <w:basedOn w:val="Normal"/>
    <w:link w:val="NewInitiativeChar"/>
    <w:qFormat/>
    <w:rsid w:val="00CE3F02"/>
    <w:pPr>
      <w:spacing w:after="0"/>
    </w:pPr>
    <w:rPr>
      <w:b/>
      <w:color w:val="4D7861" w:themeColor="accent2"/>
      <w:sz w:val="20"/>
    </w:rPr>
  </w:style>
  <w:style w:type="character" w:customStyle="1" w:styleId="NewInitiativeChar">
    <w:name w:val="New Initiative Char"/>
    <w:basedOn w:val="DefaultParagraphFont"/>
    <w:link w:val="NewInitiative"/>
    <w:rsid w:val="00CE3F02"/>
    <w:rPr>
      <w:rFonts w:ascii="Calibri Light" w:eastAsia="Times New Roman" w:hAnsi="Calibri Light" w:cs="Times New Roman"/>
      <w:b/>
      <w:color w:val="4D7861" w:themeColor="accent2"/>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1807">
      <w:bodyDiv w:val="1"/>
      <w:marLeft w:val="0"/>
      <w:marRight w:val="0"/>
      <w:marTop w:val="0"/>
      <w:marBottom w:val="0"/>
      <w:divBdr>
        <w:top w:val="none" w:sz="0" w:space="0" w:color="auto"/>
        <w:left w:val="none" w:sz="0" w:space="0" w:color="auto"/>
        <w:bottom w:val="none" w:sz="0" w:space="0" w:color="auto"/>
        <w:right w:val="none" w:sz="0" w:space="0" w:color="auto"/>
      </w:divBdr>
    </w:div>
    <w:div w:id="22168240">
      <w:bodyDiv w:val="1"/>
      <w:marLeft w:val="0"/>
      <w:marRight w:val="0"/>
      <w:marTop w:val="0"/>
      <w:marBottom w:val="0"/>
      <w:divBdr>
        <w:top w:val="none" w:sz="0" w:space="0" w:color="auto"/>
        <w:left w:val="none" w:sz="0" w:space="0" w:color="auto"/>
        <w:bottom w:val="none" w:sz="0" w:space="0" w:color="auto"/>
        <w:right w:val="none" w:sz="0" w:space="0" w:color="auto"/>
      </w:divBdr>
    </w:div>
    <w:div w:id="147598561">
      <w:bodyDiv w:val="1"/>
      <w:marLeft w:val="0"/>
      <w:marRight w:val="0"/>
      <w:marTop w:val="0"/>
      <w:marBottom w:val="0"/>
      <w:divBdr>
        <w:top w:val="none" w:sz="0" w:space="0" w:color="auto"/>
        <w:left w:val="none" w:sz="0" w:space="0" w:color="auto"/>
        <w:bottom w:val="none" w:sz="0" w:space="0" w:color="auto"/>
        <w:right w:val="none" w:sz="0" w:space="0" w:color="auto"/>
      </w:divBdr>
    </w:div>
    <w:div w:id="189729958">
      <w:bodyDiv w:val="1"/>
      <w:marLeft w:val="0"/>
      <w:marRight w:val="0"/>
      <w:marTop w:val="0"/>
      <w:marBottom w:val="0"/>
      <w:divBdr>
        <w:top w:val="none" w:sz="0" w:space="0" w:color="auto"/>
        <w:left w:val="none" w:sz="0" w:space="0" w:color="auto"/>
        <w:bottom w:val="none" w:sz="0" w:space="0" w:color="auto"/>
        <w:right w:val="none" w:sz="0" w:space="0" w:color="auto"/>
      </w:divBdr>
    </w:div>
    <w:div w:id="324013216">
      <w:bodyDiv w:val="1"/>
      <w:marLeft w:val="0"/>
      <w:marRight w:val="0"/>
      <w:marTop w:val="0"/>
      <w:marBottom w:val="0"/>
      <w:divBdr>
        <w:top w:val="none" w:sz="0" w:space="0" w:color="auto"/>
        <w:left w:val="none" w:sz="0" w:space="0" w:color="auto"/>
        <w:bottom w:val="none" w:sz="0" w:space="0" w:color="auto"/>
        <w:right w:val="none" w:sz="0" w:space="0" w:color="auto"/>
      </w:divBdr>
    </w:div>
    <w:div w:id="324095186">
      <w:bodyDiv w:val="1"/>
      <w:marLeft w:val="0"/>
      <w:marRight w:val="0"/>
      <w:marTop w:val="0"/>
      <w:marBottom w:val="0"/>
      <w:divBdr>
        <w:top w:val="none" w:sz="0" w:space="0" w:color="auto"/>
        <w:left w:val="none" w:sz="0" w:space="0" w:color="auto"/>
        <w:bottom w:val="none" w:sz="0" w:space="0" w:color="auto"/>
        <w:right w:val="none" w:sz="0" w:space="0" w:color="auto"/>
      </w:divBdr>
    </w:div>
    <w:div w:id="344597527">
      <w:bodyDiv w:val="1"/>
      <w:marLeft w:val="0"/>
      <w:marRight w:val="0"/>
      <w:marTop w:val="0"/>
      <w:marBottom w:val="0"/>
      <w:divBdr>
        <w:top w:val="none" w:sz="0" w:space="0" w:color="auto"/>
        <w:left w:val="none" w:sz="0" w:space="0" w:color="auto"/>
        <w:bottom w:val="none" w:sz="0" w:space="0" w:color="auto"/>
        <w:right w:val="none" w:sz="0" w:space="0" w:color="auto"/>
      </w:divBdr>
    </w:div>
    <w:div w:id="394357681">
      <w:bodyDiv w:val="1"/>
      <w:marLeft w:val="0"/>
      <w:marRight w:val="0"/>
      <w:marTop w:val="0"/>
      <w:marBottom w:val="0"/>
      <w:divBdr>
        <w:top w:val="none" w:sz="0" w:space="0" w:color="auto"/>
        <w:left w:val="none" w:sz="0" w:space="0" w:color="auto"/>
        <w:bottom w:val="none" w:sz="0" w:space="0" w:color="auto"/>
        <w:right w:val="none" w:sz="0" w:space="0" w:color="auto"/>
      </w:divBdr>
    </w:div>
    <w:div w:id="398594926">
      <w:bodyDiv w:val="1"/>
      <w:marLeft w:val="0"/>
      <w:marRight w:val="0"/>
      <w:marTop w:val="0"/>
      <w:marBottom w:val="0"/>
      <w:divBdr>
        <w:top w:val="none" w:sz="0" w:space="0" w:color="auto"/>
        <w:left w:val="none" w:sz="0" w:space="0" w:color="auto"/>
        <w:bottom w:val="none" w:sz="0" w:space="0" w:color="auto"/>
        <w:right w:val="none" w:sz="0" w:space="0" w:color="auto"/>
      </w:divBdr>
      <w:divsChild>
        <w:div w:id="341517649">
          <w:marLeft w:val="0"/>
          <w:marRight w:val="0"/>
          <w:marTop w:val="0"/>
          <w:marBottom w:val="0"/>
          <w:divBdr>
            <w:top w:val="none" w:sz="0" w:space="0" w:color="auto"/>
            <w:left w:val="none" w:sz="0" w:space="0" w:color="auto"/>
            <w:bottom w:val="none" w:sz="0" w:space="0" w:color="auto"/>
            <w:right w:val="none" w:sz="0" w:space="0" w:color="auto"/>
          </w:divBdr>
        </w:div>
      </w:divsChild>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76849342">
      <w:bodyDiv w:val="1"/>
      <w:marLeft w:val="0"/>
      <w:marRight w:val="0"/>
      <w:marTop w:val="0"/>
      <w:marBottom w:val="0"/>
      <w:divBdr>
        <w:top w:val="none" w:sz="0" w:space="0" w:color="auto"/>
        <w:left w:val="none" w:sz="0" w:space="0" w:color="auto"/>
        <w:bottom w:val="none" w:sz="0" w:space="0" w:color="auto"/>
        <w:right w:val="none" w:sz="0" w:space="0" w:color="auto"/>
      </w:divBdr>
      <w:divsChild>
        <w:div w:id="765736629">
          <w:marLeft w:val="0"/>
          <w:marRight w:val="0"/>
          <w:marTop w:val="0"/>
          <w:marBottom w:val="0"/>
          <w:divBdr>
            <w:top w:val="none" w:sz="0" w:space="0" w:color="auto"/>
            <w:left w:val="none" w:sz="0" w:space="0" w:color="auto"/>
            <w:bottom w:val="none" w:sz="0" w:space="0" w:color="auto"/>
            <w:right w:val="none" w:sz="0" w:space="0" w:color="auto"/>
          </w:divBdr>
        </w:div>
        <w:div w:id="1131635212">
          <w:marLeft w:val="0"/>
          <w:marRight w:val="0"/>
          <w:marTop w:val="0"/>
          <w:marBottom w:val="0"/>
          <w:divBdr>
            <w:top w:val="none" w:sz="0" w:space="0" w:color="auto"/>
            <w:left w:val="none" w:sz="0" w:space="0" w:color="auto"/>
            <w:bottom w:val="none" w:sz="0" w:space="0" w:color="auto"/>
            <w:right w:val="none" w:sz="0" w:space="0" w:color="auto"/>
          </w:divBdr>
        </w:div>
        <w:div w:id="1562213144">
          <w:marLeft w:val="0"/>
          <w:marRight w:val="0"/>
          <w:marTop w:val="0"/>
          <w:marBottom w:val="0"/>
          <w:divBdr>
            <w:top w:val="none" w:sz="0" w:space="0" w:color="auto"/>
            <w:left w:val="none" w:sz="0" w:space="0" w:color="auto"/>
            <w:bottom w:val="none" w:sz="0" w:space="0" w:color="auto"/>
            <w:right w:val="none" w:sz="0" w:space="0" w:color="auto"/>
          </w:divBdr>
        </w:div>
        <w:div w:id="1731415269">
          <w:marLeft w:val="0"/>
          <w:marRight w:val="0"/>
          <w:marTop w:val="0"/>
          <w:marBottom w:val="0"/>
          <w:divBdr>
            <w:top w:val="none" w:sz="0" w:space="0" w:color="auto"/>
            <w:left w:val="none" w:sz="0" w:space="0" w:color="auto"/>
            <w:bottom w:val="none" w:sz="0" w:space="0" w:color="auto"/>
            <w:right w:val="none" w:sz="0" w:space="0" w:color="auto"/>
          </w:divBdr>
        </w:div>
      </w:divsChild>
    </w:div>
    <w:div w:id="497767034">
      <w:bodyDiv w:val="1"/>
      <w:marLeft w:val="0"/>
      <w:marRight w:val="0"/>
      <w:marTop w:val="0"/>
      <w:marBottom w:val="0"/>
      <w:divBdr>
        <w:top w:val="none" w:sz="0" w:space="0" w:color="auto"/>
        <w:left w:val="none" w:sz="0" w:space="0" w:color="auto"/>
        <w:bottom w:val="none" w:sz="0" w:space="0" w:color="auto"/>
        <w:right w:val="none" w:sz="0" w:space="0" w:color="auto"/>
      </w:divBdr>
    </w:div>
    <w:div w:id="648949132">
      <w:bodyDiv w:val="1"/>
      <w:marLeft w:val="0"/>
      <w:marRight w:val="0"/>
      <w:marTop w:val="0"/>
      <w:marBottom w:val="0"/>
      <w:divBdr>
        <w:top w:val="none" w:sz="0" w:space="0" w:color="auto"/>
        <w:left w:val="none" w:sz="0" w:space="0" w:color="auto"/>
        <w:bottom w:val="none" w:sz="0" w:space="0" w:color="auto"/>
        <w:right w:val="none" w:sz="0" w:space="0" w:color="auto"/>
      </w:divBdr>
    </w:div>
    <w:div w:id="718209180">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2917908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899636742">
      <w:bodyDiv w:val="1"/>
      <w:marLeft w:val="0"/>
      <w:marRight w:val="0"/>
      <w:marTop w:val="0"/>
      <w:marBottom w:val="0"/>
      <w:divBdr>
        <w:top w:val="none" w:sz="0" w:space="0" w:color="auto"/>
        <w:left w:val="none" w:sz="0" w:space="0" w:color="auto"/>
        <w:bottom w:val="none" w:sz="0" w:space="0" w:color="auto"/>
        <w:right w:val="none" w:sz="0" w:space="0" w:color="auto"/>
      </w:divBdr>
      <w:divsChild>
        <w:div w:id="287470798">
          <w:marLeft w:val="0"/>
          <w:marRight w:val="0"/>
          <w:marTop w:val="0"/>
          <w:marBottom w:val="0"/>
          <w:divBdr>
            <w:top w:val="none" w:sz="0" w:space="0" w:color="auto"/>
            <w:left w:val="none" w:sz="0" w:space="0" w:color="auto"/>
            <w:bottom w:val="none" w:sz="0" w:space="0" w:color="auto"/>
            <w:right w:val="none" w:sz="0" w:space="0" w:color="auto"/>
          </w:divBdr>
        </w:div>
        <w:div w:id="662469138">
          <w:marLeft w:val="0"/>
          <w:marRight w:val="0"/>
          <w:marTop w:val="0"/>
          <w:marBottom w:val="0"/>
          <w:divBdr>
            <w:top w:val="none" w:sz="0" w:space="0" w:color="auto"/>
            <w:left w:val="none" w:sz="0" w:space="0" w:color="auto"/>
            <w:bottom w:val="none" w:sz="0" w:space="0" w:color="auto"/>
            <w:right w:val="none" w:sz="0" w:space="0" w:color="auto"/>
          </w:divBdr>
        </w:div>
        <w:div w:id="847987286">
          <w:marLeft w:val="0"/>
          <w:marRight w:val="0"/>
          <w:marTop w:val="0"/>
          <w:marBottom w:val="0"/>
          <w:divBdr>
            <w:top w:val="none" w:sz="0" w:space="0" w:color="auto"/>
            <w:left w:val="none" w:sz="0" w:space="0" w:color="auto"/>
            <w:bottom w:val="none" w:sz="0" w:space="0" w:color="auto"/>
            <w:right w:val="none" w:sz="0" w:space="0" w:color="auto"/>
          </w:divBdr>
        </w:div>
        <w:div w:id="1400904158">
          <w:marLeft w:val="0"/>
          <w:marRight w:val="0"/>
          <w:marTop w:val="0"/>
          <w:marBottom w:val="0"/>
          <w:divBdr>
            <w:top w:val="none" w:sz="0" w:space="0" w:color="auto"/>
            <w:left w:val="none" w:sz="0" w:space="0" w:color="auto"/>
            <w:bottom w:val="none" w:sz="0" w:space="0" w:color="auto"/>
            <w:right w:val="none" w:sz="0" w:space="0" w:color="auto"/>
          </w:divBdr>
        </w:div>
      </w:divsChild>
    </w:div>
    <w:div w:id="956180921">
      <w:bodyDiv w:val="1"/>
      <w:marLeft w:val="0"/>
      <w:marRight w:val="0"/>
      <w:marTop w:val="0"/>
      <w:marBottom w:val="0"/>
      <w:divBdr>
        <w:top w:val="none" w:sz="0" w:space="0" w:color="auto"/>
        <w:left w:val="none" w:sz="0" w:space="0" w:color="auto"/>
        <w:bottom w:val="none" w:sz="0" w:space="0" w:color="auto"/>
        <w:right w:val="none" w:sz="0" w:space="0" w:color="auto"/>
      </w:divBdr>
    </w:div>
    <w:div w:id="992216551">
      <w:bodyDiv w:val="1"/>
      <w:marLeft w:val="0"/>
      <w:marRight w:val="0"/>
      <w:marTop w:val="0"/>
      <w:marBottom w:val="0"/>
      <w:divBdr>
        <w:top w:val="none" w:sz="0" w:space="0" w:color="auto"/>
        <w:left w:val="none" w:sz="0" w:space="0" w:color="auto"/>
        <w:bottom w:val="none" w:sz="0" w:space="0" w:color="auto"/>
        <w:right w:val="none" w:sz="0" w:space="0" w:color="auto"/>
      </w:divBdr>
    </w:div>
    <w:div w:id="994646535">
      <w:bodyDiv w:val="1"/>
      <w:marLeft w:val="0"/>
      <w:marRight w:val="0"/>
      <w:marTop w:val="0"/>
      <w:marBottom w:val="0"/>
      <w:divBdr>
        <w:top w:val="none" w:sz="0" w:space="0" w:color="auto"/>
        <w:left w:val="none" w:sz="0" w:space="0" w:color="auto"/>
        <w:bottom w:val="none" w:sz="0" w:space="0" w:color="auto"/>
        <w:right w:val="none" w:sz="0" w:space="0" w:color="auto"/>
      </w:divBdr>
    </w:div>
    <w:div w:id="1165708459">
      <w:bodyDiv w:val="1"/>
      <w:marLeft w:val="0"/>
      <w:marRight w:val="0"/>
      <w:marTop w:val="0"/>
      <w:marBottom w:val="0"/>
      <w:divBdr>
        <w:top w:val="none" w:sz="0" w:space="0" w:color="auto"/>
        <w:left w:val="none" w:sz="0" w:space="0" w:color="auto"/>
        <w:bottom w:val="none" w:sz="0" w:space="0" w:color="auto"/>
        <w:right w:val="none" w:sz="0" w:space="0" w:color="auto"/>
      </w:divBdr>
    </w:div>
    <w:div w:id="1248492232">
      <w:bodyDiv w:val="1"/>
      <w:marLeft w:val="0"/>
      <w:marRight w:val="0"/>
      <w:marTop w:val="0"/>
      <w:marBottom w:val="0"/>
      <w:divBdr>
        <w:top w:val="none" w:sz="0" w:space="0" w:color="auto"/>
        <w:left w:val="none" w:sz="0" w:space="0" w:color="auto"/>
        <w:bottom w:val="none" w:sz="0" w:space="0" w:color="auto"/>
        <w:right w:val="none" w:sz="0" w:space="0" w:color="auto"/>
      </w:divBdr>
      <w:divsChild>
        <w:div w:id="258492289">
          <w:marLeft w:val="0"/>
          <w:marRight w:val="0"/>
          <w:marTop w:val="0"/>
          <w:marBottom w:val="0"/>
          <w:divBdr>
            <w:top w:val="none" w:sz="0" w:space="0" w:color="auto"/>
            <w:left w:val="none" w:sz="0" w:space="0" w:color="auto"/>
            <w:bottom w:val="none" w:sz="0" w:space="0" w:color="auto"/>
            <w:right w:val="none" w:sz="0" w:space="0" w:color="auto"/>
          </w:divBdr>
        </w:div>
        <w:div w:id="659768550">
          <w:marLeft w:val="0"/>
          <w:marRight w:val="0"/>
          <w:marTop w:val="0"/>
          <w:marBottom w:val="0"/>
          <w:divBdr>
            <w:top w:val="none" w:sz="0" w:space="0" w:color="auto"/>
            <w:left w:val="none" w:sz="0" w:space="0" w:color="auto"/>
            <w:bottom w:val="none" w:sz="0" w:space="0" w:color="auto"/>
            <w:right w:val="none" w:sz="0" w:space="0" w:color="auto"/>
          </w:divBdr>
        </w:div>
        <w:div w:id="1824080122">
          <w:marLeft w:val="0"/>
          <w:marRight w:val="0"/>
          <w:marTop w:val="0"/>
          <w:marBottom w:val="0"/>
          <w:divBdr>
            <w:top w:val="none" w:sz="0" w:space="0" w:color="auto"/>
            <w:left w:val="none" w:sz="0" w:space="0" w:color="auto"/>
            <w:bottom w:val="none" w:sz="0" w:space="0" w:color="auto"/>
            <w:right w:val="none" w:sz="0" w:space="0" w:color="auto"/>
          </w:divBdr>
        </w:div>
        <w:div w:id="1927881443">
          <w:marLeft w:val="0"/>
          <w:marRight w:val="0"/>
          <w:marTop w:val="0"/>
          <w:marBottom w:val="0"/>
          <w:divBdr>
            <w:top w:val="none" w:sz="0" w:space="0" w:color="auto"/>
            <w:left w:val="none" w:sz="0" w:space="0" w:color="auto"/>
            <w:bottom w:val="none" w:sz="0" w:space="0" w:color="auto"/>
            <w:right w:val="none" w:sz="0" w:space="0" w:color="auto"/>
          </w:divBdr>
        </w:div>
      </w:divsChild>
    </w:div>
    <w:div w:id="1338729061">
      <w:bodyDiv w:val="1"/>
      <w:marLeft w:val="0"/>
      <w:marRight w:val="0"/>
      <w:marTop w:val="0"/>
      <w:marBottom w:val="0"/>
      <w:divBdr>
        <w:top w:val="none" w:sz="0" w:space="0" w:color="auto"/>
        <w:left w:val="none" w:sz="0" w:space="0" w:color="auto"/>
        <w:bottom w:val="none" w:sz="0" w:space="0" w:color="auto"/>
        <w:right w:val="none" w:sz="0" w:space="0" w:color="auto"/>
      </w:divBdr>
    </w:div>
    <w:div w:id="1392073480">
      <w:bodyDiv w:val="1"/>
      <w:marLeft w:val="0"/>
      <w:marRight w:val="0"/>
      <w:marTop w:val="0"/>
      <w:marBottom w:val="0"/>
      <w:divBdr>
        <w:top w:val="none" w:sz="0" w:space="0" w:color="auto"/>
        <w:left w:val="none" w:sz="0" w:space="0" w:color="auto"/>
        <w:bottom w:val="none" w:sz="0" w:space="0" w:color="auto"/>
        <w:right w:val="none" w:sz="0" w:space="0" w:color="auto"/>
      </w:divBdr>
    </w:div>
    <w:div w:id="1407189826">
      <w:bodyDiv w:val="1"/>
      <w:marLeft w:val="0"/>
      <w:marRight w:val="0"/>
      <w:marTop w:val="0"/>
      <w:marBottom w:val="0"/>
      <w:divBdr>
        <w:top w:val="none" w:sz="0" w:space="0" w:color="auto"/>
        <w:left w:val="none" w:sz="0" w:space="0" w:color="auto"/>
        <w:bottom w:val="none" w:sz="0" w:space="0" w:color="auto"/>
        <w:right w:val="none" w:sz="0" w:space="0" w:color="auto"/>
      </w:divBdr>
    </w:div>
    <w:div w:id="1445879601">
      <w:bodyDiv w:val="1"/>
      <w:marLeft w:val="0"/>
      <w:marRight w:val="0"/>
      <w:marTop w:val="0"/>
      <w:marBottom w:val="0"/>
      <w:divBdr>
        <w:top w:val="none" w:sz="0" w:space="0" w:color="auto"/>
        <w:left w:val="none" w:sz="0" w:space="0" w:color="auto"/>
        <w:bottom w:val="none" w:sz="0" w:space="0" w:color="auto"/>
        <w:right w:val="none" w:sz="0" w:space="0" w:color="auto"/>
      </w:divBdr>
    </w:div>
    <w:div w:id="1455948859">
      <w:bodyDiv w:val="1"/>
      <w:marLeft w:val="0"/>
      <w:marRight w:val="0"/>
      <w:marTop w:val="0"/>
      <w:marBottom w:val="0"/>
      <w:divBdr>
        <w:top w:val="none" w:sz="0" w:space="0" w:color="auto"/>
        <w:left w:val="none" w:sz="0" w:space="0" w:color="auto"/>
        <w:bottom w:val="none" w:sz="0" w:space="0" w:color="auto"/>
        <w:right w:val="none" w:sz="0" w:space="0" w:color="auto"/>
      </w:divBdr>
      <w:divsChild>
        <w:div w:id="290281749">
          <w:marLeft w:val="0"/>
          <w:marRight w:val="0"/>
          <w:marTop w:val="0"/>
          <w:marBottom w:val="0"/>
          <w:divBdr>
            <w:top w:val="none" w:sz="0" w:space="0" w:color="auto"/>
            <w:left w:val="none" w:sz="0" w:space="0" w:color="auto"/>
            <w:bottom w:val="none" w:sz="0" w:space="0" w:color="auto"/>
            <w:right w:val="none" w:sz="0" w:space="0" w:color="auto"/>
          </w:divBdr>
        </w:div>
        <w:div w:id="585111552">
          <w:marLeft w:val="0"/>
          <w:marRight w:val="0"/>
          <w:marTop w:val="0"/>
          <w:marBottom w:val="0"/>
          <w:divBdr>
            <w:top w:val="none" w:sz="0" w:space="0" w:color="auto"/>
            <w:left w:val="none" w:sz="0" w:space="0" w:color="auto"/>
            <w:bottom w:val="none" w:sz="0" w:space="0" w:color="auto"/>
            <w:right w:val="none" w:sz="0" w:space="0" w:color="auto"/>
          </w:divBdr>
        </w:div>
        <w:div w:id="1502893659">
          <w:marLeft w:val="0"/>
          <w:marRight w:val="0"/>
          <w:marTop w:val="0"/>
          <w:marBottom w:val="0"/>
          <w:divBdr>
            <w:top w:val="none" w:sz="0" w:space="0" w:color="auto"/>
            <w:left w:val="none" w:sz="0" w:space="0" w:color="auto"/>
            <w:bottom w:val="none" w:sz="0" w:space="0" w:color="auto"/>
            <w:right w:val="none" w:sz="0" w:space="0" w:color="auto"/>
          </w:divBdr>
        </w:div>
        <w:div w:id="1546477939">
          <w:marLeft w:val="0"/>
          <w:marRight w:val="0"/>
          <w:marTop w:val="0"/>
          <w:marBottom w:val="0"/>
          <w:divBdr>
            <w:top w:val="none" w:sz="0" w:space="0" w:color="auto"/>
            <w:left w:val="none" w:sz="0" w:space="0" w:color="auto"/>
            <w:bottom w:val="none" w:sz="0" w:space="0" w:color="auto"/>
            <w:right w:val="none" w:sz="0" w:space="0" w:color="auto"/>
          </w:divBdr>
        </w:div>
      </w:divsChild>
    </w:div>
    <w:div w:id="1508059109">
      <w:bodyDiv w:val="1"/>
      <w:marLeft w:val="0"/>
      <w:marRight w:val="0"/>
      <w:marTop w:val="0"/>
      <w:marBottom w:val="0"/>
      <w:divBdr>
        <w:top w:val="none" w:sz="0" w:space="0" w:color="auto"/>
        <w:left w:val="none" w:sz="0" w:space="0" w:color="auto"/>
        <w:bottom w:val="none" w:sz="0" w:space="0" w:color="auto"/>
        <w:right w:val="none" w:sz="0" w:space="0" w:color="auto"/>
      </w:divBdr>
    </w:div>
    <w:div w:id="1764108519">
      <w:bodyDiv w:val="1"/>
      <w:marLeft w:val="0"/>
      <w:marRight w:val="0"/>
      <w:marTop w:val="0"/>
      <w:marBottom w:val="0"/>
      <w:divBdr>
        <w:top w:val="none" w:sz="0" w:space="0" w:color="auto"/>
        <w:left w:val="none" w:sz="0" w:space="0" w:color="auto"/>
        <w:bottom w:val="none" w:sz="0" w:space="0" w:color="auto"/>
        <w:right w:val="none" w:sz="0" w:space="0" w:color="auto"/>
      </w:divBdr>
    </w:div>
    <w:div w:id="1798177293">
      <w:bodyDiv w:val="1"/>
      <w:marLeft w:val="0"/>
      <w:marRight w:val="0"/>
      <w:marTop w:val="0"/>
      <w:marBottom w:val="0"/>
      <w:divBdr>
        <w:top w:val="none" w:sz="0" w:space="0" w:color="auto"/>
        <w:left w:val="none" w:sz="0" w:space="0" w:color="auto"/>
        <w:bottom w:val="none" w:sz="0" w:space="0" w:color="auto"/>
        <w:right w:val="none" w:sz="0" w:space="0" w:color="auto"/>
      </w:divBdr>
      <w:divsChild>
        <w:div w:id="1108546354">
          <w:marLeft w:val="0"/>
          <w:marRight w:val="0"/>
          <w:marTop w:val="0"/>
          <w:marBottom w:val="0"/>
          <w:divBdr>
            <w:top w:val="none" w:sz="0" w:space="0" w:color="auto"/>
            <w:left w:val="none" w:sz="0" w:space="0" w:color="auto"/>
            <w:bottom w:val="none" w:sz="0" w:space="0" w:color="auto"/>
            <w:right w:val="none" w:sz="0" w:space="0" w:color="auto"/>
          </w:divBdr>
        </w:div>
      </w:divsChild>
    </w:div>
    <w:div w:id="1799716625">
      <w:bodyDiv w:val="1"/>
      <w:marLeft w:val="0"/>
      <w:marRight w:val="0"/>
      <w:marTop w:val="0"/>
      <w:marBottom w:val="0"/>
      <w:divBdr>
        <w:top w:val="none" w:sz="0" w:space="0" w:color="auto"/>
        <w:left w:val="none" w:sz="0" w:space="0" w:color="auto"/>
        <w:bottom w:val="none" w:sz="0" w:space="0" w:color="auto"/>
        <w:right w:val="none" w:sz="0" w:space="0" w:color="auto"/>
      </w:divBdr>
    </w:div>
    <w:div w:id="1849252600">
      <w:bodyDiv w:val="1"/>
      <w:marLeft w:val="0"/>
      <w:marRight w:val="0"/>
      <w:marTop w:val="0"/>
      <w:marBottom w:val="0"/>
      <w:divBdr>
        <w:top w:val="none" w:sz="0" w:space="0" w:color="auto"/>
        <w:left w:val="none" w:sz="0" w:space="0" w:color="auto"/>
        <w:bottom w:val="none" w:sz="0" w:space="0" w:color="auto"/>
        <w:right w:val="none" w:sz="0" w:space="0" w:color="auto"/>
      </w:divBdr>
    </w:div>
    <w:div w:id="20894978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7.xml"/><Relationship Id="rId42" Type="http://schemas.openxmlformats.org/officeDocument/2006/relationships/hyperlink" Target="http://www.treasury.gov.au/RIG" TargetMode="External"/><Relationship Id="rId47" Type="http://schemas.openxmlformats.org/officeDocument/2006/relationships/hyperlink" Target="http://www.treasury.gov.au/RIG" TargetMode="External"/><Relationship Id="rId63" Type="http://schemas.openxmlformats.org/officeDocument/2006/relationships/hyperlink" Target="https://ministers.ag.gov.au/media-centre/bankruptcy-law-reforms-08-07-2024" TargetMode="External"/><Relationship Id="rId68" Type="http://schemas.openxmlformats.org/officeDocument/2006/relationships/hyperlink" Target="https://www.austrac.gov.au/second-stage-consultation-reforming-australias-amlctf-regime-now-open" TargetMode="External"/><Relationship Id="rId84" Type="http://schemas.openxmlformats.org/officeDocument/2006/relationships/hyperlink" Target="https://markdreyfus.com/media/media-releases/bankruptcy-law-reforms-mark-dreyfus-kc-mp/" TargetMode="External"/><Relationship Id="rId89" Type="http://schemas.openxmlformats.org/officeDocument/2006/relationships/hyperlink" Target="https://ministers.treasury.gov.au/ministers/stephen-jones-2022/transcripts/interview-patricia-karvelas-rn-breakfast-abc" TargetMode="External"/><Relationship Id="rId112" Type="http://schemas.openxmlformats.org/officeDocument/2006/relationships/theme" Target="theme/theme1.xml"/><Relationship Id="rId16" Type="http://schemas.openxmlformats.org/officeDocument/2006/relationships/header" Target="header5.xml"/><Relationship Id="rId107" Type="http://schemas.openxmlformats.org/officeDocument/2006/relationships/hyperlink" Target="https://www.ag.gov.au/crime/anti-money-laundering-and-counter-terrorism-financing/anti-money-laundering-and-counter-terrorism-financing-amendment-bill" TargetMode="Externa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2.xml"/><Relationship Id="rId53" Type="http://schemas.openxmlformats.org/officeDocument/2006/relationships/footer" Target="footer17.xml"/><Relationship Id="rId58" Type="http://schemas.openxmlformats.org/officeDocument/2006/relationships/header" Target="header21.xml"/><Relationship Id="rId74" Type="http://schemas.openxmlformats.org/officeDocument/2006/relationships/hyperlink" Target="https://treasury.gov.au/publication/p2023-471470" TargetMode="External"/><Relationship Id="rId79" Type="http://schemas.openxmlformats.org/officeDocument/2006/relationships/hyperlink" Target="https://www.aph.gov.au/Parliamentary_Business/Bills_Legislation/Bills_Search_Results/Result?bId=r7133" TargetMode="External"/><Relationship Id="rId102" Type="http://schemas.openxmlformats.org/officeDocument/2006/relationships/hyperlink" Target="https://treasury.gov.au/review/cslr-post-implementation-review" TargetMode="External"/><Relationship Id="rId5" Type="http://schemas.openxmlformats.org/officeDocument/2006/relationships/footnotes" Target="footnotes.xml"/><Relationship Id="rId90" Type="http://schemas.openxmlformats.org/officeDocument/2006/relationships/hyperlink" Target="https://ministers.treasury.gov.au/ministers/jim-chalmers-2022/transcripts/press-conference-canberra-26" TargetMode="External"/><Relationship Id="rId95" Type="http://schemas.openxmlformats.org/officeDocument/2006/relationships/hyperlink" Target="https://cslr.org.au/" TargetMode="External"/><Relationship Id="rId22" Type="http://schemas.openxmlformats.org/officeDocument/2006/relationships/header" Target="header8.xml"/><Relationship Id="rId27" Type="http://schemas.openxmlformats.org/officeDocument/2006/relationships/image" Target="media/image6.png"/><Relationship Id="rId43" Type="http://schemas.openxmlformats.org/officeDocument/2006/relationships/image" Target="media/image12.png"/><Relationship Id="rId48" Type="http://schemas.openxmlformats.org/officeDocument/2006/relationships/header" Target="header16.xml"/><Relationship Id="rId64" Type="http://schemas.openxmlformats.org/officeDocument/2006/relationships/hyperlink" Target="https://alp.org.au/news/labor-s-commitment-to-women/" TargetMode="External"/><Relationship Id="rId69" Type="http://schemas.openxmlformats.org/officeDocument/2006/relationships/hyperlink" Target="https://ministers.treasury.gov.au/ministers/stephen-jones-2022/media-releases/total-ban-use-adverse-genetic-testing-results-life" TargetMode="External"/><Relationship Id="rId80" Type="http://schemas.openxmlformats.org/officeDocument/2006/relationships/hyperlink" Target="https://ministers.treasury.gov.au/ministers/stephen-jones-2022/media-releases/mandatory-service-standards-superannuation-industry" TargetMode="External"/><Relationship Id="rId85" Type="http://schemas.openxmlformats.org/officeDocument/2006/relationships/hyperlink" Target="https://consultations.ag.gov.au/legal-system/government-response-to-pps-review/" TargetMode="External"/><Relationship Id="rId12" Type="http://schemas.openxmlformats.org/officeDocument/2006/relationships/header" Target="header3.xml"/><Relationship Id="rId17" Type="http://schemas.openxmlformats.org/officeDocument/2006/relationships/footer" Target="footer4.xml"/><Relationship Id="rId33" Type="http://schemas.openxmlformats.org/officeDocument/2006/relationships/image" Target="media/image9.jpeg"/><Relationship Id="rId38" Type="http://schemas.openxmlformats.org/officeDocument/2006/relationships/footer" Target="footer13.xml"/><Relationship Id="rId59" Type="http://schemas.openxmlformats.org/officeDocument/2006/relationships/footer" Target="footer20.xml"/><Relationship Id="rId103" Type="http://schemas.openxmlformats.org/officeDocument/2006/relationships/hyperlink" Target="https://www.cfr.gov.au/publications/consultations/2025/review-into-small-and-medium-sized-banks/" TargetMode="External"/><Relationship Id="rId108" Type="http://schemas.openxmlformats.org/officeDocument/2006/relationships/hyperlink" Target="https://www.aph.gov.au/Parliamentary_Business/Bills_Legislation/Bills_Search_Results/Result?bId=r7133" TargetMode="External"/><Relationship Id="rId54" Type="http://schemas.openxmlformats.org/officeDocument/2006/relationships/header" Target="header19.xml"/><Relationship Id="rId70" Type="http://schemas.openxmlformats.org/officeDocument/2006/relationships/hyperlink" Target="https://www.aph.gov.au/Parliamentary_Business/Bills_Legislation/Bills_Search_Results/Result?bId=r7133" TargetMode="External"/><Relationship Id="rId75" Type="http://schemas.openxmlformats.org/officeDocument/2006/relationships/hyperlink" Target="https://treasury.gov.au/consultation/c2023-427004" TargetMode="External"/><Relationship Id="rId91" Type="http://schemas.openxmlformats.org/officeDocument/2006/relationships/hyperlink" Target="https://treasury.gov.au/publication/p2024-555854" TargetMode="External"/><Relationship Id="rId96" Type="http://schemas.openxmlformats.org/officeDocument/2006/relationships/hyperlink" Target="https://ministers.treasury.gov.au/ministers/daniel-mulino-2025/media-releases/consultation-options-apply-special-levy-relation-csl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header" Target="header17.xml"/><Relationship Id="rId57" Type="http://schemas.openxmlformats.org/officeDocument/2006/relationships/footer" Target="footer19.xml"/><Relationship Id="rId106" Type="http://schemas.openxmlformats.org/officeDocument/2006/relationships/hyperlink" Target="https://www.rba.gov.au/media-releases/2024/mr-24-16.html" TargetMode="External"/><Relationship Id="rId10" Type="http://schemas.openxmlformats.org/officeDocument/2006/relationships/footer" Target="footer1.xml"/><Relationship Id="rId31" Type="http://schemas.openxmlformats.org/officeDocument/2006/relationships/header" Target="header12.xml"/><Relationship Id="rId44" Type="http://schemas.openxmlformats.org/officeDocument/2006/relationships/image" Target="media/image13.png"/><Relationship Id="rId52" Type="http://schemas.openxmlformats.org/officeDocument/2006/relationships/header" Target="header18.xml"/><Relationship Id="rId60" Type="http://schemas.openxmlformats.org/officeDocument/2006/relationships/hyperlink" Target="https://www.cfr.gov.au/news/2025/mr-25-04.html" TargetMode="External"/><Relationship Id="rId65" Type="http://schemas.openxmlformats.org/officeDocument/2006/relationships/hyperlink" Target="https://ministers.treasury.gov.au/ministers/jim-chalmers-2022/media-releases/reforms-strengthen-australias-foreign-investment" TargetMode="External"/><Relationship Id="rId73" Type="http://schemas.openxmlformats.org/officeDocument/2006/relationships/hyperlink" Target="https://github.com/ConsumerDataStandardsAustralia/standards/issues/369" TargetMode="External"/><Relationship Id="rId78" Type="http://schemas.openxmlformats.org/officeDocument/2006/relationships/hyperlink" Target="https://ministers.treasury.gov.au/ministers/jim-chalmers-2022/media-releases/helping-australians-get-better-deal-banking-products" TargetMode="External"/><Relationship Id="rId81" Type="http://schemas.openxmlformats.org/officeDocument/2006/relationships/hyperlink" Target="https://treasury.gov.au/review/competition-review-2023/mergers" TargetMode="External"/><Relationship Id="rId86" Type="http://schemas.openxmlformats.org/officeDocument/2006/relationships/hyperlink" Target="https://www.ag.gov.au/crime/anti-money-laundering-and-counter-terrorism-financing/anti-money-laundering-and-counter-terrorism-financing-amendment-bill" TargetMode="External"/><Relationship Id="rId94" Type="http://schemas.openxmlformats.org/officeDocument/2006/relationships/hyperlink" Target="https://www.aph.gov.au/Parliamentary_Business/Bills_Legislation/Bills_Search_Results/Result?bId=r7176" TargetMode="External"/><Relationship Id="rId99" Type="http://schemas.openxmlformats.org/officeDocument/2006/relationships/hyperlink" Target="https://www.ato.gov.au/about-ato/ato-advice-and-guidance/advice-under-development-program/advice-under-development-income-tax-issues" TargetMode="External"/><Relationship Id="rId101" Type="http://schemas.openxmlformats.org/officeDocument/2006/relationships/hyperlink" Target="https://asic.gov.au/regulatory-resources/find-a-document/regulatory-document-updates/regulatory-developments-timetable/" TargetMode="Externa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header" Target="header15.xml"/><Relationship Id="rId109" Type="http://schemas.openxmlformats.org/officeDocument/2006/relationships/hyperlink" Target="https://ministers.treasury.gov.au/ministers/stephen-jones-2022/transcripts/interview-patricia-karvelas-rn-breakfast-abc" TargetMode="External"/><Relationship Id="rId34" Type="http://schemas.openxmlformats.org/officeDocument/2006/relationships/image" Target="media/image10.jpeg"/><Relationship Id="rId50" Type="http://schemas.openxmlformats.org/officeDocument/2006/relationships/footer" Target="footer15.xml"/><Relationship Id="rId55" Type="http://schemas.openxmlformats.org/officeDocument/2006/relationships/header" Target="header20.xml"/><Relationship Id="rId76" Type="http://schemas.openxmlformats.org/officeDocument/2006/relationships/hyperlink" Target="https://treasury.gov.au/consultation/c2024-569081" TargetMode="External"/><Relationship Id="rId97" Type="http://schemas.openxmlformats.org/officeDocument/2006/relationships/hyperlink" Target="https://www.legislation.gov.au/F2024L01409/latest/text" TargetMode="External"/><Relationship Id="rId104" Type="http://schemas.openxmlformats.org/officeDocument/2006/relationships/hyperlink" Target="https://fraa.gov.au/" TargetMode="External"/><Relationship Id="rId7" Type="http://schemas.openxmlformats.org/officeDocument/2006/relationships/image" Target="media/image2.jpg"/><Relationship Id="rId71" Type="http://schemas.openxmlformats.org/officeDocument/2006/relationships/hyperlink" Target="https://www.aph.gov.au/Parliamentary_Business/Bills_Legislation/Bills_Search_Results/Result?bId=r7199" TargetMode="External"/><Relationship Id="rId92" Type="http://schemas.openxmlformats.org/officeDocument/2006/relationships/hyperlink" Target="https://www.ato.gov.au/about-ato/ato-advice-and-guidance/advice-under-development-program/advice-under-development-superannuation-issues" TargetMode="External"/><Relationship Id="rId2" Type="http://schemas.openxmlformats.org/officeDocument/2006/relationships/styles" Target="styles.xml"/><Relationship Id="rId29" Type="http://schemas.openxmlformats.org/officeDocument/2006/relationships/header" Target="header11.xml"/><Relationship Id="rId24" Type="http://schemas.openxmlformats.org/officeDocument/2006/relationships/footer" Target="footer8.xml"/><Relationship Id="rId40" Type="http://schemas.openxmlformats.org/officeDocument/2006/relationships/footer" Target="footer14.xml"/><Relationship Id="rId45" Type="http://schemas.openxmlformats.org/officeDocument/2006/relationships/image" Target="media/image14.png"/><Relationship Id="rId66" Type="http://schemas.openxmlformats.org/officeDocument/2006/relationships/hyperlink" Target="https://treasury.gov.au/publication/p2024-536290" TargetMode="External"/><Relationship Id="rId87" Type="http://schemas.openxmlformats.org/officeDocument/2006/relationships/hyperlink" Target="https://www.aph.gov.au/Parliamentary_Business/Bills_Legislation/Bills_Search_Results/Result?bId=r7133" TargetMode="External"/><Relationship Id="rId110" Type="http://schemas.openxmlformats.org/officeDocument/2006/relationships/footer" Target="footer21.xml"/><Relationship Id="rId61" Type="http://schemas.openxmlformats.org/officeDocument/2006/relationships/hyperlink" Target="https://ministers.treasury.gov.au/ministers/stephen-jones-2022/media-releases/albanese-government-creating-better-pathway-financial" TargetMode="External"/><Relationship Id="rId82" Type="http://schemas.openxmlformats.org/officeDocument/2006/relationships/hyperlink" Target="https://ministers.treasury.gov.au/ministers/stephen-jones-2022/media-releases/payday-superannuation-design-details-ensure-super-paid" TargetMode="External"/><Relationship Id="rId19" Type="http://schemas.openxmlformats.org/officeDocument/2006/relationships/header" Target="header6.xml"/><Relationship Id="rId14" Type="http://schemas.openxmlformats.org/officeDocument/2006/relationships/image" Target="media/image3.wmf"/><Relationship Id="rId30" Type="http://schemas.openxmlformats.org/officeDocument/2006/relationships/footer" Target="footer10.xml"/><Relationship Id="rId35" Type="http://schemas.openxmlformats.org/officeDocument/2006/relationships/header" Target="header13.xml"/><Relationship Id="rId56" Type="http://schemas.openxmlformats.org/officeDocument/2006/relationships/footer" Target="footer18.xml"/><Relationship Id="rId77" Type="http://schemas.openxmlformats.org/officeDocument/2006/relationships/hyperlink" Target="https://ministers.treasury.gov.au/ministers/jim-chalmers-2022/media-releases/improving-retirement-phase-superannuation" TargetMode="External"/><Relationship Id="rId100" Type="http://schemas.openxmlformats.org/officeDocument/2006/relationships/hyperlink" Target="https://www.pm.gov.au/media/paying-superannuation-paid-parental-leave" TargetMode="External"/><Relationship Id="rId105" Type="http://schemas.openxmlformats.org/officeDocument/2006/relationships/hyperlink" Target="https://www.accc.gov.au/by-industry/insurance/insurance-monitoring" TargetMode="External"/><Relationship Id="rId8" Type="http://schemas.openxmlformats.org/officeDocument/2006/relationships/header" Target="header1.xml"/><Relationship Id="rId51" Type="http://schemas.openxmlformats.org/officeDocument/2006/relationships/footer" Target="footer16.xml"/><Relationship Id="rId72" Type="http://schemas.openxmlformats.org/officeDocument/2006/relationships/hyperlink" Target="https://ministers.treasury.gov.au/ministers/jim-chalmers-2022/media-releases/ensuring-future-cash-and-next-steps-phasing-out-cheques" TargetMode="External"/><Relationship Id="rId93" Type="http://schemas.openxmlformats.org/officeDocument/2006/relationships/hyperlink" Target="https://www.rba.gov.au/publications/submissions/payments-system/financial-market-infrastructure-regulatory-reforms-february-2024/index.html" TargetMode="External"/><Relationship Id="rId98" Type="http://schemas.openxmlformats.org/officeDocument/2006/relationships/hyperlink" Target="https://treasury.gov.au/consultation/c2024-598346" TargetMode="External"/><Relationship Id="rId3" Type="http://schemas.openxmlformats.org/officeDocument/2006/relationships/settings" Target="settings.xml"/><Relationship Id="rId25" Type="http://schemas.openxmlformats.org/officeDocument/2006/relationships/header" Target="header9.xml"/><Relationship Id="rId46" Type="http://schemas.openxmlformats.org/officeDocument/2006/relationships/image" Target="media/image15.png"/><Relationship Id="rId67" Type="http://schemas.openxmlformats.org/officeDocument/2006/relationships/hyperlink" Target="https://archive.budget.gov.au/2023-24/myefo/download/myefo2023-24.pdf" TargetMode="External"/><Relationship Id="rId20" Type="http://schemas.openxmlformats.org/officeDocument/2006/relationships/footer" Target="footer6.xml"/><Relationship Id="rId41" Type="http://schemas.openxmlformats.org/officeDocument/2006/relationships/image" Target="media/image11.jpg"/><Relationship Id="rId62" Type="http://schemas.openxmlformats.org/officeDocument/2006/relationships/hyperlink" Target="https://treasury.gov.au/consultation/c2024-501098" TargetMode="External"/><Relationship Id="rId83" Type="http://schemas.openxmlformats.org/officeDocument/2006/relationships/hyperlink" Target="https://treasury.gov.au/consultation/c2023-469663" TargetMode="External"/><Relationship Id="rId88" Type="http://schemas.openxmlformats.org/officeDocument/2006/relationships/hyperlink" Target="https://consult.treasury.gov.au/c2025-672325" TargetMode="External"/><Relationship Id="rId111" Type="http://schemas.openxmlformats.org/officeDocument/2006/relationships/fontTable" Target="fontTable.xml"/></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1" Type="http://schemas.openxmlformats.org/officeDocument/2006/relationships/image" Target="media/image8.png"/></Relationships>
</file>

<file path=word/_rels/header13.xml.rels><?xml version="1.0" encoding="UTF-8" standalone="yes"?>
<Relationships xmlns="http://schemas.openxmlformats.org/package/2006/relationships"><Relationship Id="rId1" Type="http://schemas.openxmlformats.org/officeDocument/2006/relationships/image" Target="media/image7.png"/></Relationships>
</file>

<file path=word/_rels/header14.xml.rels><?xml version="1.0" encoding="UTF-8" standalone="yes"?>
<Relationships xmlns="http://schemas.openxmlformats.org/package/2006/relationships"><Relationship Id="rId1" Type="http://schemas.openxmlformats.org/officeDocument/2006/relationships/image" Target="media/image8.png"/></Relationships>
</file>

<file path=word/_rels/header16.xml.rels><?xml version="1.0" encoding="UTF-8" standalone="yes"?>
<Relationships xmlns="http://schemas.openxmlformats.org/package/2006/relationships"><Relationship Id="rId1" Type="http://schemas.openxmlformats.org/officeDocument/2006/relationships/image" Target="media/image8.png"/></Relationships>
</file>

<file path=word/_rels/header17.xml.rels><?xml version="1.0" encoding="UTF-8" standalone="yes"?>
<Relationships xmlns="http://schemas.openxmlformats.org/package/2006/relationships"><Relationship Id="rId1" Type="http://schemas.openxmlformats.org/officeDocument/2006/relationships/image" Target="media/image8.png"/></Relationships>
</file>

<file path=word/_rels/header19.xml.rels><?xml version="1.0" encoding="UTF-8" standalone="yes"?>
<Relationships xmlns="http://schemas.openxmlformats.org/package/2006/relationships"><Relationship Id="rId1" Type="http://schemas.openxmlformats.org/officeDocument/2006/relationships/image" Target="media/image7.png"/></Relationships>
</file>

<file path=word/_rels/header20.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SYBrand">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11019</Words>
  <Characters>62812</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Regulatory Initiatives Grid Report</vt:lpstr>
    </vt:vector>
  </TitlesOfParts>
  <Manager/>
  <Company>Australian Government - The Treasury</Company>
  <LinksUpToDate>false</LinksUpToDate>
  <CharactersWithSpaces>73684</CharactersWithSpaces>
  <SharedDoc>false</SharedDoc>
  <HLinks>
    <vt:vector size="408" baseType="variant">
      <vt:variant>
        <vt:i4>6815789</vt:i4>
      </vt:variant>
      <vt:variant>
        <vt:i4>252</vt:i4>
      </vt:variant>
      <vt:variant>
        <vt:i4>0</vt:i4>
      </vt:variant>
      <vt:variant>
        <vt:i4>5</vt:i4>
      </vt:variant>
      <vt:variant>
        <vt:lpwstr>https://ministers.treasury.gov.au/ministers/stephen-jones-2022/transcripts/interview-patricia-karvelas-rn-breakfast-abc</vt:lpwstr>
      </vt:variant>
      <vt:variant>
        <vt:lpwstr/>
      </vt:variant>
      <vt:variant>
        <vt:i4>4587542</vt:i4>
      </vt:variant>
      <vt:variant>
        <vt:i4>249</vt:i4>
      </vt:variant>
      <vt:variant>
        <vt:i4>0</vt:i4>
      </vt:variant>
      <vt:variant>
        <vt:i4>5</vt:i4>
      </vt:variant>
      <vt:variant>
        <vt:lpwstr>https://www.aph.gov.au/Parliamentary_Business/Bills_Legislation/Bills_Search_Results/Result?bId=r7133</vt:lpwstr>
      </vt:variant>
      <vt:variant>
        <vt:lpwstr/>
      </vt:variant>
      <vt:variant>
        <vt:i4>6946859</vt:i4>
      </vt:variant>
      <vt:variant>
        <vt:i4>246</vt:i4>
      </vt:variant>
      <vt:variant>
        <vt:i4>0</vt:i4>
      </vt:variant>
      <vt:variant>
        <vt:i4>5</vt:i4>
      </vt:variant>
      <vt:variant>
        <vt:lpwstr>https://www.ag.gov.au/crime/anti-money-laundering-and-counter-terrorism-financing/anti-money-laundering-and-counter-terrorism-financing-amendment-bill</vt:lpwstr>
      </vt:variant>
      <vt:variant>
        <vt:lpwstr/>
      </vt:variant>
      <vt:variant>
        <vt:i4>1704028</vt:i4>
      </vt:variant>
      <vt:variant>
        <vt:i4>243</vt:i4>
      </vt:variant>
      <vt:variant>
        <vt:i4>0</vt:i4>
      </vt:variant>
      <vt:variant>
        <vt:i4>5</vt:i4>
      </vt:variant>
      <vt:variant>
        <vt:lpwstr>https://www.rba.gov.au/media-releases/2024/mr-24-16.html</vt:lpwstr>
      </vt:variant>
      <vt:variant>
        <vt:lpwstr/>
      </vt:variant>
      <vt:variant>
        <vt:i4>2621546</vt:i4>
      </vt:variant>
      <vt:variant>
        <vt:i4>240</vt:i4>
      </vt:variant>
      <vt:variant>
        <vt:i4>0</vt:i4>
      </vt:variant>
      <vt:variant>
        <vt:i4>5</vt:i4>
      </vt:variant>
      <vt:variant>
        <vt:lpwstr>https://www.accc.gov.au/by-industry/insurance/insurance-monitoring</vt:lpwstr>
      </vt:variant>
      <vt:variant>
        <vt:lpwstr/>
      </vt:variant>
      <vt:variant>
        <vt:i4>6094941</vt:i4>
      </vt:variant>
      <vt:variant>
        <vt:i4>237</vt:i4>
      </vt:variant>
      <vt:variant>
        <vt:i4>0</vt:i4>
      </vt:variant>
      <vt:variant>
        <vt:i4>5</vt:i4>
      </vt:variant>
      <vt:variant>
        <vt:lpwstr>https://fraa.gov.au/</vt:lpwstr>
      </vt:variant>
      <vt:variant>
        <vt:lpwstr/>
      </vt:variant>
      <vt:variant>
        <vt:i4>5832704</vt:i4>
      </vt:variant>
      <vt:variant>
        <vt:i4>234</vt:i4>
      </vt:variant>
      <vt:variant>
        <vt:i4>0</vt:i4>
      </vt:variant>
      <vt:variant>
        <vt:i4>5</vt:i4>
      </vt:variant>
      <vt:variant>
        <vt:lpwstr>https://www.cfr.gov.au/publications/consultations/2025/review-into-small-and-medium-sized-banks/</vt:lpwstr>
      </vt:variant>
      <vt:variant>
        <vt:lpwstr/>
      </vt:variant>
      <vt:variant>
        <vt:i4>3342382</vt:i4>
      </vt:variant>
      <vt:variant>
        <vt:i4>231</vt:i4>
      </vt:variant>
      <vt:variant>
        <vt:i4>0</vt:i4>
      </vt:variant>
      <vt:variant>
        <vt:i4>5</vt:i4>
      </vt:variant>
      <vt:variant>
        <vt:lpwstr>https://treasury.gov.au/review/cslr-post-implementation-review</vt:lpwstr>
      </vt:variant>
      <vt:variant>
        <vt:lpwstr/>
      </vt:variant>
      <vt:variant>
        <vt:i4>3538996</vt:i4>
      </vt:variant>
      <vt:variant>
        <vt:i4>228</vt:i4>
      </vt:variant>
      <vt:variant>
        <vt:i4>0</vt:i4>
      </vt:variant>
      <vt:variant>
        <vt:i4>5</vt:i4>
      </vt:variant>
      <vt:variant>
        <vt:lpwstr>https://asic.gov.au/regulatory-resources/find-a-document/regulatory-document-updates/regulatory-developments-timetable/</vt:lpwstr>
      </vt:variant>
      <vt:variant>
        <vt:lpwstr/>
      </vt:variant>
      <vt:variant>
        <vt:i4>6029396</vt:i4>
      </vt:variant>
      <vt:variant>
        <vt:i4>225</vt:i4>
      </vt:variant>
      <vt:variant>
        <vt:i4>0</vt:i4>
      </vt:variant>
      <vt:variant>
        <vt:i4>5</vt:i4>
      </vt:variant>
      <vt:variant>
        <vt:lpwstr>https://www.pm.gov.au/media/paying-superannuation-paid-parental-leave</vt:lpwstr>
      </vt:variant>
      <vt:variant>
        <vt:lpwstr/>
      </vt:variant>
      <vt:variant>
        <vt:i4>6160474</vt:i4>
      </vt:variant>
      <vt:variant>
        <vt:i4>222</vt:i4>
      </vt:variant>
      <vt:variant>
        <vt:i4>0</vt:i4>
      </vt:variant>
      <vt:variant>
        <vt:i4>5</vt:i4>
      </vt:variant>
      <vt:variant>
        <vt:lpwstr>https://www.ato.gov.au/about-ato/ato-advice-and-guidance/advice-under-development-program/advice-under-development-income-tax-issues</vt:lpwstr>
      </vt:variant>
      <vt:variant>
        <vt:lpwstr/>
      </vt:variant>
      <vt:variant>
        <vt:i4>1638485</vt:i4>
      </vt:variant>
      <vt:variant>
        <vt:i4>219</vt:i4>
      </vt:variant>
      <vt:variant>
        <vt:i4>0</vt:i4>
      </vt:variant>
      <vt:variant>
        <vt:i4>5</vt:i4>
      </vt:variant>
      <vt:variant>
        <vt:lpwstr>https://treasury.gov.au/consultation/c2024-598346</vt:lpwstr>
      </vt:variant>
      <vt:variant>
        <vt:lpwstr/>
      </vt:variant>
      <vt:variant>
        <vt:i4>2293823</vt:i4>
      </vt:variant>
      <vt:variant>
        <vt:i4>216</vt:i4>
      </vt:variant>
      <vt:variant>
        <vt:i4>0</vt:i4>
      </vt:variant>
      <vt:variant>
        <vt:i4>5</vt:i4>
      </vt:variant>
      <vt:variant>
        <vt:lpwstr>https://www.legislation.gov.au/F2024L01409/latest/text</vt:lpwstr>
      </vt:variant>
      <vt:variant>
        <vt:lpwstr/>
      </vt:variant>
      <vt:variant>
        <vt:i4>8323132</vt:i4>
      </vt:variant>
      <vt:variant>
        <vt:i4>213</vt:i4>
      </vt:variant>
      <vt:variant>
        <vt:i4>0</vt:i4>
      </vt:variant>
      <vt:variant>
        <vt:i4>5</vt:i4>
      </vt:variant>
      <vt:variant>
        <vt:lpwstr>https://ministers.treasury.gov.au/ministers/daniel-mulino-2025/media-releases/consultation-options-apply-special-levy-relation-cslr</vt:lpwstr>
      </vt:variant>
      <vt:variant>
        <vt:lpwstr/>
      </vt:variant>
      <vt:variant>
        <vt:i4>5636168</vt:i4>
      </vt:variant>
      <vt:variant>
        <vt:i4>210</vt:i4>
      </vt:variant>
      <vt:variant>
        <vt:i4>0</vt:i4>
      </vt:variant>
      <vt:variant>
        <vt:i4>5</vt:i4>
      </vt:variant>
      <vt:variant>
        <vt:lpwstr>https://cslr.org.au/</vt:lpwstr>
      </vt:variant>
      <vt:variant>
        <vt:lpwstr/>
      </vt:variant>
      <vt:variant>
        <vt:i4>4325398</vt:i4>
      </vt:variant>
      <vt:variant>
        <vt:i4>207</vt:i4>
      </vt:variant>
      <vt:variant>
        <vt:i4>0</vt:i4>
      </vt:variant>
      <vt:variant>
        <vt:i4>5</vt:i4>
      </vt:variant>
      <vt:variant>
        <vt:lpwstr>https://www.aph.gov.au/Parliamentary_Business/Bills_Legislation/Bills_Search_Results/Result?bId=r7176</vt:lpwstr>
      </vt:variant>
      <vt:variant>
        <vt:lpwstr/>
      </vt:variant>
      <vt:variant>
        <vt:i4>3080303</vt:i4>
      </vt:variant>
      <vt:variant>
        <vt:i4>204</vt:i4>
      </vt:variant>
      <vt:variant>
        <vt:i4>0</vt:i4>
      </vt:variant>
      <vt:variant>
        <vt:i4>5</vt:i4>
      </vt:variant>
      <vt:variant>
        <vt:lpwstr>https://www.rba.gov.au/publications/submissions/payments-system/financial-market-infrastructure-regulatory-reforms-february-2024/index.html</vt:lpwstr>
      </vt:variant>
      <vt:variant>
        <vt:lpwstr/>
      </vt:variant>
      <vt:variant>
        <vt:i4>262219</vt:i4>
      </vt:variant>
      <vt:variant>
        <vt:i4>201</vt:i4>
      </vt:variant>
      <vt:variant>
        <vt:i4>0</vt:i4>
      </vt:variant>
      <vt:variant>
        <vt:i4>5</vt:i4>
      </vt:variant>
      <vt:variant>
        <vt:lpwstr>https://www.ato.gov.au/about-ato/ato-advice-and-guidance/advice-under-development-program/advice-under-development-superannuation-issues</vt:lpwstr>
      </vt:variant>
      <vt:variant>
        <vt:lpwstr/>
      </vt:variant>
      <vt:variant>
        <vt:i4>720918</vt:i4>
      </vt:variant>
      <vt:variant>
        <vt:i4>198</vt:i4>
      </vt:variant>
      <vt:variant>
        <vt:i4>0</vt:i4>
      </vt:variant>
      <vt:variant>
        <vt:i4>5</vt:i4>
      </vt:variant>
      <vt:variant>
        <vt:lpwstr>https://treasury.gov.au/publication/p2024-555854</vt:lpwstr>
      </vt:variant>
      <vt:variant>
        <vt:lpwstr/>
      </vt:variant>
      <vt:variant>
        <vt:i4>3735663</vt:i4>
      </vt:variant>
      <vt:variant>
        <vt:i4>195</vt:i4>
      </vt:variant>
      <vt:variant>
        <vt:i4>0</vt:i4>
      </vt:variant>
      <vt:variant>
        <vt:i4>5</vt:i4>
      </vt:variant>
      <vt:variant>
        <vt:lpwstr>https://ministers.treasury.gov.au/ministers/jim-chalmers-2022/transcripts/press-conference-canberra-26</vt:lpwstr>
      </vt:variant>
      <vt:variant>
        <vt:lpwstr/>
      </vt:variant>
      <vt:variant>
        <vt:i4>6815789</vt:i4>
      </vt:variant>
      <vt:variant>
        <vt:i4>192</vt:i4>
      </vt:variant>
      <vt:variant>
        <vt:i4>0</vt:i4>
      </vt:variant>
      <vt:variant>
        <vt:i4>5</vt:i4>
      </vt:variant>
      <vt:variant>
        <vt:lpwstr>https://ministers.treasury.gov.au/ministers/stephen-jones-2022/transcripts/interview-patricia-karvelas-rn-breakfast-abc</vt:lpwstr>
      </vt:variant>
      <vt:variant>
        <vt:lpwstr/>
      </vt:variant>
      <vt:variant>
        <vt:i4>1245206</vt:i4>
      </vt:variant>
      <vt:variant>
        <vt:i4>189</vt:i4>
      </vt:variant>
      <vt:variant>
        <vt:i4>0</vt:i4>
      </vt:variant>
      <vt:variant>
        <vt:i4>5</vt:i4>
      </vt:variant>
      <vt:variant>
        <vt:lpwstr>https://consult.treasury.gov.au/c2025-672325</vt:lpwstr>
      </vt:variant>
      <vt:variant>
        <vt:lpwstr/>
      </vt:variant>
      <vt:variant>
        <vt:i4>4587542</vt:i4>
      </vt:variant>
      <vt:variant>
        <vt:i4>186</vt:i4>
      </vt:variant>
      <vt:variant>
        <vt:i4>0</vt:i4>
      </vt:variant>
      <vt:variant>
        <vt:i4>5</vt:i4>
      </vt:variant>
      <vt:variant>
        <vt:lpwstr>https://www.aph.gov.au/Parliamentary_Business/Bills_Legislation/Bills_Search_Results/Result?bId=r7133</vt:lpwstr>
      </vt:variant>
      <vt:variant>
        <vt:lpwstr/>
      </vt:variant>
      <vt:variant>
        <vt:i4>6946859</vt:i4>
      </vt:variant>
      <vt:variant>
        <vt:i4>183</vt:i4>
      </vt:variant>
      <vt:variant>
        <vt:i4>0</vt:i4>
      </vt:variant>
      <vt:variant>
        <vt:i4>5</vt:i4>
      </vt:variant>
      <vt:variant>
        <vt:lpwstr>https://www.ag.gov.au/crime/anti-money-laundering-and-counter-terrorism-financing/anti-money-laundering-and-counter-terrorism-financing-amendment-bill</vt:lpwstr>
      </vt:variant>
      <vt:variant>
        <vt:lpwstr/>
      </vt:variant>
      <vt:variant>
        <vt:i4>7602234</vt:i4>
      </vt:variant>
      <vt:variant>
        <vt:i4>180</vt:i4>
      </vt:variant>
      <vt:variant>
        <vt:i4>0</vt:i4>
      </vt:variant>
      <vt:variant>
        <vt:i4>5</vt:i4>
      </vt:variant>
      <vt:variant>
        <vt:lpwstr>https://consultations.ag.gov.au/legal-system/government-response-to-pps-review/</vt:lpwstr>
      </vt:variant>
      <vt:variant>
        <vt:lpwstr/>
      </vt:variant>
      <vt:variant>
        <vt:i4>6750307</vt:i4>
      </vt:variant>
      <vt:variant>
        <vt:i4>177</vt:i4>
      </vt:variant>
      <vt:variant>
        <vt:i4>0</vt:i4>
      </vt:variant>
      <vt:variant>
        <vt:i4>5</vt:i4>
      </vt:variant>
      <vt:variant>
        <vt:lpwstr>https://markdreyfus.com/media/media-releases/bankruptcy-law-reforms-mark-dreyfus-kc-mp/</vt:lpwstr>
      </vt:variant>
      <vt:variant>
        <vt:lpwstr/>
      </vt:variant>
      <vt:variant>
        <vt:i4>1835103</vt:i4>
      </vt:variant>
      <vt:variant>
        <vt:i4>174</vt:i4>
      </vt:variant>
      <vt:variant>
        <vt:i4>0</vt:i4>
      </vt:variant>
      <vt:variant>
        <vt:i4>5</vt:i4>
      </vt:variant>
      <vt:variant>
        <vt:lpwstr>https://treasury.gov.au/consultation/c2023-469663</vt:lpwstr>
      </vt:variant>
      <vt:variant>
        <vt:lpwstr/>
      </vt:variant>
      <vt:variant>
        <vt:i4>6094865</vt:i4>
      </vt:variant>
      <vt:variant>
        <vt:i4>171</vt:i4>
      </vt:variant>
      <vt:variant>
        <vt:i4>0</vt:i4>
      </vt:variant>
      <vt:variant>
        <vt:i4>5</vt:i4>
      </vt:variant>
      <vt:variant>
        <vt:lpwstr>https://ministers.treasury.gov.au/ministers/stephen-jones-2022/media-releases/payday-superannuation-design-details-ensure-super-paid</vt:lpwstr>
      </vt:variant>
      <vt:variant>
        <vt:lpwstr/>
      </vt:variant>
      <vt:variant>
        <vt:i4>6881405</vt:i4>
      </vt:variant>
      <vt:variant>
        <vt:i4>168</vt:i4>
      </vt:variant>
      <vt:variant>
        <vt:i4>0</vt:i4>
      </vt:variant>
      <vt:variant>
        <vt:i4>5</vt:i4>
      </vt:variant>
      <vt:variant>
        <vt:lpwstr>https://treasury.gov.au/review/competition-review-2023/mergers</vt:lpwstr>
      </vt:variant>
      <vt:variant>
        <vt:lpwstr/>
      </vt:variant>
      <vt:variant>
        <vt:i4>5242910</vt:i4>
      </vt:variant>
      <vt:variant>
        <vt:i4>165</vt:i4>
      </vt:variant>
      <vt:variant>
        <vt:i4>0</vt:i4>
      </vt:variant>
      <vt:variant>
        <vt:i4>5</vt:i4>
      </vt:variant>
      <vt:variant>
        <vt:lpwstr>https://ministers.treasury.gov.au/ministers/stephen-jones-2022/media-releases/mandatory-service-standards-superannuation-industry</vt:lpwstr>
      </vt:variant>
      <vt:variant>
        <vt:lpwstr/>
      </vt:variant>
      <vt:variant>
        <vt:i4>4587542</vt:i4>
      </vt:variant>
      <vt:variant>
        <vt:i4>162</vt:i4>
      </vt:variant>
      <vt:variant>
        <vt:i4>0</vt:i4>
      </vt:variant>
      <vt:variant>
        <vt:i4>5</vt:i4>
      </vt:variant>
      <vt:variant>
        <vt:lpwstr>https://www.aph.gov.au/Parliamentary_Business/Bills_Legislation/Bills_Search_Results/Result?bId=r7133</vt:lpwstr>
      </vt:variant>
      <vt:variant>
        <vt:lpwstr/>
      </vt:variant>
      <vt:variant>
        <vt:i4>4456449</vt:i4>
      </vt:variant>
      <vt:variant>
        <vt:i4>159</vt:i4>
      </vt:variant>
      <vt:variant>
        <vt:i4>0</vt:i4>
      </vt:variant>
      <vt:variant>
        <vt:i4>5</vt:i4>
      </vt:variant>
      <vt:variant>
        <vt:lpwstr>https://ministers.treasury.gov.au/ministers/jim-chalmers-2022/media-releases/helping-australians-get-better-deal-banking-products</vt:lpwstr>
      </vt:variant>
      <vt:variant>
        <vt:lpwstr/>
      </vt:variant>
      <vt:variant>
        <vt:i4>6619253</vt:i4>
      </vt:variant>
      <vt:variant>
        <vt:i4>156</vt:i4>
      </vt:variant>
      <vt:variant>
        <vt:i4>0</vt:i4>
      </vt:variant>
      <vt:variant>
        <vt:i4>5</vt:i4>
      </vt:variant>
      <vt:variant>
        <vt:lpwstr>https://ministers.treasury.gov.au/ministers/jim-chalmers-2022/media-releases/improving-retirement-phase-superannuation</vt:lpwstr>
      </vt:variant>
      <vt:variant>
        <vt:lpwstr/>
      </vt:variant>
      <vt:variant>
        <vt:i4>1310809</vt:i4>
      </vt:variant>
      <vt:variant>
        <vt:i4>153</vt:i4>
      </vt:variant>
      <vt:variant>
        <vt:i4>0</vt:i4>
      </vt:variant>
      <vt:variant>
        <vt:i4>5</vt:i4>
      </vt:variant>
      <vt:variant>
        <vt:lpwstr>https://treasury.gov.au/consultation/c2024-569081</vt:lpwstr>
      </vt:variant>
      <vt:variant>
        <vt:lpwstr/>
      </vt:variant>
      <vt:variant>
        <vt:i4>1310813</vt:i4>
      </vt:variant>
      <vt:variant>
        <vt:i4>150</vt:i4>
      </vt:variant>
      <vt:variant>
        <vt:i4>0</vt:i4>
      </vt:variant>
      <vt:variant>
        <vt:i4>5</vt:i4>
      </vt:variant>
      <vt:variant>
        <vt:lpwstr>https://treasury.gov.au/consultation/c2023-427004</vt:lpwstr>
      </vt:variant>
      <vt:variant>
        <vt:lpwstr/>
      </vt:variant>
      <vt:variant>
        <vt:i4>65558</vt:i4>
      </vt:variant>
      <vt:variant>
        <vt:i4>147</vt:i4>
      </vt:variant>
      <vt:variant>
        <vt:i4>0</vt:i4>
      </vt:variant>
      <vt:variant>
        <vt:i4>5</vt:i4>
      </vt:variant>
      <vt:variant>
        <vt:lpwstr>https://treasury.gov.au/publication/p2023-471470</vt:lpwstr>
      </vt:variant>
      <vt:variant>
        <vt:lpwstr/>
      </vt:variant>
      <vt:variant>
        <vt:i4>7274536</vt:i4>
      </vt:variant>
      <vt:variant>
        <vt:i4>144</vt:i4>
      </vt:variant>
      <vt:variant>
        <vt:i4>0</vt:i4>
      </vt:variant>
      <vt:variant>
        <vt:i4>5</vt:i4>
      </vt:variant>
      <vt:variant>
        <vt:lpwstr>https://github.com/ConsumerDataStandardsAustralia/standards/issues/369</vt:lpwstr>
      </vt:variant>
      <vt:variant>
        <vt:lpwstr/>
      </vt:variant>
      <vt:variant>
        <vt:i4>4456472</vt:i4>
      </vt:variant>
      <vt:variant>
        <vt:i4>141</vt:i4>
      </vt:variant>
      <vt:variant>
        <vt:i4>0</vt:i4>
      </vt:variant>
      <vt:variant>
        <vt:i4>5</vt:i4>
      </vt:variant>
      <vt:variant>
        <vt:lpwstr>https://ministers.treasury.gov.au/ministers/jim-chalmers-2022/media-releases/ensuring-future-cash-and-next-steps-phasing-out-cheques</vt:lpwstr>
      </vt:variant>
      <vt:variant>
        <vt:lpwstr/>
      </vt:variant>
      <vt:variant>
        <vt:i4>4980758</vt:i4>
      </vt:variant>
      <vt:variant>
        <vt:i4>138</vt:i4>
      </vt:variant>
      <vt:variant>
        <vt:i4>0</vt:i4>
      </vt:variant>
      <vt:variant>
        <vt:i4>5</vt:i4>
      </vt:variant>
      <vt:variant>
        <vt:lpwstr>https://www.aph.gov.au/Parliamentary_Business/Bills_Legislation/Bills_Search_Results/Result?bId=r7199</vt:lpwstr>
      </vt:variant>
      <vt:variant>
        <vt:lpwstr/>
      </vt:variant>
      <vt:variant>
        <vt:i4>4587542</vt:i4>
      </vt:variant>
      <vt:variant>
        <vt:i4>135</vt:i4>
      </vt:variant>
      <vt:variant>
        <vt:i4>0</vt:i4>
      </vt:variant>
      <vt:variant>
        <vt:i4>5</vt:i4>
      </vt:variant>
      <vt:variant>
        <vt:lpwstr>https://www.aph.gov.au/Parliamentary_Business/Bills_Legislation/Bills_Search_Results/Result?bId=r7133</vt:lpwstr>
      </vt:variant>
      <vt:variant>
        <vt:lpwstr/>
      </vt:variant>
      <vt:variant>
        <vt:i4>5832784</vt:i4>
      </vt:variant>
      <vt:variant>
        <vt:i4>132</vt:i4>
      </vt:variant>
      <vt:variant>
        <vt:i4>0</vt:i4>
      </vt:variant>
      <vt:variant>
        <vt:i4>5</vt:i4>
      </vt:variant>
      <vt:variant>
        <vt:lpwstr>https://ministers.treasury.gov.au/ministers/stephen-jones-2022/media-releases/total-ban-use-adverse-genetic-testing-results-life</vt:lpwstr>
      </vt:variant>
      <vt:variant>
        <vt:lpwstr/>
      </vt:variant>
      <vt:variant>
        <vt:i4>79</vt:i4>
      </vt:variant>
      <vt:variant>
        <vt:i4>129</vt:i4>
      </vt:variant>
      <vt:variant>
        <vt:i4>0</vt:i4>
      </vt:variant>
      <vt:variant>
        <vt:i4>5</vt:i4>
      </vt:variant>
      <vt:variant>
        <vt:lpwstr>https://www.austrac.gov.au/second-stage-consultation-reforming-australias-amlctf-regime-now-open</vt:lpwstr>
      </vt:variant>
      <vt:variant>
        <vt:lpwstr/>
      </vt:variant>
      <vt:variant>
        <vt:i4>5373966</vt:i4>
      </vt:variant>
      <vt:variant>
        <vt:i4>126</vt:i4>
      </vt:variant>
      <vt:variant>
        <vt:i4>0</vt:i4>
      </vt:variant>
      <vt:variant>
        <vt:i4>5</vt:i4>
      </vt:variant>
      <vt:variant>
        <vt:lpwstr>https://archive.budget.gov.au/2023-24/myefo/download/myefo2023-24.pdf</vt:lpwstr>
      </vt:variant>
      <vt:variant>
        <vt:lpwstr/>
      </vt:variant>
      <vt:variant>
        <vt:i4>196633</vt:i4>
      </vt:variant>
      <vt:variant>
        <vt:i4>123</vt:i4>
      </vt:variant>
      <vt:variant>
        <vt:i4>0</vt:i4>
      </vt:variant>
      <vt:variant>
        <vt:i4>5</vt:i4>
      </vt:variant>
      <vt:variant>
        <vt:lpwstr>https://treasury.gov.au/publication/p2024-536290</vt:lpwstr>
      </vt:variant>
      <vt:variant>
        <vt:lpwstr/>
      </vt:variant>
      <vt:variant>
        <vt:i4>4718594</vt:i4>
      </vt:variant>
      <vt:variant>
        <vt:i4>120</vt:i4>
      </vt:variant>
      <vt:variant>
        <vt:i4>0</vt:i4>
      </vt:variant>
      <vt:variant>
        <vt:i4>5</vt:i4>
      </vt:variant>
      <vt:variant>
        <vt:lpwstr>https://ministers.treasury.gov.au/ministers/jim-chalmers-2022/media-releases/reforms-strengthen-australias-foreign-investment</vt:lpwstr>
      </vt:variant>
      <vt:variant>
        <vt:lpwstr/>
      </vt:variant>
      <vt:variant>
        <vt:i4>5832796</vt:i4>
      </vt:variant>
      <vt:variant>
        <vt:i4>117</vt:i4>
      </vt:variant>
      <vt:variant>
        <vt:i4>0</vt:i4>
      </vt:variant>
      <vt:variant>
        <vt:i4>5</vt:i4>
      </vt:variant>
      <vt:variant>
        <vt:lpwstr>https://alp.org.au/news/labor-s-commitment-to-women/</vt:lpwstr>
      </vt:variant>
      <vt:variant>
        <vt:lpwstr/>
      </vt:variant>
      <vt:variant>
        <vt:i4>3342387</vt:i4>
      </vt:variant>
      <vt:variant>
        <vt:i4>114</vt:i4>
      </vt:variant>
      <vt:variant>
        <vt:i4>0</vt:i4>
      </vt:variant>
      <vt:variant>
        <vt:i4>5</vt:i4>
      </vt:variant>
      <vt:variant>
        <vt:lpwstr>https://ministers.ag.gov.au/media-centre/bankruptcy-law-reforms-08-07-2024</vt:lpwstr>
      </vt:variant>
      <vt:variant>
        <vt:lpwstr/>
      </vt:variant>
      <vt:variant>
        <vt:i4>1900639</vt:i4>
      </vt:variant>
      <vt:variant>
        <vt:i4>111</vt:i4>
      </vt:variant>
      <vt:variant>
        <vt:i4>0</vt:i4>
      </vt:variant>
      <vt:variant>
        <vt:i4>5</vt:i4>
      </vt:variant>
      <vt:variant>
        <vt:lpwstr>https://treasury.gov.au/consultation/c2024-501098</vt:lpwstr>
      </vt:variant>
      <vt:variant>
        <vt:lpwstr/>
      </vt:variant>
      <vt:variant>
        <vt:i4>2621490</vt:i4>
      </vt:variant>
      <vt:variant>
        <vt:i4>108</vt:i4>
      </vt:variant>
      <vt:variant>
        <vt:i4>0</vt:i4>
      </vt:variant>
      <vt:variant>
        <vt:i4>5</vt:i4>
      </vt:variant>
      <vt:variant>
        <vt:lpwstr>https://ministers.treasury.gov.au/ministers/stephen-jones-2022/media-releases/albanese-government-creating-better-pathway-financial</vt:lpwstr>
      </vt:variant>
      <vt:variant>
        <vt:lpwstr/>
      </vt:variant>
      <vt:variant>
        <vt:i4>7602283</vt:i4>
      </vt:variant>
      <vt:variant>
        <vt:i4>105</vt:i4>
      </vt:variant>
      <vt:variant>
        <vt:i4>0</vt:i4>
      </vt:variant>
      <vt:variant>
        <vt:i4>5</vt:i4>
      </vt:variant>
      <vt:variant>
        <vt:lpwstr>https://www.cfr.gov.au/news/2025/mr-25-04.html</vt:lpwstr>
      </vt:variant>
      <vt:variant>
        <vt:lpwstr/>
      </vt:variant>
      <vt:variant>
        <vt:i4>3407993</vt:i4>
      </vt:variant>
      <vt:variant>
        <vt:i4>102</vt:i4>
      </vt:variant>
      <vt:variant>
        <vt:i4>0</vt:i4>
      </vt:variant>
      <vt:variant>
        <vt:i4>5</vt:i4>
      </vt:variant>
      <vt:variant>
        <vt:lpwstr>http://www.treasury.gov.au/RIG</vt:lpwstr>
      </vt:variant>
      <vt:variant>
        <vt:lpwstr/>
      </vt:variant>
      <vt:variant>
        <vt:i4>3407993</vt:i4>
      </vt:variant>
      <vt:variant>
        <vt:i4>99</vt:i4>
      </vt:variant>
      <vt:variant>
        <vt:i4>0</vt:i4>
      </vt:variant>
      <vt:variant>
        <vt:i4>5</vt:i4>
      </vt:variant>
      <vt:variant>
        <vt:lpwstr>http://www.treasury.gov.au/RIG</vt:lpwstr>
      </vt:variant>
      <vt:variant>
        <vt:lpwstr/>
      </vt:variant>
      <vt:variant>
        <vt:i4>1507387</vt:i4>
      </vt:variant>
      <vt:variant>
        <vt:i4>92</vt:i4>
      </vt:variant>
      <vt:variant>
        <vt:i4>0</vt:i4>
      </vt:variant>
      <vt:variant>
        <vt:i4>5</vt:i4>
      </vt:variant>
      <vt:variant>
        <vt:lpwstr/>
      </vt:variant>
      <vt:variant>
        <vt:lpwstr>_Toc209785820</vt:lpwstr>
      </vt:variant>
      <vt:variant>
        <vt:i4>1310779</vt:i4>
      </vt:variant>
      <vt:variant>
        <vt:i4>86</vt:i4>
      </vt:variant>
      <vt:variant>
        <vt:i4>0</vt:i4>
      </vt:variant>
      <vt:variant>
        <vt:i4>5</vt:i4>
      </vt:variant>
      <vt:variant>
        <vt:lpwstr/>
      </vt:variant>
      <vt:variant>
        <vt:lpwstr>_Toc209785819</vt:lpwstr>
      </vt:variant>
      <vt:variant>
        <vt:i4>1310779</vt:i4>
      </vt:variant>
      <vt:variant>
        <vt:i4>80</vt:i4>
      </vt:variant>
      <vt:variant>
        <vt:i4>0</vt:i4>
      </vt:variant>
      <vt:variant>
        <vt:i4>5</vt:i4>
      </vt:variant>
      <vt:variant>
        <vt:lpwstr/>
      </vt:variant>
      <vt:variant>
        <vt:lpwstr>_Toc209785818</vt:lpwstr>
      </vt:variant>
      <vt:variant>
        <vt:i4>1310779</vt:i4>
      </vt:variant>
      <vt:variant>
        <vt:i4>74</vt:i4>
      </vt:variant>
      <vt:variant>
        <vt:i4>0</vt:i4>
      </vt:variant>
      <vt:variant>
        <vt:i4>5</vt:i4>
      </vt:variant>
      <vt:variant>
        <vt:lpwstr/>
      </vt:variant>
      <vt:variant>
        <vt:lpwstr>_Toc209785817</vt:lpwstr>
      </vt:variant>
      <vt:variant>
        <vt:i4>1310779</vt:i4>
      </vt:variant>
      <vt:variant>
        <vt:i4>68</vt:i4>
      </vt:variant>
      <vt:variant>
        <vt:i4>0</vt:i4>
      </vt:variant>
      <vt:variant>
        <vt:i4>5</vt:i4>
      </vt:variant>
      <vt:variant>
        <vt:lpwstr/>
      </vt:variant>
      <vt:variant>
        <vt:lpwstr>_Toc209785816</vt:lpwstr>
      </vt:variant>
      <vt:variant>
        <vt:i4>1310779</vt:i4>
      </vt:variant>
      <vt:variant>
        <vt:i4>62</vt:i4>
      </vt:variant>
      <vt:variant>
        <vt:i4>0</vt:i4>
      </vt:variant>
      <vt:variant>
        <vt:i4>5</vt:i4>
      </vt:variant>
      <vt:variant>
        <vt:lpwstr/>
      </vt:variant>
      <vt:variant>
        <vt:lpwstr>_Toc209785815</vt:lpwstr>
      </vt:variant>
      <vt:variant>
        <vt:i4>1310779</vt:i4>
      </vt:variant>
      <vt:variant>
        <vt:i4>56</vt:i4>
      </vt:variant>
      <vt:variant>
        <vt:i4>0</vt:i4>
      </vt:variant>
      <vt:variant>
        <vt:i4>5</vt:i4>
      </vt:variant>
      <vt:variant>
        <vt:lpwstr/>
      </vt:variant>
      <vt:variant>
        <vt:lpwstr>_Toc209785814</vt:lpwstr>
      </vt:variant>
      <vt:variant>
        <vt:i4>1310779</vt:i4>
      </vt:variant>
      <vt:variant>
        <vt:i4>50</vt:i4>
      </vt:variant>
      <vt:variant>
        <vt:i4>0</vt:i4>
      </vt:variant>
      <vt:variant>
        <vt:i4>5</vt:i4>
      </vt:variant>
      <vt:variant>
        <vt:lpwstr/>
      </vt:variant>
      <vt:variant>
        <vt:lpwstr>_Toc209785813</vt:lpwstr>
      </vt:variant>
      <vt:variant>
        <vt:i4>1310779</vt:i4>
      </vt:variant>
      <vt:variant>
        <vt:i4>44</vt:i4>
      </vt:variant>
      <vt:variant>
        <vt:i4>0</vt:i4>
      </vt:variant>
      <vt:variant>
        <vt:i4>5</vt:i4>
      </vt:variant>
      <vt:variant>
        <vt:lpwstr/>
      </vt:variant>
      <vt:variant>
        <vt:lpwstr>_Toc209785812</vt:lpwstr>
      </vt:variant>
      <vt:variant>
        <vt:i4>1310779</vt:i4>
      </vt:variant>
      <vt:variant>
        <vt:i4>38</vt:i4>
      </vt:variant>
      <vt:variant>
        <vt:i4>0</vt:i4>
      </vt:variant>
      <vt:variant>
        <vt:i4>5</vt:i4>
      </vt:variant>
      <vt:variant>
        <vt:lpwstr/>
      </vt:variant>
      <vt:variant>
        <vt:lpwstr>_Toc209785811</vt:lpwstr>
      </vt:variant>
      <vt:variant>
        <vt:i4>1310779</vt:i4>
      </vt:variant>
      <vt:variant>
        <vt:i4>32</vt:i4>
      </vt:variant>
      <vt:variant>
        <vt:i4>0</vt:i4>
      </vt:variant>
      <vt:variant>
        <vt:i4>5</vt:i4>
      </vt:variant>
      <vt:variant>
        <vt:lpwstr/>
      </vt:variant>
      <vt:variant>
        <vt:lpwstr>_Toc209785810</vt:lpwstr>
      </vt:variant>
      <vt:variant>
        <vt:i4>1376315</vt:i4>
      </vt:variant>
      <vt:variant>
        <vt:i4>26</vt:i4>
      </vt:variant>
      <vt:variant>
        <vt:i4>0</vt:i4>
      </vt:variant>
      <vt:variant>
        <vt:i4>5</vt:i4>
      </vt:variant>
      <vt:variant>
        <vt:lpwstr/>
      </vt:variant>
      <vt:variant>
        <vt:lpwstr>_Toc209785809</vt:lpwstr>
      </vt:variant>
      <vt:variant>
        <vt:i4>1376315</vt:i4>
      </vt:variant>
      <vt:variant>
        <vt:i4>20</vt:i4>
      </vt:variant>
      <vt:variant>
        <vt:i4>0</vt:i4>
      </vt:variant>
      <vt:variant>
        <vt:i4>5</vt:i4>
      </vt:variant>
      <vt:variant>
        <vt:lpwstr/>
      </vt:variant>
      <vt:variant>
        <vt:lpwstr>_Toc209785808</vt:lpwstr>
      </vt:variant>
      <vt:variant>
        <vt:i4>1376315</vt:i4>
      </vt:variant>
      <vt:variant>
        <vt:i4>14</vt:i4>
      </vt:variant>
      <vt:variant>
        <vt:i4>0</vt:i4>
      </vt:variant>
      <vt:variant>
        <vt:i4>5</vt:i4>
      </vt:variant>
      <vt:variant>
        <vt:lpwstr/>
      </vt:variant>
      <vt:variant>
        <vt:lpwstr>_Toc209785807</vt:lpwstr>
      </vt:variant>
      <vt:variant>
        <vt:i4>1376315</vt:i4>
      </vt:variant>
      <vt:variant>
        <vt:i4>8</vt:i4>
      </vt:variant>
      <vt:variant>
        <vt:i4>0</vt:i4>
      </vt:variant>
      <vt:variant>
        <vt:i4>5</vt:i4>
      </vt:variant>
      <vt:variant>
        <vt:lpwstr/>
      </vt:variant>
      <vt:variant>
        <vt:lpwstr>_Toc209785806</vt:lpwstr>
      </vt:variant>
      <vt:variant>
        <vt:i4>1376315</vt:i4>
      </vt:variant>
      <vt:variant>
        <vt:i4>2</vt:i4>
      </vt:variant>
      <vt:variant>
        <vt:i4>0</vt:i4>
      </vt:variant>
      <vt:variant>
        <vt:i4>5</vt:i4>
      </vt:variant>
      <vt:variant>
        <vt:lpwstr/>
      </vt:variant>
      <vt:variant>
        <vt:lpwstr>_Toc209785805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Regulatory Initiatives Grid Report</dc:title>
  <dc:subject>Regulatory Initiatives Grid | September 2025</dc:subject>
  <dc:creator>Australian Government - The Treasury</dc:creator>
  <cp:keywords/>
  <dc:description/>
  <cp:lastModifiedBy/>
  <cp:revision>1</cp:revision>
  <dcterms:created xsi:type="dcterms:W3CDTF">2025-10-15T19:57:00Z</dcterms:created>
  <dcterms:modified xsi:type="dcterms:W3CDTF">2025-10-15T19:58:00Z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2025-10-15T19:58:24Z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15a21716-2697-417d-beda-d0da8b61a84c</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