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42289537"/>
        <w:docPartObj>
          <w:docPartGallery w:val="Cover Pages"/>
          <w:docPartUnique/>
        </w:docPartObj>
      </w:sdtPr>
      <w:sdtEndPr/>
      <w:sdtContent>
        <w:p w14:paraId="76578868" w14:textId="46C60F3F" w:rsidR="00A97160" w:rsidRPr="006D0240" w:rsidRDefault="00EE1D27" w:rsidP="006469CC">
          <w:pPr>
            <w:pStyle w:val="ListParagraph"/>
          </w:pPr>
          <w:r>
            <w:rPr>
              <w:noProof/>
            </w:rPr>
            <w:drawing>
              <wp:anchor distT="0" distB="0" distL="114300" distR="114300" simplePos="0" relativeHeight="251656192" behindDoc="1" locked="0" layoutInCell="1" allowOverlap="1" wp14:anchorId="3D942A46" wp14:editId="29114611">
                <wp:simplePos x="0" y="0"/>
                <wp:positionH relativeFrom="page">
                  <wp:posOffset>-1270</wp:posOffset>
                </wp:positionH>
                <wp:positionV relativeFrom="paragraph">
                  <wp:posOffset>-1143635</wp:posOffset>
                </wp:positionV>
                <wp:extent cx="7552055" cy="5297773"/>
                <wp:effectExtent l="0" t="0" r="0" b="0"/>
                <wp:wrapNone/>
                <wp:docPr id="267572229" name="Picture 267572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572229" name="Picture 1">
                          <a:extLst>
                            <a:ext uri="{C183D7F6-B498-43B3-948B-1728B52AA6E4}">
                              <adec:decorative xmlns:adec="http://schemas.microsoft.com/office/drawing/2017/decorative" val="1"/>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2055" cy="5297773"/>
                        </a:xfrm>
                        <a:prstGeom prst="rect">
                          <a:avLst/>
                        </a:prstGeom>
                      </pic:spPr>
                    </pic:pic>
                  </a:graphicData>
                </a:graphic>
              </wp:anchor>
            </w:drawing>
          </w:r>
        </w:p>
        <w:p w14:paraId="1718EDBA" w14:textId="664E1EB5" w:rsidR="00A97160" w:rsidRPr="006D0240" w:rsidRDefault="00A97160" w:rsidP="00301755">
          <w:pPr>
            <w:pStyle w:val="Header"/>
            <w:spacing w:after="1200"/>
          </w:pPr>
        </w:p>
        <w:p w14:paraId="6073CF97" w14:textId="191FF382" w:rsidR="00531475" w:rsidRPr="00D13E2C" w:rsidRDefault="00531475" w:rsidP="00531475">
          <w:pPr>
            <w:pStyle w:val="Title"/>
            <w:tabs>
              <w:tab w:val="left" w:pos="6379"/>
            </w:tabs>
            <w:spacing w:after="120" w:line="720" w:lineRule="exact"/>
            <w:ind w:right="1982"/>
            <w:rPr>
              <w:color w:val="2C384A" w:themeColor="accent1"/>
            </w:rPr>
          </w:pPr>
          <w:r w:rsidRPr="00D13E2C">
            <w:rPr>
              <w:color w:val="2C384A" w:themeColor="accent1"/>
            </w:rPr>
            <w:t>Review of AI and the Australian Consumer Law</w:t>
          </w:r>
        </w:p>
        <w:p w14:paraId="55EFAF31" w14:textId="388E298D" w:rsidR="00531475" w:rsidRPr="002E1F23" w:rsidRDefault="00531475" w:rsidP="00531475">
          <w:pPr>
            <w:pStyle w:val="Subtitle"/>
            <w:spacing w:after="360"/>
            <w:rPr>
              <w:color w:val="2C384A" w:themeColor="accent1"/>
            </w:rPr>
          </w:pPr>
          <w:r w:rsidRPr="002E1F23">
            <w:rPr>
              <w:color w:val="2C384A" w:themeColor="accent1"/>
            </w:rPr>
            <w:t>Final report</w:t>
          </w:r>
        </w:p>
        <w:p w14:paraId="6720D4BF" w14:textId="13634760" w:rsidR="00531475" w:rsidRPr="00D13E2C" w:rsidRDefault="00C225C8" w:rsidP="00531475">
          <w:pPr>
            <w:pStyle w:val="ReportDate"/>
            <w:rPr>
              <w:color w:val="2C384A" w:themeColor="accent1"/>
            </w:rPr>
          </w:pPr>
          <w:r>
            <w:rPr>
              <w:rStyle w:val="ReportDateChar"/>
              <w:color w:val="2C384A" w:themeColor="accent1"/>
            </w:rPr>
            <w:t>October</w:t>
          </w:r>
          <w:r w:rsidR="00531475" w:rsidRPr="00FC3023">
            <w:rPr>
              <w:rStyle w:val="ReportDateChar"/>
              <w:color w:val="2C384A" w:themeColor="accent1"/>
            </w:rPr>
            <w:t xml:space="preserve"> 2025</w:t>
          </w:r>
        </w:p>
        <w:p w14:paraId="78A8F8D8" w14:textId="7FF99D55" w:rsidR="00531475" w:rsidRDefault="001C05BD" w:rsidP="001C3418">
          <w:pPr>
            <w:spacing w:before="0" w:after="160" w:line="259" w:lineRule="auto"/>
          </w:pPr>
          <w:r>
            <w:rPr>
              <w:noProof/>
            </w:rPr>
            <w:drawing>
              <wp:anchor distT="0" distB="0" distL="114300" distR="114300" simplePos="0" relativeHeight="251657216" behindDoc="0" locked="0" layoutInCell="1" allowOverlap="1" wp14:anchorId="03302B80" wp14:editId="19D8DD64">
                <wp:simplePos x="0" y="0"/>
                <wp:positionH relativeFrom="page">
                  <wp:posOffset>26480</wp:posOffset>
                </wp:positionH>
                <wp:positionV relativeFrom="paragraph">
                  <wp:posOffset>4424045</wp:posOffset>
                </wp:positionV>
                <wp:extent cx="7545705" cy="1366520"/>
                <wp:effectExtent l="0" t="0" r="0" b="5080"/>
                <wp:wrapNone/>
                <wp:docPr id="1162741230" name="Picture 1162741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741230" name="Picture 1">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bwMode="auto">
                        <a:xfrm>
                          <a:off x="0" y="0"/>
                          <a:ext cx="7545705" cy="1366520"/>
                        </a:xfrm>
                        <a:prstGeom prst="rect">
                          <a:avLst/>
                        </a:prstGeom>
                        <a:noFill/>
                        <a:ln>
                          <a:noFill/>
                        </a:ln>
                      </pic:spPr>
                    </pic:pic>
                  </a:graphicData>
                </a:graphic>
              </wp:anchor>
            </w:drawing>
          </w:r>
          <w:r>
            <w:rPr>
              <w:noProof/>
            </w:rPr>
            <w:drawing>
              <wp:anchor distT="0" distB="0" distL="114300" distR="114300" simplePos="0" relativeHeight="251654144" behindDoc="0" locked="0" layoutInCell="1" allowOverlap="1" wp14:anchorId="1A336E6A" wp14:editId="4ECE1F99">
                <wp:simplePos x="0" y="0"/>
                <wp:positionH relativeFrom="margin">
                  <wp:posOffset>-713105</wp:posOffset>
                </wp:positionH>
                <wp:positionV relativeFrom="paragraph">
                  <wp:posOffset>409065</wp:posOffset>
                </wp:positionV>
                <wp:extent cx="7202805" cy="4027170"/>
                <wp:effectExtent l="0" t="0" r="0" b="0"/>
                <wp:wrapNone/>
                <wp:docPr id="19312190" name="Picture 19312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2190" name="Picture 2">
                          <a:extLst>
                            <a:ext uri="{C183D7F6-B498-43B3-948B-1728B52AA6E4}">
                              <adec:decorative xmlns:adec="http://schemas.microsoft.com/office/drawing/2017/decorative" val="1"/>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t="-141" r="-132"/>
                        <a:stretch/>
                      </pic:blipFill>
                      <pic:spPr bwMode="auto">
                        <a:xfrm>
                          <a:off x="0" y="0"/>
                          <a:ext cx="7202805" cy="4027170"/>
                        </a:xfrm>
                        <a:prstGeom prst="rect">
                          <a:avLst/>
                        </a:prstGeom>
                        <a:noFill/>
                        <a:ln>
                          <a:noFill/>
                        </a:ln>
                      </pic:spPr>
                    </pic:pic>
                  </a:graphicData>
                </a:graphic>
              </wp:anchor>
            </w:drawing>
          </w:r>
          <w:r w:rsidR="00531475">
            <w:br w:type="page"/>
          </w:r>
        </w:p>
      </w:sdtContent>
    </w:sdt>
    <w:p w14:paraId="2FAE13B5" w14:textId="4EF719E3" w:rsidR="001C3418" w:rsidRPr="00D13E2C" w:rsidRDefault="001C3418" w:rsidP="001C3418">
      <w:pPr>
        <w:spacing w:before="0" w:after="160" w:line="259" w:lineRule="auto"/>
      </w:pPr>
      <w:r w:rsidRPr="00D13E2C">
        <w:lastRenderedPageBreak/>
        <w:t>© Commonwealth of Australia 2025</w:t>
      </w:r>
    </w:p>
    <w:p w14:paraId="4436D98D" w14:textId="7FCCF7BE" w:rsidR="001C3418" w:rsidRPr="00D13E2C" w:rsidRDefault="001C3418" w:rsidP="001C3418">
      <w:pPr>
        <w:spacing w:before="0" w:after="160" w:line="259" w:lineRule="auto"/>
        <w:rPr>
          <w:noProof/>
        </w:rPr>
      </w:pPr>
      <w:r w:rsidRPr="00B53A23">
        <w:t xml:space="preserve">ISBN: </w:t>
      </w:r>
      <w:r w:rsidR="008554C7" w:rsidRPr="00B53A23">
        <w:t>9</w:t>
      </w:r>
      <w:r w:rsidR="00AF10D7" w:rsidRPr="00B53A23">
        <w:t>78</w:t>
      </w:r>
      <w:r w:rsidR="00B53A23" w:rsidRPr="00B53A23">
        <w:t>-1-923278-27-1</w:t>
      </w:r>
    </w:p>
    <w:p w14:paraId="0744C50D" w14:textId="77777777" w:rsidR="001C3418" w:rsidRPr="00D13E2C" w:rsidRDefault="001C3418" w:rsidP="001C3418">
      <w:pPr>
        <w:tabs>
          <w:tab w:val="left" w:pos="1650"/>
        </w:tabs>
        <w:spacing w:before="240"/>
        <w:rPr>
          <w:rFonts w:cstheme="minorBidi"/>
          <w:sz w:val="24"/>
          <w:szCs w:val="24"/>
        </w:rPr>
      </w:pPr>
      <w:r w:rsidRPr="00D13E2C">
        <w:t>This publication is available for your use under a</w:t>
      </w:r>
      <w:r w:rsidRPr="00D13E2C">
        <w:rPr>
          <w:rFonts w:cstheme="minorHAnsi"/>
          <w:sz w:val="24"/>
          <w:szCs w:val="24"/>
        </w:rPr>
        <w:t xml:space="preserve"> </w:t>
      </w:r>
      <w:hyperlink r:id="rId10" w:history="1">
        <w:r w:rsidRPr="00D13E2C">
          <w:rPr>
            <w:rStyle w:val="Hyperlink"/>
          </w:rPr>
          <w:t>Creative Commons Attribution 4.0 International</w:t>
        </w:r>
      </w:hyperlink>
      <w:r w:rsidRPr="00D13E2C">
        <w:rPr>
          <w:rFonts w:cstheme="minorHAnsi"/>
          <w:sz w:val="24"/>
          <w:szCs w:val="24"/>
        </w:rPr>
        <w:t xml:space="preserve"> </w:t>
      </w:r>
      <w:r w:rsidRPr="00D13E2C">
        <w:t>licence, with the exception of the Commonwealth Coat of Arms, the Treasury logo, photographs, images, third party materials, materials protected by a trademark, signatures and where otherwise stated. The full licence terms are available from</w:t>
      </w:r>
      <w:r w:rsidRPr="00D13E2C">
        <w:rPr>
          <w:rFonts w:cstheme="minorHAnsi"/>
          <w:sz w:val="24"/>
          <w:szCs w:val="24"/>
        </w:rPr>
        <w:t xml:space="preserve"> </w:t>
      </w:r>
      <w:hyperlink r:id="rId11" w:history="1">
        <w:r w:rsidRPr="00D13E2C">
          <w:rPr>
            <w:rStyle w:val="Hyperlink"/>
          </w:rPr>
          <w:t>creativecommons.org/licenses/by/4.0/legalcode</w:t>
        </w:r>
      </w:hyperlink>
      <w:r w:rsidRPr="00D13E2C">
        <w:t>.</w:t>
      </w:r>
      <w:r w:rsidRPr="00D13E2C">
        <w:rPr>
          <w:sz w:val="24"/>
          <w:szCs w:val="24"/>
        </w:rPr>
        <w:t xml:space="preserve"> </w:t>
      </w:r>
    </w:p>
    <w:p w14:paraId="74483A7E" w14:textId="77777777" w:rsidR="001C3418" w:rsidRPr="00D13E2C" w:rsidRDefault="001C3418" w:rsidP="001C3418">
      <w:pPr>
        <w:pStyle w:val="ChartGraphic"/>
        <w:jc w:val="left"/>
      </w:pPr>
      <w:r w:rsidRPr="00D13E2C">
        <w:rPr>
          <w:noProof/>
        </w:rPr>
        <w:drawing>
          <wp:inline distT="0" distB="0" distL="0" distR="0" wp14:anchorId="4DD5383A" wp14:editId="07DADE1E">
            <wp:extent cx="809625" cy="285750"/>
            <wp:effectExtent l="0" t="0" r="9525" b="0"/>
            <wp:docPr id="3" name="Picture 3"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11F8EB83" w14:textId="77777777" w:rsidR="001C3418" w:rsidRPr="00D13E2C" w:rsidRDefault="001C3418" w:rsidP="001C3418">
      <w:pPr>
        <w:tabs>
          <w:tab w:val="left" w:pos="1650"/>
        </w:tabs>
        <w:spacing w:before="240"/>
      </w:pPr>
      <w:r w:rsidRPr="00D13E2C">
        <w:t>Use of Treasury material under a</w:t>
      </w:r>
      <w:r w:rsidRPr="00D13E2C">
        <w:rPr>
          <w:rFonts w:cstheme="minorHAnsi"/>
          <w:sz w:val="24"/>
          <w:szCs w:val="24"/>
        </w:rPr>
        <w:t xml:space="preserve"> </w:t>
      </w:r>
      <w:hyperlink r:id="rId13" w:history="1">
        <w:r w:rsidRPr="00D13E2C">
          <w:rPr>
            <w:rStyle w:val="Hyperlink"/>
          </w:rPr>
          <w:t>Creative Commons Attribution 4.0 International</w:t>
        </w:r>
      </w:hyperlink>
      <w:r w:rsidRPr="00D13E2C">
        <w:t xml:space="preserve"> licence requires you to attribute the work (but not in any way that suggests that the Treasury endorses you or your use of the work).</w:t>
      </w:r>
    </w:p>
    <w:p w14:paraId="156FBE42" w14:textId="77777777" w:rsidR="001C3418" w:rsidRPr="00D13E2C" w:rsidRDefault="001C3418" w:rsidP="001C3418">
      <w:pPr>
        <w:spacing w:before="240"/>
        <w:rPr>
          <w:rStyle w:val="Strong"/>
        </w:rPr>
      </w:pPr>
      <w:r w:rsidRPr="00D13E2C">
        <w:rPr>
          <w:rStyle w:val="Strong"/>
        </w:rPr>
        <w:t>Treasury material used ‘as supplied’</w:t>
      </w:r>
    </w:p>
    <w:p w14:paraId="7AE2B042" w14:textId="77777777" w:rsidR="001C3418" w:rsidRPr="00D13E2C" w:rsidRDefault="001C3418" w:rsidP="001C3418">
      <w:r w:rsidRPr="00D13E2C">
        <w:t xml:space="preserve">Provided you have not modified or transformed Treasury material in any way including, for example, by changing the Treasury text; calculating percentage changes; graphing or charting data; or deriving new statistics from published Treasury statistics </w:t>
      </w:r>
      <w:r w:rsidRPr="00D13E2C">
        <w:rPr>
          <w:rFonts w:cs="Calibri Light"/>
        </w:rPr>
        <w:t>–</w:t>
      </w:r>
      <w:r w:rsidRPr="00D13E2C">
        <w:t xml:space="preserve"> then Treasury prefers the following attribution: </w:t>
      </w:r>
    </w:p>
    <w:p w14:paraId="6590BC5A" w14:textId="77777777" w:rsidR="001C3418" w:rsidRPr="00D13E2C" w:rsidRDefault="001C3418" w:rsidP="001C3418">
      <w:pPr>
        <w:ind w:firstLine="720"/>
      </w:pPr>
      <w:r w:rsidRPr="00D13E2C">
        <w:rPr>
          <w:iCs/>
        </w:rPr>
        <w:t>Source:</w:t>
      </w:r>
      <w:r w:rsidRPr="00D13E2C">
        <w:rPr>
          <w:i/>
        </w:rPr>
        <w:t xml:space="preserve"> </w:t>
      </w:r>
      <w:r w:rsidRPr="00D13E2C">
        <w:rPr>
          <w:rStyle w:val="Emphasis"/>
        </w:rPr>
        <w:t>The Commonwealth of Australia.</w:t>
      </w:r>
    </w:p>
    <w:p w14:paraId="7C96A394" w14:textId="77777777" w:rsidR="001C3418" w:rsidRPr="00D13E2C" w:rsidRDefault="001C3418" w:rsidP="001C3418">
      <w:pPr>
        <w:spacing w:before="240"/>
        <w:rPr>
          <w:rStyle w:val="Strong"/>
        </w:rPr>
      </w:pPr>
      <w:r w:rsidRPr="00D13E2C">
        <w:rPr>
          <w:rStyle w:val="Strong"/>
        </w:rPr>
        <w:t>Derivative material</w:t>
      </w:r>
    </w:p>
    <w:p w14:paraId="3A0E71A2" w14:textId="77777777" w:rsidR="001C3418" w:rsidRPr="00D13E2C" w:rsidRDefault="001C3418" w:rsidP="001C3418">
      <w:r w:rsidRPr="00D13E2C">
        <w:t xml:space="preserve">If you have modified or transformed Treasury material, or derived new material from those of the Treasury in any way, then Treasury prefers the following attribution: </w:t>
      </w:r>
    </w:p>
    <w:p w14:paraId="572A19E9" w14:textId="77777777" w:rsidR="001C3418" w:rsidRPr="00D13E2C" w:rsidRDefault="001C3418" w:rsidP="001C3418">
      <w:pPr>
        <w:ind w:firstLine="720"/>
        <w:rPr>
          <w:rStyle w:val="Emphasis"/>
        </w:rPr>
      </w:pPr>
      <w:r w:rsidRPr="00D13E2C">
        <w:rPr>
          <w:rStyle w:val="Emphasis"/>
        </w:rPr>
        <w:t>Based on Commonwealth of Australia</w:t>
      </w:r>
      <w:r w:rsidRPr="00D13E2C" w:rsidDel="002A3368">
        <w:rPr>
          <w:rStyle w:val="Emphasis"/>
        </w:rPr>
        <w:t xml:space="preserve"> </w:t>
      </w:r>
      <w:r w:rsidRPr="00D13E2C">
        <w:rPr>
          <w:rStyle w:val="Emphasis"/>
        </w:rPr>
        <w:t>data.</w:t>
      </w:r>
    </w:p>
    <w:p w14:paraId="0530D31E" w14:textId="77777777" w:rsidR="001C3418" w:rsidRPr="00D13E2C" w:rsidRDefault="001C3418" w:rsidP="001C3418">
      <w:pPr>
        <w:spacing w:before="240"/>
        <w:rPr>
          <w:rStyle w:val="Strong"/>
        </w:rPr>
      </w:pPr>
      <w:r w:rsidRPr="00D13E2C">
        <w:rPr>
          <w:rStyle w:val="Strong"/>
        </w:rPr>
        <w:t>Use of the Coat of Arms</w:t>
      </w:r>
    </w:p>
    <w:p w14:paraId="3D1FE6B6" w14:textId="77777777" w:rsidR="001C3418" w:rsidRPr="00D13E2C" w:rsidRDefault="001C3418" w:rsidP="001C3418">
      <w:pPr>
        <w:spacing w:before="240"/>
      </w:pPr>
      <w:r w:rsidRPr="00D13E2C">
        <w:t xml:space="preserve">The terms under which the Coat of Arms can be used are set out on the Department of the Prime Minister and Cabinet website (see </w:t>
      </w:r>
      <w:hyperlink r:id="rId14" w:history="1">
        <w:r w:rsidRPr="00D13E2C">
          <w:rPr>
            <w:rStyle w:val="Hyperlink"/>
          </w:rPr>
          <w:t>www.pmc.gov.au/government/commonwealth-coat-arms</w:t>
        </w:r>
      </w:hyperlink>
      <w:r w:rsidRPr="00D13E2C">
        <w:t>).</w:t>
      </w:r>
    </w:p>
    <w:p w14:paraId="0BE2B288" w14:textId="77777777" w:rsidR="001C3418" w:rsidRPr="00D13E2C" w:rsidRDefault="001C3418" w:rsidP="001C3418">
      <w:pPr>
        <w:spacing w:before="240"/>
        <w:rPr>
          <w:rStyle w:val="Strong"/>
        </w:rPr>
      </w:pPr>
      <w:r w:rsidRPr="00D13E2C">
        <w:rPr>
          <w:rStyle w:val="Strong"/>
        </w:rPr>
        <w:t>Other uses</w:t>
      </w:r>
    </w:p>
    <w:p w14:paraId="12E7B9CA" w14:textId="77777777" w:rsidR="001C3418" w:rsidRPr="00D13E2C" w:rsidRDefault="001C3418" w:rsidP="001C3418">
      <w:r w:rsidRPr="00D13E2C">
        <w:t>Enquiries regarding this licence and any other use of this document are welcome at:</w:t>
      </w:r>
    </w:p>
    <w:p w14:paraId="5ECF3E91" w14:textId="77777777" w:rsidR="001C3418" w:rsidRPr="00D13E2C" w:rsidRDefault="001C3418" w:rsidP="001C3418">
      <w:pPr>
        <w:ind w:left="720"/>
        <w:rPr>
          <w:rStyle w:val="Hyperlink"/>
        </w:rPr>
      </w:pPr>
      <w:r w:rsidRPr="00D13E2C">
        <w:t>Manager</w:t>
      </w:r>
      <w:r w:rsidRPr="00D13E2C">
        <w:br/>
        <w:t>Media Unit</w:t>
      </w:r>
      <w:r w:rsidRPr="00D13E2C">
        <w:br/>
        <w:t>The Treasury</w:t>
      </w:r>
      <w:r w:rsidRPr="00D13E2C">
        <w:br/>
        <w:t xml:space="preserve">Langton Crescent </w:t>
      </w:r>
      <w:r w:rsidRPr="00D13E2C">
        <w:br/>
        <w:t>Parkes  ACT  2600</w:t>
      </w:r>
      <w:r w:rsidRPr="00D13E2C">
        <w:br/>
        <w:t xml:space="preserve">Email: </w:t>
      </w:r>
      <w:hyperlink r:id="rId15" w:history="1">
        <w:r w:rsidRPr="00D13E2C">
          <w:rPr>
            <w:rStyle w:val="Hyperlink"/>
          </w:rPr>
          <w:t>media@treasury.gov.au</w:t>
        </w:r>
      </w:hyperlink>
    </w:p>
    <w:p w14:paraId="399C8343" w14:textId="4FA025C1" w:rsidR="00F836F9" w:rsidRPr="003F1597" w:rsidRDefault="001C3418" w:rsidP="001C3418">
      <w:pPr>
        <w:rPr>
          <w:rStyle w:val="Emphasis"/>
        </w:rPr>
      </w:pPr>
      <w:r w:rsidRPr="00D13E2C">
        <w:rPr>
          <w:rStyle w:val="Emphasis"/>
        </w:rPr>
        <w:t>In the spirit of reconciliation, the Treasury acknowledges the Traditional Custodians of country throughout Australia and their connections to land, sea and community. We pay our respect to their Elders past and present and extend that respect to all Aboriginal and Torres Strait Islander peoples</w:t>
      </w:r>
      <w:r w:rsidR="00862EE6" w:rsidRPr="003F1597">
        <w:rPr>
          <w:rStyle w:val="Emphasis"/>
        </w:rPr>
        <w:t>.</w:t>
      </w:r>
    </w:p>
    <w:p w14:paraId="5CF06FBA" w14:textId="77777777" w:rsidR="001B646B" w:rsidRPr="00D32709" w:rsidRDefault="001B646B" w:rsidP="00D32709">
      <w:pPr>
        <w:sectPr w:rsidR="001B646B" w:rsidRPr="00D32709" w:rsidSect="009C1A6F">
          <w:pgSz w:w="11906" w:h="16838" w:code="9"/>
          <w:pgMar w:top="1843" w:right="1418" w:bottom="1418" w:left="1418" w:header="709" w:footer="709" w:gutter="0"/>
          <w:pgNumType w:start="0"/>
          <w:cols w:space="708"/>
          <w:titlePg/>
          <w:docGrid w:linePitch="360"/>
        </w:sectPr>
      </w:pPr>
    </w:p>
    <w:p w14:paraId="2B139377" w14:textId="77777777" w:rsidR="00744923" w:rsidRPr="008960F3" w:rsidRDefault="000E0B74">
      <w:pPr>
        <w:pStyle w:val="TOC1"/>
        <w:rPr>
          <w:rFonts w:ascii="Calibri" w:hAnsi="Calibri" w:cs="Arial"/>
          <w:noProof w:val="0"/>
          <w:color w:val="5D779D" w:themeColor="accent3"/>
          <w:kern w:val="32"/>
          <w:sz w:val="44"/>
          <w:szCs w:val="36"/>
        </w:rPr>
      </w:pPr>
      <w:bookmarkStart w:id="0" w:name="_Toc111026801"/>
      <w:r w:rsidRPr="008960F3">
        <w:rPr>
          <w:rFonts w:ascii="Calibri" w:hAnsi="Calibri" w:cs="Arial"/>
          <w:noProof w:val="0"/>
          <w:color w:val="5D779D" w:themeColor="accent3"/>
          <w:kern w:val="32"/>
          <w:sz w:val="44"/>
          <w:szCs w:val="36"/>
        </w:rPr>
        <w:lastRenderedPageBreak/>
        <w:t>Contents</w:t>
      </w:r>
    </w:p>
    <w:p w14:paraId="2DAEFF95" w14:textId="5BEC4FF1" w:rsidR="000D4217" w:rsidRDefault="007C692E">
      <w:pPr>
        <w:pStyle w:val="TOC1"/>
        <w:rPr>
          <w:rFonts w:asciiTheme="minorHAnsi" w:eastAsiaTheme="minorEastAsia" w:hAnsiTheme="minorHAnsi" w:cstheme="minorBidi"/>
          <w:b w:val="0"/>
          <w:color w:val="auto"/>
          <w:kern w:val="2"/>
          <w:sz w:val="24"/>
          <w:szCs w:val="24"/>
          <w14:ligatures w14:val="standardContextual"/>
        </w:rPr>
      </w:pPr>
      <w:r>
        <w:rPr>
          <w:b w:val="0"/>
          <w:bCs/>
          <w:color w:val="3A6FAF"/>
        </w:rPr>
        <w:fldChar w:fldCharType="begin"/>
      </w:r>
      <w:r w:rsidRPr="008E15EF">
        <w:rPr>
          <w:bCs/>
          <w:color w:val="3A6FAF"/>
        </w:rPr>
        <w:instrText xml:space="preserve"> TOC \o "1-2" \h \z \u </w:instrText>
      </w:r>
      <w:r>
        <w:rPr>
          <w:b w:val="0"/>
          <w:bCs/>
          <w:color w:val="3A6FAF"/>
        </w:rPr>
        <w:fldChar w:fldCharType="separate"/>
      </w:r>
      <w:hyperlink w:anchor="_Toc192160539" w:history="1">
        <w:r w:rsidR="000D4217" w:rsidRPr="00066DAF">
          <w:rPr>
            <w:rStyle w:val="Hyperlink"/>
          </w:rPr>
          <w:t>Executive Summary</w:t>
        </w:r>
        <w:r w:rsidR="000D4217">
          <w:rPr>
            <w:webHidden/>
          </w:rPr>
          <w:tab/>
        </w:r>
        <w:r w:rsidR="000D4217">
          <w:rPr>
            <w:webHidden/>
          </w:rPr>
          <w:fldChar w:fldCharType="begin"/>
        </w:r>
        <w:r w:rsidR="000D4217">
          <w:rPr>
            <w:webHidden/>
          </w:rPr>
          <w:instrText xml:space="preserve"> PAGEREF _Toc192160539 \h </w:instrText>
        </w:r>
        <w:r w:rsidR="000D4217">
          <w:rPr>
            <w:webHidden/>
          </w:rPr>
        </w:r>
        <w:r w:rsidR="000D4217">
          <w:rPr>
            <w:webHidden/>
          </w:rPr>
          <w:fldChar w:fldCharType="separate"/>
        </w:r>
        <w:r w:rsidR="00441C07">
          <w:rPr>
            <w:webHidden/>
          </w:rPr>
          <w:t>2</w:t>
        </w:r>
        <w:r w:rsidR="000D4217">
          <w:rPr>
            <w:webHidden/>
          </w:rPr>
          <w:fldChar w:fldCharType="end"/>
        </w:r>
      </w:hyperlink>
    </w:p>
    <w:p w14:paraId="2D8FC847" w14:textId="07E75156" w:rsidR="000D4217" w:rsidRDefault="000D4217">
      <w:pPr>
        <w:pStyle w:val="TOC1"/>
        <w:tabs>
          <w:tab w:val="left" w:pos="720"/>
        </w:tabs>
        <w:rPr>
          <w:rFonts w:asciiTheme="minorHAnsi" w:eastAsiaTheme="minorEastAsia" w:hAnsiTheme="minorHAnsi" w:cstheme="minorBidi"/>
          <w:b w:val="0"/>
          <w:color w:val="auto"/>
          <w:kern w:val="2"/>
          <w:sz w:val="24"/>
          <w:szCs w:val="24"/>
          <w14:ligatures w14:val="standardContextual"/>
        </w:rPr>
      </w:pPr>
      <w:hyperlink w:anchor="_Toc192160540" w:history="1">
        <w:r w:rsidRPr="00066DAF">
          <w:rPr>
            <w:rStyle w:val="Hyperlink"/>
          </w:rPr>
          <w:t>1</w:t>
        </w:r>
        <w:r>
          <w:rPr>
            <w:rFonts w:asciiTheme="minorHAnsi" w:eastAsiaTheme="minorEastAsia" w:hAnsiTheme="minorHAnsi" w:cstheme="minorBidi"/>
            <w:b w:val="0"/>
            <w:color w:val="auto"/>
            <w:kern w:val="2"/>
            <w:sz w:val="24"/>
            <w:szCs w:val="24"/>
            <w14:ligatures w14:val="standardContextual"/>
          </w:rPr>
          <w:tab/>
        </w:r>
        <w:r w:rsidRPr="00066DAF">
          <w:rPr>
            <w:rStyle w:val="Hyperlink"/>
          </w:rPr>
          <w:t>Introduction</w:t>
        </w:r>
        <w:r>
          <w:rPr>
            <w:webHidden/>
          </w:rPr>
          <w:tab/>
        </w:r>
        <w:r>
          <w:rPr>
            <w:webHidden/>
          </w:rPr>
          <w:fldChar w:fldCharType="begin"/>
        </w:r>
        <w:r>
          <w:rPr>
            <w:webHidden/>
          </w:rPr>
          <w:instrText xml:space="preserve"> PAGEREF _Toc192160540 \h </w:instrText>
        </w:r>
        <w:r>
          <w:rPr>
            <w:webHidden/>
          </w:rPr>
        </w:r>
        <w:r>
          <w:rPr>
            <w:webHidden/>
          </w:rPr>
          <w:fldChar w:fldCharType="separate"/>
        </w:r>
        <w:r w:rsidR="00441C07">
          <w:rPr>
            <w:webHidden/>
          </w:rPr>
          <w:t>3</w:t>
        </w:r>
        <w:r>
          <w:rPr>
            <w:webHidden/>
          </w:rPr>
          <w:fldChar w:fldCharType="end"/>
        </w:r>
      </w:hyperlink>
    </w:p>
    <w:p w14:paraId="00031AC6" w14:textId="2D22F8FD" w:rsidR="000D4217" w:rsidRDefault="000D4217">
      <w:pPr>
        <w:pStyle w:val="TOC2"/>
        <w:rPr>
          <w:rFonts w:asciiTheme="minorHAnsi" w:eastAsiaTheme="minorEastAsia" w:hAnsiTheme="minorHAnsi" w:cstheme="minorBidi"/>
          <w:color w:val="auto"/>
          <w:kern w:val="2"/>
          <w:sz w:val="24"/>
          <w:szCs w:val="24"/>
          <w14:ligatures w14:val="standardContextual"/>
        </w:rPr>
      </w:pPr>
      <w:hyperlink w:anchor="_Toc192160541" w:history="1">
        <w:r w:rsidRPr="00066DAF">
          <w:rPr>
            <w:rStyle w:val="Hyperlink"/>
          </w:rPr>
          <w:t>AI and consumer goods and services</w:t>
        </w:r>
        <w:r>
          <w:rPr>
            <w:webHidden/>
          </w:rPr>
          <w:tab/>
        </w:r>
        <w:r>
          <w:rPr>
            <w:webHidden/>
          </w:rPr>
          <w:fldChar w:fldCharType="begin"/>
        </w:r>
        <w:r>
          <w:rPr>
            <w:webHidden/>
          </w:rPr>
          <w:instrText xml:space="preserve"> PAGEREF _Toc192160541 \h </w:instrText>
        </w:r>
        <w:r>
          <w:rPr>
            <w:webHidden/>
          </w:rPr>
        </w:r>
        <w:r>
          <w:rPr>
            <w:webHidden/>
          </w:rPr>
          <w:fldChar w:fldCharType="separate"/>
        </w:r>
        <w:r w:rsidR="00441C07">
          <w:rPr>
            <w:webHidden/>
          </w:rPr>
          <w:t>3</w:t>
        </w:r>
        <w:r>
          <w:rPr>
            <w:webHidden/>
          </w:rPr>
          <w:fldChar w:fldCharType="end"/>
        </w:r>
      </w:hyperlink>
    </w:p>
    <w:p w14:paraId="1226BC47" w14:textId="4B1CB455" w:rsidR="000D4217" w:rsidRDefault="000D4217">
      <w:pPr>
        <w:pStyle w:val="TOC2"/>
        <w:rPr>
          <w:rFonts w:asciiTheme="minorHAnsi" w:eastAsiaTheme="minorEastAsia" w:hAnsiTheme="minorHAnsi" w:cstheme="minorBidi"/>
          <w:color w:val="auto"/>
          <w:kern w:val="2"/>
          <w:sz w:val="24"/>
          <w:szCs w:val="24"/>
          <w14:ligatures w14:val="standardContextual"/>
        </w:rPr>
      </w:pPr>
      <w:hyperlink w:anchor="_Toc192160542" w:history="1">
        <w:r w:rsidRPr="00066DAF">
          <w:rPr>
            <w:rStyle w:val="Hyperlink"/>
          </w:rPr>
          <w:t>The legislative landscape</w:t>
        </w:r>
        <w:r>
          <w:rPr>
            <w:webHidden/>
          </w:rPr>
          <w:tab/>
        </w:r>
        <w:r>
          <w:rPr>
            <w:webHidden/>
          </w:rPr>
          <w:fldChar w:fldCharType="begin"/>
        </w:r>
        <w:r>
          <w:rPr>
            <w:webHidden/>
          </w:rPr>
          <w:instrText xml:space="preserve"> PAGEREF _Toc192160542 \h </w:instrText>
        </w:r>
        <w:r>
          <w:rPr>
            <w:webHidden/>
          </w:rPr>
        </w:r>
        <w:r>
          <w:rPr>
            <w:webHidden/>
          </w:rPr>
          <w:fldChar w:fldCharType="separate"/>
        </w:r>
        <w:r w:rsidR="00441C07">
          <w:rPr>
            <w:webHidden/>
          </w:rPr>
          <w:t>5</w:t>
        </w:r>
        <w:r>
          <w:rPr>
            <w:webHidden/>
          </w:rPr>
          <w:fldChar w:fldCharType="end"/>
        </w:r>
      </w:hyperlink>
    </w:p>
    <w:p w14:paraId="7311B8EC" w14:textId="36DA4E5E" w:rsidR="000D4217" w:rsidRDefault="000D4217">
      <w:pPr>
        <w:pStyle w:val="TOC1"/>
        <w:tabs>
          <w:tab w:val="left" w:pos="720"/>
        </w:tabs>
        <w:rPr>
          <w:rFonts w:asciiTheme="minorHAnsi" w:eastAsiaTheme="minorEastAsia" w:hAnsiTheme="minorHAnsi" w:cstheme="minorBidi"/>
          <w:b w:val="0"/>
          <w:color w:val="auto"/>
          <w:kern w:val="2"/>
          <w:sz w:val="24"/>
          <w:szCs w:val="24"/>
          <w14:ligatures w14:val="standardContextual"/>
        </w:rPr>
      </w:pPr>
      <w:hyperlink w:anchor="_Toc192160543" w:history="1">
        <w:r w:rsidRPr="00066DAF">
          <w:rPr>
            <w:rStyle w:val="Hyperlink"/>
          </w:rPr>
          <w:t>2</w:t>
        </w:r>
        <w:r>
          <w:rPr>
            <w:rFonts w:asciiTheme="minorHAnsi" w:eastAsiaTheme="minorEastAsia" w:hAnsiTheme="minorHAnsi" w:cstheme="minorBidi"/>
            <w:b w:val="0"/>
            <w:color w:val="auto"/>
            <w:kern w:val="2"/>
            <w:sz w:val="24"/>
            <w:szCs w:val="24"/>
            <w14:ligatures w14:val="standardContextual"/>
          </w:rPr>
          <w:tab/>
        </w:r>
        <w:r w:rsidRPr="00066DAF">
          <w:rPr>
            <w:rStyle w:val="Hyperlink"/>
          </w:rPr>
          <w:t>Managing risks to realise benefits</w:t>
        </w:r>
        <w:r>
          <w:rPr>
            <w:webHidden/>
          </w:rPr>
          <w:tab/>
        </w:r>
        <w:r>
          <w:rPr>
            <w:webHidden/>
          </w:rPr>
          <w:fldChar w:fldCharType="begin"/>
        </w:r>
        <w:r>
          <w:rPr>
            <w:webHidden/>
          </w:rPr>
          <w:instrText xml:space="preserve"> PAGEREF _Toc192160543 \h </w:instrText>
        </w:r>
        <w:r>
          <w:rPr>
            <w:webHidden/>
          </w:rPr>
        </w:r>
        <w:r>
          <w:rPr>
            <w:webHidden/>
          </w:rPr>
          <w:fldChar w:fldCharType="separate"/>
        </w:r>
        <w:r w:rsidR="00441C07">
          <w:rPr>
            <w:webHidden/>
          </w:rPr>
          <w:t>6</w:t>
        </w:r>
        <w:r>
          <w:rPr>
            <w:webHidden/>
          </w:rPr>
          <w:fldChar w:fldCharType="end"/>
        </w:r>
      </w:hyperlink>
    </w:p>
    <w:p w14:paraId="09F02831" w14:textId="63B79DF7" w:rsidR="000D4217" w:rsidRDefault="000D4217">
      <w:pPr>
        <w:pStyle w:val="TOC2"/>
        <w:rPr>
          <w:rFonts w:asciiTheme="minorHAnsi" w:eastAsiaTheme="minorEastAsia" w:hAnsiTheme="minorHAnsi" w:cstheme="minorBidi"/>
          <w:color w:val="auto"/>
          <w:kern w:val="2"/>
          <w:sz w:val="24"/>
          <w:szCs w:val="24"/>
          <w14:ligatures w14:val="standardContextual"/>
        </w:rPr>
      </w:pPr>
      <w:hyperlink w:anchor="_Toc192160544" w:history="1">
        <w:r w:rsidRPr="00066DAF">
          <w:rPr>
            <w:rStyle w:val="Hyperlink"/>
          </w:rPr>
          <w:t>Safety</w:t>
        </w:r>
        <w:r>
          <w:rPr>
            <w:webHidden/>
          </w:rPr>
          <w:tab/>
        </w:r>
        <w:r>
          <w:rPr>
            <w:webHidden/>
          </w:rPr>
          <w:fldChar w:fldCharType="begin"/>
        </w:r>
        <w:r>
          <w:rPr>
            <w:webHidden/>
          </w:rPr>
          <w:instrText xml:space="preserve"> PAGEREF _Toc192160544 \h </w:instrText>
        </w:r>
        <w:r>
          <w:rPr>
            <w:webHidden/>
          </w:rPr>
        </w:r>
        <w:r>
          <w:rPr>
            <w:webHidden/>
          </w:rPr>
          <w:fldChar w:fldCharType="separate"/>
        </w:r>
        <w:r w:rsidR="00441C07">
          <w:rPr>
            <w:webHidden/>
          </w:rPr>
          <w:t>7</w:t>
        </w:r>
        <w:r>
          <w:rPr>
            <w:webHidden/>
          </w:rPr>
          <w:fldChar w:fldCharType="end"/>
        </w:r>
      </w:hyperlink>
    </w:p>
    <w:p w14:paraId="5D4291A0" w14:textId="65068853" w:rsidR="000D4217" w:rsidRDefault="000D4217">
      <w:pPr>
        <w:pStyle w:val="TOC2"/>
        <w:rPr>
          <w:rFonts w:asciiTheme="minorHAnsi" w:eastAsiaTheme="minorEastAsia" w:hAnsiTheme="minorHAnsi" w:cstheme="minorBidi"/>
          <w:color w:val="auto"/>
          <w:kern w:val="2"/>
          <w:sz w:val="24"/>
          <w:szCs w:val="24"/>
          <w14:ligatures w14:val="standardContextual"/>
        </w:rPr>
      </w:pPr>
      <w:hyperlink w:anchor="_Toc192160545" w:history="1">
        <w:r w:rsidRPr="00066DAF">
          <w:rPr>
            <w:rStyle w:val="Hyperlink"/>
          </w:rPr>
          <w:t>Misleading or unfair AI-enabled conduct</w:t>
        </w:r>
        <w:r>
          <w:rPr>
            <w:webHidden/>
          </w:rPr>
          <w:tab/>
        </w:r>
        <w:r>
          <w:rPr>
            <w:webHidden/>
          </w:rPr>
          <w:fldChar w:fldCharType="begin"/>
        </w:r>
        <w:r>
          <w:rPr>
            <w:webHidden/>
          </w:rPr>
          <w:instrText xml:space="preserve"> PAGEREF _Toc192160545 \h </w:instrText>
        </w:r>
        <w:r>
          <w:rPr>
            <w:webHidden/>
          </w:rPr>
        </w:r>
        <w:r>
          <w:rPr>
            <w:webHidden/>
          </w:rPr>
          <w:fldChar w:fldCharType="separate"/>
        </w:r>
        <w:r w:rsidR="00441C07">
          <w:rPr>
            <w:webHidden/>
          </w:rPr>
          <w:t>10</w:t>
        </w:r>
        <w:r>
          <w:rPr>
            <w:webHidden/>
          </w:rPr>
          <w:fldChar w:fldCharType="end"/>
        </w:r>
      </w:hyperlink>
    </w:p>
    <w:p w14:paraId="5DD99F4F" w14:textId="51A164DB" w:rsidR="000D4217" w:rsidRDefault="000D4217">
      <w:pPr>
        <w:pStyle w:val="TOC2"/>
        <w:rPr>
          <w:rFonts w:asciiTheme="minorHAnsi" w:eastAsiaTheme="minorEastAsia" w:hAnsiTheme="minorHAnsi" w:cstheme="minorBidi"/>
          <w:color w:val="auto"/>
          <w:kern w:val="2"/>
          <w:sz w:val="24"/>
          <w:szCs w:val="24"/>
          <w14:ligatures w14:val="standardContextual"/>
        </w:rPr>
      </w:pPr>
      <w:hyperlink w:anchor="_Toc192160546" w:history="1">
        <w:r w:rsidRPr="00066DAF">
          <w:rPr>
            <w:rStyle w:val="Hyperlink"/>
          </w:rPr>
          <w:t>Unfair contract terms</w:t>
        </w:r>
        <w:r>
          <w:rPr>
            <w:webHidden/>
          </w:rPr>
          <w:tab/>
        </w:r>
        <w:r>
          <w:rPr>
            <w:webHidden/>
          </w:rPr>
          <w:fldChar w:fldCharType="begin"/>
        </w:r>
        <w:r>
          <w:rPr>
            <w:webHidden/>
          </w:rPr>
          <w:instrText xml:space="preserve"> PAGEREF _Toc192160546 \h </w:instrText>
        </w:r>
        <w:r>
          <w:rPr>
            <w:webHidden/>
          </w:rPr>
        </w:r>
        <w:r>
          <w:rPr>
            <w:webHidden/>
          </w:rPr>
          <w:fldChar w:fldCharType="separate"/>
        </w:r>
        <w:r w:rsidR="00441C07">
          <w:rPr>
            <w:webHidden/>
          </w:rPr>
          <w:t>12</w:t>
        </w:r>
        <w:r>
          <w:rPr>
            <w:webHidden/>
          </w:rPr>
          <w:fldChar w:fldCharType="end"/>
        </w:r>
      </w:hyperlink>
    </w:p>
    <w:p w14:paraId="00C18108" w14:textId="20219561" w:rsidR="000D4217" w:rsidRDefault="000D4217">
      <w:pPr>
        <w:pStyle w:val="TOC2"/>
        <w:rPr>
          <w:rFonts w:asciiTheme="minorHAnsi" w:eastAsiaTheme="minorEastAsia" w:hAnsiTheme="minorHAnsi" w:cstheme="minorBidi"/>
          <w:color w:val="auto"/>
          <w:kern w:val="2"/>
          <w:sz w:val="24"/>
          <w:szCs w:val="24"/>
          <w14:ligatures w14:val="standardContextual"/>
        </w:rPr>
      </w:pPr>
      <w:hyperlink w:anchor="_Toc192160547" w:history="1">
        <w:r w:rsidRPr="00066DAF">
          <w:rPr>
            <w:rStyle w:val="Hyperlink"/>
          </w:rPr>
          <w:t>Consumer guarantees</w:t>
        </w:r>
        <w:r>
          <w:rPr>
            <w:webHidden/>
          </w:rPr>
          <w:tab/>
        </w:r>
        <w:r>
          <w:rPr>
            <w:webHidden/>
          </w:rPr>
          <w:fldChar w:fldCharType="begin"/>
        </w:r>
        <w:r>
          <w:rPr>
            <w:webHidden/>
          </w:rPr>
          <w:instrText xml:space="preserve"> PAGEREF _Toc192160547 \h </w:instrText>
        </w:r>
        <w:r>
          <w:rPr>
            <w:webHidden/>
          </w:rPr>
        </w:r>
        <w:r>
          <w:rPr>
            <w:webHidden/>
          </w:rPr>
          <w:fldChar w:fldCharType="separate"/>
        </w:r>
        <w:r w:rsidR="00441C07">
          <w:rPr>
            <w:webHidden/>
          </w:rPr>
          <w:t>13</w:t>
        </w:r>
        <w:r>
          <w:rPr>
            <w:webHidden/>
          </w:rPr>
          <w:fldChar w:fldCharType="end"/>
        </w:r>
      </w:hyperlink>
    </w:p>
    <w:p w14:paraId="1A7FAF87" w14:textId="320BA7DB" w:rsidR="000D4217" w:rsidRDefault="000D4217">
      <w:pPr>
        <w:pStyle w:val="TOC1"/>
        <w:tabs>
          <w:tab w:val="left" w:pos="720"/>
        </w:tabs>
        <w:rPr>
          <w:rFonts w:asciiTheme="minorHAnsi" w:eastAsiaTheme="minorEastAsia" w:hAnsiTheme="minorHAnsi" w:cstheme="minorBidi"/>
          <w:b w:val="0"/>
          <w:color w:val="auto"/>
          <w:kern w:val="2"/>
          <w:sz w:val="24"/>
          <w:szCs w:val="24"/>
          <w14:ligatures w14:val="standardContextual"/>
        </w:rPr>
      </w:pPr>
      <w:hyperlink w:anchor="_Toc192160548" w:history="1">
        <w:r w:rsidRPr="00066DAF">
          <w:rPr>
            <w:rStyle w:val="Hyperlink"/>
          </w:rPr>
          <w:t>3</w:t>
        </w:r>
        <w:r>
          <w:rPr>
            <w:rFonts w:asciiTheme="minorHAnsi" w:eastAsiaTheme="minorEastAsia" w:hAnsiTheme="minorHAnsi" w:cstheme="minorBidi"/>
            <w:b w:val="0"/>
            <w:color w:val="auto"/>
            <w:kern w:val="2"/>
            <w:sz w:val="24"/>
            <w:szCs w:val="24"/>
            <w14:ligatures w14:val="standardContextual"/>
          </w:rPr>
          <w:tab/>
        </w:r>
        <w:r w:rsidRPr="00066DAF">
          <w:rPr>
            <w:rStyle w:val="Hyperlink"/>
          </w:rPr>
          <w:t>Delivering regulatory clarity and certainty</w:t>
        </w:r>
        <w:r>
          <w:rPr>
            <w:webHidden/>
          </w:rPr>
          <w:tab/>
        </w:r>
        <w:r>
          <w:rPr>
            <w:webHidden/>
          </w:rPr>
          <w:fldChar w:fldCharType="begin"/>
        </w:r>
        <w:r>
          <w:rPr>
            <w:webHidden/>
          </w:rPr>
          <w:instrText xml:space="preserve"> PAGEREF _Toc192160548 \h </w:instrText>
        </w:r>
        <w:r>
          <w:rPr>
            <w:webHidden/>
          </w:rPr>
        </w:r>
        <w:r>
          <w:rPr>
            <w:webHidden/>
          </w:rPr>
          <w:fldChar w:fldCharType="separate"/>
        </w:r>
        <w:r w:rsidR="00441C07">
          <w:rPr>
            <w:webHidden/>
          </w:rPr>
          <w:t>15</w:t>
        </w:r>
        <w:r>
          <w:rPr>
            <w:webHidden/>
          </w:rPr>
          <w:fldChar w:fldCharType="end"/>
        </w:r>
      </w:hyperlink>
    </w:p>
    <w:p w14:paraId="2F7D9A8C" w14:textId="407AD93E" w:rsidR="000D4217" w:rsidRDefault="000D4217">
      <w:pPr>
        <w:pStyle w:val="TOC2"/>
        <w:rPr>
          <w:rFonts w:asciiTheme="minorHAnsi" w:eastAsiaTheme="minorEastAsia" w:hAnsiTheme="minorHAnsi" w:cstheme="minorBidi"/>
          <w:color w:val="auto"/>
          <w:kern w:val="2"/>
          <w:sz w:val="24"/>
          <w:szCs w:val="24"/>
          <w14:ligatures w14:val="standardContextual"/>
        </w:rPr>
      </w:pPr>
      <w:hyperlink w:anchor="_Toc192160549" w:history="1">
        <w:r w:rsidRPr="00066DAF">
          <w:rPr>
            <w:rStyle w:val="Hyperlink"/>
          </w:rPr>
          <w:t>Definitional uncertainty – goods and services</w:t>
        </w:r>
        <w:r>
          <w:rPr>
            <w:webHidden/>
          </w:rPr>
          <w:tab/>
        </w:r>
        <w:r>
          <w:rPr>
            <w:webHidden/>
          </w:rPr>
          <w:fldChar w:fldCharType="begin"/>
        </w:r>
        <w:r>
          <w:rPr>
            <w:webHidden/>
          </w:rPr>
          <w:instrText xml:space="preserve"> PAGEREF _Toc192160549 \h </w:instrText>
        </w:r>
        <w:r>
          <w:rPr>
            <w:webHidden/>
          </w:rPr>
        </w:r>
        <w:r>
          <w:rPr>
            <w:webHidden/>
          </w:rPr>
          <w:fldChar w:fldCharType="separate"/>
        </w:r>
        <w:r w:rsidR="00441C07">
          <w:rPr>
            <w:webHidden/>
          </w:rPr>
          <w:t>16</w:t>
        </w:r>
        <w:r>
          <w:rPr>
            <w:webHidden/>
          </w:rPr>
          <w:fldChar w:fldCharType="end"/>
        </w:r>
      </w:hyperlink>
    </w:p>
    <w:p w14:paraId="009EBD4D" w14:textId="778E5AC7" w:rsidR="000D4217" w:rsidRDefault="000D4217">
      <w:pPr>
        <w:pStyle w:val="TOC2"/>
        <w:rPr>
          <w:rFonts w:asciiTheme="minorHAnsi" w:eastAsiaTheme="minorEastAsia" w:hAnsiTheme="minorHAnsi" w:cstheme="minorBidi"/>
          <w:color w:val="auto"/>
          <w:kern w:val="2"/>
          <w:sz w:val="24"/>
          <w:szCs w:val="24"/>
          <w14:ligatures w14:val="standardContextual"/>
        </w:rPr>
      </w:pPr>
      <w:hyperlink w:anchor="_Toc192160550" w:history="1">
        <w:r w:rsidRPr="00066DAF">
          <w:rPr>
            <w:rStyle w:val="Hyperlink"/>
          </w:rPr>
          <w:t>Principles-based consumer guarantees</w:t>
        </w:r>
        <w:r>
          <w:rPr>
            <w:webHidden/>
          </w:rPr>
          <w:tab/>
        </w:r>
        <w:r>
          <w:rPr>
            <w:webHidden/>
          </w:rPr>
          <w:fldChar w:fldCharType="begin"/>
        </w:r>
        <w:r>
          <w:rPr>
            <w:webHidden/>
          </w:rPr>
          <w:instrText xml:space="preserve"> PAGEREF _Toc192160550 \h </w:instrText>
        </w:r>
        <w:r>
          <w:rPr>
            <w:webHidden/>
          </w:rPr>
        </w:r>
        <w:r>
          <w:rPr>
            <w:webHidden/>
          </w:rPr>
          <w:fldChar w:fldCharType="separate"/>
        </w:r>
        <w:r w:rsidR="00441C07">
          <w:rPr>
            <w:webHidden/>
          </w:rPr>
          <w:t>17</w:t>
        </w:r>
        <w:r>
          <w:rPr>
            <w:webHidden/>
          </w:rPr>
          <w:fldChar w:fldCharType="end"/>
        </w:r>
      </w:hyperlink>
    </w:p>
    <w:p w14:paraId="64D0D2ED" w14:textId="7210CDE1" w:rsidR="000D4217" w:rsidRDefault="000D4217">
      <w:pPr>
        <w:pStyle w:val="TOC2"/>
        <w:rPr>
          <w:rFonts w:asciiTheme="minorHAnsi" w:eastAsiaTheme="minorEastAsia" w:hAnsiTheme="minorHAnsi" w:cstheme="minorBidi"/>
          <w:color w:val="auto"/>
          <w:kern w:val="2"/>
          <w:sz w:val="24"/>
          <w:szCs w:val="24"/>
          <w14:ligatures w14:val="standardContextual"/>
        </w:rPr>
      </w:pPr>
      <w:hyperlink w:anchor="_Toc192160551" w:history="1">
        <w:r w:rsidRPr="00066DAF">
          <w:rPr>
            <w:rStyle w:val="Hyperlink"/>
          </w:rPr>
          <w:t>Education and guidance</w:t>
        </w:r>
        <w:r>
          <w:rPr>
            <w:webHidden/>
          </w:rPr>
          <w:tab/>
        </w:r>
        <w:r>
          <w:rPr>
            <w:webHidden/>
          </w:rPr>
          <w:fldChar w:fldCharType="begin"/>
        </w:r>
        <w:r>
          <w:rPr>
            <w:webHidden/>
          </w:rPr>
          <w:instrText xml:space="preserve"> PAGEREF _Toc192160551 \h </w:instrText>
        </w:r>
        <w:r>
          <w:rPr>
            <w:webHidden/>
          </w:rPr>
        </w:r>
        <w:r>
          <w:rPr>
            <w:webHidden/>
          </w:rPr>
          <w:fldChar w:fldCharType="separate"/>
        </w:r>
        <w:r w:rsidR="00441C07">
          <w:rPr>
            <w:webHidden/>
          </w:rPr>
          <w:t>18</w:t>
        </w:r>
        <w:r>
          <w:rPr>
            <w:webHidden/>
          </w:rPr>
          <w:fldChar w:fldCharType="end"/>
        </w:r>
      </w:hyperlink>
    </w:p>
    <w:p w14:paraId="3A38CD24" w14:textId="54D7741F" w:rsidR="000D4217" w:rsidRDefault="000D4217">
      <w:pPr>
        <w:pStyle w:val="TOC1"/>
        <w:tabs>
          <w:tab w:val="left" w:pos="720"/>
        </w:tabs>
        <w:rPr>
          <w:rFonts w:asciiTheme="minorHAnsi" w:eastAsiaTheme="minorEastAsia" w:hAnsiTheme="minorHAnsi" w:cstheme="minorBidi"/>
          <w:b w:val="0"/>
          <w:color w:val="auto"/>
          <w:kern w:val="2"/>
          <w:sz w:val="24"/>
          <w:szCs w:val="24"/>
          <w14:ligatures w14:val="standardContextual"/>
        </w:rPr>
      </w:pPr>
      <w:hyperlink w:anchor="_Toc192160552" w:history="1">
        <w:r w:rsidRPr="00066DAF">
          <w:rPr>
            <w:rStyle w:val="Hyperlink"/>
          </w:rPr>
          <w:t>4</w:t>
        </w:r>
        <w:r>
          <w:rPr>
            <w:rFonts w:asciiTheme="minorHAnsi" w:eastAsiaTheme="minorEastAsia" w:hAnsiTheme="minorHAnsi" w:cstheme="minorBidi"/>
            <w:b w:val="0"/>
            <w:color w:val="auto"/>
            <w:kern w:val="2"/>
            <w:sz w:val="24"/>
            <w:szCs w:val="24"/>
            <w14:ligatures w14:val="standardContextual"/>
          </w:rPr>
          <w:tab/>
        </w:r>
        <w:r w:rsidRPr="00066DAF">
          <w:rPr>
            <w:rStyle w:val="Hyperlink"/>
          </w:rPr>
          <w:t>Accessing remedies</w:t>
        </w:r>
        <w:r>
          <w:rPr>
            <w:webHidden/>
          </w:rPr>
          <w:tab/>
        </w:r>
        <w:r>
          <w:rPr>
            <w:webHidden/>
          </w:rPr>
          <w:fldChar w:fldCharType="begin"/>
        </w:r>
        <w:r>
          <w:rPr>
            <w:webHidden/>
          </w:rPr>
          <w:instrText xml:space="preserve"> PAGEREF _Toc192160552 \h </w:instrText>
        </w:r>
        <w:r>
          <w:rPr>
            <w:webHidden/>
          </w:rPr>
        </w:r>
        <w:r>
          <w:rPr>
            <w:webHidden/>
          </w:rPr>
          <w:fldChar w:fldCharType="separate"/>
        </w:r>
        <w:r w:rsidR="00441C07">
          <w:rPr>
            <w:webHidden/>
          </w:rPr>
          <w:t>20</w:t>
        </w:r>
        <w:r>
          <w:rPr>
            <w:webHidden/>
          </w:rPr>
          <w:fldChar w:fldCharType="end"/>
        </w:r>
      </w:hyperlink>
    </w:p>
    <w:p w14:paraId="3022AF27" w14:textId="431C8DBB" w:rsidR="000D4217" w:rsidRDefault="000D4217">
      <w:pPr>
        <w:pStyle w:val="TOC2"/>
        <w:rPr>
          <w:rFonts w:asciiTheme="minorHAnsi" w:eastAsiaTheme="minorEastAsia" w:hAnsiTheme="minorHAnsi" w:cstheme="minorBidi"/>
          <w:color w:val="auto"/>
          <w:kern w:val="2"/>
          <w:sz w:val="24"/>
          <w:szCs w:val="24"/>
          <w14:ligatures w14:val="standardContextual"/>
        </w:rPr>
      </w:pPr>
      <w:hyperlink w:anchor="_Toc192160553" w:history="1">
        <w:r w:rsidRPr="00066DAF">
          <w:rPr>
            <w:rStyle w:val="Hyperlink"/>
          </w:rPr>
          <w:t>Appropriateness of remedies</w:t>
        </w:r>
        <w:r>
          <w:rPr>
            <w:webHidden/>
          </w:rPr>
          <w:tab/>
        </w:r>
        <w:r>
          <w:rPr>
            <w:webHidden/>
          </w:rPr>
          <w:fldChar w:fldCharType="begin"/>
        </w:r>
        <w:r>
          <w:rPr>
            <w:webHidden/>
          </w:rPr>
          <w:instrText xml:space="preserve"> PAGEREF _Toc192160553 \h </w:instrText>
        </w:r>
        <w:r>
          <w:rPr>
            <w:webHidden/>
          </w:rPr>
        </w:r>
        <w:r>
          <w:rPr>
            <w:webHidden/>
          </w:rPr>
          <w:fldChar w:fldCharType="separate"/>
        </w:r>
        <w:r w:rsidR="00441C07">
          <w:rPr>
            <w:webHidden/>
          </w:rPr>
          <w:t>20</w:t>
        </w:r>
        <w:r>
          <w:rPr>
            <w:webHidden/>
          </w:rPr>
          <w:fldChar w:fldCharType="end"/>
        </w:r>
      </w:hyperlink>
    </w:p>
    <w:p w14:paraId="3DA6332D" w14:textId="00B5ABB8" w:rsidR="000D4217" w:rsidRDefault="000D4217">
      <w:pPr>
        <w:pStyle w:val="TOC2"/>
        <w:rPr>
          <w:rFonts w:asciiTheme="minorHAnsi" w:eastAsiaTheme="minorEastAsia" w:hAnsiTheme="minorHAnsi" w:cstheme="minorBidi"/>
          <w:color w:val="auto"/>
          <w:kern w:val="2"/>
          <w:sz w:val="24"/>
          <w:szCs w:val="24"/>
          <w14:ligatures w14:val="standardContextual"/>
        </w:rPr>
      </w:pPr>
      <w:hyperlink w:anchor="_Toc192160554" w:history="1">
        <w:r w:rsidRPr="00066DAF">
          <w:rPr>
            <w:rStyle w:val="Hyperlink"/>
          </w:rPr>
          <w:t>Practical barriers to accessing remedies</w:t>
        </w:r>
        <w:r>
          <w:rPr>
            <w:webHidden/>
          </w:rPr>
          <w:tab/>
        </w:r>
        <w:r>
          <w:rPr>
            <w:webHidden/>
          </w:rPr>
          <w:fldChar w:fldCharType="begin"/>
        </w:r>
        <w:r>
          <w:rPr>
            <w:webHidden/>
          </w:rPr>
          <w:instrText xml:space="preserve"> PAGEREF _Toc192160554 \h </w:instrText>
        </w:r>
        <w:r>
          <w:rPr>
            <w:webHidden/>
          </w:rPr>
        </w:r>
        <w:r>
          <w:rPr>
            <w:webHidden/>
          </w:rPr>
          <w:fldChar w:fldCharType="separate"/>
        </w:r>
        <w:r w:rsidR="00441C07">
          <w:rPr>
            <w:webHidden/>
          </w:rPr>
          <w:t>21</w:t>
        </w:r>
        <w:r>
          <w:rPr>
            <w:webHidden/>
          </w:rPr>
          <w:fldChar w:fldCharType="end"/>
        </w:r>
      </w:hyperlink>
    </w:p>
    <w:p w14:paraId="2C060E2E" w14:textId="380ED4CC" w:rsidR="000D4217" w:rsidRDefault="000D4217">
      <w:pPr>
        <w:pStyle w:val="TOC2"/>
        <w:rPr>
          <w:rFonts w:asciiTheme="minorHAnsi" w:eastAsiaTheme="minorEastAsia" w:hAnsiTheme="minorHAnsi" w:cstheme="minorBidi"/>
          <w:color w:val="auto"/>
          <w:kern w:val="2"/>
          <w:sz w:val="24"/>
          <w:szCs w:val="24"/>
          <w14:ligatures w14:val="standardContextual"/>
        </w:rPr>
      </w:pPr>
      <w:hyperlink w:anchor="_Toc192160555" w:history="1">
        <w:r w:rsidRPr="00066DAF">
          <w:rPr>
            <w:rStyle w:val="Hyperlink"/>
          </w:rPr>
          <w:t>Supply chain complexities and establishing liability</w:t>
        </w:r>
        <w:r>
          <w:rPr>
            <w:webHidden/>
          </w:rPr>
          <w:tab/>
        </w:r>
        <w:r>
          <w:rPr>
            <w:webHidden/>
          </w:rPr>
          <w:fldChar w:fldCharType="begin"/>
        </w:r>
        <w:r>
          <w:rPr>
            <w:webHidden/>
          </w:rPr>
          <w:instrText xml:space="preserve"> PAGEREF _Toc192160555 \h </w:instrText>
        </w:r>
        <w:r>
          <w:rPr>
            <w:webHidden/>
          </w:rPr>
        </w:r>
        <w:r>
          <w:rPr>
            <w:webHidden/>
          </w:rPr>
          <w:fldChar w:fldCharType="separate"/>
        </w:r>
        <w:r w:rsidR="00441C07">
          <w:rPr>
            <w:webHidden/>
          </w:rPr>
          <w:t>23</w:t>
        </w:r>
        <w:r>
          <w:rPr>
            <w:webHidden/>
          </w:rPr>
          <w:fldChar w:fldCharType="end"/>
        </w:r>
      </w:hyperlink>
    </w:p>
    <w:p w14:paraId="7F5AC376" w14:textId="0BDF6786" w:rsidR="000D4217" w:rsidRDefault="000D4217">
      <w:pPr>
        <w:pStyle w:val="TOC2"/>
        <w:rPr>
          <w:rFonts w:asciiTheme="minorHAnsi" w:eastAsiaTheme="minorEastAsia" w:hAnsiTheme="minorHAnsi" w:cstheme="minorBidi"/>
          <w:color w:val="auto"/>
          <w:kern w:val="2"/>
          <w:sz w:val="24"/>
          <w:szCs w:val="24"/>
          <w14:ligatures w14:val="standardContextual"/>
        </w:rPr>
      </w:pPr>
      <w:hyperlink w:anchor="_Toc192160556" w:history="1">
        <w:r w:rsidRPr="00066DAF">
          <w:rPr>
            <w:rStyle w:val="Hyperlink"/>
          </w:rPr>
          <w:t>Defences to defective goods actions</w:t>
        </w:r>
        <w:r>
          <w:rPr>
            <w:webHidden/>
          </w:rPr>
          <w:tab/>
        </w:r>
        <w:r>
          <w:rPr>
            <w:webHidden/>
          </w:rPr>
          <w:fldChar w:fldCharType="begin"/>
        </w:r>
        <w:r>
          <w:rPr>
            <w:webHidden/>
          </w:rPr>
          <w:instrText xml:space="preserve"> PAGEREF _Toc192160556 \h </w:instrText>
        </w:r>
        <w:r>
          <w:rPr>
            <w:webHidden/>
          </w:rPr>
        </w:r>
        <w:r>
          <w:rPr>
            <w:webHidden/>
          </w:rPr>
          <w:fldChar w:fldCharType="separate"/>
        </w:r>
        <w:r w:rsidR="00441C07">
          <w:rPr>
            <w:webHidden/>
          </w:rPr>
          <w:t>25</w:t>
        </w:r>
        <w:r>
          <w:rPr>
            <w:webHidden/>
          </w:rPr>
          <w:fldChar w:fldCharType="end"/>
        </w:r>
      </w:hyperlink>
    </w:p>
    <w:p w14:paraId="58099461" w14:textId="7068BCD1" w:rsidR="000D4217" w:rsidRDefault="000D4217">
      <w:pPr>
        <w:pStyle w:val="TOC1"/>
        <w:tabs>
          <w:tab w:val="left" w:pos="720"/>
        </w:tabs>
        <w:rPr>
          <w:rFonts w:asciiTheme="minorHAnsi" w:eastAsiaTheme="minorEastAsia" w:hAnsiTheme="minorHAnsi" w:cstheme="minorBidi"/>
          <w:b w:val="0"/>
          <w:color w:val="auto"/>
          <w:kern w:val="2"/>
          <w:sz w:val="24"/>
          <w:szCs w:val="24"/>
          <w14:ligatures w14:val="standardContextual"/>
        </w:rPr>
      </w:pPr>
      <w:hyperlink w:anchor="_Toc192160557" w:history="1">
        <w:r w:rsidRPr="00066DAF">
          <w:rPr>
            <w:rStyle w:val="Hyperlink"/>
          </w:rPr>
          <w:t>5</w:t>
        </w:r>
        <w:r>
          <w:rPr>
            <w:rFonts w:asciiTheme="minorHAnsi" w:eastAsiaTheme="minorEastAsia" w:hAnsiTheme="minorHAnsi" w:cstheme="minorBidi"/>
            <w:b w:val="0"/>
            <w:color w:val="auto"/>
            <w:kern w:val="2"/>
            <w:sz w:val="24"/>
            <w:szCs w:val="24"/>
            <w14:ligatures w14:val="standardContextual"/>
          </w:rPr>
          <w:tab/>
        </w:r>
        <w:r w:rsidRPr="00066DAF">
          <w:rPr>
            <w:rStyle w:val="Hyperlink"/>
          </w:rPr>
          <w:t>Administration</w:t>
        </w:r>
        <w:r>
          <w:rPr>
            <w:webHidden/>
          </w:rPr>
          <w:tab/>
        </w:r>
        <w:r>
          <w:rPr>
            <w:webHidden/>
          </w:rPr>
          <w:fldChar w:fldCharType="begin"/>
        </w:r>
        <w:r>
          <w:rPr>
            <w:webHidden/>
          </w:rPr>
          <w:instrText xml:space="preserve"> PAGEREF _Toc192160557 \h </w:instrText>
        </w:r>
        <w:r>
          <w:rPr>
            <w:webHidden/>
          </w:rPr>
        </w:r>
        <w:r>
          <w:rPr>
            <w:webHidden/>
          </w:rPr>
          <w:fldChar w:fldCharType="separate"/>
        </w:r>
        <w:r w:rsidR="00441C07">
          <w:rPr>
            <w:webHidden/>
          </w:rPr>
          <w:t>27</w:t>
        </w:r>
        <w:r>
          <w:rPr>
            <w:webHidden/>
          </w:rPr>
          <w:fldChar w:fldCharType="end"/>
        </w:r>
      </w:hyperlink>
    </w:p>
    <w:p w14:paraId="028E39AA" w14:textId="67CC64D2" w:rsidR="000D4217" w:rsidRDefault="000D4217">
      <w:pPr>
        <w:pStyle w:val="TOC1"/>
        <w:tabs>
          <w:tab w:val="left" w:pos="720"/>
        </w:tabs>
        <w:rPr>
          <w:rFonts w:asciiTheme="minorHAnsi" w:eastAsiaTheme="minorEastAsia" w:hAnsiTheme="minorHAnsi" w:cstheme="minorBidi"/>
          <w:b w:val="0"/>
          <w:color w:val="auto"/>
          <w:kern w:val="2"/>
          <w:sz w:val="24"/>
          <w:szCs w:val="24"/>
          <w14:ligatures w14:val="standardContextual"/>
        </w:rPr>
      </w:pPr>
      <w:hyperlink w:anchor="_Toc192160558" w:history="1">
        <w:r w:rsidRPr="00066DAF">
          <w:rPr>
            <w:rStyle w:val="Hyperlink"/>
          </w:rPr>
          <w:t>6</w:t>
        </w:r>
        <w:r>
          <w:rPr>
            <w:rFonts w:asciiTheme="minorHAnsi" w:eastAsiaTheme="minorEastAsia" w:hAnsiTheme="minorHAnsi" w:cstheme="minorBidi"/>
            <w:b w:val="0"/>
            <w:color w:val="auto"/>
            <w:kern w:val="2"/>
            <w:sz w:val="24"/>
            <w:szCs w:val="24"/>
            <w14:ligatures w14:val="standardContextual"/>
          </w:rPr>
          <w:tab/>
        </w:r>
        <w:r w:rsidRPr="00066DAF">
          <w:rPr>
            <w:rStyle w:val="Hyperlink"/>
          </w:rPr>
          <w:t>International perspectives</w:t>
        </w:r>
        <w:r>
          <w:rPr>
            <w:webHidden/>
          </w:rPr>
          <w:tab/>
        </w:r>
        <w:r>
          <w:rPr>
            <w:webHidden/>
          </w:rPr>
          <w:fldChar w:fldCharType="begin"/>
        </w:r>
        <w:r>
          <w:rPr>
            <w:webHidden/>
          </w:rPr>
          <w:instrText xml:space="preserve"> PAGEREF _Toc192160558 \h </w:instrText>
        </w:r>
        <w:r>
          <w:rPr>
            <w:webHidden/>
          </w:rPr>
        </w:r>
        <w:r>
          <w:rPr>
            <w:webHidden/>
          </w:rPr>
          <w:fldChar w:fldCharType="separate"/>
        </w:r>
        <w:r w:rsidR="00441C07">
          <w:rPr>
            <w:webHidden/>
          </w:rPr>
          <w:t>28</w:t>
        </w:r>
        <w:r>
          <w:rPr>
            <w:webHidden/>
          </w:rPr>
          <w:fldChar w:fldCharType="end"/>
        </w:r>
      </w:hyperlink>
    </w:p>
    <w:p w14:paraId="2546DBDE" w14:textId="102A4BB7" w:rsidR="000D4217" w:rsidRDefault="000D4217">
      <w:pPr>
        <w:pStyle w:val="TOC2"/>
        <w:rPr>
          <w:rFonts w:asciiTheme="minorHAnsi" w:eastAsiaTheme="minorEastAsia" w:hAnsiTheme="minorHAnsi" w:cstheme="minorBidi"/>
          <w:color w:val="auto"/>
          <w:kern w:val="2"/>
          <w:sz w:val="24"/>
          <w:szCs w:val="24"/>
          <w14:ligatures w14:val="standardContextual"/>
        </w:rPr>
      </w:pPr>
      <w:hyperlink w:anchor="_Toc192160559" w:history="1">
        <w:r w:rsidRPr="00066DAF">
          <w:rPr>
            <w:rStyle w:val="Hyperlink"/>
          </w:rPr>
          <w:t>European Union</w:t>
        </w:r>
        <w:r>
          <w:rPr>
            <w:webHidden/>
          </w:rPr>
          <w:tab/>
        </w:r>
        <w:r>
          <w:rPr>
            <w:webHidden/>
          </w:rPr>
          <w:fldChar w:fldCharType="begin"/>
        </w:r>
        <w:r>
          <w:rPr>
            <w:webHidden/>
          </w:rPr>
          <w:instrText xml:space="preserve"> PAGEREF _Toc192160559 \h </w:instrText>
        </w:r>
        <w:r>
          <w:rPr>
            <w:webHidden/>
          </w:rPr>
        </w:r>
        <w:r>
          <w:rPr>
            <w:webHidden/>
          </w:rPr>
          <w:fldChar w:fldCharType="separate"/>
        </w:r>
        <w:r w:rsidR="00441C07">
          <w:rPr>
            <w:webHidden/>
          </w:rPr>
          <w:t>29</w:t>
        </w:r>
        <w:r>
          <w:rPr>
            <w:webHidden/>
          </w:rPr>
          <w:fldChar w:fldCharType="end"/>
        </w:r>
      </w:hyperlink>
    </w:p>
    <w:p w14:paraId="2A6D9477" w14:textId="4D37AB92" w:rsidR="000D4217" w:rsidRDefault="000D4217">
      <w:pPr>
        <w:pStyle w:val="TOC2"/>
        <w:rPr>
          <w:rFonts w:asciiTheme="minorHAnsi" w:eastAsiaTheme="minorEastAsia" w:hAnsiTheme="minorHAnsi" w:cstheme="minorBidi"/>
          <w:color w:val="auto"/>
          <w:kern w:val="2"/>
          <w:sz w:val="24"/>
          <w:szCs w:val="24"/>
          <w14:ligatures w14:val="standardContextual"/>
        </w:rPr>
      </w:pPr>
      <w:hyperlink w:anchor="_Toc192160560" w:history="1">
        <w:r w:rsidRPr="00066DAF">
          <w:rPr>
            <w:rStyle w:val="Hyperlink"/>
          </w:rPr>
          <w:t>United Kingdom</w:t>
        </w:r>
        <w:r>
          <w:rPr>
            <w:webHidden/>
          </w:rPr>
          <w:tab/>
        </w:r>
        <w:r>
          <w:rPr>
            <w:webHidden/>
          </w:rPr>
          <w:fldChar w:fldCharType="begin"/>
        </w:r>
        <w:r>
          <w:rPr>
            <w:webHidden/>
          </w:rPr>
          <w:instrText xml:space="preserve"> PAGEREF _Toc192160560 \h </w:instrText>
        </w:r>
        <w:r>
          <w:rPr>
            <w:webHidden/>
          </w:rPr>
        </w:r>
        <w:r>
          <w:rPr>
            <w:webHidden/>
          </w:rPr>
          <w:fldChar w:fldCharType="separate"/>
        </w:r>
        <w:r w:rsidR="00441C07">
          <w:rPr>
            <w:webHidden/>
          </w:rPr>
          <w:t>30</w:t>
        </w:r>
        <w:r>
          <w:rPr>
            <w:webHidden/>
          </w:rPr>
          <w:fldChar w:fldCharType="end"/>
        </w:r>
      </w:hyperlink>
    </w:p>
    <w:p w14:paraId="48E56848" w14:textId="6FB80340" w:rsidR="000D4217" w:rsidRDefault="000D4217">
      <w:pPr>
        <w:pStyle w:val="TOC2"/>
        <w:rPr>
          <w:rFonts w:asciiTheme="minorHAnsi" w:eastAsiaTheme="minorEastAsia" w:hAnsiTheme="minorHAnsi" w:cstheme="minorBidi"/>
          <w:color w:val="auto"/>
          <w:kern w:val="2"/>
          <w:sz w:val="24"/>
          <w:szCs w:val="24"/>
          <w14:ligatures w14:val="standardContextual"/>
        </w:rPr>
      </w:pPr>
      <w:hyperlink w:anchor="_Toc192160561" w:history="1">
        <w:r w:rsidRPr="00066DAF">
          <w:rPr>
            <w:rStyle w:val="Hyperlink"/>
          </w:rPr>
          <w:t>Singapore</w:t>
        </w:r>
        <w:r>
          <w:rPr>
            <w:webHidden/>
          </w:rPr>
          <w:tab/>
        </w:r>
        <w:r>
          <w:rPr>
            <w:webHidden/>
          </w:rPr>
          <w:fldChar w:fldCharType="begin"/>
        </w:r>
        <w:r>
          <w:rPr>
            <w:webHidden/>
          </w:rPr>
          <w:instrText xml:space="preserve"> PAGEREF _Toc192160561 \h </w:instrText>
        </w:r>
        <w:r>
          <w:rPr>
            <w:webHidden/>
          </w:rPr>
        </w:r>
        <w:r>
          <w:rPr>
            <w:webHidden/>
          </w:rPr>
          <w:fldChar w:fldCharType="separate"/>
        </w:r>
        <w:r w:rsidR="00441C07">
          <w:rPr>
            <w:webHidden/>
          </w:rPr>
          <w:t>31</w:t>
        </w:r>
        <w:r>
          <w:rPr>
            <w:webHidden/>
          </w:rPr>
          <w:fldChar w:fldCharType="end"/>
        </w:r>
      </w:hyperlink>
    </w:p>
    <w:p w14:paraId="23DE5DD6" w14:textId="18270FA7" w:rsidR="000D4217" w:rsidRDefault="000D4217">
      <w:pPr>
        <w:pStyle w:val="TOC1"/>
        <w:tabs>
          <w:tab w:val="left" w:pos="720"/>
        </w:tabs>
        <w:rPr>
          <w:rFonts w:asciiTheme="minorHAnsi" w:eastAsiaTheme="minorEastAsia" w:hAnsiTheme="minorHAnsi" w:cstheme="minorBidi"/>
          <w:b w:val="0"/>
          <w:color w:val="auto"/>
          <w:kern w:val="2"/>
          <w:sz w:val="24"/>
          <w:szCs w:val="24"/>
          <w14:ligatures w14:val="standardContextual"/>
        </w:rPr>
      </w:pPr>
      <w:hyperlink w:anchor="_Toc192160562" w:history="1">
        <w:r w:rsidRPr="00066DAF">
          <w:rPr>
            <w:rStyle w:val="Hyperlink"/>
          </w:rPr>
          <w:t>7</w:t>
        </w:r>
        <w:r>
          <w:rPr>
            <w:rFonts w:asciiTheme="minorHAnsi" w:eastAsiaTheme="minorEastAsia" w:hAnsiTheme="minorHAnsi" w:cstheme="minorBidi"/>
            <w:b w:val="0"/>
            <w:color w:val="auto"/>
            <w:kern w:val="2"/>
            <w:sz w:val="24"/>
            <w:szCs w:val="24"/>
            <w14:ligatures w14:val="standardContextual"/>
          </w:rPr>
          <w:tab/>
        </w:r>
        <w:r w:rsidRPr="00066DAF">
          <w:rPr>
            <w:rStyle w:val="Hyperlink"/>
          </w:rPr>
          <w:t>Conclusion</w:t>
        </w:r>
        <w:r>
          <w:rPr>
            <w:webHidden/>
          </w:rPr>
          <w:tab/>
        </w:r>
        <w:r>
          <w:rPr>
            <w:webHidden/>
          </w:rPr>
          <w:fldChar w:fldCharType="begin"/>
        </w:r>
        <w:r>
          <w:rPr>
            <w:webHidden/>
          </w:rPr>
          <w:instrText xml:space="preserve"> PAGEREF _Toc192160562 \h </w:instrText>
        </w:r>
        <w:r>
          <w:rPr>
            <w:webHidden/>
          </w:rPr>
        </w:r>
        <w:r>
          <w:rPr>
            <w:webHidden/>
          </w:rPr>
          <w:fldChar w:fldCharType="separate"/>
        </w:r>
        <w:r w:rsidR="00441C07">
          <w:rPr>
            <w:webHidden/>
          </w:rPr>
          <w:t>34</w:t>
        </w:r>
        <w:r>
          <w:rPr>
            <w:webHidden/>
          </w:rPr>
          <w:fldChar w:fldCharType="end"/>
        </w:r>
      </w:hyperlink>
    </w:p>
    <w:p w14:paraId="24C29FC1" w14:textId="12373E0E" w:rsidR="000D4217" w:rsidRDefault="000D4217">
      <w:pPr>
        <w:pStyle w:val="TOC1"/>
        <w:rPr>
          <w:rFonts w:asciiTheme="minorHAnsi" w:eastAsiaTheme="minorEastAsia" w:hAnsiTheme="minorHAnsi" w:cstheme="minorBidi"/>
          <w:b w:val="0"/>
          <w:color w:val="auto"/>
          <w:kern w:val="2"/>
          <w:sz w:val="24"/>
          <w:szCs w:val="24"/>
          <w14:ligatures w14:val="standardContextual"/>
        </w:rPr>
      </w:pPr>
      <w:hyperlink w:anchor="_Toc192160563" w:history="1">
        <w:r w:rsidRPr="00066DAF">
          <w:rPr>
            <w:rStyle w:val="Hyperlink"/>
          </w:rPr>
          <w:t>Key terminology</w:t>
        </w:r>
        <w:r>
          <w:rPr>
            <w:webHidden/>
          </w:rPr>
          <w:tab/>
        </w:r>
        <w:r>
          <w:rPr>
            <w:webHidden/>
          </w:rPr>
          <w:fldChar w:fldCharType="begin"/>
        </w:r>
        <w:r>
          <w:rPr>
            <w:webHidden/>
          </w:rPr>
          <w:instrText xml:space="preserve"> PAGEREF _Toc192160563 \h </w:instrText>
        </w:r>
        <w:r>
          <w:rPr>
            <w:webHidden/>
          </w:rPr>
        </w:r>
        <w:r>
          <w:rPr>
            <w:webHidden/>
          </w:rPr>
          <w:fldChar w:fldCharType="separate"/>
        </w:r>
        <w:r w:rsidR="00441C07">
          <w:rPr>
            <w:webHidden/>
          </w:rPr>
          <w:t>35</w:t>
        </w:r>
        <w:r>
          <w:rPr>
            <w:webHidden/>
          </w:rPr>
          <w:fldChar w:fldCharType="end"/>
        </w:r>
      </w:hyperlink>
    </w:p>
    <w:p w14:paraId="59776DC1" w14:textId="78F4AB4C" w:rsidR="000D4217" w:rsidRDefault="000D4217">
      <w:pPr>
        <w:pStyle w:val="TOC1"/>
        <w:rPr>
          <w:rFonts w:asciiTheme="minorHAnsi" w:eastAsiaTheme="minorEastAsia" w:hAnsiTheme="minorHAnsi" w:cstheme="minorBidi"/>
          <w:b w:val="0"/>
          <w:color w:val="auto"/>
          <w:kern w:val="2"/>
          <w:sz w:val="24"/>
          <w:szCs w:val="24"/>
          <w14:ligatures w14:val="standardContextual"/>
        </w:rPr>
      </w:pPr>
      <w:hyperlink w:anchor="_Toc192160564" w:history="1">
        <w:r w:rsidRPr="00066DAF">
          <w:rPr>
            <w:rStyle w:val="Hyperlink"/>
          </w:rPr>
          <w:t>Attachment A – International comparisons to the ACL</w:t>
        </w:r>
        <w:r>
          <w:rPr>
            <w:webHidden/>
          </w:rPr>
          <w:tab/>
        </w:r>
        <w:r>
          <w:rPr>
            <w:webHidden/>
          </w:rPr>
          <w:fldChar w:fldCharType="begin"/>
        </w:r>
        <w:r>
          <w:rPr>
            <w:webHidden/>
          </w:rPr>
          <w:instrText xml:space="preserve"> PAGEREF _Toc192160564 \h </w:instrText>
        </w:r>
        <w:r>
          <w:rPr>
            <w:webHidden/>
          </w:rPr>
        </w:r>
        <w:r>
          <w:rPr>
            <w:webHidden/>
          </w:rPr>
          <w:fldChar w:fldCharType="separate"/>
        </w:r>
        <w:r w:rsidR="00441C07">
          <w:rPr>
            <w:webHidden/>
          </w:rPr>
          <w:t>36</w:t>
        </w:r>
        <w:r>
          <w:rPr>
            <w:webHidden/>
          </w:rPr>
          <w:fldChar w:fldCharType="end"/>
        </w:r>
      </w:hyperlink>
    </w:p>
    <w:p w14:paraId="55BA5942" w14:textId="40723E8D" w:rsidR="000D4217" w:rsidRDefault="000D4217">
      <w:pPr>
        <w:pStyle w:val="TOC2"/>
        <w:rPr>
          <w:rFonts w:asciiTheme="minorHAnsi" w:eastAsiaTheme="minorEastAsia" w:hAnsiTheme="minorHAnsi" w:cstheme="minorBidi"/>
          <w:color w:val="auto"/>
          <w:kern w:val="2"/>
          <w:sz w:val="24"/>
          <w:szCs w:val="24"/>
          <w14:ligatures w14:val="standardContextual"/>
        </w:rPr>
      </w:pPr>
      <w:hyperlink w:anchor="_Toc192160565" w:history="1">
        <w:r w:rsidRPr="00066DAF">
          <w:rPr>
            <w:rStyle w:val="Hyperlink"/>
          </w:rPr>
          <w:t>European Union</w:t>
        </w:r>
        <w:r>
          <w:rPr>
            <w:webHidden/>
          </w:rPr>
          <w:tab/>
        </w:r>
        <w:r>
          <w:rPr>
            <w:webHidden/>
          </w:rPr>
          <w:fldChar w:fldCharType="begin"/>
        </w:r>
        <w:r>
          <w:rPr>
            <w:webHidden/>
          </w:rPr>
          <w:instrText xml:space="preserve"> PAGEREF _Toc192160565 \h </w:instrText>
        </w:r>
        <w:r>
          <w:rPr>
            <w:webHidden/>
          </w:rPr>
        </w:r>
        <w:r>
          <w:rPr>
            <w:webHidden/>
          </w:rPr>
          <w:fldChar w:fldCharType="separate"/>
        </w:r>
        <w:r w:rsidR="00441C07">
          <w:rPr>
            <w:webHidden/>
          </w:rPr>
          <w:t>36</w:t>
        </w:r>
        <w:r>
          <w:rPr>
            <w:webHidden/>
          </w:rPr>
          <w:fldChar w:fldCharType="end"/>
        </w:r>
      </w:hyperlink>
    </w:p>
    <w:p w14:paraId="68FF1224" w14:textId="36332833" w:rsidR="000D4217" w:rsidRDefault="000D4217">
      <w:pPr>
        <w:pStyle w:val="TOC2"/>
        <w:rPr>
          <w:rFonts w:asciiTheme="minorHAnsi" w:eastAsiaTheme="minorEastAsia" w:hAnsiTheme="minorHAnsi" w:cstheme="minorBidi"/>
          <w:color w:val="auto"/>
          <w:kern w:val="2"/>
          <w:sz w:val="24"/>
          <w:szCs w:val="24"/>
          <w14:ligatures w14:val="standardContextual"/>
        </w:rPr>
      </w:pPr>
      <w:hyperlink w:anchor="_Toc192160566" w:history="1">
        <w:r w:rsidRPr="00066DAF">
          <w:rPr>
            <w:rStyle w:val="Hyperlink"/>
          </w:rPr>
          <w:t>United Kingdom</w:t>
        </w:r>
        <w:r>
          <w:rPr>
            <w:webHidden/>
          </w:rPr>
          <w:tab/>
        </w:r>
        <w:r>
          <w:rPr>
            <w:webHidden/>
          </w:rPr>
          <w:fldChar w:fldCharType="begin"/>
        </w:r>
        <w:r>
          <w:rPr>
            <w:webHidden/>
          </w:rPr>
          <w:instrText xml:space="preserve"> PAGEREF _Toc192160566 \h </w:instrText>
        </w:r>
        <w:r>
          <w:rPr>
            <w:webHidden/>
          </w:rPr>
        </w:r>
        <w:r>
          <w:rPr>
            <w:webHidden/>
          </w:rPr>
          <w:fldChar w:fldCharType="separate"/>
        </w:r>
        <w:r w:rsidR="00441C07">
          <w:rPr>
            <w:webHidden/>
          </w:rPr>
          <w:t>37</w:t>
        </w:r>
        <w:r>
          <w:rPr>
            <w:webHidden/>
          </w:rPr>
          <w:fldChar w:fldCharType="end"/>
        </w:r>
      </w:hyperlink>
    </w:p>
    <w:p w14:paraId="1C67CEC4" w14:textId="25B6E40C" w:rsidR="000D4217" w:rsidRDefault="000D4217">
      <w:pPr>
        <w:pStyle w:val="TOC2"/>
        <w:rPr>
          <w:rFonts w:asciiTheme="minorHAnsi" w:eastAsiaTheme="minorEastAsia" w:hAnsiTheme="minorHAnsi" w:cstheme="minorBidi"/>
          <w:color w:val="auto"/>
          <w:kern w:val="2"/>
          <w:sz w:val="24"/>
          <w:szCs w:val="24"/>
          <w14:ligatures w14:val="standardContextual"/>
        </w:rPr>
      </w:pPr>
      <w:hyperlink w:anchor="_Toc192160567" w:history="1">
        <w:r w:rsidRPr="00066DAF">
          <w:rPr>
            <w:rStyle w:val="Hyperlink"/>
          </w:rPr>
          <w:t>Singapore</w:t>
        </w:r>
        <w:r>
          <w:rPr>
            <w:webHidden/>
          </w:rPr>
          <w:tab/>
        </w:r>
        <w:r>
          <w:rPr>
            <w:webHidden/>
          </w:rPr>
          <w:fldChar w:fldCharType="begin"/>
        </w:r>
        <w:r>
          <w:rPr>
            <w:webHidden/>
          </w:rPr>
          <w:instrText xml:space="preserve"> PAGEREF _Toc192160567 \h </w:instrText>
        </w:r>
        <w:r>
          <w:rPr>
            <w:webHidden/>
          </w:rPr>
        </w:r>
        <w:r>
          <w:rPr>
            <w:webHidden/>
          </w:rPr>
          <w:fldChar w:fldCharType="separate"/>
        </w:r>
        <w:r w:rsidR="00441C07">
          <w:rPr>
            <w:webHidden/>
          </w:rPr>
          <w:t>39</w:t>
        </w:r>
        <w:r>
          <w:rPr>
            <w:webHidden/>
          </w:rPr>
          <w:fldChar w:fldCharType="end"/>
        </w:r>
      </w:hyperlink>
    </w:p>
    <w:p w14:paraId="731BE42D" w14:textId="5573E6F4" w:rsidR="00B775EE" w:rsidRPr="000B4969" w:rsidRDefault="007C692E" w:rsidP="007C692E">
      <w:pPr>
        <w:pStyle w:val="Heading1"/>
        <w:rPr>
          <w:b w:val="0"/>
        </w:rPr>
        <w:sectPr w:rsidR="00B775EE" w:rsidRPr="000B4969" w:rsidSect="00C656A3">
          <w:headerReference w:type="even" r:id="rId16"/>
          <w:headerReference w:type="default" r:id="rId17"/>
          <w:footerReference w:type="even" r:id="rId18"/>
          <w:headerReference w:type="first" r:id="rId19"/>
          <w:footerReference w:type="first" r:id="rId20"/>
          <w:pgSz w:w="11906" w:h="16838" w:code="9"/>
          <w:pgMar w:top="1843" w:right="1418" w:bottom="1418" w:left="1418" w:header="709" w:footer="709" w:gutter="0"/>
          <w:pgNumType w:start="1"/>
          <w:cols w:space="708"/>
          <w:titlePg/>
          <w:docGrid w:linePitch="360"/>
        </w:sectPr>
      </w:pPr>
      <w:r>
        <w:rPr>
          <w:noProof/>
          <w:color w:val="004A7F"/>
          <w:szCs w:val="22"/>
        </w:rPr>
        <w:fldChar w:fldCharType="end"/>
      </w:r>
      <w:bookmarkStart w:id="1" w:name="_Toc432067103"/>
      <w:bookmarkStart w:id="2" w:name="_Toc452635030"/>
      <w:bookmarkEnd w:id="0"/>
    </w:p>
    <w:p w14:paraId="777903EA" w14:textId="27594F95" w:rsidR="006C5B73" w:rsidRDefault="000B4969" w:rsidP="003122D6">
      <w:pPr>
        <w:pStyle w:val="Heading1"/>
        <w:spacing w:before="0"/>
      </w:pPr>
      <w:bookmarkStart w:id="3" w:name="_Toc432067104"/>
      <w:bookmarkStart w:id="4" w:name="_Toc452635031"/>
      <w:bookmarkStart w:id="5" w:name="_Toc192160539"/>
      <w:bookmarkEnd w:id="1"/>
      <w:bookmarkEnd w:id="2"/>
      <w:r>
        <w:lastRenderedPageBreak/>
        <w:t xml:space="preserve">Executive </w:t>
      </w:r>
      <w:r w:rsidR="006C5B73" w:rsidRPr="00A524B9">
        <w:t>Summary</w:t>
      </w:r>
      <w:bookmarkEnd w:id="3"/>
      <w:bookmarkEnd w:id="4"/>
      <w:bookmarkEnd w:id="5"/>
      <w:r w:rsidR="00C555AC">
        <w:t xml:space="preserve"> </w:t>
      </w:r>
    </w:p>
    <w:p w14:paraId="21F7F71F" w14:textId="4A81F7F9" w:rsidR="000B4969" w:rsidRPr="00D13E2C" w:rsidRDefault="000B4969" w:rsidP="000B4969">
      <w:r w:rsidRPr="00D13E2C">
        <w:t>The Australian Consumer Law (ACL) is an economy-wide</w:t>
      </w:r>
      <w:r w:rsidR="00195B64">
        <w:t>,</w:t>
      </w:r>
      <w:r w:rsidRPr="00D13E2C">
        <w:t xml:space="preserve"> </w:t>
      </w:r>
      <w:r w:rsidR="00F47713">
        <w:t>principles</w:t>
      </w:r>
      <w:r w:rsidR="00F47713">
        <w:noBreakHyphen/>
        <w:t>based</w:t>
      </w:r>
      <w:r w:rsidR="00195B64">
        <w:t xml:space="preserve"> </w:t>
      </w:r>
      <w:r w:rsidR="00090157">
        <w:t xml:space="preserve">and </w:t>
      </w:r>
      <w:r w:rsidR="00195B64">
        <w:t>technology</w:t>
      </w:r>
      <w:r w:rsidR="00950826">
        <w:t>-</w:t>
      </w:r>
      <w:r w:rsidR="00195B64">
        <w:t>ag</w:t>
      </w:r>
      <w:r w:rsidR="009D6874">
        <w:t xml:space="preserve">nostic </w:t>
      </w:r>
      <w:r w:rsidRPr="00D13E2C">
        <w:t xml:space="preserve">framework which aims to improve consumer wellbeing through consumer empowerment and protection, foster effective competition and enable the confident participation of consumers in </w:t>
      </w:r>
      <w:r w:rsidRPr="00F41648">
        <w:t xml:space="preserve">markets. Since its introduction, the ACL has </w:t>
      </w:r>
      <w:r w:rsidR="001044E9" w:rsidRPr="00CE07D5">
        <w:t>generally</w:t>
      </w:r>
      <w:r w:rsidR="001044E9">
        <w:t xml:space="preserve"> </w:t>
      </w:r>
      <w:r w:rsidRPr="00F41648">
        <w:t>been effective at responding to evolving consumer harms</w:t>
      </w:r>
      <w:r w:rsidRPr="00D13E2C">
        <w:t xml:space="preserve"> in the face of economic and technological changes. As </w:t>
      </w:r>
      <w:r w:rsidR="00A148EA">
        <w:t>AI</w:t>
      </w:r>
      <w:r w:rsidR="00A148EA">
        <w:noBreakHyphen/>
        <w:t>enabled</w:t>
      </w:r>
      <w:r w:rsidRPr="00D13E2C">
        <w:t xml:space="preserve"> goods and services </w:t>
      </w:r>
      <w:r>
        <w:t>enter</w:t>
      </w:r>
      <w:r w:rsidRPr="00D13E2C">
        <w:t xml:space="preserve"> the market</w:t>
      </w:r>
      <w:r>
        <w:t>, the ACL remains an important framework to support consumers and businesses safely realise the benefits of AI.</w:t>
      </w:r>
    </w:p>
    <w:p w14:paraId="4B17B841" w14:textId="2F184C88" w:rsidR="00100501" w:rsidRDefault="000B4969" w:rsidP="000B4969">
      <w:r w:rsidRPr="00D13E2C">
        <w:t xml:space="preserve">This Final Report of the </w:t>
      </w:r>
      <w:r w:rsidRPr="00D13E2C">
        <w:rPr>
          <w:i/>
        </w:rPr>
        <w:t>Review of AI and the Australian Consumer Law</w:t>
      </w:r>
      <w:r w:rsidRPr="00D13E2C">
        <w:t xml:space="preserve"> details that, when considered in combination with other relevant legal frameworks, the ACL </w:t>
      </w:r>
      <w:r>
        <w:t>is</w:t>
      </w:r>
      <w:r w:rsidRPr="00D13E2C">
        <w:t xml:space="preserve"> broadly capable of adapting effectively to the increasing uptake of </w:t>
      </w:r>
      <w:r w:rsidR="00A148EA">
        <w:t>AI</w:t>
      </w:r>
      <w:r w:rsidR="00A148EA">
        <w:noBreakHyphen/>
        <w:t>enabled</w:t>
      </w:r>
      <w:r w:rsidRPr="00D13E2C">
        <w:t xml:space="preserve"> goods and services. While several opportunities are identified </w:t>
      </w:r>
      <w:r w:rsidR="00560147">
        <w:t>to improve clarity and certainty</w:t>
      </w:r>
      <w:r w:rsidRPr="00D13E2C">
        <w:t xml:space="preserve"> within select provisions, the breadth of the ACL’s </w:t>
      </w:r>
      <w:r w:rsidR="00F47713">
        <w:t>principles</w:t>
      </w:r>
      <w:r w:rsidR="00F47713">
        <w:noBreakHyphen/>
        <w:t>based</w:t>
      </w:r>
      <w:r w:rsidRPr="00D13E2C">
        <w:t xml:space="preserve"> consumer protections remain a key strength of the framework.</w:t>
      </w:r>
    </w:p>
    <w:p w14:paraId="7EBABA7A" w14:textId="699B3FA2" w:rsidR="000B4969" w:rsidRDefault="000B4969" w:rsidP="000B4969">
      <w:r w:rsidRPr="00D13E2C">
        <w:t xml:space="preserve">The Review makes </w:t>
      </w:r>
      <w:r>
        <w:t>6</w:t>
      </w:r>
      <w:r w:rsidRPr="00D13E2C">
        <w:t xml:space="preserve"> findings:</w:t>
      </w:r>
    </w:p>
    <w:p w14:paraId="6D0429E6" w14:textId="08B6C19D" w:rsidR="00175E89" w:rsidRDefault="00E61F31" w:rsidP="002A513A">
      <w:pPr>
        <w:pBdr>
          <w:top w:val="single" w:sz="4" w:space="1" w:color="9DADC5" w:themeColor="accent3" w:themeTint="99"/>
          <w:left w:val="single" w:sz="4" w:space="4" w:color="9DADC5" w:themeColor="accent3" w:themeTint="99"/>
          <w:bottom w:val="single" w:sz="4" w:space="1" w:color="9DADC5" w:themeColor="accent3" w:themeTint="99"/>
          <w:right w:val="single" w:sz="4" w:space="4" w:color="9DADC5" w:themeColor="accent3" w:themeTint="99"/>
        </w:pBdr>
        <w:shd w:val="clear" w:color="auto" w:fill="FCEDE4"/>
        <w:ind w:left="1440" w:hanging="1440"/>
      </w:pPr>
      <w:r w:rsidRPr="00E61F31">
        <w:t>Finding 1</w:t>
      </w:r>
      <w:r w:rsidRPr="00E61F31">
        <w:tab/>
        <w:t>The principles</w:t>
      </w:r>
      <w:r w:rsidR="006B48CD">
        <w:t>-</w:t>
      </w:r>
      <w:r w:rsidRPr="00E61F31">
        <w:t>based protections provided under the ACL are generally well adapted to address the potential consumer law risks of AI enabled goods and services.</w:t>
      </w:r>
    </w:p>
    <w:p w14:paraId="12633C81" w14:textId="77777777" w:rsidR="00881253" w:rsidRPr="00B955E3" w:rsidRDefault="00881253" w:rsidP="00F03366">
      <w:pPr>
        <w:ind w:left="1440" w:hanging="1440"/>
        <w:rPr>
          <w:sz w:val="2"/>
          <w:szCs w:val="2"/>
        </w:rPr>
      </w:pPr>
    </w:p>
    <w:p w14:paraId="142A99CE" w14:textId="257EF3FF" w:rsidR="0089216D" w:rsidRDefault="0089216D" w:rsidP="006B48CD">
      <w:pPr>
        <w:pBdr>
          <w:top w:val="single" w:sz="4" w:space="1" w:color="9DADC5" w:themeColor="accent3" w:themeTint="99"/>
          <w:left w:val="single" w:sz="4" w:space="4" w:color="9DADC5" w:themeColor="accent3" w:themeTint="99"/>
          <w:bottom w:val="single" w:sz="4" w:space="1" w:color="9DADC5" w:themeColor="accent3" w:themeTint="99"/>
          <w:right w:val="single" w:sz="4" w:space="4" w:color="9DADC5" w:themeColor="accent3" w:themeTint="99"/>
        </w:pBdr>
        <w:shd w:val="clear" w:color="auto" w:fill="FCEDE4"/>
        <w:ind w:left="1440" w:hanging="1440"/>
      </w:pPr>
      <w:r>
        <w:t>Finding 2</w:t>
      </w:r>
      <w:r>
        <w:tab/>
        <w:t>Uncertainty regarding the distinction between goods and services, including AI enabled goods and services, presents a barrier to applying the ACL to new and emerging technologies. This uncertainty may be reduced through:</w:t>
      </w:r>
    </w:p>
    <w:p w14:paraId="65E846A7" w14:textId="349ACDDB" w:rsidR="006B48CD" w:rsidRDefault="00C84248" w:rsidP="006B48CD">
      <w:pPr>
        <w:pBdr>
          <w:top w:val="single" w:sz="4" w:space="1" w:color="9DADC5" w:themeColor="accent3" w:themeTint="99"/>
          <w:left w:val="single" w:sz="4" w:space="4" w:color="9DADC5" w:themeColor="accent3" w:themeTint="99"/>
          <w:bottom w:val="single" w:sz="4" w:space="1" w:color="9DADC5" w:themeColor="accent3" w:themeTint="99"/>
          <w:right w:val="single" w:sz="4" w:space="4" w:color="9DADC5" w:themeColor="accent3" w:themeTint="99"/>
        </w:pBdr>
        <w:shd w:val="clear" w:color="auto" w:fill="FCEDE4"/>
        <w:ind w:left="1440" w:hanging="1440"/>
      </w:pPr>
      <w:r>
        <w:tab/>
        <w:t xml:space="preserve">- targeted </w:t>
      </w:r>
      <w:r w:rsidRPr="00C84248">
        <w:t>amendments to the legislated list of items expressly included in the definition of ‘goods’ in the ACL, and</w:t>
      </w:r>
    </w:p>
    <w:p w14:paraId="42D4B03C" w14:textId="5F807E42" w:rsidR="00C84248" w:rsidRDefault="00C84248" w:rsidP="006B48CD">
      <w:pPr>
        <w:pBdr>
          <w:top w:val="single" w:sz="4" w:space="1" w:color="9DADC5" w:themeColor="accent3" w:themeTint="99"/>
          <w:left w:val="single" w:sz="4" w:space="4" w:color="9DADC5" w:themeColor="accent3" w:themeTint="99"/>
          <w:bottom w:val="single" w:sz="4" w:space="1" w:color="9DADC5" w:themeColor="accent3" w:themeTint="99"/>
          <w:right w:val="single" w:sz="4" w:space="4" w:color="9DADC5" w:themeColor="accent3" w:themeTint="99"/>
        </w:pBdr>
        <w:shd w:val="clear" w:color="auto" w:fill="FCEDE4"/>
        <w:ind w:left="1440" w:hanging="1440"/>
      </w:pPr>
      <w:r>
        <w:tab/>
        <w:t xml:space="preserve">- </w:t>
      </w:r>
      <w:r w:rsidRPr="00C84248">
        <w:t>updating education materials and regulatory guidance to provide greater clarity on the application of the ACL to software-enabled goods and services, including AI enabled goods and services.</w:t>
      </w:r>
    </w:p>
    <w:p w14:paraId="355872EF" w14:textId="727DB342" w:rsidR="00E61F31" w:rsidRPr="00FE51F6" w:rsidRDefault="00E61F31" w:rsidP="00F03366">
      <w:pPr>
        <w:ind w:left="2160" w:hanging="720"/>
        <w:rPr>
          <w:sz w:val="2"/>
          <w:szCs w:val="2"/>
        </w:rPr>
      </w:pPr>
    </w:p>
    <w:p w14:paraId="31529866" w14:textId="66E6255C" w:rsidR="00BF6272" w:rsidRDefault="00F03366" w:rsidP="001A5927">
      <w:pPr>
        <w:pBdr>
          <w:top w:val="single" w:sz="4" w:space="1" w:color="9DADC5" w:themeColor="accent3" w:themeTint="99"/>
          <w:left w:val="single" w:sz="4" w:space="4" w:color="9DADC5" w:themeColor="accent3" w:themeTint="99"/>
          <w:bottom w:val="single" w:sz="4" w:space="1" w:color="9DADC5" w:themeColor="accent3" w:themeTint="99"/>
          <w:right w:val="single" w:sz="4" w:space="4" w:color="9DADC5" w:themeColor="accent3" w:themeTint="99"/>
        </w:pBdr>
        <w:shd w:val="clear" w:color="auto" w:fill="FCEDE4"/>
        <w:ind w:left="1440" w:hanging="1440"/>
      </w:pPr>
      <w:r w:rsidRPr="00F03366">
        <w:t>Finding 3</w:t>
      </w:r>
      <w:r w:rsidRPr="00F03366">
        <w:tab/>
        <w:t>The existing remedy and liability provisions under the ACL are broad and remain appropriate in an AI context. Additional clarity regarding the existing obligations of businesses across the AI supply chain may be realised through targeted amendments to the definition of ‘manufacturer’.</w:t>
      </w:r>
    </w:p>
    <w:p w14:paraId="339B17D7" w14:textId="77777777" w:rsidR="001A5927" w:rsidRPr="00FE51F6" w:rsidRDefault="001A5927" w:rsidP="007D057B">
      <w:pPr>
        <w:ind w:left="1440" w:hanging="1440"/>
        <w:rPr>
          <w:sz w:val="2"/>
          <w:szCs w:val="2"/>
        </w:rPr>
      </w:pPr>
    </w:p>
    <w:p w14:paraId="08C74CDE" w14:textId="377C38C8" w:rsidR="0089216D" w:rsidRDefault="007D057B" w:rsidP="00FE51F6">
      <w:pPr>
        <w:pBdr>
          <w:top w:val="single" w:sz="4" w:space="1" w:color="9DADC5" w:themeColor="accent3" w:themeTint="99"/>
          <w:left w:val="single" w:sz="4" w:space="4" w:color="9DADC5" w:themeColor="accent3" w:themeTint="99"/>
          <w:bottom w:val="single" w:sz="4" w:space="1" w:color="9DADC5" w:themeColor="accent3" w:themeTint="99"/>
          <w:right w:val="single" w:sz="4" w:space="4" w:color="9DADC5" w:themeColor="accent3" w:themeTint="99"/>
        </w:pBdr>
        <w:shd w:val="clear" w:color="auto" w:fill="FCEDE4"/>
        <w:ind w:left="1440" w:hanging="1440"/>
      </w:pPr>
      <w:r w:rsidRPr="007D057B">
        <w:t>Finding 4</w:t>
      </w:r>
      <w:r w:rsidRPr="007D057B">
        <w:tab/>
        <w:t>Existing manufacturer defences to defective goods actions available under the ACL remain broadly appropriate in an AI context. Technical amendments may be required to ensure existing defences operate as intended in the context of software-enabled goods, including AI enabled goods, where the manufacturer continues to exercise a degree of control over the good post-supply.</w:t>
      </w:r>
    </w:p>
    <w:p w14:paraId="3414B366" w14:textId="77777777" w:rsidR="001A5927" w:rsidRPr="00FE51F6" w:rsidRDefault="001A5927" w:rsidP="007D057B">
      <w:pPr>
        <w:ind w:left="1440" w:hanging="1440"/>
        <w:rPr>
          <w:sz w:val="2"/>
          <w:szCs w:val="2"/>
        </w:rPr>
      </w:pPr>
    </w:p>
    <w:p w14:paraId="0BF7EC73" w14:textId="6BEF3729" w:rsidR="00626908" w:rsidRDefault="00626908" w:rsidP="00FE51F6">
      <w:pPr>
        <w:pBdr>
          <w:top w:val="single" w:sz="4" w:space="1" w:color="9DADC5" w:themeColor="accent3" w:themeTint="99"/>
          <w:left w:val="single" w:sz="4" w:space="4" w:color="9DADC5" w:themeColor="accent3" w:themeTint="99"/>
          <w:bottom w:val="single" w:sz="4" w:space="1" w:color="9DADC5" w:themeColor="accent3" w:themeTint="99"/>
          <w:right w:val="single" w:sz="4" w:space="4" w:color="9DADC5" w:themeColor="accent3" w:themeTint="99"/>
        </w:pBdr>
        <w:shd w:val="clear" w:color="auto" w:fill="FCEDE4"/>
        <w:ind w:left="1440" w:hanging="1440"/>
      </w:pPr>
      <w:r w:rsidRPr="00626908">
        <w:t>Finding 5</w:t>
      </w:r>
      <w:r w:rsidRPr="00626908">
        <w:tab/>
        <w:t>The nature of AI enabled goods and services does not necessitate specific changes to current powers available to the Australian Competition and Consumer Commission (ACCC). Regular review of the ACCC’s powers should continue in order to ensure the ongoing sufficiency of those powers in contexts including, but not limited to, AI.</w:t>
      </w:r>
    </w:p>
    <w:p w14:paraId="1BA68F0E" w14:textId="77777777" w:rsidR="00FE51F6" w:rsidRPr="00FE51F6" w:rsidRDefault="00FE51F6" w:rsidP="007D057B">
      <w:pPr>
        <w:ind w:left="1440" w:hanging="1440"/>
        <w:rPr>
          <w:sz w:val="2"/>
          <w:szCs w:val="2"/>
        </w:rPr>
      </w:pPr>
    </w:p>
    <w:p w14:paraId="6E2C11FF" w14:textId="2EC84697" w:rsidR="002A513A" w:rsidRDefault="002A513A" w:rsidP="00FE51F6">
      <w:pPr>
        <w:pBdr>
          <w:top w:val="single" w:sz="4" w:space="1" w:color="9DADC5" w:themeColor="accent3" w:themeTint="99"/>
          <w:left w:val="single" w:sz="4" w:space="4" w:color="9DADC5" w:themeColor="accent3" w:themeTint="99"/>
          <w:bottom w:val="single" w:sz="4" w:space="1" w:color="9DADC5" w:themeColor="accent3" w:themeTint="99"/>
          <w:right w:val="single" w:sz="4" w:space="4" w:color="9DADC5" w:themeColor="accent3" w:themeTint="99"/>
        </w:pBdr>
        <w:shd w:val="clear" w:color="auto" w:fill="FCEDE4"/>
        <w:ind w:left="1440" w:hanging="1440"/>
      </w:pPr>
      <w:r w:rsidRPr="002A513A">
        <w:t>Finding 6</w:t>
      </w:r>
      <w:r w:rsidRPr="002A513A">
        <w:tab/>
        <w:t>The protections available under the ACL provide Australian consumers of AI-enabled goods and services with similar, and in some cases enhanced, protections when compared to those available to consumers in the EU, UK and Singapore.</w:t>
      </w:r>
    </w:p>
    <w:p w14:paraId="71825AA0" w14:textId="77777777" w:rsidR="00E61F31" w:rsidRPr="00E61F31" w:rsidRDefault="00E61F31" w:rsidP="00E61F31">
      <w:pPr>
        <w:sectPr w:rsidR="00E61F31" w:rsidRPr="00E61F31" w:rsidSect="00295B30">
          <w:headerReference w:type="even" r:id="rId21"/>
          <w:footerReference w:type="even" r:id="rId22"/>
          <w:footerReference w:type="default" r:id="rId23"/>
          <w:headerReference w:type="first" r:id="rId24"/>
          <w:footerReference w:type="first" r:id="rId25"/>
          <w:pgSz w:w="11906" w:h="16838" w:code="9"/>
          <w:pgMar w:top="1843" w:right="1417" w:bottom="1417" w:left="1417" w:header="709" w:footer="709" w:gutter="0"/>
          <w:cols w:space="708"/>
          <w:docGrid w:linePitch="360"/>
        </w:sectPr>
      </w:pPr>
    </w:p>
    <w:p w14:paraId="7DB64F1B" w14:textId="7A4C5C37" w:rsidR="00386297" w:rsidRDefault="000B4969" w:rsidP="00D96245">
      <w:pPr>
        <w:pStyle w:val="Heading1Numbered"/>
        <w:spacing w:before="0"/>
      </w:pPr>
      <w:bookmarkStart w:id="6" w:name="_Toc192160540"/>
      <w:r>
        <w:lastRenderedPageBreak/>
        <w:t>Introduction</w:t>
      </w:r>
      <w:bookmarkEnd w:id="6"/>
    </w:p>
    <w:p w14:paraId="25D435A7" w14:textId="1D309F23" w:rsidR="000B4969" w:rsidRDefault="007B2CA8" w:rsidP="000B4969">
      <w:r w:rsidRPr="00D25CC7">
        <w:t xml:space="preserve">The Australian Government is taking an integrated approach to </w:t>
      </w:r>
      <w:r w:rsidR="00114FCA" w:rsidRPr="00D25CC7">
        <w:t>responding to the impacts of AI</w:t>
      </w:r>
      <w:r w:rsidR="00CC3C3B" w:rsidRPr="00D25CC7">
        <w:t xml:space="preserve">. </w:t>
      </w:r>
      <w:r w:rsidR="000B4969" w:rsidRPr="00D25CC7">
        <w:t xml:space="preserve">In the 2024-25 Budget, the Australian Government invested $39.9 million over five years for the development of policies and capability to support the </w:t>
      </w:r>
      <w:r w:rsidR="000906CF" w:rsidRPr="00D25CC7">
        <w:t>safe and responsible</w:t>
      </w:r>
      <w:r w:rsidR="00911DB3" w:rsidRPr="00D25CC7">
        <w:t xml:space="preserve"> </w:t>
      </w:r>
      <w:r w:rsidR="000B4969" w:rsidRPr="00D25CC7">
        <w:t xml:space="preserve">adoption and use of AI, including work to clarify and strengthen existing laws. </w:t>
      </w:r>
      <w:r w:rsidR="00A7274B" w:rsidRPr="00D25CC7">
        <w:t>This Review forms part of th</w:t>
      </w:r>
      <w:r w:rsidR="00F25A62" w:rsidRPr="00D25CC7">
        <w:t>is work.</w:t>
      </w:r>
      <w:r w:rsidR="008478FF">
        <w:t xml:space="preserve"> </w:t>
      </w:r>
    </w:p>
    <w:p w14:paraId="591B1CEF" w14:textId="765CB458" w:rsidR="000B4969" w:rsidRPr="00D13E2C" w:rsidRDefault="000B4969" w:rsidP="000B4969">
      <w:r w:rsidRPr="00D13E2C">
        <w:t>The Review considered</w:t>
      </w:r>
      <w:r w:rsidRPr="00D13E2C" w:rsidDel="00C44819">
        <w:t xml:space="preserve"> </w:t>
      </w:r>
      <w:r w:rsidRPr="00D13E2C">
        <w:t>whether the ACL remains fit</w:t>
      </w:r>
      <w:r w:rsidRPr="00D13E2C">
        <w:noBreakHyphen/>
        <w:t>for</w:t>
      </w:r>
      <w:r w:rsidRPr="00D13E2C">
        <w:noBreakHyphen/>
        <w:t xml:space="preserve">purpose in an evolving </w:t>
      </w:r>
      <w:r w:rsidR="00A148EA">
        <w:t>AI</w:t>
      </w:r>
      <w:r w:rsidR="00A148EA">
        <w:noBreakHyphen/>
        <w:t>enabled</w:t>
      </w:r>
      <w:r w:rsidRPr="00D13E2C">
        <w:t xml:space="preserve"> landscape to protect consumers and support the responsible use of AI by businesses. The Review also considered how future developments in </w:t>
      </w:r>
      <w:r w:rsidR="00A148EA">
        <w:t>AI</w:t>
      </w:r>
      <w:r w:rsidR="00A148EA">
        <w:noBreakHyphen/>
        <w:t>enabled</w:t>
      </w:r>
      <w:r w:rsidRPr="00D13E2C">
        <w:t xml:space="preserve"> goods and services could be managed by Australia’s consumer protection framework.</w:t>
      </w:r>
      <w:r w:rsidR="005300D3">
        <w:t xml:space="preserve"> </w:t>
      </w:r>
    </w:p>
    <w:p w14:paraId="0031F1CB" w14:textId="094DCBF9" w:rsidR="000B4969" w:rsidRPr="00D13E2C" w:rsidRDefault="000B4969" w:rsidP="000B4969">
      <w:r w:rsidRPr="00D13E2C">
        <w:t>Public consultation formed a core component of the Review. Treasury released the</w:t>
      </w:r>
      <w:r w:rsidRPr="00D13E2C">
        <w:rPr>
          <w:i/>
          <w:iCs/>
        </w:rPr>
        <w:t xml:space="preserve"> Review of AI and the Australian Consumer Law</w:t>
      </w:r>
      <w:r w:rsidRPr="00D13E2C">
        <w:t xml:space="preserve"> discussion paper on 15 October 2024, inviting submissions by 12 November 2024.</w:t>
      </w:r>
      <w:r w:rsidR="00B92599">
        <w:t xml:space="preserve"> </w:t>
      </w:r>
      <w:r w:rsidRPr="00D13E2C">
        <w:t>The discussion paper sought views on a range of issues, including:</w:t>
      </w:r>
    </w:p>
    <w:p w14:paraId="17159A9E" w14:textId="6938AAE3" w:rsidR="000B4969" w:rsidRPr="00D13E2C" w:rsidRDefault="000B4969" w:rsidP="000B4969">
      <w:pPr>
        <w:pStyle w:val="Bullet"/>
      </w:pPr>
      <w:r w:rsidRPr="00D13E2C">
        <w:t xml:space="preserve">how well adapted the ACL is to support Australian consumers and businesses to manage potential consumer law risks of </w:t>
      </w:r>
      <w:r w:rsidR="00A148EA">
        <w:t>AI</w:t>
      </w:r>
      <w:r w:rsidR="00A148EA">
        <w:noBreakHyphen/>
        <w:t>enabled</w:t>
      </w:r>
      <w:r w:rsidRPr="00D13E2C">
        <w:t xml:space="preserve"> goods and services,</w:t>
      </w:r>
    </w:p>
    <w:p w14:paraId="32D956C6" w14:textId="3B546804" w:rsidR="000B4969" w:rsidRPr="00D13E2C" w:rsidRDefault="000B4969" w:rsidP="000B4969">
      <w:pPr>
        <w:pStyle w:val="Bullet"/>
      </w:pPr>
      <w:r w:rsidRPr="00D13E2C">
        <w:t xml:space="preserve">the application of well-established ACL principles to </w:t>
      </w:r>
      <w:r w:rsidR="00A148EA">
        <w:t>AI</w:t>
      </w:r>
      <w:r w:rsidR="00A148EA">
        <w:noBreakHyphen/>
        <w:t>enabled</w:t>
      </w:r>
      <w:r w:rsidRPr="00D13E2C">
        <w:t xml:space="preserve"> goods and services,</w:t>
      </w:r>
    </w:p>
    <w:p w14:paraId="56E2B4B0" w14:textId="68A245E1" w:rsidR="000B4969" w:rsidRPr="00D13E2C" w:rsidRDefault="000B4969" w:rsidP="000B4969">
      <w:pPr>
        <w:pStyle w:val="Bullet"/>
      </w:pPr>
      <w:r w:rsidRPr="00D13E2C">
        <w:t xml:space="preserve">the remedies available to consumers of </w:t>
      </w:r>
      <w:r w:rsidR="00A148EA">
        <w:t>AI</w:t>
      </w:r>
      <w:r w:rsidR="00A148EA">
        <w:noBreakHyphen/>
        <w:t>enabled</w:t>
      </w:r>
      <w:r w:rsidRPr="00D13E2C">
        <w:t xml:space="preserve"> goods and services under the ACL, and</w:t>
      </w:r>
    </w:p>
    <w:p w14:paraId="523AB048" w14:textId="457E9C53" w:rsidR="000B4969" w:rsidRPr="00D13E2C" w:rsidRDefault="000B4969" w:rsidP="000B4969">
      <w:pPr>
        <w:pStyle w:val="Bullet"/>
      </w:pPr>
      <w:r w:rsidRPr="00D13E2C">
        <w:t xml:space="preserve">the mechanisms for allocating liability among manufacturers and </w:t>
      </w:r>
      <w:r>
        <w:t xml:space="preserve">suppliers </w:t>
      </w:r>
      <w:r w:rsidRPr="00D13E2C">
        <w:t>of AI</w:t>
      </w:r>
      <w:r w:rsidR="000D2FA2">
        <w:t>-</w:t>
      </w:r>
      <w:r w:rsidRPr="00D13E2C">
        <w:t>enabled goods and services.</w:t>
      </w:r>
    </w:p>
    <w:p w14:paraId="3089AD06" w14:textId="77777777" w:rsidR="000B4969" w:rsidRPr="00D13E2C" w:rsidRDefault="000B4969" w:rsidP="000B4969">
      <w:r w:rsidRPr="00D13E2C">
        <w:t xml:space="preserve">The fundamental principles that underpin existing consumer laws and the mirror provisions of the ACL contained in the </w:t>
      </w:r>
      <w:r w:rsidRPr="00D13E2C">
        <w:rPr>
          <w:i/>
        </w:rPr>
        <w:t>Australian Securities and Investments Commission Act 2001</w:t>
      </w:r>
      <w:r>
        <w:t>,</w:t>
      </w:r>
      <w:r w:rsidRPr="00D13E2C">
        <w:t xml:space="preserve"> which regulate financial products and services</w:t>
      </w:r>
      <w:r>
        <w:t>,</w:t>
      </w:r>
      <w:r w:rsidRPr="00D13E2C">
        <w:t xml:space="preserve"> </w:t>
      </w:r>
      <w:r w:rsidRPr="00D13E2C" w:rsidDel="00A40F0B">
        <w:t xml:space="preserve">were </w:t>
      </w:r>
      <w:r w:rsidRPr="00D13E2C">
        <w:t xml:space="preserve">not in scope of the Review. The findings of the Review will nevertheless support consideration of whether further work is required to harmonise or modify consumer protections in other laws, including those applying to the provision of financial products and services. </w:t>
      </w:r>
    </w:p>
    <w:p w14:paraId="2CBF841D" w14:textId="5061A1BB" w:rsidR="000B4969" w:rsidRPr="00D13E2C" w:rsidRDefault="000B4969" w:rsidP="000B4969">
      <w:r>
        <w:t xml:space="preserve">This Final Report is informed by submissions received in response to consultation and views provided by stakeholders as part of two stakeholder roundtables. Submissions received in response to consultation </w:t>
      </w:r>
      <w:r w:rsidRPr="00FC3023">
        <w:t>are available on the Treasury website.</w:t>
      </w:r>
    </w:p>
    <w:p w14:paraId="400DB164" w14:textId="1EF30B51" w:rsidR="00C63E4B" w:rsidRPr="00D13E2C" w:rsidRDefault="007F65B1" w:rsidP="000B4969">
      <w:r w:rsidRPr="00A26C3C">
        <w:t xml:space="preserve">This Report builds on </w:t>
      </w:r>
      <w:r w:rsidR="005A6F79" w:rsidRPr="00A26C3C">
        <w:t>consultation</w:t>
      </w:r>
      <w:r w:rsidRPr="00A26C3C">
        <w:t xml:space="preserve"> undertaken by the Department of Industry, Science and Resources (DISR) on </w:t>
      </w:r>
      <w:r w:rsidRPr="00A26C3C">
        <w:rPr>
          <w:i/>
        </w:rPr>
        <w:t>Safe and responsible AI in Australia</w:t>
      </w:r>
      <w:r w:rsidRPr="00A26C3C">
        <w:t xml:space="preserve"> in June 2023</w:t>
      </w:r>
      <w:r w:rsidR="001676D8" w:rsidRPr="00A26C3C">
        <w:rPr>
          <w:rStyle w:val="FootnoteReference"/>
        </w:rPr>
        <w:footnoteReference w:id="2"/>
      </w:r>
      <w:r w:rsidR="00220FB9" w:rsidRPr="00A26C3C">
        <w:t xml:space="preserve"> and</w:t>
      </w:r>
      <w:r w:rsidR="00733C94" w:rsidRPr="00A26C3C">
        <w:t xml:space="preserve"> the</w:t>
      </w:r>
      <w:r w:rsidR="00220FB9" w:rsidRPr="00A26C3C">
        <w:t xml:space="preserve"> </w:t>
      </w:r>
      <w:r w:rsidR="00AA7C1D" w:rsidRPr="00A26C3C">
        <w:t xml:space="preserve">subsequent </w:t>
      </w:r>
      <w:r w:rsidR="00220FB9" w:rsidRPr="00A26C3C">
        <w:t>September 2024</w:t>
      </w:r>
      <w:r w:rsidR="00733C94" w:rsidRPr="00A26C3C">
        <w:t xml:space="preserve"> </w:t>
      </w:r>
      <w:r w:rsidR="00685F66" w:rsidRPr="00A26C3C">
        <w:t>discussion paper</w:t>
      </w:r>
      <w:r w:rsidR="00733C94" w:rsidRPr="00A26C3C">
        <w:t xml:space="preserve"> on proposed mandatory guardrails for AI in high-risk settings</w:t>
      </w:r>
      <w:r w:rsidR="001676D8" w:rsidRPr="00A26C3C">
        <w:t xml:space="preserve"> (‘proposed mandatory guardrails’)</w:t>
      </w:r>
      <w:r w:rsidRPr="00A26C3C">
        <w:t>.</w:t>
      </w:r>
      <w:r w:rsidR="001B2BA9" w:rsidRPr="00A26C3C">
        <w:rPr>
          <w:rStyle w:val="FootnoteReference"/>
          <w:szCs w:val="18"/>
        </w:rPr>
        <w:footnoteReference w:id="3"/>
      </w:r>
      <w:r w:rsidR="001676D8" w:rsidRPr="00A26C3C">
        <w:t xml:space="preserve"> </w:t>
      </w:r>
      <w:r w:rsidR="000B4969" w:rsidRPr="00A26C3C">
        <w:t>The Review</w:t>
      </w:r>
      <w:r w:rsidR="00B20F4E" w:rsidRPr="00A26C3C">
        <w:t>, and further development</w:t>
      </w:r>
      <w:r w:rsidR="00C32E09" w:rsidRPr="00A26C3C">
        <w:t xml:space="preserve">s </w:t>
      </w:r>
      <w:r w:rsidR="00E24FEE" w:rsidRPr="00A26C3C">
        <w:t>under</w:t>
      </w:r>
      <w:r w:rsidR="00C32E09" w:rsidRPr="00A26C3C">
        <w:t xml:space="preserve"> the </w:t>
      </w:r>
      <w:r w:rsidR="00E24FEE" w:rsidRPr="00A26C3C">
        <w:t>safe and responsible AI agenda</w:t>
      </w:r>
      <w:r w:rsidR="00C32E09" w:rsidRPr="00A26C3C">
        <w:t>,</w:t>
      </w:r>
      <w:r w:rsidR="000B4969" w:rsidRPr="00A26C3C">
        <w:t xml:space="preserve"> will inform Commonwealth, state and territory Consumer Affairs Ministers’ ongoing consideration of consumer protection and AI issues in 2025.</w:t>
      </w:r>
      <w:r w:rsidR="000B4969" w:rsidRPr="00A26C3C">
        <w:rPr>
          <w:rStyle w:val="FootnoteReference"/>
        </w:rPr>
        <w:footnoteReference w:id="4"/>
      </w:r>
      <w:r w:rsidR="00770FFE">
        <w:t xml:space="preserve"> </w:t>
      </w:r>
    </w:p>
    <w:p w14:paraId="6800BFC6" w14:textId="77777777" w:rsidR="009269E3" w:rsidRPr="00D13E2C" w:rsidRDefault="009269E3" w:rsidP="009269E3">
      <w:pPr>
        <w:pStyle w:val="Heading2"/>
      </w:pPr>
      <w:bookmarkStart w:id="7" w:name="_Toc190091938"/>
      <w:bookmarkStart w:id="8" w:name="_Toc192160541"/>
      <w:r w:rsidRPr="00D13E2C">
        <w:t xml:space="preserve">AI and </w:t>
      </w:r>
      <w:r w:rsidRPr="008E15EF">
        <w:rPr>
          <w:color w:val="2C384A"/>
        </w:rPr>
        <w:t>consumer</w:t>
      </w:r>
      <w:r w:rsidRPr="00D13E2C">
        <w:t xml:space="preserve"> goods and services</w:t>
      </w:r>
      <w:bookmarkEnd w:id="7"/>
      <w:bookmarkEnd w:id="8"/>
    </w:p>
    <w:p w14:paraId="7FC9EFF5" w14:textId="28EA4B74" w:rsidR="009269E3" w:rsidRPr="00D13E2C" w:rsidRDefault="009269E3" w:rsidP="009269E3">
      <w:pPr>
        <w:spacing w:before="0" w:after="160"/>
      </w:pPr>
      <w:r w:rsidRPr="00D13E2C">
        <w:t xml:space="preserve">AI is already delivering benefits to Australian consumers and businesses through a wide variety of </w:t>
      </w:r>
      <w:r w:rsidR="00A148EA">
        <w:t>AI</w:t>
      </w:r>
      <w:r w:rsidR="00A148EA">
        <w:noBreakHyphen/>
        <w:t>enabled</w:t>
      </w:r>
      <w:r w:rsidRPr="00D13E2C">
        <w:t xml:space="preserve"> goods and services. </w:t>
      </w:r>
      <w:r>
        <w:t xml:space="preserve">Through its continued integration across markets, AI is enabling </w:t>
      </w:r>
      <w:r>
        <w:lastRenderedPageBreak/>
        <w:t xml:space="preserve">innovation which can help foster economic growth, competition and productivity gains. </w:t>
      </w:r>
      <w:r w:rsidRPr="00D13E2C">
        <w:t xml:space="preserve">For example, digital assistants can help consumers by providing recommendations, controlling lighting and heating at home, and collating voice generated shopping lists. Chatbots allow businesses to deliver enhanced, productivity improving, service offerings, such as providing 24-hour customer support in a variety of languages. Demand for </w:t>
      </w:r>
      <w:r w:rsidR="00A148EA">
        <w:t>AI</w:t>
      </w:r>
      <w:r w:rsidR="00A148EA">
        <w:noBreakHyphen/>
        <w:t>enabled</w:t>
      </w:r>
      <w:r w:rsidRPr="00D13E2C">
        <w:t xml:space="preserve"> goods and services is expected to grow into the future.</w:t>
      </w:r>
    </w:p>
    <w:p w14:paraId="4E8F62D9" w14:textId="1F64BC93" w:rsidR="009269E3" w:rsidRDefault="00775950" w:rsidP="009269E3">
      <w:pPr>
        <w:spacing w:before="0" w:after="160"/>
      </w:pPr>
      <w:r>
        <w:t>T</w:t>
      </w:r>
      <w:r w:rsidR="009269E3" w:rsidRPr="00D13E2C">
        <w:t>he integration of AI into goods and services may amplify or augment existing risks.</w:t>
      </w:r>
      <w:r>
        <w:t xml:space="preserve"> However,</w:t>
      </w:r>
      <w:r w:rsidR="009269E3" w:rsidRPr="00D13E2C">
        <w:t xml:space="preserve"> AI systems vary considerably in their design, function and capabilities. </w:t>
      </w:r>
      <w:r w:rsidR="009269E3">
        <w:t xml:space="preserve">Given this diversity, </w:t>
      </w:r>
      <w:r w:rsidR="009269E3" w:rsidRPr="007F44B0">
        <w:t xml:space="preserve">proportionate </w:t>
      </w:r>
      <w:r w:rsidR="00BC5899">
        <w:t xml:space="preserve">risk-based </w:t>
      </w:r>
      <w:r w:rsidR="009269E3">
        <w:t xml:space="preserve">regulation </w:t>
      </w:r>
      <w:r w:rsidR="00BC5899">
        <w:t>is required to</w:t>
      </w:r>
      <w:r w:rsidR="009269E3">
        <w:t xml:space="preserve"> support the safe and responsible use of AI</w:t>
      </w:r>
      <w:r w:rsidR="00BC5899">
        <w:t>.</w:t>
      </w:r>
    </w:p>
    <w:p w14:paraId="6DD00F5F" w14:textId="49BA3B46" w:rsidR="009269E3" w:rsidRPr="00D13E2C" w:rsidRDefault="009269E3" w:rsidP="009269E3">
      <w:pPr>
        <w:spacing w:before="0" w:after="160"/>
      </w:pPr>
      <w:r w:rsidRPr="00D13E2C">
        <w:t xml:space="preserve">Supporting consumer confidence when purchasing </w:t>
      </w:r>
      <w:r w:rsidR="00A148EA">
        <w:t>AI</w:t>
      </w:r>
      <w:r w:rsidR="00A148EA">
        <w:noBreakHyphen/>
        <w:t>enabled</w:t>
      </w:r>
      <w:r w:rsidRPr="00D13E2C">
        <w:t xml:space="preserve"> goods and services, and certainty for businesses looking to adopt AI technologies, is critical to realising the benefits of AI. As noted in the </w:t>
      </w:r>
      <w:r w:rsidRPr="00D13E2C">
        <w:rPr>
          <w:i/>
          <w:iCs/>
        </w:rPr>
        <w:t xml:space="preserve">Review of AI and the Australian Consumer Law </w:t>
      </w:r>
      <w:r w:rsidRPr="00A07A94">
        <w:rPr>
          <w:iCs/>
        </w:rPr>
        <w:t>discussion paper</w:t>
      </w:r>
      <w:r w:rsidRPr="00D13E2C">
        <w:t>,</w:t>
      </w:r>
      <w:r>
        <w:rPr>
          <w:rStyle w:val="FootnoteReference"/>
          <w:iCs/>
        </w:rPr>
        <w:footnoteReference w:id="5"/>
      </w:r>
      <w:r w:rsidRPr="00D13E2C">
        <w:t xml:space="preserve"> </w:t>
      </w:r>
      <w:r w:rsidRPr="00ED7EBF">
        <w:t xml:space="preserve">some AI systems may have </w:t>
      </w:r>
      <w:r w:rsidR="00256DD0" w:rsidRPr="00ED7EBF">
        <w:t xml:space="preserve">characteristics </w:t>
      </w:r>
      <w:r w:rsidRPr="00ED7EBF">
        <w:t xml:space="preserve">which could lead to </w:t>
      </w:r>
      <w:r w:rsidR="00256DD0" w:rsidRPr="00ED7EBF">
        <w:t>greater</w:t>
      </w:r>
      <w:r w:rsidRPr="00ED7EBF">
        <w:t xml:space="preserve"> risks for consumers</w:t>
      </w:r>
      <w:r w:rsidR="00D30790" w:rsidRPr="00ED7EBF">
        <w:t>. For example</w:t>
      </w:r>
      <w:r w:rsidRPr="00D13E2C">
        <w:t>:</w:t>
      </w:r>
    </w:p>
    <w:p w14:paraId="61EAA8F8" w14:textId="77777777" w:rsidR="009269E3" w:rsidRPr="00D13E2C" w:rsidRDefault="009269E3" w:rsidP="009269E3">
      <w:pPr>
        <w:pStyle w:val="Bullet"/>
      </w:pPr>
      <w:r w:rsidRPr="00D13E2C">
        <w:rPr>
          <w:b/>
        </w:rPr>
        <w:t>Adaptability and learning</w:t>
      </w:r>
      <w:r w:rsidRPr="00D13E2C">
        <w:t xml:space="preserve">: AI systems can improve their performance over time and adapt by learning from data, sometimes </w:t>
      </w:r>
      <w:r>
        <w:t>in a manner catered to</w:t>
      </w:r>
      <w:r w:rsidRPr="00D13E2C" w:rsidDel="00CC4C27">
        <w:t xml:space="preserve"> </w:t>
      </w:r>
      <w:r w:rsidRPr="00D13E2C">
        <w:t>individual consumer</w:t>
      </w:r>
      <w:r>
        <w:t>s</w:t>
      </w:r>
      <w:r w:rsidRPr="00D13E2C">
        <w:t xml:space="preserve">. This differs from previous technologies, such as simpler </w:t>
      </w:r>
      <w:r>
        <w:t xml:space="preserve">forms of </w:t>
      </w:r>
      <w:r w:rsidRPr="00D13E2C">
        <w:t>software, which often follow pre-defined rules and need explicit programming.</w:t>
      </w:r>
    </w:p>
    <w:p w14:paraId="02611CDF" w14:textId="77777777" w:rsidR="009269E3" w:rsidRPr="00D13E2C" w:rsidRDefault="009269E3" w:rsidP="009269E3">
      <w:pPr>
        <w:pStyle w:val="Bullet"/>
      </w:pPr>
      <w:r w:rsidRPr="00D13E2C">
        <w:rPr>
          <w:b/>
        </w:rPr>
        <w:t>Autonomy</w:t>
      </w:r>
      <w:r w:rsidRPr="00D13E2C">
        <w:t>: Services and products embedded in AI technology or stand-alone AI applications are becoming increasingly autonomous. AI systems can make decisions independently and pervasively, without human intervention at any stage of the decision-making process, if designed that way.</w:t>
      </w:r>
    </w:p>
    <w:p w14:paraId="629D4444" w14:textId="77777777" w:rsidR="009269E3" w:rsidRPr="00D13E2C" w:rsidRDefault="009269E3" w:rsidP="009269E3">
      <w:pPr>
        <w:pStyle w:val="Bullet"/>
      </w:pPr>
      <w:r w:rsidRPr="00D13E2C">
        <w:rPr>
          <w:b/>
        </w:rPr>
        <w:t>Opacity or lack of explainability</w:t>
      </w:r>
      <w:r w:rsidRPr="00D13E2C">
        <w:t>: This is often referred to as the ‘black box’ problem. The most advanced AI models are trained on vast amounts of data that is difficult for humans to efficiently process, and which may not have been curated or documented prior to ingestion for training. The complexity and limited study of data reasoning techniques hinder a comprehensive understanding of their outputs.</w:t>
      </w:r>
    </w:p>
    <w:p w14:paraId="4650D9D1" w14:textId="2D77C343" w:rsidR="009269E3" w:rsidRPr="00D13E2C" w:rsidRDefault="001A7F5D" w:rsidP="009269E3">
      <w:r>
        <w:rPr>
          <w:szCs w:val="22"/>
        </w:rPr>
        <w:t>H</w:t>
      </w:r>
      <w:r w:rsidR="009269E3" w:rsidRPr="00D13E2C">
        <w:t>arms from AI misuse and failure may occur on several levels</w:t>
      </w:r>
      <w:r w:rsidR="009269E3">
        <w:t>.</w:t>
      </w:r>
      <w:r w:rsidR="009269E3" w:rsidRPr="00D13E2C">
        <w:t xml:space="preserve"> </w:t>
      </w:r>
      <w:r w:rsidR="009269E3">
        <w:t>D</w:t>
      </w:r>
      <w:r w:rsidR="009269E3" w:rsidRPr="00D13E2C">
        <w:t>epending on the context of AI’s deployment these may include:</w:t>
      </w:r>
    </w:p>
    <w:p w14:paraId="26C11419" w14:textId="77777777" w:rsidR="009269E3" w:rsidRPr="00D13E2C" w:rsidRDefault="009269E3" w:rsidP="009269E3">
      <w:pPr>
        <w:pStyle w:val="Bullet"/>
      </w:pPr>
      <w:r w:rsidRPr="00D13E2C">
        <w:rPr>
          <w:b/>
          <w:bCs/>
        </w:rPr>
        <w:t>Harms to people</w:t>
      </w:r>
      <w:r w:rsidRPr="00D13E2C">
        <w:t>: such as physical or psychological injury and exclusion from access to opportunities and services.</w:t>
      </w:r>
    </w:p>
    <w:p w14:paraId="582CCF82" w14:textId="77777777" w:rsidR="009269E3" w:rsidRPr="00D13E2C" w:rsidRDefault="009269E3" w:rsidP="009269E3">
      <w:pPr>
        <w:pStyle w:val="Bullet"/>
      </w:pPr>
      <w:r w:rsidRPr="00D13E2C">
        <w:rPr>
          <w:b/>
          <w:bCs/>
        </w:rPr>
        <w:t>Harms to groups</w:t>
      </w:r>
      <w:r w:rsidRPr="00D13E2C">
        <w:t xml:space="preserve"> </w:t>
      </w:r>
      <w:r w:rsidRPr="00D13E2C">
        <w:rPr>
          <w:b/>
          <w:bCs/>
        </w:rPr>
        <w:t>of people</w:t>
      </w:r>
      <w:r w:rsidRPr="00D13E2C">
        <w:t>: such as bias and discrimination based on protected attributes.</w:t>
      </w:r>
    </w:p>
    <w:p w14:paraId="4A21928E" w14:textId="30A5722E" w:rsidR="009269E3" w:rsidRPr="00D13E2C" w:rsidRDefault="009269E3" w:rsidP="009269E3">
      <w:pPr>
        <w:pStyle w:val="Bullet"/>
      </w:pPr>
      <w:r w:rsidRPr="00D13E2C">
        <w:rPr>
          <w:b/>
          <w:bCs/>
        </w:rPr>
        <w:t>Harms to organisations:</w:t>
      </w:r>
      <w:r w:rsidRPr="00D13E2C">
        <w:t xml:space="preserve"> such as introduction or identification of unknown vulnerabilities in common enterprise software</w:t>
      </w:r>
      <w:r w:rsidR="00EF68B4">
        <w:t xml:space="preserve">, </w:t>
      </w:r>
      <w:r w:rsidRPr="00D13E2C">
        <w:t>or a cyber-attack exposing training data causing reputational and commercial harm.</w:t>
      </w:r>
    </w:p>
    <w:p w14:paraId="050033BF" w14:textId="77777777" w:rsidR="009269E3" w:rsidRPr="00D13E2C" w:rsidRDefault="009269E3" w:rsidP="009269E3">
      <w:pPr>
        <w:pStyle w:val="Bullet"/>
      </w:pPr>
      <w:r w:rsidRPr="00D13E2C">
        <w:rPr>
          <w:b/>
          <w:bCs/>
        </w:rPr>
        <w:t>Collective harms</w:t>
      </w:r>
      <w:r w:rsidRPr="00D13E2C">
        <w:t xml:space="preserve"> </w:t>
      </w:r>
      <w:r w:rsidRPr="00D13E2C">
        <w:rPr>
          <w:b/>
          <w:bCs/>
        </w:rPr>
        <w:t>to society</w:t>
      </w:r>
      <w:r w:rsidRPr="00D13E2C">
        <w:t>: such as growing economic inequality, mis- and disinformation and spread of extreme or misogynist content or eroding social cohesion.</w:t>
      </w:r>
    </w:p>
    <w:p w14:paraId="7B8EF7E0" w14:textId="484B48FA" w:rsidR="00A967D9" w:rsidRDefault="009269E3" w:rsidP="009269E3">
      <w:pPr>
        <w:pStyle w:val="DoubleDot"/>
        <w:numPr>
          <w:ilvl w:val="0"/>
          <w:numId w:val="0"/>
        </w:numPr>
      </w:pPr>
      <w:r w:rsidRPr="00D13E2C">
        <w:t>The breadth of</w:t>
      </w:r>
      <w:r w:rsidRPr="00D13E2C" w:rsidDel="004668EC">
        <w:t xml:space="preserve"> </w:t>
      </w:r>
      <w:r w:rsidRPr="00D13E2C">
        <w:t>the challenges posed by AI</w:t>
      </w:r>
      <w:r w:rsidRPr="00D13E2C" w:rsidDel="007B6B7F">
        <w:t xml:space="preserve"> </w:t>
      </w:r>
      <w:r>
        <w:t xml:space="preserve">are not confined to </w:t>
      </w:r>
      <w:r w:rsidRPr="00D13E2C">
        <w:t>a single legal domain and</w:t>
      </w:r>
      <w:r>
        <w:t>, accordingly,</w:t>
      </w:r>
      <w:r w:rsidRPr="00D13E2C">
        <w:t xml:space="preserve"> a wide range of legislative frameworks are relevant to AI. Within this ecosystem,</w:t>
      </w:r>
      <w:r w:rsidRPr="00D13E2C" w:rsidDel="004F1EC0">
        <w:t xml:space="preserve"> </w:t>
      </w:r>
      <w:r w:rsidRPr="00D13E2C">
        <w:t>the ACL provides an important framework i</w:t>
      </w:r>
      <w:r w:rsidRPr="00D13E2C" w:rsidDel="004F1EC0">
        <w:t xml:space="preserve">n </w:t>
      </w:r>
      <w:r w:rsidRPr="00D13E2C">
        <w:t>regulating the relationship between suppliers, manufacturers and consumers</w:t>
      </w:r>
      <w:r w:rsidR="00085FE6">
        <w:t>.</w:t>
      </w:r>
      <w:r w:rsidRPr="00D13E2C">
        <w:t xml:space="preserve"> </w:t>
      </w:r>
      <w:r w:rsidRPr="00D13E2C">
        <w:lastRenderedPageBreak/>
        <w:t xml:space="preserve">The Review heard that a key objective for many stakeholders is to ensure that the existing economy-wide protections provided under the ACL apply equally to </w:t>
      </w:r>
      <w:r w:rsidR="00A148EA">
        <w:t>AI</w:t>
      </w:r>
      <w:r w:rsidR="00A148EA">
        <w:noBreakHyphen/>
        <w:t>enabled</w:t>
      </w:r>
      <w:r w:rsidRPr="00D13E2C">
        <w:t xml:space="preserve"> goods and services</w:t>
      </w:r>
      <w:r>
        <w:t>.</w:t>
      </w:r>
    </w:p>
    <w:p w14:paraId="56790BF2" w14:textId="77777777" w:rsidR="009269E3" w:rsidRPr="00D13E2C" w:rsidRDefault="009269E3" w:rsidP="009269E3">
      <w:pPr>
        <w:pStyle w:val="Heading2"/>
      </w:pPr>
      <w:bookmarkStart w:id="9" w:name="_Toc190091939"/>
      <w:bookmarkStart w:id="10" w:name="_Toc192160542"/>
      <w:r w:rsidRPr="00D13E2C">
        <w:t>The legislative landscape</w:t>
      </w:r>
      <w:bookmarkEnd w:id="9"/>
      <w:bookmarkEnd w:id="10"/>
    </w:p>
    <w:p w14:paraId="412BBF02" w14:textId="768B9B32" w:rsidR="001A1B4F" w:rsidRPr="00DA6138" w:rsidRDefault="009269E3" w:rsidP="00605175">
      <w:r w:rsidRPr="00D13E2C">
        <w:rPr>
          <w:szCs w:val="22"/>
        </w:rPr>
        <w:t xml:space="preserve">The ACL is Schedule 2 to the </w:t>
      </w:r>
      <w:r w:rsidRPr="00D13E2C">
        <w:rPr>
          <w:i/>
          <w:iCs/>
          <w:szCs w:val="22"/>
        </w:rPr>
        <w:t>Competition and Consumer Act 2010</w:t>
      </w:r>
      <w:r w:rsidRPr="00D13E2C">
        <w:rPr>
          <w:szCs w:val="22"/>
        </w:rPr>
        <w:t xml:space="preserve">. It is the principal consumer protection law in Australia and is </w:t>
      </w:r>
      <w:r w:rsidRPr="00D13E2C">
        <w:t xml:space="preserve">jointly </w:t>
      </w:r>
      <w:r w:rsidR="00303050">
        <w:t xml:space="preserve">administered </w:t>
      </w:r>
      <w:r w:rsidRPr="00D13E2C">
        <w:t>by the ACCC and state and territory consumer protection agencies.</w:t>
      </w:r>
      <w:r w:rsidR="00303050">
        <w:t xml:space="preserve"> </w:t>
      </w:r>
      <w:r w:rsidR="001A1B4F" w:rsidRPr="00DA6138">
        <w:t xml:space="preserve">The ACL is a </w:t>
      </w:r>
      <w:r w:rsidR="001A1B4F" w:rsidRPr="00105D6B">
        <w:t>generic</w:t>
      </w:r>
      <w:r w:rsidR="001A1B4F" w:rsidRPr="00DA6138">
        <w:t xml:space="preserve"> law which applies in the same way to all sectors and in all Australian jurisdictions. This means that all consumers in Australia enjoy the same rights and all businesses have the same obligations, irrespective of which state or territory they engaged in transactions. </w:t>
      </w:r>
      <w:r w:rsidR="001A1B4F" w:rsidRPr="003C32E1">
        <w:t>The ACL is supplemented across the economy by specific legislative frameworks applying to particular goods and services.</w:t>
      </w:r>
      <w:r w:rsidR="001A1B4F" w:rsidRPr="003C32E1">
        <w:rPr>
          <w:rStyle w:val="FootnoteReference"/>
        </w:rPr>
        <w:footnoteReference w:id="6"/>
      </w:r>
      <w:r w:rsidR="001A1B4F" w:rsidRPr="00DA6138">
        <w:t xml:space="preserve"> </w:t>
      </w:r>
    </w:p>
    <w:p w14:paraId="3F9A1137" w14:textId="2221255E" w:rsidR="009269E3" w:rsidRPr="00D13E2C" w:rsidRDefault="009269E3" w:rsidP="009269E3">
      <w:r w:rsidRPr="00D13E2C">
        <w:t xml:space="preserve">The ACL empowers consumers by addressing imbalances in information and bargaining strength with a combination of specific rules and </w:t>
      </w:r>
      <w:r w:rsidR="00F47713">
        <w:t>principles</w:t>
      </w:r>
      <w:r w:rsidR="00F47713">
        <w:noBreakHyphen/>
        <w:t>based</w:t>
      </w:r>
      <w:r w:rsidRPr="00D13E2C">
        <w:t xml:space="preserve"> standards. These include:</w:t>
      </w:r>
    </w:p>
    <w:p w14:paraId="149334A3" w14:textId="5992D894" w:rsidR="009269E3" w:rsidRPr="00D13E2C" w:rsidRDefault="00890F32" w:rsidP="009269E3">
      <w:pPr>
        <w:pStyle w:val="Bullet"/>
      </w:pPr>
      <w:r>
        <w:t>p</w:t>
      </w:r>
      <w:r w:rsidR="009269E3" w:rsidRPr="00D13E2C">
        <w:t>rohibitions against misleading or deceptive conduct and unconscionable conduct,</w:t>
      </w:r>
    </w:p>
    <w:p w14:paraId="6E5719E5" w14:textId="224B3E7B" w:rsidR="009269E3" w:rsidRPr="00D13E2C" w:rsidRDefault="00176121" w:rsidP="009269E3">
      <w:pPr>
        <w:pStyle w:val="Bullet"/>
      </w:pPr>
      <w:r>
        <w:t>p</w:t>
      </w:r>
      <w:r w:rsidR="009269E3" w:rsidRPr="00D13E2C">
        <w:t>rohibitions against false or misleading representations,</w:t>
      </w:r>
    </w:p>
    <w:p w14:paraId="597950AB" w14:textId="7DFCE35C" w:rsidR="008D45BA" w:rsidRPr="00ED7EBF" w:rsidRDefault="00176121" w:rsidP="008D45BA">
      <w:pPr>
        <w:pStyle w:val="Bullet"/>
      </w:pPr>
      <w:r w:rsidRPr="00ED7EBF">
        <w:t>c</w:t>
      </w:r>
      <w:r w:rsidR="008D45BA" w:rsidRPr="00ED7EBF">
        <w:t xml:space="preserve">onsumer guarantees that </w:t>
      </w:r>
      <w:r w:rsidR="00916DD4">
        <w:t xml:space="preserve">ensure </w:t>
      </w:r>
      <w:r w:rsidR="008D45BA" w:rsidRPr="00ED7EBF">
        <w:t xml:space="preserve">goods and services </w:t>
      </w:r>
      <w:r w:rsidR="00916DD4">
        <w:t xml:space="preserve">meet </w:t>
      </w:r>
      <w:r w:rsidR="005E34D3">
        <w:t>minimum</w:t>
      </w:r>
      <w:r w:rsidR="00916DD4">
        <w:t xml:space="preserve"> standards</w:t>
      </w:r>
      <w:r w:rsidR="00640003">
        <w:t xml:space="preserve"> </w:t>
      </w:r>
      <w:r w:rsidR="00AF554B">
        <w:t>and</w:t>
      </w:r>
      <w:r w:rsidR="00640003">
        <w:t xml:space="preserve"> </w:t>
      </w:r>
      <w:r w:rsidR="001204CF">
        <w:t>rights for consumers to obtain a remedy where these standards are not met</w:t>
      </w:r>
      <w:r w:rsidR="00917E72">
        <w:t xml:space="preserve">, </w:t>
      </w:r>
      <w:r w:rsidR="008D45BA" w:rsidRPr="00ED7EBF">
        <w:t>and</w:t>
      </w:r>
    </w:p>
    <w:p w14:paraId="1383F7FB" w14:textId="3C5FBD9E" w:rsidR="009269E3" w:rsidRPr="00D13E2C" w:rsidRDefault="00176121" w:rsidP="009269E3">
      <w:pPr>
        <w:pStyle w:val="Bullet"/>
      </w:pPr>
      <w:r>
        <w:t>l</w:t>
      </w:r>
      <w:r w:rsidR="009269E3" w:rsidRPr="00D13E2C">
        <w:t>iability for manufacturers for goods with safety defects.</w:t>
      </w:r>
    </w:p>
    <w:p w14:paraId="48CD244F" w14:textId="538EDA84" w:rsidR="009269E3" w:rsidRPr="00D13E2C" w:rsidRDefault="009269E3" w:rsidP="009269E3">
      <w:r w:rsidRPr="00D13E2C">
        <w:t xml:space="preserve">Australia’s national consumer policy framework is </w:t>
      </w:r>
      <w:r>
        <w:t>evolving</w:t>
      </w:r>
      <w:r w:rsidRPr="00D13E2C">
        <w:t>, and the Review complements a number of reform processes currently underway</w:t>
      </w:r>
      <w:r w:rsidR="000B026A">
        <w:t xml:space="preserve"> which are designed to strengthen the ACL</w:t>
      </w:r>
      <w:r w:rsidRPr="00D13E2C">
        <w:t xml:space="preserve">. Key changes being considered include </w:t>
      </w:r>
      <w:r w:rsidR="00AA17F5" w:rsidRPr="00ED7EBF">
        <w:t>amending the ACL to address</w:t>
      </w:r>
      <w:r w:rsidRPr="00D13E2C">
        <w:t xml:space="preserve"> unfair trading practices and reforms to introduce </w:t>
      </w:r>
      <w:r w:rsidR="00AA17F5" w:rsidRPr="00ED7EBF">
        <w:t>civil</w:t>
      </w:r>
      <w:r w:rsidR="00AA17F5">
        <w:t xml:space="preserve"> </w:t>
      </w:r>
      <w:r w:rsidRPr="00D13E2C">
        <w:t xml:space="preserve">prohibitions and penalties to enhance the effectiveness of the consumer guarantees and supplier indemnification </w:t>
      </w:r>
      <w:r w:rsidR="002600C7" w:rsidRPr="00ED7EBF">
        <w:t>provisions</w:t>
      </w:r>
      <w:r w:rsidRPr="00D13E2C">
        <w:t>.</w:t>
      </w:r>
      <w:r>
        <w:rPr>
          <w:rStyle w:val="FootnoteReference"/>
        </w:rPr>
        <w:footnoteReference w:id="7"/>
      </w:r>
      <w:r w:rsidRPr="00D13E2C">
        <w:t xml:space="preserve"> While these reforms are not specifically directed to </w:t>
      </w:r>
      <w:r w:rsidR="00A148EA">
        <w:t>AI</w:t>
      </w:r>
      <w:r w:rsidR="00A148EA">
        <w:noBreakHyphen/>
        <w:t>enabled</w:t>
      </w:r>
      <w:r w:rsidRPr="00D13E2C">
        <w:t xml:space="preserve"> goods and services, when legislated,</w:t>
      </w:r>
      <w:r>
        <w:t xml:space="preserve"> they</w:t>
      </w:r>
      <w:r w:rsidRPr="00D13E2C">
        <w:t xml:space="preserve"> would apply equally to</w:t>
      </w:r>
      <w:r>
        <w:t xml:space="preserve"> </w:t>
      </w:r>
      <w:r w:rsidR="00782B14" w:rsidRPr="00ED7EBF">
        <w:t>both</w:t>
      </w:r>
      <w:r w:rsidR="00782B14">
        <w:t xml:space="preserve"> </w:t>
      </w:r>
      <w:r>
        <w:t>traditional and</w:t>
      </w:r>
      <w:r w:rsidRPr="00D13E2C">
        <w:t xml:space="preserve"> </w:t>
      </w:r>
      <w:r w:rsidR="00A148EA">
        <w:t>AI</w:t>
      </w:r>
      <w:r w:rsidR="00A148EA">
        <w:noBreakHyphen/>
        <w:t>enabled</w:t>
      </w:r>
      <w:r w:rsidRPr="00D13E2C">
        <w:t xml:space="preserve"> goods and services.</w:t>
      </w:r>
      <w:r w:rsidR="000830D3">
        <w:t xml:space="preserve"> </w:t>
      </w:r>
      <w:r w:rsidR="000D49E5">
        <w:t>In response</w:t>
      </w:r>
      <w:r w:rsidR="00202F13">
        <w:t xml:space="preserve"> </w:t>
      </w:r>
      <w:r w:rsidR="006A3655">
        <w:t>to</w:t>
      </w:r>
      <w:r w:rsidR="00202F13">
        <w:t xml:space="preserve"> </w:t>
      </w:r>
      <w:r w:rsidR="000D49E5">
        <w:t>consultation, s</w:t>
      </w:r>
      <w:r w:rsidR="000830D3">
        <w:t xml:space="preserve">takeholders </w:t>
      </w:r>
      <w:r w:rsidR="002457B7">
        <w:t xml:space="preserve">acknowledged </w:t>
      </w:r>
      <w:r w:rsidR="00202F13">
        <w:t xml:space="preserve">the </w:t>
      </w:r>
      <w:r w:rsidR="0011598B">
        <w:t xml:space="preserve">benefits of these broader reforms </w:t>
      </w:r>
      <w:r w:rsidR="003103E1">
        <w:t xml:space="preserve">for all goods and services, including AI-enabled </w:t>
      </w:r>
      <w:r w:rsidR="00964325">
        <w:t xml:space="preserve">business </w:t>
      </w:r>
      <w:r w:rsidR="00A64099">
        <w:t>offerings.</w:t>
      </w:r>
    </w:p>
    <w:p w14:paraId="00F6D986" w14:textId="2928C47D" w:rsidR="009269E3" w:rsidRPr="00D13E2C" w:rsidRDefault="00EC53E3" w:rsidP="009269E3">
      <w:r w:rsidRPr="00D207BC">
        <w:t>T</w:t>
      </w:r>
      <w:r w:rsidRPr="00D13E2C">
        <w:t>he Government</w:t>
      </w:r>
      <w:r>
        <w:t xml:space="preserve"> is </w:t>
      </w:r>
      <w:r w:rsidR="00323710">
        <w:t>also</w:t>
      </w:r>
      <w:r w:rsidR="00323710" w:rsidRPr="00D13E2C">
        <w:t xml:space="preserve"> </w:t>
      </w:r>
      <w:r w:rsidR="009269E3" w:rsidRPr="00D13E2C">
        <w:t>progressing a range of other initiatives relevant to AI</w:t>
      </w:r>
      <w:r w:rsidR="00E209F7">
        <w:t xml:space="preserve"> </w:t>
      </w:r>
      <w:r w:rsidR="00BC68E3" w:rsidRPr="00D207BC">
        <w:t xml:space="preserve">which </w:t>
      </w:r>
      <w:r w:rsidR="00217E7E" w:rsidRPr="00D207BC">
        <w:t>are expected to</w:t>
      </w:r>
      <w:r w:rsidR="00BC68E3" w:rsidRPr="00D207BC">
        <w:t xml:space="preserve"> </w:t>
      </w:r>
      <w:r w:rsidR="000D4B19" w:rsidRPr="00D207BC">
        <w:t>contribute to the economy-wide</w:t>
      </w:r>
      <w:r w:rsidR="00596904" w:rsidRPr="00D207BC">
        <w:t xml:space="preserve"> framework of </w:t>
      </w:r>
      <w:r w:rsidR="000D4B19" w:rsidRPr="000D4B19">
        <w:t>consumer protections</w:t>
      </w:r>
      <w:r w:rsidR="009269E3" w:rsidRPr="000D4B19">
        <w:t>.</w:t>
      </w:r>
      <w:r w:rsidR="009269E3" w:rsidRPr="00D13E2C">
        <w:t xml:space="preserve"> These initiatives include:</w:t>
      </w:r>
    </w:p>
    <w:p w14:paraId="35C0A693" w14:textId="77777777" w:rsidR="009269E3" w:rsidRPr="00D13E2C" w:rsidRDefault="009269E3" w:rsidP="009269E3">
      <w:pPr>
        <w:pStyle w:val="Bullet"/>
        <w:rPr>
          <w:b/>
          <w:bCs/>
        </w:rPr>
      </w:pPr>
      <w:r w:rsidRPr="00D13E2C">
        <w:rPr>
          <w:b/>
          <w:bCs/>
        </w:rPr>
        <w:t xml:space="preserve">2023-2030 Australian Cyber Security Strategy </w:t>
      </w:r>
      <w:r w:rsidRPr="00D13E2C">
        <w:t>which provides the roadmap that will help realise the Australian Government’s vision of becoming a world leader in cyber security by 2030.</w:t>
      </w:r>
      <w:r w:rsidRPr="00D13E2C">
        <w:rPr>
          <w:rStyle w:val="FootnoteReference"/>
        </w:rPr>
        <w:footnoteReference w:id="8"/>
      </w:r>
    </w:p>
    <w:p w14:paraId="61539A46" w14:textId="6B49F68E" w:rsidR="00781B8D" w:rsidRPr="00781B8D" w:rsidRDefault="00F67547">
      <w:pPr>
        <w:pStyle w:val="Bullet"/>
      </w:pPr>
      <w:r w:rsidRPr="00176050">
        <w:rPr>
          <w:b/>
        </w:rPr>
        <w:t>Implementation of the Government Response to the Privacy Act Review</w:t>
      </w:r>
      <w:r w:rsidRPr="00176050">
        <w:t xml:space="preserve"> which aims to strengthen the protection of personal </w:t>
      </w:r>
      <w:r w:rsidR="003C3D8E" w:rsidRPr="00176050">
        <w:t>information,</w:t>
      </w:r>
      <w:r w:rsidRPr="00176050">
        <w:t xml:space="preserve"> and the control individuals have over </w:t>
      </w:r>
      <w:r w:rsidR="00781B8D">
        <w:t>it</w:t>
      </w:r>
      <w:r w:rsidRPr="00D13E2C">
        <w:t>.</w:t>
      </w:r>
      <w:r>
        <w:rPr>
          <w:rStyle w:val="FootnoteReference"/>
        </w:rPr>
        <w:footnoteReference w:id="9"/>
      </w:r>
    </w:p>
    <w:p w14:paraId="6C193997" w14:textId="756290A2" w:rsidR="00BE3FA1" w:rsidRDefault="00BE3FA1">
      <w:pPr>
        <w:pStyle w:val="Bullet"/>
      </w:pPr>
      <w:r w:rsidRPr="00176050">
        <w:rPr>
          <w:b/>
        </w:rPr>
        <w:lastRenderedPageBreak/>
        <w:t>The Scams Prevention Framework</w:t>
      </w:r>
      <w:r w:rsidRPr="00176050">
        <w:t xml:space="preserve"> which sets out obligations on regulated entities (including banks, telecommunications providers and certain digital platforms) to prevent, detect, disrupt, respond to and report scams</w:t>
      </w:r>
      <w:r w:rsidRPr="0097406B">
        <w:t>.</w:t>
      </w:r>
      <w:r w:rsidR="00906809">
        <w:rPr>
          <w:rStyle w:val="FootnoteReference"/>
        </w:rPr>
        <w:footnoteReference w:id="10"/>
      </w:r>
    </w:p>
    <w:p w14:paraId="1A1F3518" w14:textId="36340C76" w:rsidR="00B93CC2" w:rsidRPr="00AC00EB" w:rsidRDefault="00B93CC2" w:rsidP="00AC00EB">
      <w:pPr>
        <w:pStyle w:val="Heading1Numbered"/>
      </w:pPr>
      <w:bookmarkStart w:id="11" w:name="_Toc192160543"/>
      <w:r w:rsidRPr="00AC00EB">
        <w:t>Managing risks to realise benefits</w:t>
      </w:r>
      <w:bookmarkEnd w:id="11"/>
    </w:p>
    <w:p w14:paraId="5614E90C" w14:textId="77777777" w:rsidR="00035C48" w:rsidRPr="00D13E2C" w:rsidRDefault="00035C48" w:rsidP="00035C48">
      <w:r w:rsidRPr="00D13E2C">
        <w:t>This chapter examines how effectively the ACL is positioned to minimise potential AI-related consumer harms. This chapter also reflects the Review’s consideration of whether the unique characteristics commonly associated with AI systems reveal gaps in existing consumer law protections.</w:t>
      </w:r>
    </w:p>
    <w:p w14:paraId="7B3D5622" w14:textId="2DF407AC" w:rsidR="00035C48" w:rsidRPr="00D13E2C" w:rsidRDefault="00035C48" w:rsidP="00035C48">
      <w:r w:rsidRPr="00D13E2C">
        <w:t>There was broad support amongst stakeholders for the current consumer protection framework. Many stakeholders generally considered that the ACL is well adapted to manage potential AI</w:t>
      </w:r>
      <w:r w:rsidRPr="00D13E2C">
        <w:noBreakHyphen/>
        <w:t xml:space="preserve">related consumer harms. A common theme cited by stakeholders was that the economy-wide, </w:t>
      </w:r>
      <w:r w:rsidR="00F47713">
        <w:t>principles</w:t>
      </w:r>
      <w:r w:rsidR="00F47713">
        <w:noBreakHyphen/>
        <w:t>based</w:t>
      </w:r>
      <w:r w:rsidR="00A87B07">
        <w:t xml:space="preserve"> and technology-agnostic</w:t>
      </w:r>
      <w:r w:rsidRPr="00D13E2C">
        <w:t xml:space="preserve"> nature of the ACL enables the framework to adapt to new technologies, while retaining core protections, consistency and fairness across different industries and contexts.</w:t>
      </w:r>
      <w:r w:rsidR="00795DD8">
        <w:t xml:space="preserve"> </w:t>
      </w:r>
      <w:r w:rsidR="0063608D">
        <w:t xml:space="preserve">Stakeholders </w:t>
      </w:r>
      <w:r w:rsidR="001B5CBF">
        <w:t xml:space="preserve">also </w:t>
      </w:r>
      <w:r w:rsidR="0063608D">
        <w:t xml:space="preserve">noted </w:t>
      </w:r>
      <w:r w:rsidR="00405315">
        <w:t>ref</w:t>
      </w:r>
      <w:r w:rsidR="00D24D41">
        <w:t xml:space="preserve">orms underway to the ACL </w:t>
      </w:r>
      <w:r w:rsidR="008B49D7">
        <w:t>in relation to unfair trading practices and consumer guarantees and supplier indemnification</w:t>
      </w:r>
      <w:r w:rsidR="00953F76">
        <w:t xml:space="preserve"> would </w:t>
      </w:r>
      <w:r w:rsidR="00E10F4A">
        <w:t>bolster protections available to consumers</w:t>
      </w:r>
      <w:r w:rsidR="00552FA5">
        <w:t>, benefiting</w:t>
      </w:r>
      <w:r w:rsidR="00953F76">
        <w:t xml:space="preserve"> consumers</w:t>
      </w:r>
      <w:r w:rsidR="00552FA5">
        <w:t>, suppliers and manufacturers</w:t>
      </w:r>
      <w:r w:rsidR="00404106">
        <w:t xml:space="preserve"> </w:t>
      </w:r>
      <w:r w:rsidR="00953F76">
        <w:t>of AI-enabled goods and services</w:t>
      </w:r>
      <w:r w:rsidR="008F6787">
        <w:t>.</w:t>
      </w:r>
      <w:r w:rsidR="00953F76">
        <w:t xml:space="preserve"> </w:t>
      </w:r>
    </w:p>
    <w:p w14:paraId="7B1E6250" w14:textId="2029EF81" w:rsidR="00035C48" w:rsidRPr="00D13E2C" w:rsidRDefault="00035C48" w:rsidP="00035C48">
      <w:r w:rsidRPr="00D13E2C">
        <w:t xml:space="preserve">Although many stakeholders indicated that the ACL is well placed to respond to AI-related consumer harms, a small number of stakeholders expressed concerns that </w:t>
      </w:r>
      <w:r>
        <w:t xml:space="preserve">the </w:t>
      </w:r>
      <w:r w:rsidRPr="00D13E2C">
        <w:t xml:space="preserve">emergence of </w:t>
      </w:r>
      <w:r w:rsidR="00A148EA">
        <w:t>AI</w:t>
      </w:r>
      <w:r w:rsidR="00A148EA">
        <w:noBreakHyphen/>
        <w:t>enabled</w:t>
      </w:r>
      <w:r w:rsidRPr="00D13E2C">
        <w:t xml:space="preserve"> goods and services may reveal gaps in the ACL. These stakeholders expressed particular concern in relation to:</w:t>
      </w:r>
    </w:p>
    <w:p w14:paraId="1CAAE4F6" w14:textId="3747FFE8" w:rsidR="00447E20" w:rsidRDefault="00447E20" w:rsidP="00035C48">
      <w:pPr>
        <w:pStyle w:val="Bullet"/>
      </w:pPr>
      <w:r w:rsidRPr="00D13E2C">
        <w:t xml:space="preserve">the psychological risks posed by </w:t>
      </w:r>
      <w:r>
        <w:t>AI</w:t>
      </w:r>
      <w:r>
        <w:noBreakHyphen/>
        <w:t>enabled</w:t>
      </w:r>
      <w:r w:rsidRPr="00D13E2C">
        <w:t xml:space="preserve"> goods and services,</w:t>
      </w:r>
    </w:p>
    <w:p w14:paraId="57AEA2F4" w14:textId="41856529" w:rsidR="00035C48" w:rsidRPr="00D13E2C" w:rsidRDefault="00035C48" w:rsidP="00035C48">
      <w:pPr>
        <w:pStyle w:val="Bullet"/>
      </w:pPr>
      <w:r w:rsidRPr="00D13E2C">
        <w:t xml:space="preserve">the potential for </w:t>
      </w:r>
      <w:r w:rsidR="00A148EA">
        <w:t>AI</w:t>
      </w:r>
      <w:r w:rsidR="00A148EA">
        <w:noBreakHyphen/>
        <w:t>enabled</w:t>
      </w:r>
      <w:r w:rsidRPr="00D13E2C">
        <w:t xml:space="preserve"> technologies to mislead consumers,</w:t>
      </w:r>
    </w:p>
    <w:p w14:paraId="61AE4946" w14:textId="0BF9667F" w:rsidR="00035C48" w:rsidRPr="00D13E2C" w:rsidRDefault="00035C48" w:rsidP="00035C48">
      <w:pPr>
        <w:pStyle w:val="Bullet"/>
      </w:pPr>
      <w:r w:rsidRPr="00D13E2C">
        <w:t xml:space="preserve">highly individualised </w:t>
      </w:r>
      <w:r w:rsidR="00A148EA">
        <w:t>AI</w:t>
      </w:r>
      <w:r w:rsidR="00A148EA">
        <w:noBreakHyphen/>
        <w:t>enabled</w:t>
      </w:r>
      <w:r w:rsidRPr="00D13E2C">
        <w:t xml:space="preserve"> advertising,</w:t>
      </w:r>
    </w:p>
    <w:p w14:paraId="763DEC13" w14:textId="77777777" w:rsidR="00035C48" w:rsidRPr="00D13E2C" w:rsidRDefault="00035C48" w:rsidP="00035C48">
      <w:pPr>
        <w:pStyle w:val="Bullet"/>
      </w:pPr>
      <w:r w:rsidRPr="00D13E2C">
        <w:t>the use of creative content by AI, and creators</w:t>
      </w:r>
      <w:r>
        <w:t>’</w:t>
      </w:r>
      <w:r w:rsidRPr="00D13E2C">
        <w:t xml:space="preserve"> rights in relation to that content,</w:t>
      </w:r>
    </w:p>
    <w:p w14:paraId="6C89B70D" w14:textId="2608DA6B" w:rsidR="00035C48" w:rsidRPr="00D13E2C" w:rsidRDefault="00035C48" w:rsidP="00035C48">
      <w:pPr>
        <w:pStyle w:val="Bullet"/>
      </w:pPr>
      <w:r w:rsidRPr="00D13E2C">
        <w:t>the sufficiency and appropriateness of existing consumer guarantees, and</w:t>
      </w:r>
    </w:p>
    <w:p w14:paraId="7A406B99" w14:textId="6A40C157" w:rsidR="00035C48" w:rsidRDefault="00035C48" w:rsidP="00035C48">
      <w:pPr>
        <w:pStyle w:val="Bullet"/>
      </w:pPr>
      <w:r w:rsidRPr="00D13E2C">
        <w:t xml:space="preserve">the ability of </w:t>
      </w:r>
      <w:r>
        <w:t>g</w:t>
      </w:r>
      <w:r w:rsidRPr="00D13E2C">
        <w:t xml:space="preserve">overnment and regulators to </w:t>
      </w:r>
      <w:r>
        <w:t xml:space="preserve">ban or </w:t>
      </w:r>
      <w:r w:rsidRPr="00D13E2C">
        <w:t xml:space="preserve">remove unsafe </w:t>
      </w:r>
      <w:r w:rsidR="00A148EA">
        <w:t>AI</w:t>
      </w:r>
      <w:r w:rsidR="00A148EA">
        <w:noBreakHyphen/>
        <w:t>enabled</w:t>
      </w:r>
      <w:r w:rsidRPr="00D13E2C">
        <w:t xml:space="preserve"> goods and services from the marketplace where needed.</w:t>
      </w:r>
    </w:p>
    <w:p w14:paraId="146CD2C8" w14:textId="0BE610BA" w:rsidR="00035C48" w:rsidRPr="00D13E2C" w:rsidRDefault="00035C48" w:rsidP="00035C48">
      <w:r>
        <w:t>The</w:t>
      </w:r>
      <w:r w:rsidRPr="00D13E2C">
        <w:t xml:space="preserve"> concerns </w:t>
      </w:r>
      <w:r>
        <w:t xml:space="preserve">expressed by some stakeholders </w:t>
      </w:r>
      <w:r w:rsidRPr="00D13E2C">
        <w:t xml:space="preserve">in relation to </w:t>
      </w:r>
      <w:r w:rsidR="00A148EA">
        <w:t>AI</w:t>
      </w:r>
      <w:r w:rsidR="00A148EA">
        <w:noBreakHyphen/>
        <w:t>enabled</w:t>
      </w:r>
      <w:r w:rsidRPr="00D13E2C">
        <w:t xml:space="preserve"> goods and services in some cases reflected broader concerns regarding the application of the ACL to software-enabled goods and services generally. In addition, the vast majority of stakeholders </w:t>
      </w:r>
      <w:r>
        <w:t>noted</w:t>
      </w:r>
      <w:r w:rsidRPr="00D13E2C">
        <w:t xml:space="preserve"> that the ACL forms part of a broader legislative ecosystem relevant to the regulation of </w:t>
      </w:r>
      <w:r w:rsidR="00A148EA">
        <w:t>AI</w:t>
      </w:r>
      <w:r w:rsidR="00A148EA">
        <w:noBreakHyphen/>
        <w:t>enabled</w:t>
      </w:r>
      <w:r w:rsidRPr="00D13E2C">
        <w:t xml:space="preserve"> goods and services and did not support expanding the ACL to address </w:t>
      </w:r>
      <w:r w:rsidRPr="006F7761">
        <w:t>harm</w:t>
      </w:r>
      <w:r w:rsidR="00A610FF" w:rsidRPr="00A610FF">
        <w:t>s</w:t>
      </w:r>
      <w:r w:rsidRPr="00D13E2C">
        <w:t xml:space="preserve"> regulated under other legislative frameworks</w:t>
      </w:r>
      <w:r>
        <w:t>, for example in relation to</w:t>
      </w:r>
      <w:r w:rsidRPr="00D13E2C">
        <w:t xml:space="preserve"> discrimination and privacy.</w:t>
      </w:r>
    </w:p>
    <w:p w14:paraId="69B08D63" w14:textId="7297361A" w:rsidR="00B93CC2" w:rsidRDefault="00035C48" w:rsidP="00035C48">
      <w:r w:rsidRPr="00D13E2C">
        <w:t xml:space="preserve">The following sections </w:t>
      </w:r>
      <w:r w:rsidR="00430B6F">
        <w:t>outline</w:t>
      </w:r>
      <w:r w:rsidR="00430B6F" w:rsidRPr="00D13E2C">
        <w:t xml:space="preserve"> </w:t>
      </w:r>
      <w:r w:rsidRPr="00D13E2C">
        <w:t>how the ACL can respond to the key consumer risks examined in the process of this review.</w:t>
      </w:r>
      <w:r w:rsidR="00E56640">
        <w:t xml:space="preserve"> Overall, t</w:t>
      </w:r>
      <w:r w:rsidR="00E56640" w:rsidRPr="004D697A">
        <w:t xml:space="preserve">he </w:t>
      </w:r>
      <w:r w:rsidR="00E56640">
        <w:t xml:space="preserve">principles-based protections contained in the ACL are well-placed to </w:t>
      </w:r>
      <w:r w:rsidR="00C84183">
        <w:t>address these risks</w:t>
      </w:r>
      <w:r w:rsidR="00643012">
        <w:t xml:space="preserve"> both now and into the future.</w:t>
      </w:r>
    </w:p>
    <w:p w14:paraId="4898618A" w14:textId="77777777" w:rsidR="0086387E" w:rsidRPr="00D13E2C" w:rsidRDefault="0086387E" w:rsidP="0086387E">
      <w:pPr>
        <w:pStyle w:val="Heading2"/>
      </w:pPr>
      <w:bookmarkStart w:id="12" w:name="_Toc190091944"/>
      <w:bookmarkStart w:id="13" w:name="_Toc192160544"/>
      <w:bookmarkStart w:id="14" w:name="_Toc190091941"/>
      <w:r w:rsidRPr="00D13E2C">
        <w:lastRenderedPageBreak/>
        <w:t>Safety</w:t>
      </w:r>
      <w:bookmarkEnd w:id="12"/>
      <w:bookmarkEnd w:id="13"/>
    </w:p>
    <w:p w14:paraId="18E2BFA8" w14:textId="77777777" w:rsidR="0086387E" w:rsidRPr="00D13E2C" w:rsidRDefault="0086387E" w:rsidP="0086387E">
      <w:r w:rsidRPr="00D13E2C">
        <w:t xml:space="preserve">Product safety is essential to consumer wellbeing and confidence. </w:t>
      </w:r>
      <w:r w:rsidRPr="000074BD">
        <w:t>The ACL</w:t>
      </w:r>
      <w:r w:rsidRPr="000074BD" w:rsidDel="005C7015">
        <w:t xml:space="preserve"> </w:t>
      </w:r>
      <w:r w:rsidRPr="000074BD">
        <w:t>provides a framework to prevent and remedy a broad range of safety-related consumer harms, including through recalls, bans and obligations to comply with mandatory standards, consumer guarantees and a framework for imposing liability on manufacturers of defective goods</w:t>
      </w:r>
      <w:r w:rsidRPr="00D13E2C">
        <w:t xml:space="preserve">. </w:t>
      </w:r>
    </w:p>
    <w:p w14:paraId="7B7108FD" w14:textId="77777777" w:rsidR="00EB697E" w:rsidRDefault="0086387E" w:rsidP="0086387E">
      <w:r>
        <w:t>Safety, particularly psychological safety,</w:t>
      </w:r>
      <w:r w:rsidRPr="00D13E2C">
        <w:t xml:space="preserve"> of </w:t>
      </w:r>
      <w:r>
        <w:t>AI</w:t>
      </w:r>
      <w:r>
        <w:noBreakHyphen/>
        <w:t>enabled</w:t>
      </w:r>
      <w:r w:rsidRPr="00D13E2C">
        <w:t xml:space="preserve"> goods and services was a key theme for stakeholders engaging with the Review. While stakeholders</w:t>
      </w:r>
      <w:r>
        <w:t xml:space="preserve"> broadly</w:t>
      </w:r>
      <w:r w:rsidRPr="00D13E2C">
        <w:t xml:space="preserve"> regarded the existing legislative arrangements as sufficient,</w:t>
      </w:r>
      <w:r w:rsidRPr="00D13E2C" w:rsidDel="008E6D0D">
        <w:t xml:space="preserve"> </w:t>
      </w:r>
      <w:r w:rsidRPr="00D13E2C">
        <w:t xml:space="preserve">some stakeholders submitted that there are gaps in how the ACL may treat psychological safety concerns associated with </w:t>
      </w:r>
      <w:r>
        <w:t>AI</w:t>
      </w:r>
      <w:r>
        <w:noBreakHyphen/>
        <w:t>enabled</w:t>
      </w:r>
      <w:r w:rsidRPr="00D13E2C">
        <w:t xml:space="preserve"> goods and services. </w:t>
      </w:r>
    </w:p>
    <w:p w14:paraId="6E4CE684" w14:textId="1F44C2F6" w:rsidR="00DE44EF" w:rsidRPr="00D13E2C" w:rsidRDefault="009B3566" w:rsidP="0086387E">
      <w:r>
        <w:t>T</w:t>
      </w:r>
      <w:r w:rsidR="00DE44EF">
        <w:t xml:space="preserve">he </w:t>
      </w:r>
      <w:r w:rsidR="00DE44EF" w:rsidRPr="00A33FA0">
        <w:t xml:space="preserve">ACL incorporates the concept of safety in a broad sense and </w:t>
      </w:r>
      <w:r w:rsidR="008114F0">
        <w:t xml:space="preserve">adopts a variety of mechanisms to minimise consumer harm. </w:t>
      </w:r>
      <w:r w:rsidR="00E45832">
        <w:t>Where consumer harm does arise, the ACL</w:t>
      </w:r>
      <w:r w:rsidR="00DE44EF" w:rsidRPr="00A33FA0">
        <w:t xml:space="preserve"> provide</w:t>
      </w:r>
      <w:r w:rsidR="0029003D">
        <w:t>s</w:t>
      </w:r>
      <w:r w:rsidR="00DE44EF" w:rsidRPr="00A33FA0">
        <w:t xml:space="preserve"> access to </w:t>
      </w:r>
      <w:r w:rsidR="009F176E">
        <w:t xml:space="preserve">a </w:t>
      </w:r>
      <w:r w:rsidR="00305771">
        <w:t>wide</w:t>
      </w:r>
      <w:r w:rsidR="009F176E">
        <w:t xml:space="preserve"> range of</w:t>
      </w:r>
      <w:r w:rsidR="00DE44EF" w:rsidRPr="00A33FA0">
        <w:t xml:space="preserve"> remedies for consumers, including consumers of AI-enabled goods and services</w:t>
      </w:r>
      <w:r w:rsidR="00CC2798">
        <w:t xml:space="preserve">. </w:t>
      </w:r>
      <w:r w:rsidR="00405514">
        <w:t>Recent reforms to the</w:t>
      </w:r>
      <w:r w:rsidR="0058176E">
        <w:t xml:space="preserve"> mandatory safety standard</w:t>
      </w:r>
      <w:r w:rsidR="00E73EE0">
        <w:t xml:space="preserve">s regime </w:t>
      </w:r>
      <w:r w:rsidR="00D801EE">
        <w:t xml:space="preserve">also </w:t>
      </w:r>
      <w:r w:rsidR="0058176E">
        <w:t xml:space="preserve">mean the </w:t>
      </w:r>
      <w:r w:rsidR="006860CD">
        <w:t xml:space="preserve">ACL </w:t>
      </w:r>
      <w:r w:rsidR="00473D77">
        <w:t>could</w:t>
      </w:r>
      <w:r w:rsidR="00347EA2">
        <w:t>, if required,</w:t>
      </w:r>
      <w:r w:rsidR="00D801EE">
        <w:t xml:space="preserve"> be effectively used</w:t>
      </w:r>
      <w:r w:rsidR="006860CD">
        <w:t xml:space="preserve"> to respond to changes in </w:t>
      </w:r>
      <w:r w:rsidR="00C64E13">
        <w:t xml:space="preserve">consumer risks </w:t>
      </w:r>
      <w:r w:rsidR="00D801EE">
        <w:t xml:space="preserve">as AI-enabled </w:t>
      </w:r>
      <w:r w:rsidR="00CA4F26">
        <w:t>business offerings evolve</w:t>
      </w:r>
      <w:r w:rsidR="00E73EE0">
        <w:t xml:space="preserve"> in </w:t>
      </w:r>
      <w:r w:rsidR="00E02C19">
        <w:t>the</w:t>
      </w:r>
      <w:r w:rsidR="00E73EE0">
        <w:t xml:space="preserve"> future</w:t>
      </w:r>
      <w:r w:rsidR="00CA4F26">
        <w:t xml:space="preserve">. </w:t>
      </w:r>
    </w:p>
    <w:p w14:paraId="088CAB25" w14:textId="77777777" w:rsidR="0086387E" w:rsidRPr="00D13E2C" w:rsidRDefault="0086387E" w:rsidP="0086387E">
      <w:pPr>
        <w:pStyle w:val="Heading3"/>
      </w:pPr>
      <w:r>
        <w:t>Protection for psychological safety</w:t>
      </w:r>
    </w:p>
    <w:p w14:paraId="178E5E12" w14:textId="77777777" w:rsidR="0086387E" w:rsidRPr="005658B1" w:rsidRDefault="0086387E" w:rsidP="0086387E">
      <w:r w:rsidRPr="005658B1">
        <w:t>The ACL establishes the liability of manufacturers for goods with safety defects under Part 3-5. Under this part, consumers may bring claims against a manufacturer if they sustain injuries due to a safety defect in the goods supplied, or experience loss or damage arising from injuries suffered by another person.</w:t>
      </w:r>
      <w:r w:rsidRPr="005658B1">
        <w:rPr>
          <w:rStyle w:val="FootnoteReference"/>
        </w:rPr>
        <w:footnoteReference w:id="11"/>
      </w:r>
      <w:r w:rsidRPr="005658B1">
        <w:t xml:space="preserve"> This framework applies to both traditional and AI</w:t>
      </w:r>
      <w:r w:rsidRPr="005658B1">
        <w:noBreakHyphen/>
        <w:t xml:space="preserve">enabled goods. </w:t>
      </w:r>
    </w:p>
    <w:p w14:paraId="4BBB91C9" w14:textId="75ED8137" w:rsidR="0086387E" w:rsidRPr="000074BD" w:rsidRDefault="0086387E" w:rsidP="0086387E">
      <w:r w:rsidRPr="000074BD">
        <w:t>Some stakeholders advocated for expanding the concept of ‘safety defect’ to ensure that manufacturers of AI systems could be held liable for psychological harm which may be caused by AI</w:t>
      </w:r>
      <w:r w:rsidRPr="000074BD">
        <w:noBreakHyphen/>
        <w:t>enabled goods. Concerns, for example, were raised about the potential for consumer harm arising from AI chatbots or character avatars which may encourage self</w:t>
      </w:r>
      <w:r w:rsidRPr="000074BD">
        <w:noBreakHyphen/>
        <w:t>harm</w:t>
      </w:r>
      <w:r w:rsidR="002230F6">
        <w:t xml:space="preserve"> or harm to others</w:t>
      </w:r>
      <w:r w:rsidRPr="000074BD">
        <w:t xml:space="preserve">. Relatedly, some stakeholders queried the types of psychological harm which may be covered by Part 3-5, given ‘personal injury’ under the </w:t>
      </w:r>
      <w:r w:rsidR="00396BA0">
        <w:rPr>
          <w:i/>
          <w:iCs/>
        </w:rPr>
        <w:t xml:space="preserve">Competition and Consumer Act </w:t>
      </w:r>
      <w:r w:rsidR="00344304">
        <w:rPr>
          <w:i/>
          <w:iCs/>
        </w:rPr>
        <w:t>2010</w:t>
      </w:r>
      <w:r w:rsidR="00396BA0" w:rsidRPr="000074BD">
        <w:t xml:space="preserve"> </w:t>
      </w:r>
      <w:r w:rsidRPr="000074BD">
        <w:t>is defined to exclude an impairment of a person’s mental condition which does not consist of a recognised psychiatric illness.</w:t>
      </w:r>
      <w:r w:rsidRPr="000074BD">
        <w:rPr>
          <w:rStyle w:val="FootnoteReference"/>
        </w:rPr>
        <w:footnoteReference w:id="12"/>
      </w:r>
      <w:r w:rsidRPr="000074BD">
        <w:t xml:space="preserve"> </w:t>
      </w:r>
    </w:p>
    <w:p w14:paraId="75D49D2A" w14:textId="77777777" w:rsidR="0086387E" w:rsidRPr="005658B1" w:rsidRDefault="0086387E" w:rsidP="0086387E">
      <w:r w:rsidRPr="000074BD">
        <w:t>Under the ACL, a safety defect arises where goods are not as safe as persons are generally entitled to expect and whether a defect exists is assessed having regard to a number of factors.</w:t>
      </w:r>
      <w:r w:rsidRPr="000074BD">
        <w:rPr>
          <w:rStyle w:val="FootnoteReference"/>
        </w:rPr>
        <w:footnoteReference w:id="13"/>
      </w:r>
      <w:r w:rsidRPr="000074BD">
        <w:t xml:space="preserve"> Part 3-5 provides mechanisms whereby individuals suffering loss or damage as a result of a safety defect associated with a good can seek to recover the amount of loss or damage suffered from the responsible manufacturer.</w:t>
      </w:r>
      <w:r w:rsidRPr="000074BD">
        <w:rPr>
          <w:rStyle w:val="FootnoteReference"/>
        </w:rPr>
        <w:footnoteReference w:id="14"/>
      </w:r>
      <w:r w:rsidRPr="000074BD">
        <w:t xml:space="preserve"> While this framework has not yet been applied to cases involving psychological harm, the courts have interpreted the loss and damage available to consumers under remedial provisions of the ACL broadly.</w:t>
      </w:r>
      <w:r w:rsidRPr="000074BD">
        <w:rPr>
          <w:rStyle w:val="FootnoteReference"/>
        </w:rPr>
        <w:footnoteReference w:id="15"/>
      </w:r>
      <w:r w:rsidRPr="000074BD">
        <w:t xml:space="preserve"> It has been suggested, in light of this approach, that the existing Part 3-5 framework may, in an appropriate case, support claims for loss or damage arising </w:t>
      </w:r>
      <w:r w:rsidRPr="000074BD">
        <w:lastRenderedPageBreak/>
        <w:t>from a safety defect where the loss or damage results from an impairment of a person’s mental condition other than a recognised psychiatric illness.</w:t>
      </w:r>
      <w:r w:rsidRPr="000074BD">
        <w:rPr>
          <w:rStyle w:val="FootnoteReference"/>
        </w:rPr>
        <w:footnoteReference w:id="16"/>
      </w:r>
      <w:r w:rsidRPr="005658B1">
        <w:t xml:space="preserve"> </w:t>
      </w:r>
    </w:p>
    <w:p w14:paraId="789E4998" w14:textId="77777777" w:rsidR="0086387E" w:rsidRPr="00D13E2C" w:rsidRDefault="0086387E" w:rsidP="0086387E">
      <w:r w:rsidRPr="000074BD">
        <w:t>Beyond the ACL, the Government is taking steps to ensure that AI is used in a physically and psychologically safe way. For example</w:t>
      </w:r>
      <w:r>
        <w:t>, the Government has announced it will</w:t>
      </w:r>
      <w:r w:rsidRPr="00EE78C8">
        <w:t xml:space="preserve"> legislat</w:t>
      </w:r>
      <w:r>
        <w:t>e</w:t>
      </w:r>
      <w:r w:rsidRPr="00EE78C8">
        <w:t xml:space="preserve"> a Digital Duty of Care</w:t>
      </w:r>
      <w:r w:rsidRPr="008B190F">
        <w:t xml:space="preserve"> </w:t>
      </w:r>
      <w:r>
        <w:t>which</w:t>
      </w:r>
      <w:r w:rsidRPr="008B190F">
        <w:t xml:space="preserve"> plac</w:t>
      </w:r>
      <w:r>
        <w:t>es</w:t>
      </w:r>
      <w:r w:rsidRPr="008B190F">
        <w:t xml:space="preserve"> the onus on digital platforms to proactively keep Australians safe and better prevent online harms</w:t>
      </w:r>
      <w:r w:rsidRPr="000074BD">
        <w:t>.</w:t>
      </w:r>
      <w:r w:rsidRPr="000074BD">
        <w:rPr>
          <w:rStyle w:val="FootnoteReference"/>
        </w:rPr>
        <w:footnoteReference w:id="17"/>
      </w:r>
    </w:p>
    <w:p w14:paraId="6B7A3770" w14:textId="77777777" w:rsidR="0086387E" w:rsidRPr="00EE78C8" w:rsidRDefault="0086387E" w:rsidP="0086387E">
      <w:pPr>
        <w:pStyle w:val="Heading3"/>
      </w:pPr>
      <w:r w:rsidRPr="00EE78C8">
        <w:t>Product recalls</w:t>
      </w:r>
    </w:p>
    <w:p w14:paraId="4AADC131" w14:textId="77777777" w:rsidR="0086387E" w:rsidRPr="00D13E2C" w:rsidRDefault="0086387E" w:rsidP="0086387E">
      <w:r w:rsidRPr="00D13E2C">
        <w:t xml:space="preserve">The Review heard that stakeholders considered it was important for action to be taken quickly where it is apparent that there is a risk posed by certain </w:t>
      </w:r>
      <w:r>
        <w:t>AI</w:t>
      </w:r>
      <w:r>
        <w:noBreakHyphen/>
        <w:t>enabled</w:t>
      </w:r>
      <w:r w:rsidRPr="00D13E2C">
        <w:t xml:space="preserve"> goods and services to </w:t>
      </w:r>
      <w:r>
        <w:t>both physical and psychological safety</w:t>
      </w:r>
      <w:r w:rsidRPr="00D13E2C">
        <w:t xml:space="preserve">. </w:t>
      </w:r>
    </w:p>
    <w:p w14:paraId="06D9583C" w14:textId="59C305C5" w:rsidR="0086387E" w:rsidRDefault="0086387E" w:rsidP="0086387E">
      <w:r w:rsidRPr="00BC4B16">
        <w:t>Under the ACL, if a product will or may cause injury, or is non-compliant with mandatory standards or bans, the supplier can voluntarily take action to recall it and must then notify the Commonwealth Minister within 2 day</w:t>
      </w:r>
      <w:r w:rsidRPr="00D13E2C">
        <w:t>s.</w:t>
      </w:r>
      <w:r w:rsidRPr="00D13E2C">
        <w:rPr>
          <w:rStyle w:val="FootnoteReference"/>
        </w:rPr>
        <w:footnoteReference w:id="18"/>
      </w:r>
      <w:r w:rsidRPr="00D13E2C">
        <w:t xml:space="preserve"> The Minister also has broad </w:t>
      </w:r>
      <w:r>
        <w:t>powers</w:t>
      </w:r>
      <w:r w:rsidRPr="00D13E2C">
        <w:t xml:space="preserve"> to require a compulsory recall of consumer goods</w:t>
      </w:r>
      <w:r w:rsidR="00626C32">
        <w:t>, informed by intelligence and advice from ACL regulators</w:t>
      </w:r>
      <w:r w:rsidRPr="00D13E2C">
        <w:t>.</w:t>
      </w:r>
      <w:r w:rsidRPr="00D13E2C">
        <w:rPr>
          <w:rStyle w:val="FootnoteReference"/>
        </w:rPr>
        <w:footnoteReference w:id="19"/>
      </w:r>
      <w:r w:rsidRPr="00D13E2C">
        <w:t xml:space="preserve"> Goods can be recalled if it appears that such goods will, or may, cause injury to any person. It is not necessary for the Minister to form the view that the goods in question create an imminent risk of death, serious illness or injury to initiate a recall.</w:t>
      </w:r>
      <w:r>
        <w:t xml:space="preserve"> </w:t>
      </w:r>
      <w:r w:rsidRPr="008B23EF">
        <w:t>The Minister’s powers are also supported by the voluntary online product safety pledge which commits signatories to strengthening product safety in online business, including by removing unsafe products within 2 business days and responding to data requests within 10 business days.</w:t>
      </w:r>
      <w:r w:rsidRPr="00BC4B16">
        <w:rPr>
          <w:rStyle w:val="FootnoteReference"/>
        </w:rPr>
        <w:footnoteReference w:id="20"/>
      </w:r>
      <w:r>
        <w:t xml:space="preserve"> </w:t>
      </w:r>
    </w:p>
    <w:p w14:paraId="5B1AAAB2" w14:textId="06BBE7F1" w:rsidR="0086387E" w:rsidRDefault="0086387E" w:rsidP="0086387E">
      <w:r w:rsidRPr="00D13E2C">
        <w:t xml:space="preserve">The powers conferred on the Minister to intervene in the market where there is a risk of injury are broad and </w:t>
      </w:r>
      <w:r>
        <w:t>can</w:t>
      </w:r>
      <w:r w:rsidRPr="00D13E2C">
        <w:t xml:space="preserve"> be used to require a recall of both traditional and </w:t>
      </w:r>
      <w:r>
        <w:t>AI</w:t>
      </w:r>
      <w:r>
        <w:noBreakHyphen/>
        <w:t>enabled</w:t>
      </w:r>
      <w:r w:rsidRPr="00D13E2C">
        <w:t xml:space="preserve"> goods</w:t>
      </w:r>
      <w:r w:rsidRPr="00BC4B16">
        <w:t>. While product recalls have not been issued to date on the basis of a risk of psychological injury, it may be possible to make such an intervention in the future.</w:t>
      </w:r>
      <w:r w:rsidRPr="00D13E2C">
        <w:t xml:space="preserve"> </w:t>
      </w:r>
      <w:r w:rsidR="00455061">
        <w:t>A</w:t>
      </w:r>
      <w:r w:rsidDel="00455061">
        <w:t xml:space="preserve"> </w:t>
      </w:r>
      <w:r>
        <w:t xml:space="preserve">Minister-initiated product recall is resource intensive </w:t>
      </w:r>
      <w:r w:rsidDel="005E0135">
        <w:t xml:space="preserve">and </w:t>
      </w:r>
      <w:r w:rsidR="00455061">
        <w:t>therefore is</w:t>
      </w:r>
      <w:r w:rsidR="005E0135">
        <w:t xml:space="preserve"> </w:t>
      </w:r>
      <w:r>
        <w:t xml:space="preserve">likely to be effective at addressing only the most serious cases of potential consumer harm associated with AI-enabled goods. </w:t>
      </w:r>
    </w:p>
    <w:p w14:paraId="6FDD192E" w14:textId="2ED34F9D" w:rsidR="00603A24" w:rsidRDefault="0086387E" w:rsidP="00447E20">
      <w:r>
        <w:t>However</w:t>
      </w:r>
      <w:r w:rsidRPr="00D13E2C">
        <w:t xml:space="preserve">, the ACL also provides the ability for </w:t>
      </w:r>
      <w:r w:rsidRPr="00BC4B16">
        <w:t>ACL regulators</w:t>
      </w:r>
      <w:r>
        <w:t xml:space="preserve"> </w:t>
      </w:r>
      <w:r w:rsidRPr="00D13E2C">
        <w:t xml:space="preserve">or any </w:t>
      </w:r>
      <w:r w:rsidRPr="00BC4B16">
        <w:t>impacted</w:t>
      </w:r>
      <w:r w:rsidRPr="00D13E2C">
        <w:t xml:space="preserve"> person to seek an injunction where a person engages, or proposes to engage, in conduct that would contravene the ACL.</w:t>
      </w:r>
      <w:r>
        <w:rPr>
          <w:rStyle w:val="FootnoteReference"/>
        </w:rPr>
        <w:footnoteReference w:id="21"/>
      </w:r>
      <w:r w:rsidRPr="00D13E2C">
        <w:t xml:space="preserve"> Injunctions are granted by courts and can compel or prohibit a person from doing a thing. </w:t>
      </w:r>
      <w:r>
        <w:t>Although a risk to consumers’ mental or physical wellbeing does not necessarily indicate a contravention of the ACL, i</w:t>
      </w:r>
      <w:r w:rsidRPr="00D13E2C">
        <w:t xml:space="preserve">n appropriate </w:t>
      </w:r>
      <w:r>
        <w:t>circumstances an injunction may</w:t>
      </w:r>
      <w:r w:rsidRPr="00D13E2C">
        <w:t xml:space="preserve"> provide a</w:t>
      </w:r>
      <w:r>
        <w:t xml:space="preserve"> </w:t>
      </w:r>
      <w:r w:rsidRPr="00D13E2C">
        <w:t xml:space="preserve">mechanism </w:t>
      </w:r>
      <w:r>
        <w:t>to address consumer safety</w:t>
      </w:r>
      <w:r w:rsidRPr="00D13E2C">
        <w:t xml:space="preserve"> </w:t>
      </w:r>
      <w:r>
        <w:t xml:space="preserve">concerns relating to an </w:t>
      </w:r>
      <w:r w:rsidRPr="00D13E2C">
        <w:t>AI-enabled good or service</w:t>
      </w:r>
      <w:r>
        <w:t>.</w:t>
      </w:r>
    </w:p>
    <w:p w14:paraId="5901309C" w14:textId="057F2100" w:rsidR="00646E4A" w:rsidRDefault="002348BA" w:rsidP="002348BA">
      <w:pPr>
        <w:pStyle w:val="Heading3"/>
      </w:pPr>
      <w:r>
        <w:lastRenderedPageBreak/>
        <w:t xml:space="preserve">Mandatory standards </w:t>
      </w:r>
    </w:p>
    <w:p w14:paraId="796E3918" w14:textId="30A05262" w:rsidR="00014603" w:rsidRDefault="00014603" w:rsidP="002348BA">
      <w:r>
        <w:t>Some stakeholders suggested mandatory safety standards should be made to address the risk of consumer harm associated with AI-enabled goods. In some cases, this view was also accompanied by a recommendation that the ACL be amended to permit the making of mandatory standards for services beyond product related services. For example, one submission to consultation suggested that a new mandatory standard could give legislative force to the Voluntary AI Safety Standard.</w:t>
      </w:r>
      <w:r>
        <w:rPr>
          <w:rStyle w:val="FootnoteReference"/>
        </w:rPr>
        <w:footnoteReference w:id="22"/>
      </w:r>
      <w:r>
        <w:t xml:space="preserve"> </w:t>
      </w:r>
    </w:p>
    <w:p w14:paraId="7F2DD38C" w14:textId="1FA27C46" w:rsidR="005E7D7A" w:rsidRDefault="002348BA" w:rsidP="002348BA">
      <w:r>
        <w:t xml:space="preserve">Under the ACL, the Commonwealth Minister with responsibility for consumer affairs can </w:t>
      </w:r>
      <w:r w:rsidR="000E7142">
        <w:t>make</w:t>
      </w:r>
      <w:r>
        <w:t xml:space="preserve"> a mandatory safety standard</w:t>
      </w:r>
      <w:r w:rsidR="00485D45">
        <w:t>.</w:t>
      </w:r>
      <w:r w:rsidR="0048576F">
        <w:rPr>
          <w:rStyle w:val="FootnoteReference"/>
        </w:rPr>
        <w:footnoteReference w:id="23"/>
      </w:r>
      <w:r w:rsidR="00485D45">
        <w:t xml:space="preserve"> Mandatory </w:t>
      </w:r>
      <w:r w:rsidR="00167CDF">
        <w:t xml:space="preserve">safety </w:t>
      </w:r>
      <w:r w:rsidR="00485D45">
        <w:t xml:space="preserve">standards set out requirements which must be complied with to supply </w:t>
      </w:r>
      <w:r w:rsidR="00FA6CF7">
        <w:t>consumer goods or product-related services</w:t>
      </w:r>
      <w:r w:rsidR="00485D45">
        <w:t xml:space="preserve"> in Australia</w:t>
      </w:r>
      <w:r w:rsidR="00FF54B3">
        <w:t>.</w:t>
      </w:r>
      <w:r w:rsidR="00485D45">
        <w:t xml:space="preserve"> </w:t>
      </w:r>
      <w:r w:rsidR="00021BA7">
        <w:t xml:space="preserve">‘Consumer goods’ </w:t>
      </w:r>
      <w:r w:rsidR="00623D32">
        <w:t>include</w:t>
      </w:r>
      <w:r w:rsidR="00603368">
        <w:t xml:space="preserve"> things</w:t>
      </w:r>
      <w:r w:rsidR="005E7D7A">
        <w:t xml:space="preserve"> intended, or likely to be used, for domestic or household use or consumption.</w:t>
      </w:r>
      <w:r w:rsidR="00D64B10">
        <w:rPr>
          <w:rStyle w:val="FootnoteReference"/>
        </w:rPr>
        <w:footnoteReference w:id="24"/>
      </w:r>
      <w:r w:rsidR="005E7D7A">
        <w:t xml:space="preserve"> </w:t>
      </w:r>
      <w:r w:rsidR="00992320">
        <w:t>‘</w:t>
      </w:r>
      <w:r w:rsidR="005E7D7A">
        <w:t>Product-related services</w:t>
      </w:r>
      <w:r w:rsidR="00992320">
        <w:t>’</w:t>
      </w:r>
      <w:r w:rsidR="005E7D7A">
        <w:t xml:space="preserve"> </w:t>
      </w:r>
      <w:r w:rsidR="00ED503B">
        <w:t>include</w:t>
      </w:r>
      <w:r w:rsidR="005E7D7A">
        <w:t xml:space="preserve"> services </w:t>
      </w:r>
      <w:r w:rsidR="00CB49F0">
        <w:t>f</w:t>
      </w:r>
      <w:r w:rsidR="005E7D7A">
        <w:t>or</w:t>
      </w:r>
      <w:r w:rsidR="00CB49F0">
        <w:t xml:space="preserve"> </w:t>
      </w:r>
      <w:r w:rsidR="005E7D7A">
        <w:t xml:space="preserve">or relating to: </w:t>
      </w:r>
    </w:p>
    <w:p w14:paraId="22E2778C" w14:textId="5375D766" w:rsidR="005E7D7A" w:rsidRDefault="005E7D7A" w:rsidP="00C91B6B">
      <w:pPr>
        <w:pStyle w:val="Bullet"/>
      </w:pPr>
      <w:r>
        <w:t>the installation of consumer goods</w:t>
      </w:r>
      <w:r w:rsidR="00D64B10">
        <w:t>,</w:t>
      </w:r>
      <w:r>
        <w:t xml:space="preserve"> </w:t>
      </w:r>
    </w:p>
    <w:p w14:paraId="14F0E1E4" w14:textId="43DFEEFD" w:rsidR="005E7D7A" w:rsidRDefault="005E7D7A" w:rsidP="00C91B6B">
      <w:pPr>
        <w:pStyle w:val="Bullet"/>
      </w:pPr>
      <w:r>
        <w:t>maintenance, repair or cleaning of consumer goods</w:t>
      </w:r>
      <w:r w:rsidR="00D64B10">
        <w:t>,</w:t>
      </w:r>
      <w:r>
        <w:t xml:space="preserve"> </w:t>
      </w:r>
    </w:p>
    <w:p w14:paraId="787AEBE0" w14:textId="67D03271" w:rsidR="005E7D7A" w:rsidRDefault="005E7D7A" w:rsidP="00C91B6B">
      <w:pPr>
        <w:pStyle w:val="Bullet"/>
      </w:pPr>
      <w:r>
        <w:t>assembly of consumer goods</w:t>
      </w:r>
      <w:r w:rsidR="00D64B10">
        <w:t>, or</w:t>
      </w:r>
      <w:r>
        <w:t xml:space="preserve"> </w:t>
      </w:r>
    </w:p>
    <w:p w14:paraId="6144F683" w14:textId="7AD5948B" w:rsidR="002348BA" w:rsidRPr="002348BA" w:rsidRDefault="005E7D7A" w:rsidP="00C91B6B">
      <w:pPr>
        <w:pStyle w:val="Bullet"/>
      </w:pPr>
      <w:r>
        <w:t>delivery of consumer goods</w:t>
      </w:r>
      <w:r w:rsidR="00D64B10">
        <w:t>.</w:t>
      </w:r>
      <w:r w:rsidR="00D64B10">
        <w:rPr>
          <w:rStyle w:val="FootnoteReference"/>
        </w:rPr>
        <w:footnoteReference w:id="25"/>
      </w:r>
      <w:r w:rsidR="00485D45">
        <w:t xml:space="preserve"> </w:t>
      </w:r>
    </w:p>
    <w:p w14:paraId="58ECC466" w14:textId="2FBD940E" w:rsidR="00BD2542" w:rsidRPr="002348BA" w:rsidRDefault="00124CEC" w:rsidP="002348BA">
      <w:r>
        <w:t xml:space="preserve">A mandatory safety standard for a consumer good can set requirements including: </w:t>
      </w:r>
    </w:p>
    <w:p w14:paraId="4D8D02B5" w14:textId="0C47ACEB" w:rsidR="00124CEC" w:rsidRDefault="00124CEC" w:rsidP="00EB5A5F">
      <w:pPr>
        <w:pStyle w:val="Bullet"/>
      </w:pPr>
      <w:r>
        <w:t>the way the good is made</w:t>
      </w:r>
      <w:r w:rsidR="009F6A82">
        <w:t>,</w:t>
      </w:r>
      <w:r>
        <w:t xml:space="preserve"> </w:t>
      </w:r>
    </w:p>
    <w:p w14:paraId="0AFE7535" w14:textId="3D07828F" w:rsidR="00124CEC" w:rsidRDefault="00124CEC" w:rsidP="00EB5A5F">
      <w:pPr>
        <w:pStyle w:val="Bullet"/>
      </w:pPr>
      <w:r>
        <w:t>what is contains</w:t>
      </w:r>
      <w:r w:rsidR="009F6A82">
        <w:t>,</w:t>
      </w:r>
      <w:r>
        <w:t xml:space="preserve"> </w:t>
      </w:r>
    </w:p>
    <w:p w14:paraId="1FC36A6E" w14:textId="677ADC28" w:rsidR="00124CEC" w:rsidRDefault="00124CEC" w:rsidP="00EB5A5F">
      <w:pPr>
        <w:pStyle w:val="Bullet"/>
      </w:pPr>
      <w:r>
        <w:t>how it is designed</w:t>
      </w:r>
      <w:r w:rsidR="009F6A82">
        <w:t>,</w:t>
      </w:r>
      <w:r>
        <w:t xml:space="preserve"> </w:t>
      </w:r>
    </w:p>
    <w:p w14:paraId="078908C9" w14:textId="71A2187F" w:rsidR="00124CEC" w:rsidRDefault="00124CEC" w:rsidP="00EB5A5F">
      <w:pPr>
        <w:pStyle w:val="Bullet"/>
      </w:pPr>
      <w:r>
        <w:t>what tests it needs to pass</w:t>
      </w:r>
      <w:r w:rsidR="009F6A82">
        <w:t>, and</w:t>
      </w:r>
    </w:p>
    <w:p w14:paraId="497E48F8" w14:textId="7D4B02DB" w:rsidR="00124CEC" w:rsidRPr="002348BA" w:rsidRDefault="00124CEC" w:rsidP="00EB5A5F">
      <w:pPr>
        <w:pStyle w:val="Bullet"/>
      </w:pPr>
      <w:r>
        <w:t>whether any warning or instructions need to accompany the good.</w:t>
      </w:r>
      <w:r w:rsidR="009F6A82">
        <w:rPr>
          <w:rStyle w:val="FootnoteReference"/>
        </w:rPr>
        <w:footnoteReference w:id="26"/>
      </w:r>
      <w:r>
        <w:t xml:space="preserve"> </w:t>
      </w:r>
    </w:p>
    <w:p w14:paraId="35C89DB3" w14:textId="77777777" w:rsidR="008B4E99" w:rsidRDefault="00BD38A3" w:rsidP="003F4A0D">
      <w:r>
        <w:t>In 2024, the Australian Government amended the mandatory safety standards regime</w:t>
      </w:r>
      <w:r w:rsidR="00C46BBF">
        <w:t>, including</w:t>
      </w:r>
      <w:r w:rsidR="00A23F92">
        <w:t xml:space="preserve"> to more easily recognise international and overseas standards in Australian mandatory standards.</w:t>
      </w:r>
      <w:r w:rsidR="00EF5829">
        <w:t xml:space="preserve"> </w:t>
      </w:r>
      <w:r w:rsidR="00661006">
        <w:t xml:space="preserve">The reforms </w:t>
      </w:r>
      <w:r w:rsidR="00E20ACC">
        <w:t xml:space="preserve">also </w:t>
      </w:r>
      <w:r w:rsidR="00661006">
        <w:t>improved the enforceability of safety standards by allowing the regulator to request certain information and documents in relation to compliance with safety standards.</w:t>
      </w:r>
      <w:r w:rsidR="00AF51A8">
        <w:rPr>
          <w:rStyle w:val="FootnoteReference"/>
        </w:rPr>
        <w:footnoteReference w:id="27"/>
      </w:r>
      <w:r w:rsidR="00375B2A">
        <w:t xml:space="preserve"> </w:t>
      </w:r>
    </w:p>
    <w:p w14:paraId="634C3C5B" w14:textId="70CA2C15" w:rsidR="005E3489" w:rsidRDefault="00245BB9" w:rsidP="003F4A0D">
      <w:r>
        <w:t xml:space="preserve">The majority of stakeholders </w:t>
      </w:r>
      <w:r w:rsidR="00C42274">
        <w:t xml:space="preserve">did not support the </w:t>
      </w:r>
      <w:r w:rsidR="006A2A16">
        <w:t xml:space="preserve">making of mandatory safety standards </w:t>
      </w:r>
      <w:r w:rsidR="00DF3B8E">
        <w:t xml:space="preserve">at this point in relation to AI-enabled consumer goods and product related services. </w:t>
      </w:r>
      <w:r w:rsidR="00CF3D5F">
        <w:t>Broadly</w:t>
      </w:r>
      <w:r w:rsidR="007B0943">
        <w:t>,</w:t>
      </w:r>
      <w:r w:rsidR="001528BF">
        <w:t xml:space="preserve"> t</w:t>
      </w:r>
      <w:r w:rsidR="00375B2A">
        <w:t xml:space="preserve">he Review </w:t>
      </w:r>
      <w:r w:rsidR="00CF3D5F">
        <w:t xml:space="preserve">found that the ACL itself </w:t>
      </w:r>
      <w:r w:rsidR="005D5DA6">
        <w:t xml:space="preserve">is well placed to address consumer law risks associated with AI-enabled goods and services and </w:t>
      </w:r>
      <w:r w:rsidR="005712AE">
        <w:t xml:space="preserve">also </w:t>
      </w:r>
      <w:r w:rsidR="00375B2A">
        <w:t xml:space="preserve">did not find evidence </w:t>
      </w:r>
      <w:r w:rsidR="00892E1F">
        <w:t>which would support the making of a mandatory safety standard at present.</w:t>
      </w:r>
      <w:r w:rsidR="0015798D">
        <w:t xml:space="preserve"> However, </w:t>
      </w:r>
      <w:r w:rsidR="001517A9">
        <w:t>consideration could be given in future to utilising</w:t>
      </w:r>
      <w:r w:rsidR="0015798D">
        <w:t xml:space="preserve"> </w:t>
      </w:r>
      <w:r w:rsidR="00BC430D">
        <w:t>the amended mandatory standard framework</w:t>
      </w:r>
      <w:r w:rsidR="00DA5CCB">
        <w:t xml:space="preserve"> </w:t>
      </w:r>
      <w:r w:rsidR="001517A9">
        <w:t xml:space="preserve">to address </w:t>
      </w:r>
      <w:r w:rsidR="00DE16CE">
        <w:t>emerging</w:t>
      </w:r>
      <w:r w:rsidR="00DA5CCB">
        <w:t xml:space="preserve"> AI consumer </w:t>
      </w:r>
      <w:r w:rsidR="00DE16CE">
        <w:t>harms</w:t>
      </w:r>
      <w:r w:rsidR="00DA5CCB">
        <w:t xml:space="preserve"> </w:t>
      </w:r>
      <w:r w:rsidR="006F476E">
        <w:t>should</w:t>
      </w:r>
      <w:r w:rsidR="00D018A3">
        <w:t xml:space="preserve"> the need </w:t>
      </w:r>
      <w:r w:rsidR="006F476E">
        <w:t>arise</w:t>
      </w:r>
      <w:r w:rsidR="00D018A3">
        <w:t>.</w:t>
      </w:r>
      <w:r w:rsidR="00DA5CCB">
        <w:t xml:space="preserve"> </w:t>
      </w:r>
      <w:r w:rsidR="0009643B" w:rsidRPr="0009643B">
        <w:t>Any consideration of new safety standards for AI-enabled consumer goods would be informed by ongoing work on Safe and Responsible AI across Government</w:t>
      </w:r>
      <w:r w:rsidR="0009643B">
        <w:t xml:space="preserve">. </w:t>
      </w:r>
      <w:r w:rsidR="001C76CB">
        <w:t xml:space="preserve">The question of whether the mandatory safety </w:t>
      </w:r>
      <w:r w:rsidR="001C76CB">
        <w:lastRenderedPageBreak/>
        <w:t xml:space="preserve">standard regime itself should be expanded to cover a broader range of services is beyond the scope of the Review. </w:t>
      </w:r>
    </w:p>
    <w:p w14:paraId="5296B9E2" w14:textId="1CAD6C2D" w:rsidR="00ED7FEC" w:rsidRPr="00D13E2C" w:rsidRDefault="00ED7FEC" w:rsidP="00ED7FEC">
      <w:pPr>
        <w:pStyle w:val="Heading2"/>
      </w:pPr>
      <w:bookmarkStart w:id="15" w:name="_Toc192160545"/>
      <w:r w:rsidRPr="00D13E2C">
        <w:t xml:space="preserve">Misleading or unfair </w:t>
      </w:r>
      <w:r w:rsidR="00A148EA">
        <w:t>AI-enabled</w:t>
      </w:r>
      <w:r w:rsidRPr="00D13E2C">
        <w:t xml:space="preserve"> conduct</w:t>
      </w:r>
      <w:bookmarkEnd w:id="14"/>
      <w:bookmarkEnd w:id="15"/>
    </w:p>
    <w:p w14:paraId="7B65EE53" w14:textId="22A78080" w:rsidR="00ED7FEC" w:rsidRPr="00D13E2C" w:rsidRDefault="00ED7FEC" w:rsidP="00ED7FEC">
      <w:r w:rsidRPr="00D13E2C">
        <w:t xml:space="preserve">The ACL plays an important role in ensuring consumers are not misled and are not subject to unconscionable behaviour by businesses. These protections apply equally to consumers of </w:t>
      </w:r>
      <w:r w:rsidR="00A148EA">
        <w:t>AI</w:t>
      </w:r>
      <w:r w:rsidR="00A148EA">
        <w:noBreakHyphen/>
        <w:t>enabled</w:t>
      </w:r>
      <w:r w:rsidRPr="00D13E2C">
        <w:t xml:space="preserve"> goods and services and include prohibitions on misleading or deceptive conduct, unconscionable conduct and false or misleading representations.</w:t>
      </w:r>
      <w:r w:rsidRPr="00D13E2C">
        <w:rPr>
          <w:rStyle w:val="FootnoteReference"/>
        </w:rPr>
        <w:footnoteReference w:id="28"/>
      </w:r>
      <w:r w:rsidRPr="00D13E2C">
        <w:t xml:space="preserve"> As noted above, the Government has announced </w:t>
      </w:r>
      <w:r w:rsidR="00934D67" w:rsidRPr="005528BD">
        <w:t>it</w:t>
      </w:r>
      <w:r w:rsidRPr="005528BD">
        <w:t xml:space="preserve"> will </w:t>
      </w:r>
      <w:r w:rsidR="00934D67" w:rsidRPr="005528BD">
        <w:t xml:space="preserve">work with </w:t>
      </w:r>
      <w:r w:rsidR="00AA659D" w:rsidRPr="005528BD">
        <w:t>states and territories</w:t>
      </w:r>
      <w:r w:rsidRPr="005528BD">
        <w:t xml:space="preserve"> </w:t>
      </w:r>
      <w:r w:rsidR="003D43B2">
        <w:t>on</w:t>
      </w:r>
      <w:r w:rsidR="003D43B2" w:rsidRPr="005528BD">
        <w:t xml:space="preserve"> </w:t>
      </w:r>
      <w:r w:rsidR="00AA659D" w:rsidRPr="005528BD">
        <w:t>amend</w:t>
      </w:r>
      <w:r w:rsidR="003D43B2">
        <w:t>ments to</w:t>
      </w:r>
      <w:r w:rsidR="00AA659D" w:rsidRPr="005528BD">
        <w:t xml:space="preserve"> the ACL to address</w:t>
      </w:r>
      <w:r w:rsidRPr="00D13E2C">
        <w:t xml:space="preserve"> unfair trading practices.</w:t>
      </w:r>
    </w:p>
    <w:p w14:paraId="1074D8CC" w14:textId="12D7A42E" w:rsidR="00ED7FEC" w:rsidRPr="00D13E2C" w:rsidRDefault="00ED7FEC" w:rsidP="00ED7FEC">
      <w:r w:rsidRPr="00D13E2C">
        <w:t xml:space="preserve">The existing protections for consumers to address misleading conduct and other sharp commercial practices are a longstanding feature of Australia’s consumer protection framework and are supported by a substantial body of case law. Given this, most stakeholders regarded the existing protections as adequate and sufficiently flexible to address risks which may arise in an AI context. Some stakeholders separately reflected that some challenges associated with enforcing these existing protections may be addressed through the introduction of </w:t>
      </w:r>
      <w:r w:rsidR="00175097" w:rsidRPr="005528BD">
        <w:t>amendmen</w:t>
      </w:r>
      <w:r w:rsidR="00184E12" w:rsidRPr="005528BD">
        <w:t>ts to the ACL to address</w:t>
      </w:r>
      <w:r w:rsidRPr="00D13E2C">
        <w:t xml:space="preserve"> unfair trading practices.</w:t>
      </w:r>
    </w:p>
    <w:p w14:paraId="6DADBA49" w14:textId="54D9F158" w:rsidR="00ED7FEC" w:rsidRDefault="00ED7FEC" w:rsidP="00ED7FEC">
      <w:r w:rsidRPr="00D13E2C">
        <w:t>While the majority of stakeholders considered that the ACL is well positioned to protect consumers from misleading AI-generated content, some observed that misleading or deceptive conduct is easier to establish in cases involving misrepresentations and factual errors, rather than cases involving omissions and evaluative errors.</w:t>
      </w:r>
      <w:r w:rsidRPr="00D13E2C">
        <w:rPr>
          <w:rStyle w:val="FootnoteReference"/>
        </w:rPr>
        <w:footnoteReference w:id="29"/>
      </w:r>
      <w:r w:rsidRPr="00D13E2C">
        <w:t xml:space="preserve"> As a result, more difficulty may arise in circumstances where an </w:t>
      </w:r>
      <w:r w:rsidR="00A148EA">
        <w:t>AI</w:t>
      </w:r>
      <w:r w:rsidR="00A148EA">
        <w:noBreakHyphen/>
        <w:t>enabled</w:t>
      </w:r>
      <w:r w:rsidRPr="00D13E2C">
        <w:t xml:space="preserve"> good or service causes a consumer to be misled by omission, or through subtler forms of personal persuasion </w:t>
      </w:r>
      <w:r>
        <w:t>through targeted</w:t>
      </w:r>
      <w:r w:rsidRPr="00D13E2C">
        <w:t xml:space="preserve"> </w:t>
      </w:r>
      <w:r w:rsidR="00A148EA">
        <w:t>AI</w:t>
      </w:r>
      <w:r w:rsidR="00A148EA">
        <w:noBreakHyphen/>
        <w:t>enabled</w:t>
      </w:r>
      <w:r w:rsidRPr="00D13E2C">
        <w:t xml:space="preserve"> advertising.</w:t>
      </w:r>
    </w:p>
    <w:p w14:paraId="3CD07ADB" w14:textId="0B8EB54B" w:rsidR="00ED7FEC" w:rsidRPr="00D13E2C" w:rsidRDefault="00ED7FEC" w:rsidP="00ED7FEC">
      <w:r w:rsidRPr="00D13E2C">
        <w:t>Some stakeholders also expressed concern that broader integration of AI</w:t>
      </w:r>
      <w:r w:rsidR="00AB0306">
        <w:t> </w:t>
      </w:r>
      <w:r w:rsidRPr="00D13E2C">
        <w:t xml:space="preserve">technologies may increase the risk of misleading or deceptive conduct occurring in trade and commerce </w:t>
      </w:r>
      <w:r>
        <w:t>generally and inadvertently</w:t>
      </w:r>
      <w:r w:rsidRPr="00D13E2C">
        <w:t>, possibly creating challenges for smaller or less sophisticated businesses using off</w:t>
      </w:r>
      <w:r w:rsidR="00BC7F98">
        <w:noBreakHyphen/>
      </w:r>
      <w:r w:rsidRPr="00D13E2C">
        <w:t>the</w:t>
      </w:r>
      <w:r w:rsidR="00BC7F98">
        <w:noBreakHyphen/>
      </w:r>
      <w:r w:rsidRPr="00D13E2C">
        <w:t>shelf AI systems.</w:t>
      </w:r>
    </w:p>
    <w:p w14:paraId="2505F29C" w14:textId="77777777" w:rsidR="00ED7FEC" w:rsidRPr="00D13E2C" w:rsidRDefault="00ED7FEC" w:rsidP="00ED7FEC">
      <w:pPr>
        <w:pStyle w:val="Heading3"/>
      </w:pPr>
      <w:r>
        <w:t>AI and m</w:t>
      </w:r>
      <w:r w:rsidRPr="00D13E2C">
        <w:t>isleading by omission</w:t>
      </w:r>
    </w:p>
    <w:p w14:paraId="0567C179" w14:textId="2DA7381C" w:rsidR="00ED7FEC" w:rsidRPr="00D13E2C" w:rsidRDefault="00ED7FEC" w:rsidP="00135968">
      <w:r w:rsidRPr="00D13E2C">
        <w:t xml:space="preserve">Under the ACL, misleading </w:t>
      </w:r>
      <w:r>
        <w:t>or</w:t>
      </w:r>
      <w:r w:rsidRPr="00D13E2C">
        <w:t xml:space="preserve"> deceptive conduct can include a failure to act</w:t>
      </w:r>
      <w:r>
        <w:t>, for example</w:t>
      </w:r>
      <w:r w:rsidRPr="00D13E2C">
        <w:t xml:space="preserve"> by silence or omission.</w:t>
      </w:r>
      <w:r>
        <w:rPr>
          <w:rStyle w:val="FootnoteReference"/>
        </w:rPr>
        <w:footnoteReference w:id="30"/>
      </w:r>
      <w:r w:rsidRPr="00D13E2C">
        <w:t xml:space="preserve"> </w:t>
      </w:r>
      <w:r w:rsidR="006072B4" w:rsidRPr="009002D8">
        <w:t xml:space="preserve">Silence or omission </w:t>
      </w:r>
      <w:r w:rsidRPr="009002D8">
        <w:t xml:space="preserve">may be </w:t>
      </w:r>
      <w:r w:rsidR="006072B4" w:rsidRPr="009002D8">
        <w:t>considered misleading where there is a reasonable expectation that a fact, if it exists, will be disclosed. This may occur</w:t>
      </w:r>
      <w:r w:rsidRPr="00D13E2C">
        <w:t xml:space="preserve"> if a business provides some information to a consumer but does not mention important details the consumer should know that are relevant to their decision. In an AI context, this may involve a consumer using an </w:t>
      </w:r>
      <w:r w:rsidR="00A148EA">
        <w:t>AI</w:t>
      </w:r>
      <w:r w:rsidR="00A148EA">
        <w:noBreakHyphen/>
        <w:t>enabled</w:t>
      </w:r>
      <w:r w:rsidRPr="00D13E2C">
        <w:t xml:space="preserve"> service to obtain information which, </w:t>
      </w:r>
      <w:r w:rsidRPr="009002D8">
        <w:t>when provided, excludes information</w:t>
      </w:r>
      <w:r w:rsidR="00135968" w:rsidRPr="009002D8">
        <w:t xml:space="preserve"> </w:t>
      </w:r>
      <w:r w:rsidRPr="009002D8">
        <w:t>which the consumer may have reasonably expected would have been disclosed.</w:t>
      </w:r>
      <w:r>
        <w:t xml:space="preserve"> </w:t>
      </w:r>
    </w:p>
    <w:p w14:paraId="7875F3B4" w14:textId="019C6752" w:rsidR="00ED7FEC" w:rsidRDefault="00ED7FEC" w:rsidP="00ED7FEC">
      <w:r>
        <w:t>Whether</w:t>
      </w:r>
      <w:r w:rsidRPr="00D13E2C">
        <w:t xml:space="preserve"> it is reasonable for a consumer to expect that certain information will be provided is assessed objectively and on a case-by-case basis. In addition, the ACL does not require </w:t>
      </w:r>
      <w:r w:rsidR="00FF3976">
        <w:t>businesses</w:t>
      </w:r>
      <w:r w:rsidR="00FF3976" w:rsidRPr="00D13E2C">
        <w:t xml:space="preserve"> </w:t>
      </w:r>
      <w:r w:rsidRPr="00D13E2C">
        <w:t>to disclose information with total disregard for their own interests</w:t>
      </w:r>
      <w:r>
        <w:t>.</w:t>
      </w:r>
      <w:r w:rsidRPr="00D13E2C">
        <w:t xml:space="preserve"> </w:t>
      </w:r>
      <w:r>
        <w:t>J</w:t>
      </w:r>
      <w:r w:rsidRPr="00D13E2C">
        <w:t xml:space="preserve">ust because information would be useful to a consumer does not mean that businesses are under an obligation to provide it. </w:t>
      </w:r>
      <w:r>
        <w:t>Additionally</w:t>
      </w:r>
      <w:r w:rsidRPr="00D13E2C">
        <w:t xml:space="preserve">, there cannot </w:t>
      </w:r>
      <w:r>
        <w:t>be</w:t>
      </w:r>
      <w:r w:rsidRPr="00D13E2C">
        <w:t xml:space="preserve"> a reasonable expectation that information will be disclosed if the information was not known. </w:t>
      </w:r>
    </w:p>
    <w:p w14:paraId="60133BCC" w14:textId="1CB904D9" w:rsidR="00ED7FEC" w:rsidRPr="00D13E2C" w:rsidRDefault="00ED7FEC" w:rsidP="00ED7FEC">
      <w:r>
        <w:lastRenderedPageBreak/>
        <w:t>Applied to an AI context</w:t>
      </w:r>
      <w:r w:rsidRPr="00D13E2C">
        <w:t xml:space="preserve">, a </w:t>
      </w:r>
      <w:r w:rsidR="00BC19DF">
        <w:t>business</w:t>
      </w:r>
      <w:r w:rsidR="00BC19DF" w:rsidRPr="00D13E2C">
        <w:t xml:space="preserve"> </w:t>
      </w:r>
      <w:r w:rsidR="00A6026A">
        <w:t>that</w:t>
      </w:r>
      <w:r w:rsidRPr="00D13E2C">
        <w:t xml:space="preserve"> </w:t>
      </w:r>
      <w:r>
        <w:t>use</w:t>
      </w:r>
      <w:r w:rsidRPr="00D13E2C">
        <w:t xml:space="preserve">s a chatbot to recommend appliances to </w:t>
      </w:r>
      <w:r w:rsidR="0018043A">
        <w:t xml:space="preserve">a </w:t>
      </w:r>
      <w:r w:rsidR="009B4291" w:rsidRPr="00D13E2C">
        <w:t xml:space="preserve">consumer </w:t>
      </w:r>
      <w:r w:rsidR="009B4291" w:rsidRPr="009002D8">
        <w:t>from a range that it supplies</w:t>
      </w:r>
      <w:r w:rsidRPr="00D13E2C">
        <w:t xml:space="preserve"> would not necessarily mislead </w:t>
      </w:r>
      <w:r w:rsidR="00A6026A">
        <w:t>a</w:t>
      </w:r>
      <w:r w:rsidRPr="00D13E2C">
        <w:t xml:space="preserve"> consumer by failing to identify that a particular appliance is available at a lower price </w:t>
      </w:r>
      <w:r w:rsidR="009B4291" w:rsidRPr="009002D8">
        <w:t>from</w:t>
      </w:r>
      <w:r w:rsidRPr="009002D8">
        <w:t xml:space="preserve"> a different </w:t>
      </w:r>
      <w:r w:rsidR="009B4291" w:rsidRPr="009002D8">
        <w:t>business</w:t>
      </w:r>
      <w:r w:rsidR="00441169">
        <w:t>,</w:t>
      </w:r>
      <w:r w:rsidRPr="00D13E2C">
        <w:t xml:space="preserve"> if it was not programmed to access that data. However, the </w:t>
      </w:r>
      <w:r w:rsidR="007E2C0E">
        <w:t>business</w:t>
      </w:r>
      <w:r w:rsidRPr="00D13E2C">
        <w:t xml:space="preserve"> may engage in misleading </w:t>
      </w:r>
      <w:r>
        <w:t>or</w:t>
      </w:r>
      <w:r w:rsidRPr="00D13E2C">
        <w:t xml:space="preserve"> deceptive conduct if it </w:t>
      </w:r>
      <w:r w:rsidR="005606F3" w:rsidRPr="009002D8">
        <w:t xml:space="preserve">allows consumers to form a reasonable expectation that the chatbot will assist them in comparing prices for appliances across all </w:t>
      </w:r>
      <w:r w:rsidR="00C01333" w:rsidRPr="009002D8">
        <w:t>businesses</w:t>
      </w:r>
      <w:r w:rsidR="005606F3" w:rsidRPr="009002D8">
        <w:t>, but then fails to provide such a comparison.</w:t>
      </w:r>
    </w:p>
    <w:p w14:paraId="2E0C53F6" w14:textId="77777777" w:rsidR="00D61FA3" w:rsidRDefault="00ED7FEC" w:rsidP="00ED7FEC">
      <w:r>
        <w:t xml:space="preserve">While consumers may increasingly use </w:t>
      </w:r>
      <w:r w:rsidR="00A148EA">
        <w:t>AI</w:t>
      </w:r>
      <w:r w:rsidR="00A148EA">
        <w:noBreakHyphen/>
        <w:t>enabled</w:t>
      </w:r>
      <w:r>
        <w:t xml:space="preserve"> goods and services to obtain information</w:t>
      </w:r>
      <w:r w:rsidRPr="00D13E2C">
        <w:t xml:space="preserve">, the incorporation of AI in goods and services does not necessitate amendments to the operation of this well-established area of the ACL. </w:t>
      </w:r>
      <w:r w:rsidR="006B5487" w:rsidRPr="009002D8">
        <w:t>Although stakeholders correctly identify that</w:t>
      </w:r>
      <w:r w:rsidRPr="009002D8">
        <w:t xml:space="preserve"> it</w:t>
      </w:r>
      <w:r w:rsidRPr="00D13E2C">
        <w:t xml:space="preserve"> may be challenging in some circumstances for consumers to establish </w:t>
      </w:r>
      <w:r>
        <w:t>that</w:t>
      </w:r>
      <w:r w:rsidRPr="00D13E2C">
        <w:t xml:space="preserve"> they have been misled or deceived by AI technologies failing to provide information, this burden remains appropriate and reflects the balance struck throughout the ACL of protecting the interests of consumers, manufacturers</w:t>
      </w:r>
      <w:r w:rsidR="007D32D9">
        <w:t>, and suppliers</w:t>
      </w:r>
      <w:r w:rsidRPr="00D13E2C">
        <w:t>.</w:t>
      </w:r>
      <w:r w:rsidR="008551CE">
        <w:t xml:space="preserve"> </w:t>
      </w:r>
    </w:p>
    <w:p w14:paraId="5CE9E13E" w14:textId="33ADCFDE" w:rsidR="00ED7FEC" w:rsidRPr="00D13E2C" w:rsidRDefault="008551CE" w:rsidP="00ED7FEC">
      <w:r w:rsidRPr="004F00DF">
        <w:rPr>
          <w:b/>
        </w:rPr>
        <w:t>Chapter 3</w:t>
      </w:r>
      <w:r>
        <w:rPr>
          <w:b/>
          <w:bCs/>
        </w:rPr>
        <w:t xml:space="preserve"> </w:t>
      </w:r>
      <w:r w:rsidR="0031355C" w:rsidRPr="00D13E2C">
        <w:t xml:space="preserve">considers the role of guidance and education in enhancing regulatory clarity </w:t>
      </w:r>
      <w:r w:rsidR="00B54233" w:rsidRPr="00D13E2C">
        <w:t>to ensu</w:t>
      </w:r>
      <w:r w:rsidR="004F00DF">
        <w:t>re</w:t>
      </w:r>
      <w:r w:rsidR="00B54233" w:rsidRPr="00D13E2C">
        <w:t xml:space="preserve"> that businesses understand their obligations and that consumers know their rights and remedies.</w:t>
      </w:r>
    </w:p>
    <w:p w14:paraId="397E9B7C" w14:textId="77777777" w:rsidR="00ED7FEC" w:rsidRPr="00D13E2C" w:rsidRDefault="00ED7FEC" w:rsidP="00ED7FEC">
      <w:pPr>
        <w:pStyle w:val="Heading3"/>
      </w:pPr>
      <w:r w:rsidRPr="00D13E2C">
        <w:t>AI and advertising</w:t>
      </w:r>
    </w:p>
    <w:p w14:paraId="491FAB61" w14:textId="5AC6F643" w:rsidR="00ED7FEC" w:rsidRPr="00D13E2C" w:rsidRDefault="00ED7FEC" w:rsidP="00ED7FEC">
      <w:r>
        <w:t>Advanced</w:t>
      </w:r>
      <w:r w:rsidRPr="00D13E2C">
        <w:t xml:space="preserve"> technologies, including those that use AI systems, are increasingly used to promote and sell products through highly personalised advertising. Where these technologies are not </w:t>
      </w:r>
      <w:r>
        <w:t xml:space="preserve">used </w:t>
      </w:r>
      <w:r w:rsidRPr="00D13E2C">
        <w:t xml:space="preserve">appropriately, </w:t>
      </w:r>
      <w:r w:rsidR="00860F7D">
        <w:t xml:space="preserve">such as </w:t>
      </w:r>
      <w:r w:rsidR="00171424">
        <w:t xml:space="preserve">personalising offers </w:t>
      </w:r>
      <w:r w:rsidR="00FB163F">
        <w:t xml:space="preserve">or pricing </w:t>
      </w:r>
      <w:r w:rsidR="009C6F67">
        <w:t xml:space="preserve">without </w:t>
      </w:r>
      <w:r w:rsidR="007C341F">
        <w:t>consumers</w:t>
      </w:r>
      <w:r w:rsidR="0091107D">
        <w:t>’</w:t>
      </w:r>
      <w:r w:rsidR="007C341F">
        <w:t xml:space="preserve"> knowledge or</w:t>
      </w:r>
      <w:r w:rsidR="00860F7D">
        <w:t xml:space="preserve"> advertising </w:t>
      </w:r>
      <w:r w:rsidR="00C6448F">
        <w:t xml:space="preserve">to vulnerable </w:t>
      </w:r>
      <w:r w:rsidR="002C3EFA">
        <w:t xml:space="preserve">consumers, </w:t>
      </w:r>
      <w:r w:rsidRPr="00D13E2C">
        <w:t>this may lead to an increase in misleading or deceptive conduct.</w:t>
      </w:r>
    </w:p>
    <w:p w14:paraId="3F41817E" w14:textId="3538D35B" w:rsidR="00BA2D12" w:rsidRPr="00BA2D12" w:rsidRDefault="00ED7FEC" w:rsidP="00BA2D12">
      <w:r w:rsidRPr="00D13E2C">
        <w:t xml:space="preserve">The provisions of the ACL which prohibit misleading </w:t>
      </w:r>
      <w:r>
        <w:t>or</w:t>
      </w:r>
      <w:r w:rsidRPr="00D13E2C">
        <w:t xml:space="preserve"> deceptive conduct and false and misleading representations apply regardless of the technology through which </w:t>
      </w:r>
      <w:r>
        <w:t xml:space="preserve">the </w:t>
      </w:r>
      <w:r w:rsidRPr="00D13E2C">
        <w:t xml:space="preserve">advertising is </w:t>
      </w:r>
      <w:r>
        <w:t xml:space="preserve">used </w:t>
      </w:r>
      <w:r w:rsidRPr="00D13E2C">
        <w:t xml:space="preserve">or enabled. </w:t>
      </w:r>
      <w:r w:rsidR="00BA2D12" w:rsidRPr="00CC24B6">
        <w:t>For example, in 2022, the ACCC successfully obtained an order that a business pay penalties for misleading representations arising because the operation of an algorithm created outputs that misled consumers.</w:t>
      </w:r>
      <w:r w:rsidR="00BA2D12" w:rsidRPr="00CC24B6">
        <w:rPr>
          <w:vertAlign w:val="superscript"/>
        </w:rPr>
        <w:footnoteReference w:id="31"/>
      </w:r>
    </w:p>
    <w:p w14:paraId="2AD514D7" w14:textId="719AF0A7" w:rsidR="00AC0842" w:rsidRPr="00D13E2C" w:rsidRDefault="00964863" w:rsidP="00ED7FEC">
      <w:r w:rsidRPr="00EB2EB5">
        <w:t xml:space="preserve">Ensuring businesses comply with their obligations under the ACL when </w:t>
      </w:r>
      <w:r w:rsidR="00813D2B">
        <w:t xml:space="preserve">trading in the digital </w:t>
      </w:r>
      <w:r w:rsidR="00B3157C">
        <w:t>economy</w:t>
      </w:r>
      <w:r w:rsidRPr="00EB2EB5">
        <w:t xml:space="preserve"> is one of the ACCC’s 202</w:t>
      </w:r>
      <w:r w:rsidR="00B3157C">
        <w:t>5</w:t>
      </w:r>
      <w:r w:rsidRPr="00EB2EB5">
        <w:t>-2</w:t>
      </w:r>
      <w:r w:rsidR="00B3157C">
        <w:t>6</w:t>
      </w:r>
      <w:r w:rsidRPr="00EB2EB5">
        <w:t xml:space="preserve"> enforcement priorities</w:t>
      </w:r>
      <w:r w:rsidR="00631FA0">
        <w:t>.</w:t>
      </w:r>
      <w:r w:rsidR="00ED7FEC" w:rsidRPr="00EB2EB5">
        <w:rPr>
          <w:rStyle w:val="FootnoteReference"/>
        </w:rPr>
        <w:footnoteReference w:id="32"/>
      </w:r>
      <w:r w:rsidR="00ED7FEC" w:rsidRPr="00EB2EB5">
        <w:t xml:space="preserve"> In addition, in October 2024, the Government announced </w:t>
      </w:r>
      <w:r w:rsidR="00AC0842" w:rsidRPr="00AC0842">
        <w:t>th</w:t>
      </w:r>
      <w:r w:rsidR="00907855">
        <w:t>at it would</w:t>
      </w:r>
      <w:r w:rsidR="00AC0842" w:rsidRPr="00AC0842">
        <w:t xml:space="preserve"> introduc</w:t>
      </w:r>
      <w:r w:rsidR="00907855">
        <w:t>e</w:t>
      </w:r>
      <w:r w:rsidR="00AC0842" w:rsidRPr="00AC0842">
        <w:t xml:space="preserve"> </w:t>
      </w:r>
      <w:r w:rsidR="000C0250">
        <w:t>a</w:t>
      </w:r>
      <w:r w:rsidR="00AC0842" w:rsidRPr="00AC0842">
        <w:t xml:space="preserve"> general and specific prohibitions in the ACL to address unfair trading practices including deceptive and manipulative online practices that aim to confuse or overwhelm consumers.</w:t>
      </w:r>
      <w:r w:rsidR="00ED7FEC" w:rsidRPr="00EB2EB5">
        <w:rPr>
          <w:rStyle w:val="FootnoteReference"/>
        </w:rPr>
        <w:footnoteReference w:id="33"/>
      </w:r>
      <w:r w:rsidR="00F6688E">
        <w:t xml:space="preserve"> </w:t>
      </w:r>
    </w:p>
    <w:p w14:paraId="50C72BD3" w14:textId="70803CC2" w:rsidR="00ED7FEC" w:rsidRPr="00D13E2C" w:rsidRDefault="00ED7FEC" w:rsidP="00ED7FEC">
      <w:r w:rsidRPr="006F0DCD">
        <w:t>Taken together, the standards of advertising expected of businesses engaging in trade and commerce in Australia remain uniform and unambiguous. Those seeking to integrate AI into their advertising practices, or utilising AI to make representations to consumers generally, must take the necessary steps to ensure these standards of conduct are upheld. Guardrail</w:t>
      </w:r>
      <w:r w:rsidR="00992613" w:rsidRPr="006F0DCD">
        <w:t> </w:t>
      </w:r>
      <w:r w:rsidRPr="006F0DCD">
        <w:t xml:space="preserve">6 of the Voluntary AI Safety Standard provides guidance to businesses on the steps they can take to inform end-users regarding </w:t>
      </w:r>
      <w:r w:rsidR="00A148EA" w:rsidRPr="006F0DCD">
        <w:t>AI</w:t>
      </w:r>
      <w:r w:rsidR="00A148EA" w:rsidRPr="006F0DCD">
        <w:noBreakHyphen/>
        <w:t>enabled</w:t>
      </w:r>
      <w:r w:rsidRPr="006F0DCD">
        <w:t xml:space="preserve"> decisions, interactions with AI and AI-generated content.</w:t>
      </w:r>
    </w:p>
    <w:p w14:paraId="2954DDE2" w14:textId="77777777" w:rsidR="00ED7FEC" w:rsidRDefault="00ED7FEC" w:rsidP="00ED7FEC">
      <w:pPr>
        <w:pStyle w:val="Heading3"/>
      </w:pPr>
      <w:r>
        <w:lastRenderedPageBreak/>
        <w:t>Misleading or deceptive conduct</w:t>
      </w:r>
    </w:p>
    <w:p w14:paraId="37D0E644" w14:textId="77777777" w:rsidR="00ED7FEC" w:rsidRDefault="00ED7FEC" w:rsidP="00ED7FEC">
      <w:pPr>
        <w:pStyle w:val="BoxText"/>
      </w:pPr>
      <w:r>
        <w:t>Misleading or deceptive conduct in trade or commerce is prohibited under the ACL.</w:t>
      </w:r>
      <w:r>
        <w:rPr>
          <w:rStyle w:val="FootnoteReference"/>
        </w:rPr>
        <w:footnoteReference w:id="34"/>
      </w:r>
      <w:r>
        <w:t xml:space="preserve"> A key feature of the prohibition on misleading or deceptive conduct is that it can be </w:t>
      </w:r>
      <w:r w:rsidRPr="00401E8A">
        <w:t>contravened without fault. That</w:t>
      </w:r>
      <w:r>
        <w:t xml:space="preserve"> is, a person who acts honestly and reasonably may contravene the prohibition if their conduct is misleading.</w:t>
      </w:r>
      <w:r>
        <w:rPr>
          <w:rStyle w:val="FootnoteReference"/>
        </w:rPr>
        <w:footnoteReference w:id="35"/>
      </w:r>
      <w:r>
        <w:t xml:space="preserve"> </w:t>
      </w:r>
    </w:p>
    <w:p w14:paraId="641E9D43" w14:textId="03507013" w:rsidR="00ED7FEC" w:rsidRDefault="00ED7FEC" w:rsidP="00ED7FEC">
      <w:pPr>
        <w:pStyle w:val="BoxText"/>
      </w:pPr>
      <w:r>
        <w:t xml:space="preserve">Some stakeholders reflected that the </w:t>
      </w:r>
      <w:r w:rsidRPr="005D73BA">
        <w:t xml:space="preserve">absence </w:t>
      </w:r>
      <w:r w:rsidRPr="00401E8A">
        <w:t>of a fault element may raise</w:t>
      </w:r>
      <w:r>
        <w:t xml:space="preserve"> particular concerns in an AI</w:t>
      </w:r>
      <w:r w:rsidR="00BC42D0">
        <w:t> </w:t>
      </w:r>
      <w:r>
        <w:t>context as a result of the propensity of certain AI</w:t>
      </w:r>
      <w:r w:rsidR="00ED0686">
        <w:t> </w:t>
      </w:r>
      <w:r>
        <w:t xml:space="preserve">systems to ‘hallucinate’ or generate erroneous outputs. As a result, it was suggested that this aspect of the ACL may have a detrimental impact on the willingness of business, particularly small business, to adopt new </w:t>
      </w:r>
      <w:r w:rsidR="00A148EA">
        <w:t>AI</w:t>
      </w:r>
      <w:r w:rsidR="00A148EA">
        <w:noBreakHyphen/>
        <w:t>enabled</w:t>
      </w:r>
      <w:r>
        <w:t xml:space="preserve"> technologies.</w:t>
      </w:r>
    </w:p>
    <w:p w14:paraId="0583F606" w14:textId="6DDCFD12" w:rsidR="00ED7FEC" w:rsidRDefault="00ED7FEC" w:rsidP="00ED7FEC">
      <w:pPr>
        <w:pStyle w:val="BoxText"/>
      </w:pPr>
      <w:r>
        <w:t xml:space="preserve">The prohibition on misleading or deceptive conduct, regardless </w:t>
      </w:r>
      <w:r w:rsidRPr="00401E8A">
        <w:t>of intention, is fundamental</w:t>
      </w:r>
      <w:r w:rsidRPr="005D73BA">
        <w:t xml:space="preserve"> to</w:t>
      </w:r>
      <w:r>
        <w:t xml:space="preserve"> the operation of Australia’s consumer protection framework. That AI may ‘hallucinate’ does not warrant a re-examination of this prohibition. Many businesses, including those that use AI, must assess the risk that their systems or processes may mislead a consumer and the onus is on businesses to ensure the technologies they use are fit-for-purpose. However, not all businesses are equally placed to undertake this assessment and undertaking this due diligence may be particularly difficult for smaller, less sophisticated businesses seeking to realise the productivity benefits of AI. </w:t>
      </w:r>
    </w:p>
    <w:p w14:paraId="32820020" w14:textId="269E3D48" w:rsidR="00ED7FEC" w:rsidRDefault="00ED7FEC" w:rsidP="00ED7FEC">
      <w:r>
        <w:t xml:space="preserve">While small businesses, like other businesses, are prohibited from engaging in misleading or deceptive conduct, in some cases the ACL may operate to protect small businesses </w:t>
      </w:r>
      <w:r w:rsidR="00584DE5">
        <w:t>(a</w:t>
      </w:r>
      <w:r w:rsidR="00A86DB4">
        <w:t xml:space="preserve">s a consumer) </w:t>
      </w:r>
      <w:r>
        <w:t xml:space="preserve">where this conduct arises as a result of the integration of off-the-shelf AI systems. In </w:t>
      </w:r>
      <w:r w:rsidR="005E5E33">
        <w:t>particular, subject to certain exceptions,</w:t>
      </w:r>
      <w:r>
        <w:t xml:space="preserve"> </w:t>
      </w:r>
      <w:r w:rsidR="00EE0BB5">
        <w:t xml:space="preserve">the consumer guarantees under the </w:t>
      </w:r>
      <w:r w:rsidR="004967F5">
        <w:t xml:space="preserve">ACL </w:t>
      </w:r>
      <w:r w:rsidR="00EF193E">
        <w:t xml:space="preserve">will apply to a business </w:t>
      </w:r>
      <w:r w:rsidR="00255862">
        <w:t xml:space="preserve">transaction </w:t>
      </w:r>
      <w:r w:rsidR="00EF193E">
        <w:t xml:space="preserve">if the </w:t>
      </w:r>
      <w:r w:rsidR="00486F01">
        <w:t>goods or services purchase</w:t>
      </w:r>
      <w:r w:rsidR="00255862">
        <w:t>d</w:t>
      </w:r>
      <w:r w:rsidR="00486F01">
        <w:t xml:space="preserve"> </w:t>
      </w:r>
      <w:r w:rsidR="00EE0BB5">
        <w:t xml:space="preserve">cost less </w:t>
      </w:r>
      <w:r w:rsidR="004967F5">
        <w:t>than</w:t>
      </w:r>
      <w:r w:rsidR="00EE0BB5">
        <w:t xml:space="preserve"> </w:t>
      </w:r>
      <w:r>
        <w:t>$100,000.</w:t>
      </w:r>
      <w:r>
        <w:rPr>
          <w:rStyle w:val="FootnoteReference"/>
        </w:rPr>
        <w:footnoteReference w:id="36"/>
      </w:r>
      <w:r>
        <w:t xml:space="preserve"> </w:t>
      </w:r>
    </w:p>
    <w:p w14:paraId="404B8B17" w14:textId="2F964E20" w:rsidR="00ED7FEC" w:rsidRDefault="00ED7FEC" w:rsidP="00ED7FEC">
      <w:r>
        <w:t xml:space="preserve">For example, </w:t>
      </w:r>
      <w:r w:rsidR="00A12917">
        <w:t xml:space="preserve">if </w:t>
      </w:r>
      <w:r w:rsidDel="00711EC3">
        <w:t xml:space="preserve">a small business </w:t>
      </w:r>
      <w:r w:rsidR="00F319BC">
        <w:t>(</w:t>
      </w:r>
      <w:r w:rsidR="00A12917">
        <w:t>Business A</w:t>
      </w:r>
      <w:r w:rsidR="00F319BC">
        <w:t>)</w:t>
      </w:r>
      <w:r w:rsidR="00A12917">
        <w:t xml:space="preserve"> </w:t>
      </w:r>
      <w:r>
        <w:t>purchas</w:t>
      </w:r>
      <w:r w:rsidR="00711EC3">
        <w:t>e</w:t>
      </w:r>
      <w:r w:rsidR="00621948">
        <w:t>d</w:t>
      </w:r>
      <w:r>
        <w:t xml:space="preserve"> an off-the-shelf </w:t>
      </w:r>
      <w:r w:rsidR="001E520D">
        <w:t xml:space="preserve">subscription </w:t>
      </w:r>
      <w:r w:rsidR="005D0A9F">
        <w:t xml:space="preserve">for an </w:t>
      </w:r>
      <w:r>
        <w:t>AI system</w:t>
      </w:r>
      <w:r w:rsidR="00711EC3">
        <w:t xml:space="preserve"> </w:t>
      </w:r>
      <w:r w:rsidR="00764F48">
        <w:t xml:space="preserve">from a large </w:t>
      </w:r>
      <w:r w:rsidR="00B11E85">
        <w:t xml:space="preserve">supplier of AI-enabled services (Business B) </w:t>
      </w:r>
      <w:r>
        <w:t>for $</w:t>
      </w:r>
      <w:r w:rsidR="005D0A9F">
        <w:t>1</w:t>
      </w:r>
      <w:r>
        <w:t>,000</w:t>
      </w:r>
      <w:r w:rsidR="005D0A9F">
        <w:t xml:space="preserve"> per month</w:t>
      </w:r>
      <w:r>
        <w:t xml:space="preserve"> to provide </w:t>
      </w:r>
      <w:r w:rsidR="00B11E85">
        <w:t xml:space="preserve">its customers with </w:t>
      </w:r>
      <w:r w:rsidR="00E45BCA">
        <w:t>24-hour</w:t>
      </w:r>
      <w:r w:rsidR="00B11E85">
        <w:t xml:space="preserve"> </w:t>
      </w:r>
      <w:r>
        <w:t>chatbot online support</w:t>
      </w:r>
      <w:r w:rsidR="0005699C">
        <w:t xml:space="preserve">, </w:t>
      </w:r>
      <w:r w:rsidR="00D85A05">
        <w:t>this</w:t>
      </w:r>
      <w:r w:rsidR="00711EC3">
        <w:t xml:space="preserve"> </w:t>
      </w:r>
      <w:r w:rsidR="00534F12">
        <w:t>would</w:t>
      </w:r>
      <w:r w:rsidR="00711EC3">
        <w:t xml:space="preserve"> be considered a consumer purchase</w:t>
      </w:r>
      <w:r w:rsidR="00481B0C">
        <w:t xml:space="preserve"> and the consumer guarantees would apply</w:t>
      </w:r>
      <w:r w:rsidR="00711EC3">
        <w:t xml:space="preserve">. Accordingly, </w:t>
      </w:r>
      <w:r w:rsidR="00C65EB5">
        <w:t>Business A</w:t>
      </w:r>
      <w:r>
        <w:t xml:space="preserve"> may have recourse to </w:t>
      </w:r>
      <w:r w:rsidR="00EB2982">
        <w:t xml:space="preserve">Business B </w:t>
      </w:r>
      <w:r w:rsidR="003601DD">
        <w:t>where</w:t>
      </w:r>
      <w:r>
        <w:t xml:space="preserve"> the chatbot</w:t>
      </w:r>
      <w:r w:rsidR="003601DD">
        <w:t xml:space="preserve"> service</w:t>
      </w:r>
      <w:r>
        <w:t xml:space="preserve"> </w:t>
      </w:r>
      <w:r w:rsidR="00CF3897">
        <w:t xml:space="preserve">it </w:t>
      </w:r>
      <w:r w:rsidR="00EB2982">
        <w:t xml:space="preserve">purchased </w:t>
      </w:r>
      <w:r>
        <w:t>misleads</w:t>
      </w:r>
      <w:r w:rsidR="00142654">
        <w:t xml:space="preserve"> or deceives </w:t>
      </w:r>
      <w:r w:rsidR="009F7BE9">
        <w:t>Business A’s customers</w:t>
      </w:r>
      <w:r w:rsidR="00692E33">
        <w:t>.</w:t>
      </w:r>
      <w:r>
        <w:t xml:space="preserve"> While </w:t>
      </w:r>
      <w:r w:rsidR="00692E33">
        <w:t>Business A</w:t>
      </w:r>
      <w:r>
        <w:t xml:space="preserve"> would be liable for the misleading conduct, it could obtain a remedy from </w:t>
      </w:r>
      <w:r w:rsidR="00692E33">
        <w:t>Business B</w:t>
      </w:r>
      <w:r>
        <w:t xml:space="preserve"> where the malfunction which caused that misleading conduct amounted to a breach of </w:t>
      </w:r>
      <w:r w:rsidR="003424BF">
        <w:t xml:space="preserve">the </w:t>
      </w:r>
      <w:r w:rsidR="003424BF" w:rsidRPr="00031661">
        <w:t xml:space="preserve">guarantee of </w:t>
      </w:r>
      <w:r w:rsidRPr="00031661">
        <w:t>fitness for purpose</w:t>
      </w:r>
      <w:r w:rsidR="00AB5C36">
        <w:t>.</w:t>
      </w:r>
      <w:r w:rsidR="0089458A">
        <w:t xml:space="preserve"> </w:t>
      </w:r>
    </w:p>
    <w:p w14:paraId="2217126D" w14:textId="5EB3E31A" w:rsidR="00E746E1" w:rsidRDefault="00EE3D94" w:rsidP="00ED7FEC">
      <w:r w:rsidRPr="00D13E2C">
        <w:t>To avoid</w:t>
      </w:r>
      <w:r w:rsidRPr="00D13E2C" w:rsidDel="000876D6">
        <w:t xml:space="preserve"> </w:t>
      </w:r>
      <w:r w:rsidRPr="00D13E2C">
        <w:t xml:space="preserve">harm </w:t>
      </w:r>
      <w:r w:rsidR="000876D6">
        <w:t xml:space="preserve">to consumers </w:t>
      </w:r>
      <w:r w:rsidRPr="00D13E2C">
        <w:t xml:space="preserve">arising from misleading or deceptive conduct, and associated penalties, </w:t>
      </w:r>
      <w:r w:rsidR="00F3484B">
        <w:t>all businesses</w:t>
      </w:r>
      <w:r w:rsidRPr="00D13E2C">
        <w:t xml:space="preserve"> should ensure that </w:t>
      </w:r>
      <w:r>
        <w:t xml:space="preserve">when using </w:t>
      </w:r>
      <w:r w:rsidRPr="00D13E2C">
        <w:t>AI technology the limitations of this technology are made clear to consumers.</w:t>
      </w:r>
      <w:r w:rsidR="00BE010D">
        <w:t xml:space="preserve"> </w:t>
      </w:r>
      <w:r w:rsidRPr="00031661">
        <w:t>Consumers can also benefit by considering</w:t>
      </w:r>
      <w:r w:rsidRPr="00D13E2C">
        <w:t xml:space="preserve"> whether representations made to them </w:t>
      </w:r>
      <w:r>
        <w:t xml:space="preserve">in trade and commerce </w:t>
      </w:r>
      <w:r w:rsidRPr="00D13E2C">
        <w:t>align with their goals and objectives and seek</w:t>
      </w:r>
      <w:r>
        <w:t>ing</w:t>
      </w:r>
      <w:r w:rsidRPr="00D13E2C">
        <w:t xml:space="preserve"> to understand the limits of technologies they engage with.</w:t>
      </w:r>
    </w:p>
    <w:p w14:paraId="2D23C56D" w14:textId="77777777" w:rsidR="00ED7FEC" w:rsidRPr="00D13E2C" w:rsidRDefault="00ED7FEC" w:rsidP="00ED7FEC">
      <w:pPr>
        <w:pStyle w:val="Heading2"/>
      </w:pPr>
      <w:bookmarkStart w:id="16" w:name="_Toc190091942"/>
      <w:bookmarkStart w:id="17" w:name="_Toc192160546"/>
      <w:r w:rsidRPr="00D13E2C">
        <w:t>Unfair contract terms</w:t>
      </w:r>
      <w:bookmarkEnd w:id="16"/>
      <w:bookmarkEnd w:id="17"/>
    </w:p>
    <w:p w14:paraId="5059B8CB" w14:textId="584F4FA9" w:rsidR="00AF0CDF" w:rsidRPr="00AF0CDF" w:rsidRDefault="00AF0CDF" w:rsidP="00AF0CDF">
      <w:bookmarkStart w:id="18" w:name="_Toc190091943"/>
      <w:r w:rsidRPr="00AF0CDF">
        <w:t>Under the ACL, a court may declare terms in standard form consumer and small business contracts unfair and impose substantial penalties.</w:t>
      </w:r>
      <w:r w:rsidRPr="00AF0CDF">
        <w:rPr>
          <w:sz w:val="18"/>
          <w:vertAlign w:val="superscript"/>
        </w:rPr>
        <w:footnoteReference w:id="37"/>
      </w:r>
      <w:r w:rsidRPr="00AF0CDF">
        <w:t xml:space="preserve"> A term of a </w:t>
      </w:r>
      <w:r w:rsidR="00A47A37" w:rsidRPr="00031661">
        <w:t>standard form</w:t>
      </w:r>
      <w:r w:rsidR="00A47A37">
        <w:t xml:space="preserve"> </w:t>
      </w:r>
      <w:r w:rsidRPr="00AF0CDF">
        <w:t>contract is unfair if it:</w:t>
      </w:r>
    </w:p>
    <w:p w14:paraId="1D13278E" w14:textId="148CC021" w:rsidR="00AF0CDF" w:rsidRPr="00AF0CDF" w:rsidRDefault="00AF0CDF" w:rsidP="00AF0CDF">
      <w:pPr>
        <w:numPr>
          <w:ilvl w:val="0"/>
          <w:numId w:val="24"/>
        </w:numPr>
        <w:tabs>
          <w:tab w:val="left" w:pos="720"/>
        </w:tabs>
        <w:spacing w:before="0" w:line="276" w:lineRule="auto"/>
      </w:pPr>
      <w:r w:rsidRPr="00AF0CDF">
        <w:t>causes a significant imbalance in the parties’ rights and obligations</w:t>
      </w:r>
      <w:r w:rsidR="004F27CE">
        <w:t>,</w:t>
      </w:r>
    </w:p>
    <w:p w14:paraId="02E123F8" w14:textId="3ABD0D75" w:rsidR="00AF0CDF" w:rsidRPr="00AF0CDF" w:rsidRDefault="00AF0CDF" w:rsidP="00AF0CDF">
      <w:pPr>
        <w:numPr>
          <w:ilvl w:val="0"/>
          <w:numId w:val="24"/>
        </w:numPr>
        <w:tabs>
          <w:tab w:val="left" w:pos="720"/>
        </w:tabs>
        <w:spacing w:before="0" w:line="276" w:lineRule="auto"/>
      </w:pPr>
      <w:r w:rsidRPr="00AF0CDF">
        <w:lastRenderedPageBreak/>
        <w:t xml:space="preserve">is not reasonably necessary to protect the legitimate interests of the </w:t>
      </w:r>
      <w:r w:rsidR="004E5D64" w:rsidRPr="00031661">
        <w:t>party who would be advantaged by the ter</w:t>
      </w:r>
      <w:r w:rsidR="00D75534" w:rsidRPr="00031661">
        <w:t>m</w:t>
      </w:r>
      <w:r w:rsidR="00225768" w:rsidRPr="00031661">
        <w:t>,</w:t>
      </w:r>
      <w:r w:rsidR="00225768">
        <w:t xml:space="preserve"> and</w:t>
      </w:r>
    </w:p>
    <w:p w14:paraId="122D891C" w14:textId="34B8A7A6" w:rsidR="00AF0CDF" w:rsidRPr="00AF0CDF" w:rsidRDefault="00AF0CDF" w:rsidP="00AF0CDF">
      <w:pPr>
        <w:numPr>
          <w:ilvl w:val="0"/>
          <w:numId w:val="24"/>
        </w:numPr>
        <w:tabs>
          <w:tab w:val="left" w:pos="720"/>
        </w:tabs>
        <w:spacing w:before="0" w:line="276" w:lineRule="auto"/>
      </w:pPr>
      <w:r w:rsidRPr="00AF0CDF">
        <w:t>would cause significant financial or non-financial detriment to a party</w:t>
      </w:r>
      <w:r w:rsidR="00EA7D23">
        <w:t xml:space="preserve"> </w:t>
      </w:r>
      <w:r w:rsidR="00EA7D23" w:rsidRPr="00031661">
        <w:t>if the term were enforced</w:t>
      </w:r>
      <w:r w:rsidRPr="00AF0CDF">
        <w:t>.</w:t>
      </w:r>
    </w:p>
    <w:p w14:paraId="77F1AA7F" w14:textId="46379162" w:rsidR="00AF0CDF" w:rsidRPr="00AF0CDF" w:rsidRDefault="00FE56A6" w:rsidP="00AF0CDF">
      <w:r>
        <w:t>AI’s intersection with t</w:t>
      </w:r>
      <w:r w:rsidR="00AF0CDF" w:rsidRPr="00AF0CDF">
        <w:t>he unfair contract terms (</w:t>
      </w:r>
      <w:r w:rsidR="004F27CE">
        <w:t>‘</w:t>
      </w:r>
      <w:r w:rsidR="00AF0CDF" w:rsidRPr="00AF0CDF">
        <w:t>UCT</w:t>
      </w:r>
      <w:r w:rsidR="004F27CE">
        <w:t>’</w:t>
      </w:r>
      <w:r w:rsidR="00AF0CDF" w:rsidRPr="00AF0CDF">
        <w:t xml:space="preserve">) framework was not a focus </w:t>
      </w:r>
      <w:r w:rsidR="003C6613">
        <w:t>for the majority of stakeholders</w:t>
      </w:r>
      <w:r w:rsidR="00AF0CDF" w:rsidRPr="00AF0CDF">
        <w:t>. However, stakeholders representing the arts sector raised concerns with the application of the UCT framework in a copyright context. In particular, these stakeholders considered that terms which grant rights to train AI models using creator’s content should be deemed unfair under the ACL.</w:t>
      </w:r>
    </w:p>
    <w:p w14:paraId="0D26CB3E" w14:textId="73E50AB7" w:rsidR="00AF0CDF" w:rsidRPr="00AF0CDF" w:rsidRDefault="00AF0CDF" w:rsidP="00AF0CDF">
      <w:r w:rsidRPr="00AF0CDF">
        <w:t>A strength of the UCT framework is that it is able to be applied to a broad range of standard form contracts covering all types of subject matter. The ACL itself does not deem provisions of standard form contracts to be unfair, but rather provides a flexible framework for courts to apply in resolving disputes in relation to contracts typically offered on a ‘take it or leave it’ basis. It is highly likely that a tailored reform aimed to address a specific contractual risk arising in certain types of contracts, such as those pertaining to the training of AI</w:t>
      </w:r>
      <w:r w:rsidR="005D0A0C">
        <w:t> </w:t>
      </w:r>
      <w:r w:rsidRPr="00AF0CDF">
        <w:t>models, would be inconsistent with the policy intent of the UCT framework. The UCT framework is separately scheduled to be reviewed in late 2025.</w:t>
      </w:r>
      <w:r w:rsidR="00245042">
        <w:rPr>
          <w:rStyle w:val="FootnoteReference"/>
        </w:rPr>
        <w:footnoteReference w:id="38"/>
      </w:r>
    </w:p>
    <w:p w14:paraId="2B6DB197" w14:textId="234D8B7E" w:rsidR="00AF0CDF" w:rsidRPr="00AF0CDF" w:rsidRDefault="007F575F" w:rsidP="00AF0CDF">
      <w:r w:rsidRPr="00031661">
        <w:t>While the upcoming review of the UCT framework could potentially consider the way its principles apply to standard form contract terms relating to copyright</w:t>
      </w:r>
      <w:r w:rsidR="00F846BA" w:rsidRPr="00031661">
        <w:t>,</w:t>
      </w:r>
      <w:r w:rsidRPr="00031661">
        <w:t xml:space="preserve"> among other things, the ACL is not the primary legislative framework through which the Australian Government is considering how copyright applies to AI</w:t>
      </w:r>
      <w:r w:rsidR="00AF0CDF" w:rsidRPr="00AF0CDF">
        <w:t>. In December 2023, the Government established the Copyright and Artificial Intelligence Reference Group (CAIRG). The purpose of the CAIRG is to better prepare for future copyright challenges emerging from AI</w:t>
      </w:r>
      <w:r w:rsidR="00791437">
        <w:t xml:space="preserve">. The CAIRG </w:t>
      </w:r>
      <w:r w:rsidR="00AF0CDF" w:rsidRPr="00AF0CDF">
        <w:t>has an initial focus on the use of copyright material as inputs for AI</w:t>
      </w:r>
      <w:r w:rsidR="005D0A0C">
        <w:t> </w:t>
      </w:r>
      <w:r w:rsidR="00AF0CDF" w:rsidRPr="00AF0CDF">
        <w:t>systems.</w:t>
      </w:r>
    </w:p>
    <w:p w14:paraId="21E47CBE" w14:textId="77777777" w:rsidR="00ED7FEC" w:rsidRPr="00D13E2C" w:rsidRDefault="00ED7FEC" w:rsidP="00ED7FEC">
      <w:pPr>
        <w:pStyle w:val="Heading2"/>
      </w:pPr>
      <w:bookmarkStart w:id="19" w:name="_Toc192160547"/>
      <w:r w:rsidRPr="00D13E2C">
        <w:t>Consumer guarantees</w:t>
      </w:r>
      <w:bookmarkEnd w:id="18"/>
      <w:bookmarkEnd w:id="19"/>
    </w:p>
    <w:p w14:paraId="1BF543EA" w14:textId="242E9DF5" w:rsidR="00B818E4" w:rsidRDefault="00ED7FEC" w:rsidP="00B818E4">
      <w:r w:rsidRPr="00D13E2C">
        <w:t xml:space="preserve">The ACL contains a basic set of guarantees for consumers who buy goods and services from manufacturers </w:t>
      </w:r>
      <w:r>
        <w:t xml:space="preserve">and suppliers </w:t>
      </w:r>
      <w:r w:rsidRPr="00D13E2C">
        <w:t>in Australia</w:t>
      </w:r>
      <w:r w:rsidR="00106D52">
        <w:t>.</w:t>
      </w:r>
      <w:r w:rsidR="000774FC" w:rsidRPr="00031661">
        <w:rPr>
          <w:rStyle w:val="FootnoteReference"/>
        </w:rPr>
        <w:footnoteReference w:id="39"/>
      </w:r>
      <w:r w:rsidRPr="00D13E2C">
        <w:t xml:space="preserve"> Different consumer guarantees apply to goods and services and, where a guarantee is not met, a consumer is entitled to a remedy.</w:t>
      </w:r>
      <w:r>
        <w:t xml:space="preserve"> The consumer guarantees for goods and services are summarised in </w:t>
      </w:r>
      <w:r w:rsidRPr="00DA4971">
        <w:t>Box</w:t>
      </w:r>
      <w:r>
        <w:t> 1.</w:t>
      </w:r>
    </w:p>
    <w:p w14:paraId="4AF7D6EE" w14:textId="77777777" w:rsidR="00356073" w:rsidRPr="00D13E2C" w:rsidRDefault="00356073" w:rsidP="00356073">
      <w:r w:rsidRPr="00D13E2C">
        <w:t xml:space="preserve">Most stakeholders advocated for retaining the existing suite of consumer guarantees under the ACL as they provide flexibility and are readily applicable to </w:t>
      </w:r>
      <w:r>
        <w:t>AI</w:t>
      </w:r>
      <w:r>
        <w:noBreakHyphen/>
        <w:t>enabled</w:t>
      </w:r>
      <w:r w:rsidRPr="00D13E2C">
        <w:t xml:space="preserve"> goods and services. However, some stakeholders advocated for software-specific consumer guarantees, such as guarantees in relation to the duration of software and security updates</w:t>
      </w:r>
      <w:r>
        <w:t>,</w:t>
      </w:r>
      <w:r w:rsidRPr="00D13E2C">
        <w:t xml:space="preserve"> and </w:t>
      </w:r>
      <w:r>
        <w:t xml:space="preserve">to the </w:t>
      </w:r>
      <w:r w:rsidRPr="00D13E2C">
        <w:t>interoperability</w:t>
      </w:r>
      <w:r>
        <w:t xml:space="preserve"> of software</w:t>
      </w:r>
      <w:r w:rsidRPr="00D13E2C">
        <w:t>. Consumer advocates in particular noted that consumers require access to software updates and other protections to ensure their products remain fit for purpose</w:t>
      </w:r>
      <w:r>
        <w:t>.</w:t>
      </w:r>
    </w:p>
    <w:p w14:paraId="20FD3EEE" w14:textId="77777777" w:rsidR="00356073" w:rsidRPr="00D13E2C" w:rsidRDefault="00356073" w:rsidP="00356073">
      <w:r w:rsidRPr="00D13E2C">
        <w:t xml:space="preserve">Throughout the public consultation process, the Review observed a close connection between (i) the </w:t>
      </w:r>
      <w:r>
        <w:t xml:space="preserve">perceived </w:t>
      </w:r>
      <w:r w:rsidRPr="00D13E2C">
        <w:t xml:space="preserve">sufficiency of existing consumer </w:t>
      </w:r>
      <w:r>
        <w:t>guarantees</w:t>
      </w:r>
      <w:r w:rsidRPr="00D13E2C">
        <w:t xml:space="preserve"> and (ii) uncertainty over how the existing </w:t>
      </w:r>
      <w:r>
        <w:t xml:space="preserve">ACL </w:t>
      </w:r>
      <w:r w:rsidRPr="00D13E2C">
        <w:t xml:space="preserve">protections are likely to apply to </w:t>
      </w:r>
      <w:r>
        <w:t>AI</w:t>
      </w:r>
      <w:r>
        <w:noBreakHyphen/>
        <w:t>enabled</w:t>
      </w:r>
      <w:r w:rsidRPr="00D13E2C">
        <w:t xml:space="preserve"> business offerings, including due to definitional uncertainty in relation to the distinction between ‘goods’ and ‘services’. This uncertainty is examined further in </w:t>
      </w:r>
      <w:r w:rsidRPr="00D13E2C">
        <w:rPr>
          <w:b/>
        </w:rPr>
        <w:t>Chapter</w:t>
      </w:r>
      <w:r>
        <w:rPr>
          <w:b/>
        </w:rPr>
        <w:t> </w:t>
      </w:r>
      <w:r w:rsidRPr="00D13E2C">
        <w:rPr>
          <w:b/>
        </w:rPr>
        <w:t>3</w:t>
      </w:r>
      <w:r w:rsidRPr="00D13E2C">
        <w:t>.</w:t>
      </w:r>
    </w:p>
    <w:p w14:paraId="0E276667" w14:textId="7765CE6E" w:rsidR="00356073" w:rsidRDefault="00356073" w:rsidP="00B818E4">
      <w:r>
        <w:lastRenderedPageBreak/>
        <w:t xml:space="preserve">The consumer guarantees under the ACL apply to computer software. </w:t>
      </w:r>
      <w:r w:rsidRPr="00D13E2C">
        <w:t>While AI is</w:t>
      </w:r>
      <w:r>
        <w:t xml:space="preserve"> likely to be considered</w:t>
      </w:r>
      <w:r w:rsidRPr="00D13E2C">
        <w:t xml:space="preserve"> a </w:t>
      </w:r>
      <w:r w:rsidRPr="00D13E2C">
        <w:rPr>
          <w:i/>
          <w:iCs/>
        </w:rPr>
        <w:t>type</w:t>
      </w:r>
      <w:r w:rsidRPr="00D13E2C">
        <w:t xml:space="preserve"> of software</w:t>
      </w:r>
      <w:r>
        <w:t xml:space="preserve"> under the ACL</w:t>
      </w:r>
      <w:r w:rsidRPr="00D13E2C">
        <w:t xml:space="preserve">, detailed consideration of possible additional consumer guarantees which could apply to </w:t>
      </w:r>
      <w:r w:rsidRPr="00D13E2C">
        <w:rPr>
          <w:i/>
          <w:iCs/>
        </w:rPr>
        <w:t>all</w:t>
      </w:r>
      <w:r w:rsidRPr="00D13E2C">
        <w:t xml:space="preserve"> software is beyond the scope of this Review. However, the Australian Government is progressing work across other legislative frameworks which will benefit consumers engaging with software</w:t>
      </w:r>
      <w:r>
        <w:t>-enabled goods and services</w:t>
      </w:r>
      <w:r w:rsidRPr="00D13E2C">
        <w:t xml:space="preserve">, including </w:t>
      </w:r>
      <w:r>
        <w:t>AI</w:t>
      </w:r>
      <w:r>
        <w:noBreakHyphen/>
        <w:t>enabled</w:t>
      </w:r>
      <w:r w:rsidRPr="00D13E2C">
        <w:t xml:space="preserve"> goods and services</w:t>
      </w:r>
      <w:r>
        <w:t>.</w:t>
      </w:r>
      <w:r w:rsidR="00941FB8">
        <w:t xml:space="preserve"> This includes work in relation to </w:t>
      </w:r>
      <w:r w:rsidR="00003253">
        <w:t xml:space="preserve">unfair trading practices </w:t>
      </w:r>
      <w:r w:rsidR="00732D92">
        <w:t xml:space="preserve">and </w:t>
      </w:r>
      <w:r w:rsidR="002E3FAE">
        <w:t>online safety.</w:t>
      </w:r>
      <w:r w:rsidR="00765407">
        <w:rPr>
          <w:rStyle w:val="FootnoteReference"/>
        </w:rPr>
        <w:footnoteReference w:id="40"/>
      </w:r>
    </w:p>
    <w:tbl>
      <w:tblPr>
        <w:tblpPr w:leftFromText="180" w:rightFromText="180" w:vertAnchor="text" w:horzAnchor="margin" w:tblpY="27"/>
        <w:tblW w:w="5000" w:type="pct"/>
        <w:shd w:val="clear" w:color="auto" w:fill="F2F9FC"/>
        <w:tblCellMar>
          <w:top w:w="227" w:type="dxa"/>
          <w:left w:w="227" w:type="dxa"/>
          <w:bottom w:w="227" w:type="dxa"/>
          <w:right w:w="227" w:type="dxa"/>
        </w:tblCellMar>
        <w:tblLook w:val="0600" w:firstRow="0" w:lastRow="0" w:firstColumn="0" w:lastColumn="0" w:noHBand="1" w:noVBand="1"/>
      </w:tblPr>
      <w:tblGrid>
        <w:gridCol w:w="9072"/>
      </w:tblGrid>
      <w:tr w:rsidR="00116E0F" w14:paraId="4BF69FDF" w14:textId="77777777" w:rsidTr="00D1010F">
        <w:tc>
          <w:tcPr>
            <w:tcW w:w="5000" w:type="pct"/>
            <w:shd w:val="clear" w:color="auto" w:fill="F2F9FC"/>
            <w:hideMark/>
          </w:tcPr>
          <w:p w14:paraId="6A464150" w14:textId="77777777" w:rsidR="00116E0F" w:rsidRDefault="00116E0F" w:rsidP="00116E0F">
            <w:pPr>
              <w:pStyle w:val="BoxHeading"/>
              <w:rPr>
                <w:sz w:val="28"/>
                <w:szCs w:val="28"/>
                <w:lang w:eastAsia="en-US"/>
              </w:rPr>
            </w:pPr>
            <w:r>
              <w:rPr>
                <w:noProof/>
              </w:rPr>
              <w:drawing>
                <wp:anchor distT="0" distB="0" distL="114300" distR="114300" simplePos="0" relativeHeight="251658240" behindDoc="0" locked="0" layoutInCell="1" allowOverlap="1" wp14:anchorId="4F600CA5" wp14:editId="56FE1C68">
                  <wp:simplePos x="0" y="0"/>
                  <wp:positionH relativeFrom="column">
                    <wp:posOffset>37061</wp:posOffset>
                  </wp:positionH>
                  <wp:positionV relativeFrom="paragraph">
                    <wp:posOffset>425623</wp:posOffset>
                  </wp:positionV>
                  <wp:extent cx="359979" cy="360000"/>
                  <wp:effectExtent l="0" t="0" r="0" b="2540"/>
                  <wp:wrapNone/>
                  <wp:docPr id="219754873" name="Graphic 219754873" descr="Shopping bag with solid fill">
                    <a:extLst xmlns:a="http://schemas.openxmlformats.org/drawingml/2006/main">
                      <a:ext uri="{FF2B5EF4-FFF2-40B4-BE49-F238E27FC236}">
                        <a16:creationId xmlns:a16="http://schemas.microsoft.com/office/drawing/2014/main" id="{2E5CB232-6A19-F2A1-5BA0-FCB8E5500E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782620" name="Graphic 13" descr="Shopping bag with solid fill">
                            <a:extLst>
                              <a:ext uri="{FF2B5EF4-FFF2-40B4-BE49-F238E27FC236}">
                                <a16:creationId xmlns:a16="http://schemas.microsoft.com/office/drawing/2014/main" id="{2E5CB232-6A19-F2A1-5BA0-FCB8E5500EFC}"/>
                              </a:ext>
                            </a:extLst>
                          </pic:cNvPr>
                          <pic:cNvPicPr>
                            <a:picLocks noChangeAspect="1"/>
                          </pic:cNvPicPr>
                        </pic:nvPicPr>
                        <pic:blipFill>
                          <a:blip r:embed="rId26">
                            <a:extLst>
                              <a:ext uri="{96DAC541-7B7A-43D3-8B79-37D633B846F1}">
                                <asvg:svgBlip xmlns:asvg="http://schemas.microsoft.com/office/drawing/2016/SVG/main" r:embed="rId27"/>
                              </a:ext>
                            </a:extLst>
                          </a:blip>
                          <a:srcRect/>
                          <a:stretch/>
                        </pic:blipFill>
                        <pic:spPr>
                          <a:xfrm>
                            <a:off x="0" y="0"/>
                            <a:ext cx="359979" cy="360000"/>
                          </a:xfrm>
                          <a:prstGeom prst="rect">
                            <a:avLst/>
                          </a:prstGeom>
                        </pic:spPr>
                      </pic:pic>
                    </a:graphicData>
                  </a:graphic>
                  <wp14:sizeRelH relativeFrom="margin">
                    <wp14:pctWidth>0</wp14:pctWidth>
                  </wp14:sizeRelH>
                  <wp14:sizeRelV relativeFrom="margin">
                    <wp14:pctHeight>0</wp14:pctHeight>
                  </wp14:sizeRelV>
                </wp:anchor>
              </w:drawing>
            </w:r>
            <w:r>
              <w:rPr>
                <w:sz w:val="28"/>
                <w:szCs w:val="28"/>
                <w:lang w:eastAsia="en-US"/>
              </w:rPr>
              <w:t>Box 1: Overview of consumer guarantees</w:t>
            </w:r>
            <w:r>
              <w:rPr>
                <w:rStyle w:val="FootnoteReference"/>
                <w:szCs w:val="28"/>
                <w:lang w:eastAsia="en-US"/>
              </w:rPr>
              <w:footnoteReference w:id="41"/>
            </w:r>
          </w:p>
          <w:p w14:paraId="24448656" w14:textId="77777777" w:rsidR="00116E0F" w:rsidRPr="008B3FD4" w:rsidRDefault="00116E0F" w:rsidP="00116E0F">
            <w:pPr>
              <w:pStyle w:val="BoxHeading"/>
              <w:rPr>
                <w:sz w:val="24"/>
                <w:szCs w:val="24"/>
                <w:lang w:eastAsia="en-US"/>
              </w:rPr>
            </w:pPr>
            <w:r>
              <w:rPr>
                <w:sz w:val="24"/>
                <w:szCs w:val="24"/>
                <w:lang w:eastAsia="en-US"/>
              </w:rPr>
              <w:tab/>
            </w:r>
            <w:r w:rsidRPr="008B3FD4">
              <w:rPr>
                <w:sz w:val="24"/>
                <w:szCs w:val="24"/>
                <w:lang w:eastAsia="en-US"/>
              </w:rPr>
              <w:t>Goods</w:t>
            </w:r>
          </w:p>
          <w:p w14:paraId="73E256C6" w14:textId="77777777" w:rsidR="00116E0F" w:rsidRDefault="00116E0F" w:rsidP="00116E0F">
            <w:pPr>
              <w:pStyle w:val="BoxText"/>
              <w:spacing w:after="60"/>
              <w:contextualSpacing/>
              <w:rPr>
                <w:lang w:eastAsia="en-US"/>
              </w:rPr>
            </w:pPr>
            <w:r>
              <w:rPr>
                <w:lang w:eastAsia="en-US"/>
              </w:rPr>
              <w:t>The consumer guarantees require that goods:</w:t>
            </w:r>
          </w:p>
          <w:p w14:paraId="4D27D959" w14:textId="77777777" w:rsidR="00116E0F" w:rsidRPr="00CB00CC" w:rsidRDefault="00116E0F" w:rsidP="00116E0F">
            <w:pPr>
              <w:pStyle w:val="ListParagraph"/>
              <w:numPr>
                <w:ilvl w:val="0"/>
                <w:numId w:val="27"/>
              </w:numPr>
              <w:spacing w:before="0" w:after="0"/>
              <w:ind w:left="357" w:hanging="357"/>
              <w:rPr>
                <w:rFonts w:cs="Calibri Light"/>
                <w:color w:val="000000" w:themeColor="text1"/>
                <w:kern w:val="24"/>
                <w:szCs w:val="22"/>
              </w:rPr>
            </w:pPr>
            <w:r w:rsidRPr="00CB00CC">
              <w:rPr>
                <w:rFonts w:cs="Calibri Light"/>
                <w:color w:val="000000" w:themeColor="text1"/>
                <w:kern w:val="24"/>
                <w:szCs w:val="22"/>
              </w:rPr>
              <w:t xml:space="preserve">are of </w:t>
            </w:r>
            <w:r w:rsidRPr="00CB00CC">
              <w:rPr>
                <w:rFonts w:cs="Calibri Light"/>
                <w:b/>
                <w:color w:val="000000" w:themeColor="text1"/>
                <w:kern w:val="24"/>
                <w:szCs w:val="22"/>
              </w:rPr>
              <w:t>acceptable quality</w:t>
            </w:r>
            <w:r w:rsidRPr="00CB00CC">
              <w:rPr>
                <w:rFonts w:cs="Calibri Light"/>
                <w:color w:val="000000" w:themeColor="text1"/>
                <w:kern w:val="24"/>
                <w:szCs w:val="22"/>
              </w:rPr>
              <w:t xml:space="preserve">, which includes that they are safe and free from defects, have an acceptable appearance and finish, and do everything that </w:t>
            </w:r>
            <w:r w:rsidRPr="000074BD">
              <w:rPr>
                <w:rFonts w:cs="Calibri Light"/>
                <w:color w:val="000000" w:themeColor="text1"/>
                <w:kern w:val="24"/>
                <w:szCs w:val="22"/>
              </w:rPr>
              <w:t>they</w:t>
            </w:r>
            <w:r w:rsidRPr="00CB00CC">
              <w:rPr>
                <w:rFonts w:cs="Calibri Light"/>
                <w:color w:val="000000" w:themeColor="text1"/>
                <w:kern w:val="24"/>
                <w:szCs w:val="22"/>
              </w:rPr>
              <w:t xml:space="preserve"> are commonly used for</w:t>
            </w:r>
          </w:p>
          <w:p w14:paraId="0CCA0912" w14:textId="77777777" w:rsidR="00116E0F" w:rsidRPr="00CB00CC" w:rsidRDefault="00116E0F" w:rsidP="00116E0F">
            <w:pPr>
              <w:pStyle w:val="ListParagraph"/>
              <w:numPr>
                <w:ilvl w:val="0"/>
                <w:numId w:val="27"/>
              </w:numPr>
              <w:spacing w:before="0" w:after="0"/>
              <w:ind w:left="357" w:hanging="357"/>
              <w:rPr>
                <w:rFonts w:cs="Calibri Light"/>
                <w:color w:val="000000" w:themeColor="text1"/>
                <w:kern w:val="24"/>
                <w:szCs w:val="22"/>
              </w:rPr>
            </w:pPr>
            <w:r w:rsidRPr="00CB00CC">
              <w:rPr>
                <w:rFonts w:cs="Calibri Light"/>
                <w:color w:val="000000" w:themeColor="text1"/>
                <w:kern w:val="24"/>
                <w:szCs w:val="22"/>
              </w:rPr>
              <w:t xml:space="preserve">are </w:t>
            </w:r>
            <w:r w:rsidRPr="00CB00CC">
              <w:rPr>
                <w:rFonts w:cs="Calibri Light"/>
                <w:b/>
                <w:color w:val="000000" w:themeColor="text1"/>
                <w:kern w:val="24"/>
                <w:szCs w:val="22"/>
              </w:rPr>
              <w:t>fit for purpose</w:t>
            </w:r>
            <w:r w:rsidRPr="00CB00CC">
              <w:rPr>
                <w:rFonts w:cs="Calibri Light"/>
                <w:color w:val="000000" w:themeColor="text1"/>
                <w:kern w:val="24"/>
                <w:szCs w:val="22"/>
              </w:rPr>
              <w:t xml:space="preserve">, </w:t>
            </w:r>
            <w:r w:rsidRPr="000074BD">
              <w:rPr>
                <w:rFonts w:cs="Calibri Light"/>
                <w:color w:val="000000" w:themeColor="text1"/>
                <w:kern w:val="24"/>
                <w:szCs w:val="22"/>
              </w:rPr>
              <w:t>including</w:t>
            </w:r>
            <w:r>
              <w:rPr>
                <w:rFonts w:cs="Calibri Light"/>
                <w:color w:val="000000" w:themeColor="text1"/>
                <w:kern w:val="24"/>
                <w:szCs w:val="22"/>
              </w:rPr>
              <w:t xml:space="preserve"> </w:t>
            </w:r>
            <w:r w:rsidRPr="00CB00CC">
              <w:rPr>
                <w:rFonts w:cs="Calibri Light"/>
                <w:color w:val="000000" w:themeColor="text1"/>
                <w:kern w:val="24"/>
                <w:szCs w:val="22"/>
              </w:rPr>
              <w:t>for any purpose that the consumer told a business before purchasing, or that the business told the consumer it would be fit for</w:t>
            </w:r>
          </w:p>
          <w:p w14:paraId="3DCAB3EF" w14:textId="77777777" w:rsidR="00116E0F" w:rsidRPr="00CB00CC" w:rsidRDefault="00116E0F" w:rsidP="00116E0F">
            <w:pPr>
              <w:pStyle w:val="ListParagraph"/>
              <w:numPr>
                <w:ilvl w:val="0"/>
                <w:numId w:val="27"/>
              </w:numPr>
              <w:spacing w:before="0" w:after="0"/>
              <w:ind w:left="357" w:hanging="357"/>
              <w:rPr>
                <w:rFonts w:cs="Calibri Light"/>
                <w:b/>
                <w:color w:val="000000" w:themeColor="text1"/>
                <w:kern w:val="24"/>
                <w:szCs w:val="22"/>
              </w:rPr>
            </w:pPr>
            <w:r w:rsidRPr="00CB00CC">
              <w:rPr>
                <w:rFonts w:cs="Calibri Light"/>
                <w:b/>
                <w:color w:val="000000" w:themeColor="text1"/>
                <w:kern w:val="24"/>
                <w:szCs w:val="22"/>
              </w:rPr>
              <w:t xml:space="preserve">match any descriptions </w:t>
            </w:r>
            <w:r w:rsidRPr="00CB00CC">
              <w:rPr>
                <w:rFonts w:cs="Calibri Light"/>
                <w:bCs/>
                <w:color w:val="000000" w:themeColor="text1"/>
                <w:kern w:val="24"/>
                <w:szCs w:val="22"/>
              </w:rPr>
              <w:t>made by the business</w:t>
            </w:r>
          </w:p>
          <w:p w14:paraId="24659ABD" w14:textId="77777777" w:rsidR="00116E0F" w:rsidRPr="00CB00CC" w:rsidRDefault="00116E0F" w:rsidP="00116E0F">
            <w:pPr>
              <w:pStyle w:val="ListParagraph"/>
              <w:numPr>
                <w:ilvl w:val="0"/>
                <w:numId w:val="27"/>
              </w:numPr>
              <w:spacing w:before="0" w:after="0"/>
              <w:ind w:left="357" w:hanging="357"/>
              <w:rPr>
                <w:rFonts w:cs="Calibri Light"/>
                <w:b/>
                <w:color w:val="000000" w:themeColor="text1"/>
                <w:kern w:val="24"/>
                <w:szCs w:val="22"/>
              </w:rPr>
            </w:pPr>
            <w:r w:rsidRPr="00CB00CC">
              <w:rPr>
                <w:rFonts w:cs="Calibri Light"/>
                <w:b/>
                <w:color w:val="000000" w:themeColor="text1"/>
                <w:kern w:val="24"/>
                <w:szCs w:val="22"/>
              </w:rPr>
              <w:t xml:space="preserve">match any demonstration model or sample </w:t>
            </w:r>
            <w:r w:rsidRPr="00CB00CC">
              <w:rPr>
                <w:rFonts w:cs="Calibri Light"/>
                <w:bCs/>
                <w:color w:val="000000" w:themeColor="text1"/>
                <w:kern w:val="24"/>
                <w:szCs w:val="22"/>
              </w:rPr>
              <w:t>on which the consumer made their decision</w:t>
            </w:r>
          </w:p>
          <w:p w14:paraId="68EE0000" w14:textId="77777777" w:rsidR="00116E0F" w:rsidRPr="00CB00CC" w:rsidRDefault="00116E0F" w:rsidP="00116E0F">
            <w:pPr>
              <w:pStyle w:val="ListParagraph"/>
              <w:numPr>
                <w:ilvl w:val="0"/>
                <w:numId w:val="27"/>
              </w:numPr>
              <w:spacing w:before="0" w:after="0"/>
              <w:ind w:left="357" w:hanging="357"/>
              <w:rPr>
                <w:rFonts w:cs="Calibri Light"/>
                <w:b/>
                <w:color w:val="000000" w:themeColor="text1"/>
                <w:kern w:val="24"/>
                <w:szCs w:val="22"/>
              </w:rPr>
            </w:pPr>
            <w:r w:rsidRPr="00CB00CC">
              <w:rPr>
                <w:rFonts w:cs="Calibri Light"/>
                <w:b/>
                <w:color w:val="000000" w:themeColor="text1"/>
                <w:kern w:val="24"/>
                <w:szCs w:val="22"/>
              </w:rPr>
              <w:t xml:space="preserve">meet any extra promises </w:t>
            </w:r>
            <w:r w:rsidRPr="00CB00CC">
              <w:rPr>
                <w:rFonts w:cs="Calibri Light"/>
                <w:bCs/>
                <w:color w:val="000000" w:themeColor="text1"/>
                <w:kern w:val="24"/>
                <w:szCs w:val="22"/>
              </w:rPr>
              <w:t>made by the business about performance, condition and quality</w:t>
            </w:r>
          </w:p>
          <w:p w14:paraId="0D82FAD0" w14:textId="77777777" w:rsidR="00116E0F" w:rsidRPr="00CB00CC" w:rsidRDefault="00116E0F" w:rsidP="00116E0F">
            <w:pPr>
              <w:pStyle w:val="ListParagraph"/>
              <w:numPr>
                <w:ilvl w:val="0"/>
                <w:numId w:val="27"/>
              </w:numPr>
              <w:spacing w:before="0" w:after="0"/>
              <w:ind w:left="357" w:hanging="357"/>
              <w:rPr>
                <w:rFonts w:cs="Calibri Light"/>
                <w:b/>
                <w:color w:val="000000" w:themeColor="text1"/>
                <w:kern w:val="24"/>
                <w:szCs w:val="22"/>
              </w:rPr>
            </w:pPr>
            <w:r w:rsidRPr="00CB00CC">
              <w:rPr>
                <w:rFonts w:cs="Calibri Light"/>
                <w:b/>
                <w:color w:val="000000" w:themeColor="text1"/>
                <w:kern w:val="24"/>
                <w:szCs w:val="22"/>
              </w:rPr>
              <w:t xml:space="preserve">come with full title </w:t>
            </w:r>
            <w:r w:rsidRPr="00CB00CC">
              <w:rPr>
                <w:rFonts w:cs="Calibri Light"/>
                <w:bCs/>
                <w:color w:val="000000" w:themeColor="text1"/>
                <w:kern w:val="24"/>
                <w:szCs w:val="22"/>
              </w:rPr>
              <w:t>and ownership of the goods</w:t>
            </w:r>
          </w:p>
          <w:p w14:paraId="74DCA5DF" w14:textId="77777777" w:rsidR="00116E0F" w:rsidRPr="00CB00CC" w:rsidRDefault="00116E0F" w:rsidP="00116E0F">
            <w:pPr>
              <w:pStyle w:val="ListParagraph"/>
              <w:numPr>
                <w:ilvl w:val="0"/>
                <w:numId w:val="27"/>
              </w:numPr>
              <w:spacing w:before="0" w:after="0"/>
              <w:ind w:left="357" w:hanging="357"/>
              <w:rPr>
                <w:rFonts w:cs="Calibri Light"/>
                <w:b/>
                <w:color w:val="000000" w:themeColor="text1"/>
                <w:kern w:val="24"/>
                <w:szCs w:val="22"/>
              </w:rPr>
            </w:pPr>
            <w:r w:rsidRPr="00CB00CC">
              <w:rPr>
                <w:rFonts w:cs="Calibri Light"/>
                <w:b/>
                <w:color w:val="000000" w:themeColor="text1"/>
                <w:kern w:val="24"/>
                <w:szCs w:val="22"/>
              </w:rPr>
              <w:t xml:space="preserve">come with undisturbed possession, </w:t>
            </w:r>
            <w:r w:rsidRPr="00CB00CC">
              <w:rPr>
                <w:rFonts w:cs="Calibri Light"/>
                <w:bCs/>
                <w:color w:val="000000" w:themeColor="text1"/>
                <w:kern w:val="24"/>
                <w:szCs w:val="22"/>
              </w:rPr>
              <w:t>so no one has a right to take the goods away</w:t>
            </w:r>
          </w:p>
          <w:p w14:paraId="4FD45193" w14:textId="77777777" w:rsidR="00116E0F" w:rsidRPr="00CB00CC" w:rsidRDefault="00116E0F" w:rsidP="00116E0F">
            <w:pPr>
              <w:pStyle w:val="ListParagraph"/>
              <w:numPr>
                <w:ilvl w:val="0"/>
                <w:numId w:val="27"/>
              </w:numPr>
              <w:spacing w:before="0" w:after="0"/>
              <w:ind w:left="357" w:hanging="357"/>
              <w:rPr>
                <w:rFonts w:cs="Calibri Light"/>
                <w:b/>
                <w:color w:val="000000" w:themeColor="text1"/>
                <w:kern w:val="24"/>
                <w:szCs w:val="22"/>
              </w:rPr>
            </w:pPr>
            <w:r w:rsidRPr="00CB00CC">
              <w:rPr>
                <w:rFonts w:cs="Calibri Light"/>
                <w:b/>
                <w:color w:val="000000" w:themeColor="text1"/>
                <w:kern w:val="24"/>
                <w:szCs w:val="22"/>
              </w:rPr>
              <w:t xml:space="preserve">not carry any hidden debts </w:t>
            </w:r>
            <w:r w:rsidRPr="00CB00CC">
              <w:rPr>
                <w:rFonts w:cs="Calibri Light"/>
                <w:bCs/>
                <w:color w:val="000000" w:themeColor="text1"/>
                <w:kern w:val="24"/>
                <w:szCs w:val="22"/>
              </w:rPr>
              <w:t>or extra charges</w:t>
            </w:r>
          </w:p>
          <w:p w14:paraId="1F4A4E18" w14:textId="77777777" w:rsidR="00116E0F" w:rsidRPr="00CB00CC" w:rsidRDefault="00116E0F" w:rsidP="00116E0F">
            <w:pPr>
              <w:pStyle w:val="ListParagraph"/>
              <w:numPr>
                <w:ilvl w:val="0"/>
                <w:numId w:val="27"/>
              </w:numPr>
              <w:spacing w:before="0" w:after="0"/>
              <w:ind w:left="357" w:hanging="357"/>
              <w:rPr>
                <w:rFonts w:cs="Calibri Light"/>
                <w:b/>
                <w:kern w:val="24"/>
                <w:szCs w:val="22"/>
              </w:rPr>
            </w:pPr>
            <w:r w:rsidRPr="00CB00CC">
              <w:rPr>
                <w:rFonts w:cs="Calibri Light"/>
                <w:b/>
                <w:color w:val="000000" w:themeColor="text1"/>
                <w:kern w:val="24"/>
                <w:szCs w:val="22"/>
              </w:rPr>
              <w:t xml:space="preserve">have spare parts and repair facilities available </w:t>
            </w:r>
            <w:r w:rsidRPr="00CB00CC">
              <w:rPr>
                <w:rFonts w:cs="Calibri Light"/>
                <w:color w:val="000000" w:themeColor="text1"/>
                <w:kern w:val="24"/>
                <w:szCs w:val="22"/>
              </w:rPr>
              <w:t>for a reasonable time after purchase (unless the consumer is told otherwise prior to purchase).</w:t>
            </w:r>
          </w:p>
          <w:p w14:paraId="00A2B275" w14:textId="77777777" w:rsidR="00116E0F" w:rsidRDefault="00116E0F" w:rsidP="00116E0F">
            <w:pPr>
              <w:spacing w:before="0" w:after="0"/>
              <w:rPr>
                <w:rFonts w:asciiTheme="minorHAnsi" w:hAnsi="Calibri" w:cstheme="minorBidi"/>
                <w:b/>
                <w:kern w:val="24"/>
                <w:szCs w:val="22"/>
              </w:rPr>
            </w:pPr>
          </w:p>
          <w:p w14:paraId="7CA4EDC5" w14:textId="77777777" w:rsidR="00116E0F" w:rsidRDefault="00116E0F" w:rsidP="00116E0F">
            <w:pPr>
              <w:rPr>
                <w:rFonts w:asciiTheme="minorHAnsi" w:hAnsi="Calibri" w:cstheme="minorBidi"/>
                <w:color w:val="000000" w:themeColor="text1"/>
                <w:kern w:val="24"/>
                <w:szCs w:val="22"/>
              </w:rPr>
            </w:pPr>
            <w:r>
              <w:rPr>
                <w:noProof/>
              </w:rPr>
              <w:drawing>
                <wp:anchor distT="0" distB="0" distL="114300" distR="114300" simplePos="0" relativeHeight="251659264" behindDoc="0" locked="0" layoutInCell="1" allowOverlap="1" wp14:anchorId="3D47220A" wp14:editId="6D94B551">
                  <wp:simplePos x="0" y="0"/>
                  <wp:positionH relativeFrom="column">
                    <wp:posOffset>-174</wp:posOffset>
                  </wp:positionH>
                  <wp:positionV relativeFrom="paragraph">
                    <wp:posOffset>17145</wp:posOffset>
                  </wp:positionV>
                  <wp:extent cx="359979" cy="360000"/>
                  <wp:effectExtent l="0" t="0" r="2540" b="0"/>
                  <wp:wrapNone/>
                  <wp:docPr id="1036260331" name="Graphic 1036260331" descr="Handshake with solid fill">
                    <a:extLst xmlns:a="http://schemas.openxmlformats.org/drawingml/2006/main">
                      <a:ext uri="{FF2B5EF4-FFF2-40B4-BE49-F238E27FC236}">
                        <a16:creationId xmlns:a16="http://schemas.microsoft.com/office/drawing/2014/main" id="{B3F85B03-F0F5-B238-2A2B-1078DA0A96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030821" name="Graphic 11" descr="Handshake with solid fill">
                            <a:extLst>
                              <a:ext uri="{FF2B5EF4-FFF2-40B4-BE49-F238E27FC236}">
                                <a16:creationId xmlns:a16="http://schemas.microsoft.com/office/drawing/2014/main" id="{B3F85B03-F0F5-B238-2A2B-1078DA0A96FE}"/>
                              </a:ext>
                            </a:extLst>
                          </pic:cNvPr>
                          <pic:cNvPicPr>
                            <a:picLocks noChangeAspect="1"/>
                          </pic:cNvPicPr>
                        </pic:nvPicPr>
                        <pic:blipFill>
                          <a:blip r:embed="rId28">
                            <a:extLst>
                              <a:ext uri="{96DAC541-7B7A-43D3-8B79-37D633B846F1}">
                                <asvg:svgBlip xmlns:asvg="http://schemas.microsoft.com/office/drawing/2016/SVG/main" r:embed="rId29"/>
                              </a:ext>
                            </a:extLst>
                          </a:blip>
                          <a:srcRect/>
                          <a:stretch/>
                        </pic:blipFill>
                        <pic:spPr>
                          <a:xfrm>
                            <a:off x="0" y="0"/>
                            <a:ext cx="359979" cy="360000"/>
                          </a:xfrm>
                          <a:prstGeom prst="rect">
                            <a:avLst/>
                          </a:prstGeom>
                        </pic:spPr>
                      </pic:pic>
                    </a:graphicData>
                  </a:graphic>
                  <wp14:sizeRelH relativeFrom="margin">
                    <wp14:pctWidth>0</wp14:pctWidth>
                  </wp14:sizeRelH>
                  <wp14:sizeRelV relativeFrom="margin">
                    <wp14:pctHeight>0</wp14:pctHeight>
                  </wp14:sizeRelV>
                </wp:anchor>
              </w:drawing>
            </w:r>
            <w:r>
              <w:rPr>
                <w:b/>
                <w:color w:val="2C384A" w:themeColor="accent1"/>
                <w:sz w:val="24"/>
                <w:szCs w:val="24"/>
                <w:lang w:eastAsia="en-US"/>
              </w:rPr>
              <w:tab/>
            </w:r>
            <w:r w:rsidRPr="008B3FD4">
              <w:rPr>
                <w:b/>
                <w:color w:val="2C384A" w:themeColor="accent1"/>
                <w:sz w:val="24"/>
                <w:szCs w:val="24"/>
                <w:lang w:eastAsia="en-US"/>
              </w:rPr>
              <w:t>Services</w:t>
            </w:r>
          </w:p>
          <w:p w14:paraId="5E429268" w14:textId="77777777" w:rsidR="00116E0F" w:rsidRPr="00CB00CC" w:rsidRDefault="00116E0F" w:rsidP="00116E0F">
            <w:pPr>
              <w:spacing w:after="60"/>
              <w:contextualSpacing/>
              <w:rPr>
                <w:rFonts w:cs="Calibri Light"/>
                <w:color w:val="000000" w:themeColor="text1"/>
                <w:kern w:val="24"/>
                <w:szCs w:val="22"/>
              </w:rPr>
            </w:pPr>
            <w:r w:rsidRPr="00CB00CC">
              <w:rPr>
                <w:rFonts w:cs="Calibri Light"/>
                <w:color w:val="000000" w:themeColor="text1"/>
                <w:kern w:val="24"/>
                <w:szCs w:val="22"/>
              </w:rPr>
              <w:t>For services, the consumer guarantees require the service:</w:t>
            </w:r>
          </w:p>
          <w:p w14:paraId="3AF77E1E" w14:textId="77777777" w:rsidR="00116E0F" w:rsidRPr="00CB00CC" w:rsidRDefault="00116E0F" w:rsidP="00116E0F">
            <w:pPr>
              <w:pStyle w:val="ListParagraph"/>
              <w:numPr>
                <w:ilvl w:val="0"/>
                <w:numId w:val="26"/>
              </w:numPr>
              <w:spacing w:before="0" w:after="0"/>
              <w:ind w:left="357" w:hanging="357"/>
              <w:rPr>
                <w:rFonts w:cs="Calibri Light"/>
                <w:color w:val="000000" w:themeColor="text1"/>
                <w:kern w:val="24"/>
                <w:szCs w:val="22"/>
              </w:rPr>
            </w:pPr>
            <w:r w:rsidRPr="00CB00CC">
              <w:rPr>
                <w:rFonts w:cs="Calibri Light"/>
                <w:color w:val="000000" w:themeColor="text1"/>
                <w:kern w:val="24"/>
                <w:szCs w:val="22"/>
              </w:rPr>
              <w:t xml:space="preserve">is provided with </w:t>
            </w:r>
            <w:r w:rsidRPr="00CB00CC">
              <w:rPr>
                <w:rFonts w:cs="Calibri Light"/>
                <w:b/>
                <w:color w:val="000000" w:themeColor="text1"/>
                <w:kern w:val="24"/>
                <w:szCs w:val="22"/>
              </w:rPr>
              <w:t>due care and skill</w:t>
            </w:r>
          </w:p>
          <w:p w14:paraId="43AE12AD" w14:textId="77777777" w:rsidR="00116E0F" w:rsidRPr="00CB00CC" w:rsidRDefault="00116E0F" w:rsidP="00116E0F">
            <w:pPr>
              <w:pStyle w:val="ListParagraph"/>
              <w:numPr>
                <w:ilvl w:val="0"/>
                <w:numId w:val="26"/>
              </w:numPr>
              <w:spacing w:before="0" w:after="0"/>
              <w:ind w:left="357" w:hanging="357"/>
              <w:rPr>
                <w:rFonts w:cs="Calibri Light"/>
                <w:color w:val="000000" w:themeColor="text1"/>
                <w:kern w:val="24"/>
                <w:szCs w:val="22"/>
              </w:rPr>
            </w:pPr>
            <w:r w:rsidRPr="00CB00CC">
              <w:rPr>
                <w:rFonts w:cs="Calibri Light"/>
                <w:color w:val="000000" w:themeColor="text1"/>
                <w:kern w:val="24"/>
                <w:szCs w:val="22"/>
              </w:rPr>
              <w:t xml:space="preserve">is </w:t>
            </w:r>
            <w:r w:rsidRPr="00CB00CC">
              <w:rPr>
                <w:rFonts w:cs="Calibri Light"/>
                <w:b/>
                <w:color w:val="000000" w:themeColor="text1"/>
                <w:kern w:val="24"/>
                <w:szCs w:val="22"/>
              </w:rPr>
              <w:t>fit for its purpose</w:t>
            </w:r>
            <w:r w:rsidRPr="000074BD">
              <w:rPr>
                <w:rFonts w:cs="Calibri Light"/>
                <w:color w:val="000000" w:themeColor="text1"/>
                <w:kern w:val="24"/>
                <w:szCs w:val="22"/>
              </w:rPr>
              <w:t>, including</w:t>
            </w:r>
            <w:r w:rsidRPr="000074BD">
              <w:rPr>
                <w:rFonts w:cs="Calibri Light"/>
                <w:b/>
                <w:color w:val="000000" w:themeColor="text1"/>
                <w:kern w:val="24"/>
                <w:szCs w:val="22"/>
              </w:rPr>
              <w:t xml:space="preserve"> </w:t>
            </w:r>
            <w:r w:rsidRPr="000074BD">
              <w:rPr>
                <w:rFonts w:cs="Calibri Light"/>
                <w:color w:val="000000" w:themeColor="text1"/>
                <w:kern w:val="24"/>
                <w:szCs w:val="22"/>
              </w:rPr>
              <w:t>for</w:t>
            </w:r>
            <w:r w:rsidRPr="00CB00CC">
              <w:rPr>
                <w:rFonts w:cs="Calibri Light"/>
                <w:color w:val="000000" w:themeColor="text1"/>
                <w:kern w:val="24"/>
                <w:szCs w:val="22"/>
              </w:rPr>
              <w:t xml:space="preserve"> any purpose that the consumer told a business before buying the service, or that the business told the consumer the service would be fit for</w:t>
            </w:r>
          </w:p>
          <w:p w14:paraId="080F3F28" w14:textId="77777777" w:rsidR="00116E0F" w:rsidRPr="008B3FD4" w:rsidRDefault="00116E0F" w:rsidP="00116E0F">
            <w:pPr>
              <w:pStyle w:val="ListParagraph"/>
              <w:numPr>
                <w:ilvl w:val="0"/>
                <w:numId w:val="26"/>
              </w:numPr>
              <w:spacing w:before="0" w:after="0"/>
              <w:ind w:left="357" w:hanging="357"/>
              <w:rPr>
                <w:rFonts w:asciiTheme="minorHAnsi" w:hAnsi="Calibri" w:cstheme="minorBidi"/>
                <w:color w:val="000000" w:themeColor="text1"/>
                <w:kern w:val="24"/>
                <w:szCs w:val="22"/>
              </w:rPr>
            </w:pPr>
            <w:r w:rsidRPr="00CB00CC">
              <w:rPr>
                <w:rFonts w:cs="Calibri Light"/>
                <w:color w:val="000000" w:themeColor="text1"/>
                <w:kern w:val="24"/>
                <w:szCs w:val="22"/>
              </w:rPr>
              <w:t xml:space="preserve">is </w:t>
            </w:r>
            <w:r w:rsidRPr="00CB00CC">
              <w:rPr>
                <w:rFonts w:cs="Calibri Light"/>
                <w:b/>
                <w:color w:val="000000" w:themeColor="text1"/>
                <w:kern w:val="24"/>
                <w:szCs w:val="22"/>
              </w:rPr>
              <w:t xml:space="preserve">delivered within a reasonable time </w:t>
            </w:r>
            <w:r w:rsidRPr="00CB00CC">
              <w:rPr>
                <w:rFonts w:cs="Calibri Light"/>
                <w:color w:val="000000" w:themeColor="text1"/>
                <w:kern w:val="24"/>
                <w:szCs w:val="22"/>
              </w:rPr>
              <w:t>(when there is no agreed time frame).</w:t>
            </w:r>
          </w:p>
        </w:tc>
      </w:tr>
    </w:tbl>
    <w:p w14:paraId="3C27D569" w14:textId="77777777" w:rsidR="003B7004" w:rsidRPr="00D13E2C" w:rsidRDefault="003B7004" w:rsidP="003B7004">
      <w:r w:rsidRPr="00D13E2C">
        <w:t xml:space="preserve">Relevant to concerns that the ACL may </w:t>
      </w:r>
      <w:r>
        <w:t xml:space="preserve">not address </w:t>
      </w:r>
      <w:r w:rsidRPr="00D13E2C">
        <w:t>cyber</w:t>
      </w:r>
      <w:r>
        <w:t xml:space="preserve"> </w:t>
      </w:r>
      <w:r w:rsidRPr="00D13E2C">
        <w:t xml:space="preserve">security </w:t>
      </w:r>
      <w:r>
        <w:t xml:space="preserve">risks related to consumer products, </w:t>
      </w:r>
      <w:r w:rsidRPr="00D13E2C">
        <w:t xml:space="preserve">and that consumers may obtain insufficient ongoing support from manufacturers, the Australian Government recently passed the </w:t>
      </w:r>
      <w:r w:rsidRPr="00031661">
        <w:rPr>
          <w:i/>
        </w:rPr>
        <w:t>Cyber Security Act 2024</w:t>
      </w:r>
      <w:r w:rsidRPr="00D13E2C">
        <w:t xml:space="preserve">. This legislation provides powers for the Minister to mandate security standards for smart devices. Under these standards, relevant manufacturers will be required to declare that </w:t>
      </w:r>
      <w:r>
        <w:t>a</w:t>
      </w:r>
      <w:r w:rsidRPr="00D13E2C">
        <w:t xml:space="preserve"> product has complied with security requirements in the relevant standard and to define the support period available to consumers. </w:t>
      </w:r>
    </w:p>
    <w:p w14:paraId="641CC98B" w14:textId="319D33BD" w:rsidR="003B7004" w:rsidRDefault="003B7004" w:rsidP="00B818E4">
      <w:r w:rsidRPr="00D13E2C">
        <w:t xml:space="preserve">Under this legislation, and as part of the </w:t>
      </w:r>
      <w:r w:rsidRPr="000074BD">
        <w:rPr>
          <w:i/>
        </w:rPr>
        <w:t>2023-2030 Australian Cyber Security Strategy</w:t>
      </w:r>
      <w:r w:rsidRPr="00D13E2C">
        <w:t xml:space="preserve">, the Government announced it would co-design options to legislate a mandatory cyber security standard for consumer-grade smart devices such as internet-connected televisions, watches, kitchen appliances </w:t>
      </w:r>
      <w:r w:rsidRPr="00D13E2C">
        <w:lastRenderedPageBreak/>
        <w:t xml:space="preserve">and home assistants. A voluntary labelling scheme will also be developed, providing additional guidance for consumers to inform their smart device purchasing decisions. This will help to mitigate against information asymmetries that currently exist in the smart device market, as cyber security information becomes more easily accessible and understandable for consumers. The mandatory product standard will </w:t>
      </w:r>
      <w:r>
        <w:t xml:space="preserve">also </w:t>
      </w:r>
      <w:r w:rsidRPr="00D13E2C">
        <w:t xml:space="preserve">ensure that smart devices are built with minimum security and maintained for specified minimum periods. </w:t>
      </w:r>
    </w:p>
    <w:p w14:paraId="6FA79AF5" w14:textId="785DB985" w:rsidR="003C7B2D" w:rsidRDefault="007D20B5" w:rsidP="003C7B2D">
      <w:r w:rsidRPr="00D13E2C">
        <w:t xml:space="preserve">The consumer guarantees have been </w:t>
      </w:r>
      <w:r>
        <w:t>designed</w:t>
      </w:r>
      <w:r w:rsidRPr="00D13E2C">
        <w:t xml:space="preserve"> to apply to a wide range of technologies</w:t>
      </w:r>
      <w:r>
        <w:t>, including those</w:t>
      </w:r>
      <w:r w:rsidRPr="00D13E2C">
        <w:t xml:space="preserve"> developed after their introduction.</w:t>
      </w:r>
      <w:r>
        <w:t xml:space="preserve"> </w:t>
      </w:r>
      <w:r w:rsidR="003C7B2D" w:rsidRPr="00D13E2C">
        <w:t>While the ACL does not provide software</w:t>
      </w:r>
      <w:r w:rsidR="003C7B2D">
        <w:t>-</w:t>
      </w:r>
      <w:r w:rsidR="003C7B2D" w:rsidRPr="00D13E2C">
        <w:t xml:space="preserve">specific consumer protections, the consumer guarantees provided under the ACL remain an important protection for consumers using </w:t>
      </w:r>
      <w:r w:rsidR="00A148EA">
        <w:t>AI</w:t>
      </w:r>
      <w:r w:rsidR="00A148EA">
        <w:noBreakHyphen/>
        <w:t>enabled</w:t>
      </w:r>
      <w:r w:rsidR="003C7B2D" w:rsidRPr="00D13E2C">
        <w:t xml:space="preserve"> goods and services. </w:t>
      </w:r>
      <w:r w:rsidR="003C7B2D">
        <w:t>Although</w:t>
      </w:r>
      <w:r w:rsidR="003C7B2D" w:rsidRPr="00D13E2C">
        <w:t xml:space="preserve"> specific classes of </w:t>
      </w:r>
      <w:r w:rsidR="00A148EA">
        <w:t>AI</w:t>
      </w:r>
      <w:r w:rsidR="00A148EA">
        <w:noBreakHyphen/>
        <w:t>enabled</w:t>
      </w:r>
      <w:r w:rsidR="003C7B2D" w:rsidRPr="00D13E2C">
        <w:t xml:space="preserve"> goods and services may </w:t>
      </w:r>
      <w:r w:rsidR="003C7B2D">
        <w:t>be subject to</w:t>
      </w:r>
      <w:r w:rsidR="003C7B2D" w:rsidRPr="00D13E2C">
        <w:t xml:space="preserve"> additional regulation as markets mature, the flexibility of the consumer guarantees framework remains a key strength of the ACL.</w:t>
      </w:r>
      <w:r w:rsidR="003C7B2D">
        <w:t xml:space="preserve"> </w:t>
      </w:r>
    </w:p>
    <w:p w14:paraId="0AC324E5" w14:textId="1CD45D04" w:rsidR="00562752" w:rsidRPr="00D13E2C" w:rsidRDefault="00C303D2" w:rsidP="00562752">
      <w:r>
        <w:t>Uncertainty over the</w:t>
      </w:r>
      <w:r w:rsidR="00F64919">
        <w:t xml:space="preserve"> </w:t>
      </w:r>
      <w:r w:rsidR="00F64919" w:rsidRPr="000074BD">
        <w:t>application</w:t>
      </w:r>
      <w:r>
        <w:t xml:space="preserve"> of the existing consumer guarantees available under the ACL as they apply to AI-enabled goods and services is discussed </w:t>
      </w:r>
      <w:r w:rsidRPr="00D13E2C">
        <w:t xml:space="preserve">further in </w:t>
      </w:r>
      <w:r w:rsidRPr="00D13E2C">
        <w:rPr>
          <w:b/>
        </w:rPr>
        <w:t>Chapter 3</w:t>
      </w:r>
      <w:r w:rsidRPr="00D13E2C">
        <w:t>.</w:t>
      </w:r>
      <w:r w:rsidR="003C7B2D" w:rsidRPr="00D13E2C">
        <w:t xml:space="preserve"> </w:t>
      </w:r>
    </w:p>
    <w:tbl>
      <w:tblPr>
        <w:tblpPr w:leftFromText="180" w:rightFromText="180" w:vertAnchor="text" w:tblpY="1"/>
        <w:tblOverlap w:val="never"/>
        <w:tblW w:w="5000" w:type="pct"/>
        <w:shd w:val="clear" w:color="auto" w:fill="FEF8F4"/>
        <w:tblCellMar>
          <w:top w:w="227" w:type="dxa"/>
          <w:left w:w="227" w:type="dxa"/>
          <w:bottom w:w="227" w:type="dxa"/>
          <w:right w:w="227" w:type="dxa"/>
        </w:tblCellMar>
        <w:tblLook w:val="0600" w:firstRow="0" w:lastRow="0" w:firstColumn="0" w:lastColumn="0" w:noHBand="1" w:noVBand="1"/>
      </w:tblPr>
      <w:tblGrid>
        <w:gridCol w:w="9072"/>
      </w:tblGrid>
      <w:tr w:rsidR="003C7B2D" w:rsidRPr="00D13E2C" w14:paraId="7CBBAB03" w14:textId="77777777" w:rsidTr="00D1010F">
        <w:tc>
          <w:tcPr>
            <w:tcW w:w="5000" w:type="pct"/>
            <w:shd w:val="clear" w:color="auto" w:fill="FCEEE5" w:themeFill="accent6" w:themeFillTint="33"/>
          </w:tcPr>
          <w:p w14:paraId="5C2DA88F" w14:textId="77777777" w:rsidR="003C7B2D" w:rsidRPr="00D13E2C" w:rsidRDefault="003C7B2D">
            <w:pPr>
              <w:pStyle w:val="BoxHeading"/>
              <w:rPr>
                <w:b w:val="0"/>
              </w:rPr>
            </w:pPr>
            <w:r w:rsidRPr="00D13E2C">
              <w:t>Finding 1</w:t>
            </w:r>
          </w:p>
          <w:p w14:paraId="5EA861C5" w14:textId="49E57F8D" w:rsidR="003C7B2D" w:rsidRPr="00D13E2C" w:rsidRDefault="003C7B2D">
            <w:pPr>
              <w:pStyle w:val="BoxText"/>
            </w:pPr>
            <w:r w:rsidRPr="00D13E2C">
              <w:t xml:space="preserve">The </w:t>
            </w:r>
            <w:r w:rsidR="00F47713">
              <w:t>principles</w:t>
            </w:r>
            <w:r w:rsidR="00F47713">
              <w:noBreakHyphen/>
              <w:t>based</w:t>
            </w:r>
            <w:r w:rsidRPr="00D13E2C">
              <w:t xml:space="preserve"> protections provided under the </w:t>
            </w:r>
            <w:r w:rsidRPr="009C38A3">
              <w:t xml:space="preserve">ACL are </w:t>
            </w:r>
            <w:r w:rsidR="00BD10A2" w:rsidRPr="00BC4B16">
              <w:t>generally</w:t>
            </w:r>
            <w:r w:rsidR="00BD10A2" w:rsidRPr="00F64E90">
              <w:t xml:space="preserve"> </w:t>
            </w:r>
            <w:r w:rsidRPr="009C38A3">
              <w:t xml:space="preserve">well adapted to </w:t>
            </w:r>
            <w:r w:rsidR="00C844D6" w:rsidRPr="009C38A3">
              <w:t>address</w:t>
            </w:r>
            <w:r w:rsidRPr="00D13E2C">
              <w:t xml:space="preserve"> the potential consumer law risks of </w:t>
            </w:r>
            <w:r w:rsidR="00A148EA">
              <w:t>AI</w:t>
            </w:r>
            <w:r w:rsidR="00A148EA">
              <w:noBreakHyphen/>
              <w:t>enabled</w:t>
            </w:r>
            <w:r w:rsidRPr="00D13E2C">
              <w:t xml:space="preserve"> goods and services.</w:t>
            </w:r>
          </w:p>
        </w:tc>
      </w:tr>
    </w:tbl>
    <w:p w14:paraId="6BDFE3E6" w14:textId="45749D7E" w:rsidR="00F25D50" w:rsidRDefault="003C7B2D" w:rsidP="00CE09D6">
      <w:pPr>
        <w:pStyle w:val="Heading1Numbered"/>
      </w:pPr>
      <w:bookmarkStart w:id="20" w:name="_Toc192160548"/>
      <w:r>
        <w:t>Delivering regulatory clarity and certainty</w:t>
      </w:r>
      <w:bookmarkEnd w:id="20"/>
    </w:p>
    <w:p w14:paraId="2589C9C3" w14:textId="1DE3D761" w:rsidR="00BB117A" w:rsidRPr="00D13E2C" w:rsidRDefault="00BB117A" w:rsidP="00BB117A">
      <w:r w:rsidRPr="00D13E2C">
        <w:t>Clarity in how the ACL applies to goods and services is critical to ensuring that businesses understand their obligations and that consumers know their rights and remedies. Uncertainty</w:t>
      </w:r>
      <w:r>
        <w:t>,</w:t>
      </w:r>
      <w:r w:rsidRPr="00D13E2C">
        <w:t xml:space="preserve"> or a lack of clarity</w:t>
      </w:r>
      <w:r>
        <w:t>,</w:t>
      </w:r>
      <w:r w:rsidRPr="00D13E2C">
        <w:t xml:space="preserve"> may discourage consumers from acquiring </w:t>
      </w:r>
      <w:r w:rsidR="00A148EA">
        <w:t>AI</w:t>
      </w:r>
      <w:r w:rsidR="00A148EA">
        <w:noBreakHyphen/>
        <w:t>enabled</w:t>
      </w:r>
      <w:r w:rsidRPr="00D13E2C">
        <w:t xml:space="preserve"> goods and services and prevent businesses from investing in AI to improve the goods and services they offer.</w:t>
      </w:r>
    </w:p>
    <w:p w14:paraId="320E0805" w14:textId="1520DE54" w:rsidR="00BB117A" w:rsidRPr="00D13E2C" w:rsidRDefault="00BB117A" w:rsidP="00BB117A">
      <w:r w:rsidRPr="00D13E2C">
        <w:t xml:space="preserve">While stakeholders generally supported retaining the existing scope of the ACL, many also expressed that the application of the ACL to </w:t>
      </w:r>
      <w:r w:rsidR="00A148EA">
        <w:t>AI</w:t>
      </w:r>
      <w:r w:rsidR="00A148EA">
        <w:noBreakHyphen/>
        <w:t>enabled</w:t>
      </w:r>
      <w:r w:rsidRPr="00D13E2C">
        <w:t xml:space="preserve"> goods and services, or software-enabled goods and services more broadly, was uncertain in some cases. </w:t>
      </w:r>
    </w:p>
    <w:p w14:paraId="5F567AE9" w14:textId="43D27C1E" w:rsidR="00BB117A" w:rsidRPr="00D13E2C" w:rsidRDefault="00BB117A" w:rsidP="00BB117A">
      <w:r w:rsidRPr="00D13E2C">
        <w:t xml:space="preserve">Stakeholders </w:t>
      </w:r>
      <w:r>
        <w:t>noted</w:t>
      </w:r>
      <w:r w:rsidRPr="00D13E2C">
        <w:t xml:space="preserve"> that categorising an </w:t>
      </w:r>
      <w:r w:rsidR="00A148EA">
        <w:t>AI</w:t>
      </w:r>
      <w:r w:rsidR="00A148EA">
        <w:noBreakHyphen/>
        <w:t>enabled</w:t>
      </w:r>
      <w:r w:rsidRPr="00D13E2C">
        <w:t xml:space="preserve"> business offering as a ‘good’ or ‘service’ under the ACL can be particularly challenging and a significant source of uncertainty. As noted above, this distinction is important for consumers, manufacturers </w:t>
      </w:r>
      <w:r>
        <w:t xml:space="preserve">and suppliers </w:t>
      </w:r>
      <w:r w:rsidRPr="00D13E2C">
        <w:t xml:space="preserve">as different consumer guarantees apply to goods and services under the ACL. Additionally, the ACL contains a framework that imposes liability on manufacturers of goods with safety defects. As a result, the type of protection provided by the ACL to consumers, and the scope of remedies which may be available, turns on whether a business offering is characterised as a good or </w:t>
      </w:r>
      <w:r>
        <w:t xml:space="preserve">a </w:t>
      </w:r>
      <w:r w:rsidRPr="00D13E2C">
        <w:t xml:space="preserve">service. Even where an </w:t>
      </w:r>
      <w:r w:rsidR="00A148EA">
        <w:t>AI</w:t>
      </w:r>
      <w:r w:rsidR="00A148EA">
        <w:noBreakHyphen/>
        <w:t>enabled</w:t>
      </w:r>
      <w:r w:rsidRPr="00D13E2C">
        <w:t xml:space="preserve"> business offering can be</w:t>
      </w:r>
      <w:r>
        <w:t xml:space="preserve"> effectively</w:t>
      </w:r>
      <w:r w:rsidRPr="00D13E2C">
        <w:t xml:space="preserve"> categorised as a good or service under the ACL, the Review also heard that some stakeholders are unclear as to how the </w:t>
      </w:r>
      <w:r w:rsidR="00F47713">
        <w:t>principles</w:t>
      </w:r>
      <w:r w:rsidR="00F47713">
        <w:noBreakHyphen/>
        <w:t>based</w:t>
      </w:r>
      <w:r w:rsidRPr="00D13E2C">
        <w:t xml:space="preserve"> consumer guarantees may apply and the standards they </w:t>
      </w:r>
      <w:r>
        <w:t>impose</w:t>
      </w:r>
      <w:r w:rsidRPr="00D13E2C">
        <w:t xml:space="preserve">. </w:t>
      </w:r>
    </w:p>
    <w:p w14:paraId="13B62758" w14:textId="2D4CD8B9" w:rsidR="00BB117A" w:rsidRPr="00D13E2C" w:rsidRDefault="00BB117A" w:rsidP="00BB117A">
      <w:r w:rsidRPr="00D13E2C">
        <w:t xml:space="preserve">This chapter considers these two main sources of uncertainty: definitional uncertainty in relation to ‘goods’ and ‘services’ and the application of </w:t>
      </w:r>
      <w:r w:rsidR="00F47713">
        <w:t>principles</w:t>
      </w:r>
      <w:r w:rsidR="00F47713">
        <w:noBreakHyphen/>
        <w:t>based</w:t>
      </w:r>
      <w:r w:rsidRPr="00D13E2C">
        <w:t xml:space="preserve"> guarantees to </w:t>
      </w:r>
      <w:r w:rsidR="00A148EA">
        <w:t>AI</w:t>
      </w:r>
      <w:r w:rsidR="00A148EA">
        <w:noBreakHyphen/>
        <w:t>enabled</w:t>
      </w:r>
      <w:r w:rsidRPr="00D13E2C">
        <w:t xml:space="preserve"> goods and services. It also considers the role of guidance and education in enhancing regulatory clarity and certainty. </w:t>
      </w:r>
    </w:p>
    <w:p w14:paraId="4E10279F" w14:textId="4376C6B8" w:rsidR="00BB117A" w:rsidRPr="00D13E2C" w:rsidRDefault="00BB117A" w:rsidP="00BB117A">
      <w:pPr>
        <w:pStyle w:val="Heading2"/>
      </w:pPr>
      <w:bookmarkStart w:id="21" w:name="_Toc190091946"/>
      <w:bookmarkStart w:id="22" w:name="_Toc192160549"/>
      <w:r w:rsidRPr="00D13E2C">
        <w:lastRenderedPageBreak/>
        <w:t xml:space="preserve">Definitional uncertainty </w:t>
      </w:r>
      <w:r w:rsidR="001921BF">
        <w:t xml:space="preserve">– </w:t>
      </w:r>
      <w:r w:rsidRPr="00D13E2C">
        <w:t>goods and services</w:t>
      </w:r>
      <w:bookmarkEnd w:id="21"/>
      <w:bookmarkEnd w:id="22"/>
    </w:p>
    <w:p w14:paraId="5CCCD1A2" w14:textId="77777777" w:rsidR="00BB117A" w:rsidRPr="00D13E2C" w:rsidRDefault="00BB117A" w:rsidP="00BB117A">
      <w:r w:rsidRPr="00D13E2C">
        <w:t xml:space="preserve">The ACL applies to a broad range of goods and services. The ACL does not provide an exhaustive list of the goods to which it applies but defines goods to </w:t>
      </w:r>
      <w:r w:rsidRPr="00D13E2C">
        <w:rPr>
          <w:i/>
          <w:iCs/>
        </w:rPr>
        <w:t xml:space="preserve">include </w:t>
      </w:r>
      <w:r w:rsidRPr="00D13E2C">
        <w:t>goods such as vehicles, animals, minerals and computer software.</w:t>
      </w:r>
      <w:r>
        <w:rPr>
          <w:rStyle w:val="FootnoteReference"/>
        </w:rPr>
        <w:footnoteReference w:id="42"/>
      </w:r>
      <w:r w:rsidRPr="00D13E2C">
        <w:t xml:space="preserve"> </w:t>
      </w:r>
      <w:r>
        <w:t>Services</w:t>
      </w:r>
      <w:r w:rsidRPr="00D13E2C" w:rsidDel="002B2D71">
        <w:t xml:space="preserve"> </w:t>
      </w:r>
      <w:r w:rsidRPr="00D13E2C">
        <w:t>are also broadly and inclusively defined and include the performance of work (such as clearing a blocked drain</w:t>
      </w:r>
      <w:r>
        <w:t>),</w:t>
      </w:r>
      <w:r w:rsidRPr="00D13E2C">
        <w:t xml:space="preserve"> providing facilities (such as renting out a hall for a party</w:t>
      </w:r>
      <w:r>
        <w:t>),</w:t>
      </w:r>
      <w:r w:rsidRPr="00D13E2C">
        <w:t xml:space="preserve"> conferring rights, benefits and facilities for a payment (such as allowing the use of copyrighted music for a royalty) and certain contracts.</w:t>
      </w:r>
      <w:r>
        <w:rPr>
          <w:rStyle w:val="FootnoteReference"/>
        </w:rPr>
        <w:footnoteReference w:id="43"/>
      </w:r>
      <w:r w:rsidRPr="00D13E2C">
        <w:t xml:space="preserve"> </w:t>
      </w:r>
    </w:p>
    <w:p w14:paraId="389309A5" w14:textId="77777777" w:rsidR="00BB117A" w:rsidRPr="00D13E2C" w:rsidRDefault="00BB117A" w:rsidP="00BB117A">
      <w:r w:rsidRPr="00D13E2C">
        <w:t xml:space="preserve">The definitions of </w:t>
      </w:r>
      <w:r>
        <w:t>‘</w:t>
      </w:r>
      <w:r w:rsidRPr="00D13E2C">
        <w:t>goods</w:t>
      </w:r>
      <w:r>
        <w:t>’</w:t>
      </w:r>
      <w:r w:rsidRPr="00D13E2C">
        <w:t xml:space="preserve"> and </w:t>
      </w:r>
      <w:r>
        <w:t>‘</w:t>
      </w:r>
      <w:r w:rsidRPr="00D13E2C">
        <w:t>services</w:t>
      </w:r>
      <w:r>
        <w:t>’</w:t>
      </w:r>
      <w:r w:rsidRPr="00D13E2C">
        <w:t xml:space="preserve"> are mutually exclusive. Although goods and services can be supplied together, if the transaction as a whole is properly characterised as a supply of goods</w:t>
      </w:r>
      <w:r>
        <w:t>,</w:t>
      </w:r>
      <w:r w:rsidRPr="00D13E2C">
        <w:t xml:space="preserve"> the transaction must be characterised </w:t>
      </w:r>
      <w:r>
        <w:t>as the supply of goods</w:t>
      </w:r>
      <w:r w:rsidRPr="00D13E2C">
        <w:t xml:space="preserve">. As a result, </w:t>
      </w:r>
      <w:r>
        <w:t xml:space="preserve">under the ACL </w:t>
      </w:r>
      <w:r w:rsidRPr="00D13E2C">
        <w:t xml:space="preserve">a consumer cannot claim for </w:t>
      </w:r>
      <w:r>
        <w:t xml:space="preserve">both </w:t>
      </w:r>
      <w:r w:rsidRPr="00D13E2C">
        <w:t xml:space="preserve">faulty goods </w:t>
      </w:r>
      <w:r w:rsidRPr="00D471E3">
        <w:rPr>
          <w:i/>
        </w:rPr>
        <w:t>and</w:t>
      </w:r>
      <w:r w:rsidRPr="00D13E2C">
        <w:t xml:space="preserve"> faulty services in </w:t>
      </w:r>
      <w:r>
        <w:t xml:space="preserve">the </w:t>
      </w:r>
      <w:r w:rsidRPr="00D13E2C">
        <w:t>provi</w:t>
      </w:r>
      <w:r>
        <w:t>sion of</w:t>
      </w:r>
      <w:r w:rsidRPr="00D13E2C">
        <w:t xml:space="preserve"> those goods.</w:t>
      </w:r>
      <w:r w:rsidRPr="00D13E2C">
        <w:rPr>
          <w:rStyle w:val="FootnoteReference"/>
        </w:rPr>
        <w:footnoteReference w:id="44"/>
      </w:r>
    </w:p>
    <w:p w14:paraId="7BE5D7F4" w14:textId="0FC4DE05" w:rsidR="00BB117A" w:rsidRPr="00D13E2C" w:rsidRDefault="00BB117A" w:rsidP="00BB117A">
      <w:r w:rsidRPr="00D13E2C">
        <w:t xml:space="preserve">Stakeholders have expressed that there is uncertainty in applying the categories of ‘goods’ and ‘services’ to </w:t>
      </w:r>
      <w:r w:rsidR="00A148EA">
        <w:t>AI</w:t>
      </w:r>
      <w:r w:rsidR="00A148EA">
        <w:noBreakHyphen/>
        <w:t>enabled</w:t>
      </w:r>
      <w:r w:rsidRPr="00D13E2C">
        <w:t xml:space="preserve"> products, including that they:</w:t>
      </w:r>
    </w:p>
    <w:p w14:paraId="3B9AA3C0" w14:textId="77777777" w:rsidR="00BB117A" w:rsidRPr="00D13E2C" w:rsidRDefault="00BB117A" w:rsidP="00BB117A">
      <w:pPr>
        <w:pStyle w:val="Bullet"/>
      </w:pPr>
      <w:r w:rsidRPr="00D13E2C">
        <w:t>challenge conventional concepts of ‘goods’ and ‘services’, and therefore introduce uncertainty in how the definitions apply, and</w:t>
      </w:r>
    </w:p>
    <w:p w14:paraId="3688DD2F" w14:textId="77777777" w:rsidR="00BB117A" w:rsidRPr="00D13E2C" w:rsidRDefault="00BB117A" w:rsidP="00BB117A">
      <w:pPr>
        <w:pStyle w:val="Bullet"/>
      </w:pPr>
      <w:r w:rsidRPr="00D13E2C">
        <w:t>are often offered as a bundled package (mixed supply) making it difficult to determine if it is a good or a service.</w:t>
      </w:r>
    </w:p>
    <w:p w14:paraId="3B9A2526" w14:textId="23036BD6" w:rsidR="00BB117A" w:rsidRPr="00D13E2C" w:rsidRDefault="00BB117A" w:rsidP="00BB117A">
      <w:r w:rsidRPr="00D13E2C">
        <w:t xml:space="preserve">Definitional uncertainty in the context of the ACL is not unique to </w:t>
      </w:r>
      <w:r w:rsidR="00A148EA">
        <w:t>AI</w:t>
      </w:r>
      <w:r w:rsidR="00A148EA">
        <w:noBreakHyphen/>
        <w:t>enabled</w:t>
      </w:r>
      <w:r w:rsidRPr="00D13E2C">
        <w:t xml:space="preserve"> </w:t>
      </w:r>
      <w:r>
        <w:t>business offerings</w:t>
      </w:r>
      <w:r w:rsidRPr="00D13E2C">
        <w:t xml:space="preserve"> and has been expressed in relation to the ACL’s application to software-enabled </w:t>
      </w:r>
      <w:r>
        <w:t>offerings more</w:t>
      </w:r>
      <w:r w:rsidRPr="00D13E2C">
        <w:t xml:space="preserve"> generally. This arises, in part, because </w:t>
      </w:r>
      <w:r>
        <w:t>software-enabled</w:t>
      </w:r>
      <w:r w:rsidRPr="00D13E2C">
        <w:t xml:space="preserve"> </w:t>
      </w:r>
      <w:r>
        <w:t>business offerings</w:t>
      </w:r>
      <w:r w:rsidRPr="00D13E2C">
        <w:t xml:space="preserve">, including many </w:t>
      </w:r>
      <w:r w:rsidR="00A148EA">
        <w:t>AI</w:t>
      </w:r>
      <w:r w:rsidR="00A148EA">
        <w:noBreakHyphen/>
        <w:t>enabled</w:t>
      </w:r>
      <w:r w:rsidRPr="00D13E2C">
        <w:t xml:space="preserve"> offerings, involve a mixed supply of a tangible physical good and services. For example, a security system that stores footage online </w:t>
      </w:r>
      <w:r>
        <w:t>involves a</w:t>
      </w:r>
      <w:r w:rsidRPr="00D13E2C">
        <w:t xml:space="preserve"> mixed supply of goods (the security system) and services (cloud storage) </w:t>
      </w:r>
      <w:r>
        <w:t xml:space="preserve">which would </w:t>
      </w:r>
      <w:r w:rsidRPr="00D13E2C">
        <w:t xml:space="preserve">most likely </w:t>
      </w:r>
      <w:r>
        <w:t xml:space="preserve">be </w:t>
      </w:r>
      <w:r w:rsidR="00786EBA" w:rsidRPr="00BC4B16">
        <w:t>collectively</w:t>
      </w:r>
      <w:r w:rsidR="00786EBA">
        <w:t xml:space="preserve"> </w:t>
      </w:r>
      <w:r w:rsidRPr="00D13E2C">
        <w:t xml:space="preserve">characterised as a good; however, each assessment will turn on the particular </w:t>
      </w:r>
      <w:r>
        <w:t>transaction in</w:t>
      </w:r>
      <w:r w:rsidRPr="00D13E2C">
        <w:t xml:space="preserve"> question.</w:t>
      </w:r>
    </w:p>
    <w:p w14:paraId="33BFB66C" w14:textId="16D3B219" w:rsidR="00537BA5" w:rsidRDefault="00BB117A" w:rsidP="00BB117A">
      <w:r w:rsidRPr="00D13E2C">
        <w:t xml:space="preserve">The complexity of the assessment which may be required to reach the conclusion regarding whether an offering is a good or service is exemplified in the case of </w:t>
      </w:r>
      <w:r w:rsidRPr="00D13E2C">
        <w:rPr>
          <w:i/>
        </w:rPr>
        <w:t>Australian Competition and Consumer Commission v Valve Corporation (No 3)</w:t>
      </w:r>
      <w:r>
        <w:rPr>
          <w:i/>
        </w:rPr>
        <w:t xml:space="preserve"> </w:t>
      </w:r>
      <w:r>
        <w:rPr>
          <w:iCs/>
        </w:rPr>
        <w:t>(‘</w:t>
      </w:r>
      <w:r>
        <w:rPr>
          <w:i/>
        </w:rPr>
        <w:t>Valve</w:t>
      </w:r>
      <w:r>
        <w:rPr>
          <w:iCs/>
        </w:rPr>
        <w:t>’</w:t>
      </w:r>
      <w:r>
        <w:t>)</w:t>
      </w:r>
      <w:r w:rsidRPr="00D13E2C">
        <w:t>.</w:t>
      </w:r>
      <w:r w:rsidRPr="00D13E2C">
        <w:rPr>
          <w:rStyle w:val="FootnoteReference"/>
        </w:rPr>
        <w:footnoteReference w:id="45"/>
      </w:r>
      <w:r w:rsidRPr="00D13E2C">
        <w:t xml:space="preserve"> This case confirmed that intangible computer software supplied digitally through an online platform are goods. However, certain elements bundled with the software such as non-executable data may not be goods. </w:t>
      </w:r>
      <w:r w:rsidRPr="00D13E2C">
        <w:rPr>
          <w:i/>
          <w:iCs/>
        </w:rPr>
        <w:t>Valve</w:t>
      </w:r>
      <w:r w:rsidRPr="00D13E2C" w:rsidDel="001701EC">
        <w:t xml:space="preserve"> </w:t>
      </w:r>
      <w:r w:rsidRPr="00D13E2C">
        <w:t>demonstrates that to determine whether a digital product is a good or service may require an involved assessment of the nature of each digital component of the product, beyond the capacity of many consumers, manufacturers</w:t>
      </w:r>
      <w:r w:rsidR="007D32D9">
        <w:t xml:space="preserve">, and </w:t>
      </w:r>
      <w:r w:rsidR="007D32D9" w:rsidRPr="00D13E2C">
        <w:t>suppliers</w:t>
      </w:r>
      <w:r w:rsidRPr="00D13E2C">
        <w:t>.</w:t>
      </w:r>
      <w:r w:rsidR="00824985">
        <w:t xml:space="preserve"> </w:t>
      </w:r>
      <w:r w:rsidRPr="00D13E2C">
        <w:t xml:space="preserve">Given this uncertainty, many stakeholders commented on the need for additional regulatory guidance and education, </w:t>
      </w:r>
      <w:r w:rsidRPr="00D13E2C" w:rsidDel="001A54AF">
        <w:t xml:space="preserve">and/or </w:t>
      </w:r>
      <w:r w:rsidRPr="00D13E2C">
        <w:t>legislative change.</w:t>
      </w:r>
    </w:p>
    <w:p w14:paraId="632FF664" w14:textId="1AB497FE" w:rsidR="00BB117A" w:rsidRPr="00D13E2C" w:rsidRDefault="00496416" w:rsidP="00BB117A">
      <w:r>
        <w:t xml:space="preserve">A smaller number of </w:t>
      </w:r>
      <w:r w:rsidR="0017691E">
        <w:t xml:space="preserve">stakeholders considered legislative change would assist to resolve </w:t>
      </w:r>
      <w:r w:rsidR="0087043E">
        <w:t xml:space="preserve">uncertainty in the application of the ACL to AI-enabled goods and services. </w:t>
      </w:r>
      <w:r w:rsidR="00D8669A">
        <w:t>Amongst</w:t>
      </w:r>
      <w:r w:rsidR="00D34EDB">
        <w:t xml:space="preserve"> those</w:t>
      </w:r>
      <w:r w:rsidR="00BB117A" w:rsidRPr="00D13E2C" w:rsidDel="00D34EDB">
        <w:t xml:space="preserve"> </w:t>
      </w:r>
      <w:r w:rsidR="00BB117A" w:rsidRPr="00D13E2C">
        <w:t xml:space="preserve">stakeholders </w:t>
      </w:r>
      <w:r w:rsidR="00D34EDB">
        <w:t xml:space="preserve">who </w:t>
      </w:r>
      <w:r w:rsidR="00D8669A">
        <w:t xml:space="preserve">suggested legislative change, common reforms proposed </w:t>
      </w:r>
      <w:r w:rsidR="00BB117A" w:rsidRPr="00D13E2C">
        <w:t>included:</w:t>
      </w:r>
    </w:p>
    <w:p w14:paraId="420C4972" w14:textId="77777777" w:rsidR="00BB117A" w:rsidRPr="00D13E2C" w:rsidRDefault="00BB117A" w:rsidP="00BB117A">
      <w:pPr>
        <w:pStyle w:val="Bullet"/>
      </w:pPr>
      <w:r w:rsidRPr="00D13E2C">
        <w:t>introducing a new category of ‘digital products’ into the ACL with new or bespoke protections and obligations, or</w:t>
      </w:r>
    </w:p>
    <w:p w14:paraId="6C6A8290" w14:textId="77777777" w:rsidR="00BB117A" w:rsidRPr="00D13E2C" w:rsidRDefault="00BB117A" w:rsidP="00BB117A">
      <w:pPr>
        <w:pStyle w:val="Bullet"/>
      </w:pPr>
      <w:r w:rsidRPr="00D13E2C">
        <w:lastRenderedPageBreak/>
        <w:t xml:space="preserve">expanding the definition of goods to </w:t>
      </w:r>
      <w:r w:rsidRPr="00D13E2C">
        <w:rPr>
          <w:i/>
          <w:iCs/>
        </w:rPr>
        <w:t xml:space="preserve">expressly </w:t>
      </w:r>
      <w:r w:rsidRPr="00D13E2C">
        <w:t>cover digital products.</w:t>
      </w:r>
    </w:p>
    <w:p w14:paraId="4D1FBA95" w14:textId="28484E32" w:rsidR="00BB117A" w:rsidRPr="00D13E2C" w:rsidRDefault="00B30A02" w:rsidP="00BB117A">
      <w:r>
        <w:t>Where</w:t>
      </w:r>
      <w:r w:rsidR="00BB117A" w:rsidRPr="00D13E2C">
        <w:t xml:space="preserve"> stakeholders express</w:t>
      </w:r>
      <w:r w:rsidR="001F6094">
        <w:t>ed</w:t>
      </w:r>
      <w:r w:rsidR="00BB117A" w:rsidRPr="00D13E2C">
        <w:t xml:space="preserve"> support for a new category </w:t>
      </w:r>
      <w:r w:rsidR="00BB117A">
        <w:t>of digital products</w:t>
      </w:r>
      <w:r w:rsidR="00A87695">
        <w:t>,</w:t>
      </w:r>
      <w:r w:rsidR="00091974" w:rsidRPr="00D13E2C" w:rsidDel="00A87695">
        <w:t xml:space="preserve"> </w:t>
      </w:r>
      <w:r w:rsidR="00BB117A" w:rsidRPr="00D13E2C">
        <w:t xml:space="preserve">the addition of ‘digital content’ in the United Kingdom’s (UK) </w:t>
      </w:r>
      <w:r w:rsidR="00BB117A" w:rsidRPr="00D13E2C">
        <w:rPr>
          <w:i/>
          <w:iCs/>
        </w:rPr>
        <w:t>Consumer Rights Act 2015</w:t>
      </w:r>
      <w:r w:rsidR="00091974">
        <w:rPr>
          <w:i/>
          <w:iCs/>
        </w:rPr>
        <w:t xml:space="preserve"> </w:t>
      </w:r>
      <w:r w:rsidR="00BB117A" w:rsidRPr="00D13E2C">
        <w:t>(UK)</w:t>
      </w:r>
      <w:r w:rsidR="00A83477">
        <w:t xml:space="preserve"> </w:t>
      </w:r>
      <w:r w:rsidR="008E4CD6">
        <w:t xml:space="preserve">was often a </w:t>
      </w:r>
      <w:r w:rsidR="00C136AB">
        <w:t>point of reference</w:t>
      </w:r>
      <w:r w:rsidR="00BB117A">
        <w:t>.</w:t>
      </w:r>
      <w:r w:rsidR="00BB117A" w:rsidRPr="00D13E2C">
        <w:t xml:space="preserve"> The digital content category was introduced in the UK as part of the </w:t>
      </w:r>
      <w:r w:rsidR="00BB117A" w:rsidRPr="00D13E2C">
        <w:rPr>
          <w:i/>
        </w:rPr>
        <w:t>Consumer Contracts (Information, Cancellation and Additional Charges) Regulations 2013</w:t>
      </w:r>
      <w:r w:rsidR="00BB117A" w:rsidRPr="00C31C6F">
        <w:rPr>
          <w:iCs/>
        </w:rPr>
        <w:t xml:space="preserve"> (UK).</w:t>
      </w:r>
      <w:r w:rsidR="00BB117A" w:rsidRPr="00D13E2C">
        <w:t xml:space="preserve"> This regulation implemented an EU directive that introduced digital content into EU law. While this reform did not introduce bespoke protections for consumers of digital content, it served to provide protections and remedies which aligned with the characteristics of this class of goods.</w:t>
      </w:r>
      <w:r w:rsidR="00BB117A" w:rsidRPr="00D13E2C">
        <w:rPr>
          <w:rStyle w:val="FootnoteReference"/>
        </w:rPr>
        <w:footnoteReference w:id="46"/>
      </w:r>
    </w:p>
    <w:p w14:paraId="5545D219" w14:textId="1B05F242" w:rsidR="00BB117A" w:rsidRPr="00D13E2C" w:rsidRDefault="00BB117A" w:rsidP="00BB117A">
      <w:r w:rsidRPr="00D13E2C">
        <w:t xml:space="preserve">Introducing a new category of digital products may enable </w:t>
      </w:r>
      <w:r>
        <w:t>software-enabled</w:t>
      </w:r>
      <w:r w:rsidRPr="00D13E2C">
        <w:t xml:space="preserve"> goods, including </w:t>
      </w:r>
      <w:r w:rsidR="00A148EA">
        <w:t>AI</w:t>
      </w:r>
      <w:r w:rsidR="00A148EA">
        <w:noBreakHyphen/>
        <w:t>enabled</w:t>
      </w:r>
      <w:r w:rsidRPr="00D13E2C">
        <w:t xml:space="preserve"> goods, to be more easily situated within the ACL framework. However,</w:t>
      </w:r>
      <w:r w:rsidRPr="00D13E2C" w:rsidDel="00A20670">
        <w:t xml:space="preserve"> </w:t>
      </w:r>
      <w:r w:rsidR="000A7C32">
        <w:t>if introduced</w:t>
      </w:r>
      <w:r w:rsidRPr="00D13E2C">
        <w:t>, uncertainty would remain or possibly increase in the case of mixed supply</w:t>
      </w:r>
      <w:r>
        <w:t xml:space="preserve"> as it would involve characterising </w:t>
      </w:r>
      <w:r w:rsidRPr="00D13E2C">
        <w:t>transactions as a whole as a digital product, a good or a service. This</w:t>
      </w:r>
      <w:r w:rsidRPr="00D13E2C" w:rsidDel="00EB6A61">
        <w:t xml:space="preserve"> </w:t>
      </w:r>
      <w:r w:rsidRPr="00D13E2C">
        <w:t>issue is particularly acute in the UK legislative context in the case of Internet of Things (IoT) devices which incorporate digital content and a physical good.</w:t>
      </w:r>
      <w:r w:rsidRPr="00D13E2C">
        <w:rPr>
          <w:rStyle w:val="FootnoteReference"/>
        </w:rPr>
        <w:footnoteReference w:id="47"/>
      </w:r>
    </w:p>
    <w:p w14:paraId="7299FF77" w14:textId="1B45E94B" w:rsidR="00BB117A" w:rsidRPr="00D13E2C" w:rsidRDefault="00BB117A" w:rsidP="00BB117A">
      <w:r w:rsidRPr="00D13E2C">
        <w:t xml:space="preserve">While introducing a new category could provide bespoke protections in relation to digital products, such a change would represent a structural shift in Australia’s consumer protection framework. Given the potential for increased regulatory burden associated with such a change, it is likely only </w:t>
      </w:r>
      <w:r>
        <w:t>justifiable</w:t>
      </w:r>
      <w:r w:rsidRPr="00D13E2C">
        <w:t xml:space="preserve"> where the existing framework is demonstrably deficient in its application to </w:t>
      </w:r>
      <w:r>
        <w:t>software-enabled</w:t>
      </w:r>
      <w:r w:rsidRPr="00D13E2C">
        <w:t xml:space="preserve"> goods, including </w:t>
      </w:r>
      <w:r w:rsidR="00A148EA">
        <w:t>AI</w:t>
      </w:r>
      <w:r w:rsidR="00A148EA">
        <w:noBreakHyphen/>
        <w:t>enabled</w:t>
      </w:r>
      <w:r w:rsidRPr="00D13E2C">
        <w:t xml:space="preserve"> goods. The Review did not find such evidence. </w:t>
      </w:r>
    </w:p>
    <w:p w14:paraId="18EA7823" w14:textId="7DE61073" w:rsidR="00BB117A" w:rsidRPr="00D13E2C" w:rsidRDefault="00BB117A" w:rsidP="00BB117A">
      <w:r w:rsidRPr="00D13E2C">
        <w:t xml:space="preserve">In contrast to introducing a new category of digital products under the ACL, clarifying the definition of </w:t>
      </w:r>
      <w:r>
        <w:t>‘</w:t>
      </w:r>
      <w:r w:rsidRPr="00D13E2C">
        <w:t>goods</w:t>
      </w:r>
      <w:r>
        <w:t>’</w:t>
      </w:r>
      <w:r w:rsidRPr="00D13E2C">
        <w:t xml:space="preserve"> to expressly include appropriately defined digital products, may provide similar practical benefits without the associated regulatory burden. Although goods are </w:t>
      </w:r>
      <w:r>
        <w:t xml:space="preserve">already </w:t>
      </w:r>
      <w:r w:rsidRPr="00D13E2C">
        <w:t>expressly defined to include computer software,</w:t>
      </w:r>
      <w:r>
        <w:rPr>
          <w:rStyle w:val="FootnoteReference"/>
        </w:rPr>
        <w:footnoteReference w:id="48"/>
      </w:r>
      <w:r w:rsidRPr="00D13E2C">
        <w:t xml:space="preserve"> further particulari</w:t>
      </w:r>
      <w:r>
        <w:t>sation of</w:t>
      </w:r>
      <w:r w:rsidRPr="00D13E2C">
        <w:t xml:space="preserve"> the definition </w:t>
      </w:r>
      <w:r>
        <w:t xml:space="preserve">to refer to digital products, or a similar class of software-enabled goods, may </w:t>
      </w:r>
      <w:r w:rsidRPr="00D13E2C">
        <w:t xml:space="preserve">– </w:t>
      </w:r>
      <w:r>
        <w:t>informed by</w:t>
      </w:r>
      <w:r w:rsidRPr="00D13E2C">
        <w:t xml:space="preserve"> appropriate consultation –</w:t>
      </w:r>
      <w:r w:rsidR="00AB575C">
        <w:t xml:space="preserve"> </w:t>
      </w:r>
      <w:r w:rsidRPr="00D13E2C">
        <w:t xml:space="preserve">reduce uncertainty and give clarity to consumers, manufacturers, suppliers and regulators. Unlike introducing a third category of digital products under the ACL, </w:t>
      </w:r>
      <w:r>
        <w:t>clarifying the definition of goods</w:t>
      </w:r>
      <w:r w:rsidRPr="00D13E2C">
        <w:t xml:space="preserve"> would retain the</w:t>
      </w:r>
      <w:r>
        <w:t xml:space="preserve"> existing</w:t>
      </w:r>
      <w:r w:rsidRPr="00D13E2C">
        <w:t xml:space="preserve"> mutually exclusive distinction between goods and services, simplifying assessments of mixed supply. Consumers, manufacturers </w:t>
      </w:r>
      <w:r>
        <w:t xml:space="preserve">and suppliers </w:t>
      </w:r>
      <w:r w:rsidRPr="00D13E2C">
        <w:t xml:space="preserve">would also have the benefit of drawing on their existing experience and relevant </w:t>
      </w:r>
      <w:r>
        <w:t>case law</w:t>
      </w:r>
      <w:r w:rsidRPr="00D13E2C">
        <w:t xml:space="preserve"> on applying consumer guarantees to goods, reducing uncertainty and regulatory burden.</w:t>
      </w:r>
    </w:p>
    <w:p w14:paraId="760F8C96" w14:textId="77777777" w:rsidR="00BB117A" w:rsidRPr="00D13E2C" w:rsidRDefault="00BB117A" w:rsidP="00BB117A">
      <w:r w:rsidRPr="00D13E2C">
        <w:t xml:space="preserve">More fulsome consideration of potential legislative changes, including of </w:t>
      </w:r>
      <w:r>
        <w:t>associated</w:t>
      </w:r>
      <w:r w:rsidRPr="00D13E2C">
        <w:t xml:space="preserve"> costs and benefits, </w:t>
      </w:r>
      <w:r>
        <w:t>could</w:t>
      </w:r>
      <w:r w:rsidRPr="00D13E2C">
        <w:t xml:space="preserve"> form part of consideration of the outcomes of this review </w:t>
      </w:r>
      <w:r>
        <w:t>by</w:t>
      </w:r>
      <w:r w:rsidRPr="00D13E2C">
        <w:t xml:space="preserve"> the Consumer Ministers Network.</w:t>
      </w:r>
    </w:p>
    <w:p w14:paraId="4D914755" w14:textId="010784F3" w:rsidR="00BB117A" w:rsidRPr="00D13E2C" w:rsidRDefault="00F47713" w:rsidP="00BB117A">
      <w:pPr>
        <w:pStyle w:val="Heading2"/>
      </w:pPr>
      <w:bookmarkStart w:id="23" w:name="_Toc190091947"/>
      <w:bookmarkStart w:id="24" w:name="_Toc192160550"/>
      <w:r>
        <w:t>Principles-based</w:t>
      </w:r>
      <w:r w:rsidR="00BB117A" w:rsidRPr="00D13E2C">
        <w:t xml:space="preserve"> consumer guarantees</w:t>
      </w:r>
      <w:bookmarkEnd w:id="23"/>
      <w:bookmarkEnd w:id="24"/>
    </w:p>
    <w:p w14:paraId="596A76FF" w14:textId="31794B47" w:rsidR="00BB117A" w:rsidRPr="00D13E2C" w:rsidRDefault="00BB117A" w:rsidP="00BB117A">
      <w:r w:rsidRPr="00D13E2C">
        <w:t xml:space="preserve">As outlined in </w:t>
      </w:r>
      <w:r w:rsidR="001C7BC1">
        <w:rPr>
          <w:b/>
          <w:bCs/>
        </w:rPr>
        <w:t>Chapter </w:t>
      </w:r>
      <w:r w:rsidRPr="007A16F7">
        <w:rPr>
          <w:b/>
          <w:bCs/>
        </w:rPr>
        <w:t>2</w:t>
      </w:r>
      <w:r w:rsidRPr="00D13E2C">
        <w:t xml:space="preserve">, the consumer guarantees provide a basic set of </w:t>
      </w:r>
      <w:r>
        <w:t>protections</w:t>
      </w:r>
      <w:r w:rsidRPr="00D13E2C">
        <w:t xml:space="preserve"> for consumers of goods and services. The consumer guarantees provided under the ACL are </w:t>
      </w:r>
      <w:r w:rsidR="00F47713">
        <w:t>principles</w:t>
      </w:r>
      <w:r w:rsidR="00F47713">
        <w:noBreakHyphen/>
        <w:t>based</w:t>
      </w:r>
      <w:r w:rsidRPr="00D13E2C">
        <w:t>. As such, the standards that they provide are broad and flexible, outlining desired outcomes for consumers while allowing businesses to adapt their practices on how this is achieved.</w:t>
      </w:r>
    </w:p>
    <w:p w14:paraId="6248E516" w14:textId="465122A4" w:rsidR="00674CD8" w:rsidRDefault="00BB117A" w:rsidP="00BB117A">
      <w:r w:rsidRPr="00D13E2C">
        <w:lastRenderedPageBreak/>
        <w:t xml:space="preserve">In response to consultation, some stakeholders expressed that it is harder to apply </w:t>
      </w:r>
      <w:r w:rsidR="00F47713">
        <w:t>principles</w:t>
      </w:r>
      <w:r w:rsidR="00F47713">
        <w:noBreakHyphen/>
        <w:t>based</w:t>
      </w:r>
      <w:r w:rsidR="00434217">
        <w:t xml:space="preserve"> </w:t>
      </w:r>
      <w:r w:rsidRPr="00D13E2C">
        <w:t xml:space="preserve">consumer guarantees to </w:t>
      </w:r>
      <w:r w:rsidR="00A148EA">
        <w:t>AI</w:t>
      </w:r>
      <w:r w:rsidR="00A148EA">
        <w:noBreakHyphen/>
        <w:t>enabled</w:t>
      </w:r>
      <w:r w:rsidRPr="00D13E2C">
        <w:t xml:space="preserve"> goods and services, and software-enabled goods and services more broadly, compared to traditional goods and services. This is partly due to consumers being more familiar with traditional goods and services and, in many cases, holding clear expectations about how </w:t>
      </w:r>
      <w:r>
        <w:t xml:space="preserve">such </w:t>
      </w:r>
      <w:r w:rsidRPr="00D13E2C">
        <w:t>a good or service should perform. By comparison, in the context of new and emerging technologies such as AI, many early adopter consumers do not have a clear reference point against which to assess their experience</w:t>
      </w:r>
      <w:r>
        <w:t>,</w:t>
      </w:r>
      <w:r w:rsidRPr="00D13E2C">
        <w:t xml:space="preserve"> and expectations in relation </w:t>
      </w:r>
      <w:r w:rsidR="0000571E">
        <w:t>to</w:t>
      </w:r>
      <w:r w:rsidRPr="00D13E2C">
        <w:t xml:space="preserve"> these goods and services are evolving.</w:t>
      </w:r>
      <w:r>
        <w:t xml:space="preserve"> </w:t>
      </w:r>
      <w:r w:rsidRPr="00D13E2C">
        <w:t xml:space="preserve">Uncertainty over whether an </w:t>
      </w:r>
      <w:r w:rsidR="00A148EA">
        <w:t>AI</w:t>
      </w:r>
      <w:r w:rsidR="00A148EA">
        <w:noBreakHyphen/>
        <w:t>enabled</w:t>
      </w:r>
      <w:r w:rsidRPr="00D13E2C">
        <w:t xml:space="preserve"> good or service has met the standards required under the consumer guarantees can be further complicated</w:t>
      </w:r>
      <w:r w:rsidR="0020273B">
        <w:t>, including</w:t>
      </w:r>
      <w:r w:rsidRPr="00D13E2C">
        <w:t xml:space="preserve"> in circumstances</w:t>
      </w:r>
      <w:r w:rsidR="0020273B">
        <w:t xml:space="preserve"> where</w:t>
      </w:r>
      <w:r w:rsidR="00674CD8">
        <w:t>:</w:t>
      </w:r>
    </w:p>
    <w:p w14:paraId="5942F9AB" w14:textId="2A787CB6" w:rsidR="0020273B" w:rsidRPr="0020273B" w:rsidRDefault="00BB117A" w:rsidP="0020273B">
      <w:pPr>
        <w:pStyle w:val="Bullet"/>
      </w:pPr>
      <w:r w:rsidRPr="00D13E2C">
        <w:t>the consumers’ input play</w:t>
      </w:r>
      <w:r>
        <w:t>s</w:t>
      </w:r>
      <w:r w:rsidRPr="00D13E2C">
        <w:t xml:space="preserve"> a role in the quality of the </w:t>
      </w:r>
      <w:r w:rsidR="00A148EA">
        <w:t>AI</w:t>
      </w:r>
      <w:r w:rsidR="00A148EA">
        <w:noBreakHyphen/>
        <w:t>enabled</w:t>
      </w:r>
      <w:r w:rsidRPr="00D13E2C">
        <w:t xml:space="preserve"> output</w:t>
      </w:r>
      <w:r>
        <w:t>, for example</w:t>
      </w:r>
      <w:r w:rsidRPr="00D13E2C">
        <w:t xml:space="preserve"> </w:t>
      </w:r>
      <w:r>
        <w:t xml:space="preserve">in </w:t>
      </w:r>
      <w:r w:rsidRPr="00D13E2C">
        <w:t xml:space="preserve">voice-activated </w:t>
      </w:r>
      <w:r w:rsidR="00A148EA">
        <w:t>AI</w:t>
      </w:r>
      <w:r w:rsidR="00A148EA">
        <w:noBreakHyphen/>
        <w:t>enabled</w:t>
      </w:r>
      <w:r w:rsidRPr="00D13E2C">
        <w:t xml:space="preserve"> home assistants</w:t>
      </w:r>
      <w:r w:rsidR="009D7850" w:rsidRPr="00BC4B16">
        <w:t xml:space="preserve">, </w:t>
      </w:r>
      <w:r w:rsidR="00336E17" w:rsidRPr="00BC4B16">
        <w:t>or</w:t>
      </w:r>
      <w:r w:rsidR="00336E17">
        <w:t xml:space="preserve"> </w:t>
      </w:r>
    </w:p>
    <w:p w14:paraId="6463FCC9" w14:textId="3DF05996" w:rsidR="00BB117A" w:rsidRPr="00D13E2C" w:rsidRDefault="009D7850" w:rsidP="0020273B">
      <w:pPr>
        <w:pStyle w:val="Bullet"/>
      </w:pPr>
      <w:r w:rsidRPr="00BC4B16">
        <w:t xml:space="preserve">goods </w:t>
      </w:r>
      <w:r w:rsidR="0019071B" w:rsidRPr="00BC4B16">
        <w:t xml:space="preserve">or services </w:t>
      </w:r>
      <w:r w:rsidRPr="00BC4B16">
        <w:t xml:space="preserve">are capable of </w:t>
      </w:r>
      <w:r w:rsidR="001155A3" w:rsidRPr="00BC4B16">
        <w:t xml:space="preserve">adapting </w:t>
      </w:r>
      <w:r w:rsidR="00356C7D" w:rsidRPr="00BC4B16">
        <w:t xml:space="preserve">and </w:t>
      </w:r>
      <w:r w:rsidRPr="00BC4B16">
        <w:t xml:space="preserve">personalising outputs </w:t>
      </w:r>
      <w:r w:rsidR="00612D2A" w:rsidRPr="00BC4B16">
        <w:t>over time</w:t>
      </w:r>
      <w:r w:rsidR="00414874">
        <w:t>.</w:t>
      </w:r>
    </w:p>
    <w:p w14:paraId="6AE5974A" w14:textId="4414EC87" w:rsidR="00BB117A" w:rsidRPr="00D13E2C" w:rsidRDefault="00BB117A" w:rsidP="00BB117A">
      <w:r w:rsidRPr="00D13E2C">
        <w:t xml:space="preserve">A level of uncertainty is inherent in </w:t>
      </w:r>
      <w:r w:rsidR="00F47713">
        <w:t>principles</w:t>
      </w:r>
      <w:r w:rsidR="00F47713">
        <w:noBreakHyphen/>
        <w:t>based</w:t>
      </w:r>
      <w:r w:rsidR="00D45ABC">
        <w:t xml:space="preserve"> laws</w:t>
      </w:r>
      <w:r w:rsidRPr="00D13E2C">
        <w:t xml:space="preserve">, particularly in the context of new and emerging technologies. The alternative would be a prescriptive approach with laws that specify obligations and duties. While this approach may be relatively clear for a time, its inherent inflexibility may mean the law does not respond to </w:t>
      </w:r>
      <w:r>
        <w:t>market developments</w:t>
      </w:r>
      <w:r w:rsidRPr="00D13E2C">
        <w:t xml:space="preserve">, leading to gaps. The ACL’s </w:t>
      </w:r>
      <w:r w:rsidR="00DE5D42">
        <w:t>principles</w:t>
      </w:r>
      <w:r w:rsidR="00DE5D42">
        <w:noBreakHyphen/>
        <w:t>based</w:t>
      </w:r>
      <w:r w:rsidR="00DE5D42" w:rsidRPr="00D13E2C">
        <w:t xml:space="preserve"> </w:t>
      </w:r>
      <w:r w:rsidRPr="00D13E2C">
        <w:t xml:space="preserve">approach has, to date, largely avoided such technology specific gaps emerging, reducing the need for regular amendment. </w:t>
      </w:r>
      <w:r w:rsidRPr="00D13E2C" w:rsidDel="000A3401">
        <w:t xml:space="preserve">As </w:t>
      </w:r>
      <w:r w:rsidRPr="00D13E2C">
        <w:t xml:space="preserve">consumers, manufacturers and suppliers become familiar with new technology and as markets mature, uncertainty in the application of </w:t>
      </w:r>
      <w:r w:rsidR="00F47713">
        <w:t>principles</w:t>
      </w:r>
      <w:r w:rsidR="00F47713">
        <w:noBreakHyphen/>
        <w:t>based</w:t>
      </w:r>
      <w:r w:rsidRPr="00D13E2C">
        <w:t xml:space="preserve"> consumer guarantees is expected to reduce.</w:t>
      </w:r>
    </w:p>
    <w:p w14:paraId="04E9DDC9" w14:textId="76F145B4" w:rsidR="00BB117A" w:rsidRPr="00D13E2C" w:rsidRDefault="00BB117A" w:rsidP="00BB117A">
      <w:r w:rsidRPr="00D13E2C">
        <w:t xml:space="preserve">In addition to </w:t>
      </w:r>
      <w:r>
        <w:t>the</w:t>
      </w:r>
      <w:r w:rsidRPr="00D13E2C">
        <w:t xml:space="preserve"> </w:t>
      </w:r>
      <w:r>
        <w:t>expected</w:t>
      </w:r>
      <w:r w:rsidRPr="00D13E2C">
        <w:t xml:space="preserve"> reduction of uncertainty over time, the consideration by courts of matters involving </w:t>
      </w:r>
      <w:r w:rsidR="00A148EA">
        <w:t>AI</w:t>
      </w:r>
      <w:r w:rsidR="00A148EA">
        <w:noBreakHyphen/>
        <w:t>enabled</w:t>
      </w:r>
      <w:r w:rsidRPr="00D13E2C">
        <w:t xml:space="preserve"> goods and services produces </w:t>
      </w:r>
      <w:r>
        <w:t>case law</w:t>
      </w:r>
      <w:r w:rsidRPr="00D13E2C">
        <w:t xml:space="preserve"> to guide interpretation and provide clarity. While judicial consideration of certain aspects of the </w:t>
      </w:r>
      <w:r>
        <w:t xml:space="preserve">ACL </w:t>
      </w:r>
      <w:r w:rsidRPr="00D13E2C">
        <w:t xml:space="preserve">framework remains sparse, this is likely to change in future as a result of reforms </w:t>
      </w:r>
      <w:r>
        <w:t>being progressed</w:t>
      </w:r>
      <w:r w:rsidRPr="00D13E2C">
        <w:t xml:space="preserve"> to </w:t>
      </w:r>
      <w:r>
        <w:t>amend</w:t>
      </w:r>
      <w:r w:rsidRPr="00D13E2C">
        <w:t xml:space="preserve"> the consumer guarantee and supplier indemnification regime. These reforms include</w:t>
      </w:r>
      <w:r>
        <w:t xml:space="preserve"> the introduction of</w:t>
      </w:r>
      <w:r w:rsidRPr="00D13E2C">
        <w:t xml:space="preserve"> </w:t>
      </w:r>
      <w:r w:rsidR="00280B72" w:rsidRPr="00BC4B16">
        <w:t>contraventions</w:t>
      </w:r>
      <w:r w:rsidRPr="00BC4B16">
        <w:t xml:space="preserve"> for </w:t>
      </w:r>
      <w:r w:rsidR="00280B72" w:rsidRPr="00BC4B16">
        <w:t xml:space="preserve">failing to provide </w:t>
      </w:r>
      <w:r w:rsidRPr="00BC4B16">
        <w:t xml:space="preserve">the </w:t>
      </w:r>
      <w:r w:rsidR="00280B72" w:rsidRPr="00BC4B16">
        <w:t xml:space="preserve">remedies businesses are required to under </w:t>
      </w:r>
      <w:r w:rsidR="00C37B2B" w:rsidRPr="00BC4B16">
        <w:t xml:space="preserve">the </w:t>
      </w:r>
      <w:r w:rsidR="00280B72" w:rsidRPr="00BC4B16">
        <w:t xml:space="preserve">consumer guarantee </w:t>
      </w:r>
      <w:r w:rsidRPr="00BC4B16">
        <w:t xml:space="preserve">and </w:t>
      </w:r>
      <w:r w:rsidR="00280B72" w:rsidRPr="00BC4B16">
        <w:t>supplier indemnification regime. ACL</w:t>
      </w:r>
      <w:r w:rsidRPr="00BC4B16">
        <w:t xml:space="preserve"> regulators</w:t>
      </w:r>
      <w:r w:rsidR="00280B72" w:rsidRPr="00BC4B16">
        <w:t xml:space="preserve"> would be able</w:t>
      </w:r>
      <w:r w:rsidRPr="00D13E2C">
        <w:t xml:space="preserve"> to </w:t>
      </w:r>
      <w:r>
        <w:t xml:space="preserve">pursue litigation for </w:t>
      </w:r>
      <w:r w:rsidR="00280B72" w:rsidRPr="00BC4B16">
        <w:t>alleged</w:t>
      </w:r>
      <w:r w:rsidR="00280B72">
        <w:t xml:space="preserve"> </w:t>
      </w:r>
      <w:r>
        <w:t xml:space="preserve">breaches of the provisions. </w:t>
      </w:r>
      <w:r w:rsidRPr="00D13E2C">
        <w:t xml:space="preserve">The ACCC has indicated that these reforms will </w:t>
      </w:r>
      <w:r w:rsidR="00664D78" w:rsidRPr="00BC4B16">
        <w:t>likely</w:t>
      </w:r>
      <w:r w:rsidRPr="00D13E2C">
        <w:t xml:space="preserve"> result in new jurisprudence that ACL regulators and businesses could integrate into their compliance approaches.</w:t>
      </w:r>
      <w:r w:rsidRPr="00D13E2C">
        <w:rPr>
          <w:rStyle w:val="FootnoteReference"/>
        </w:rPr>
        <w:footnoteReference w:id="49"/>
      </w:r>
    </w:p>
    <w:p w14:paraId="1AEE0AB7" w14:textId="3AC4E954" w:rsidR="00BB117A" w:rsidRPr="00D13E2C" w:rsidRDefault="00081F97" w:rsidP="00BB117A">
      <w:pPr>
        <w:pStyle w:val="Heading2"/>
      </w:pPr>
      <w:bookmarkStart w:id="25" w:name="_Toc190091948"/>
      <w:bookmarkStart w:id="26" w:name="_Toc192160551"/>
      <w:r>
        <w:t>E</w:t>
      </w:r>
      <w:r w:rsidR="00BB117A" w:rsidRPr="00D13E2C">
        <w:t>ducation</w:t>
      </w:r>
      <w:bookmarkEnd w:id="25"/>
      <w:r>
        <w:t xml:space="preserve"> and g</w:t>
      </w:r>
      <w:r w:rsidRPr="00D13E2C">
        <w:t>uidanc</w:t>
      </w:r>
      <w:r>
        <w:t>e</w:t>
      </w:r>
      <w:bookmarkEnd w:id="26"/>
    </w:p>
    <w:p w14:paraId="391DC5C7" w14:textId="72CA48B1" w:rsidR="00BB117A" w:rsidRPr="00D13E2C" w:rsidRDefault="00BB117A" w:rsidP="00BB117A">
      <w:r w:rsidRPr="00D13E2C">
        <w:t xml:space="preserve">Regulatory guidance materials </w:t>
      </w:r>
      <w:r>
        <w:t>articulate</w:t>
      </w:r>
      <w:r w:rsidRPr="00D13E2C">
        <w:t xml:space="preserve"> the regulatory decision-making process and how a regulator administers the law for which it is responsible. By comparison, education materials are more general in nature and are aimed at informing or teaching the public about a general topic or concept. Appropriately targeted and reliable education and </w:t>
      </w:r>
      <w:r w:rsidR="000543FE">
        <w:t xml:space="preserve">regulatory </w:t>
      </w:r>
      <w:r w:rsidRPr="00D13E2C">
        <w:t xml:space="preserve">guidance materials can be a flexible and timely way for responsible agencies to inform consumers and businesses about the application of existing regulatory frameworks to new and emerging technologies. </w:t>
      </w:r>
    </w:p>
    <w:p w14:paraId="46393F14" w14:textId="6DAFE00A" w:rsidR="00BB117A" w:rsidRPr="00D13E2C" w:rsidRDefault="00BB117A" w:rsidP="00BB117A">
      <w:r w:rsidRPr="00D13E2C">
        <w:t xml:space="preserve">There was considerable support among stakeholders for education materials </w:t>
      </w:r>
      <w:r w:rsidR="00081F97">
        <w:t xml:space="preserve">and/or </w:t>
      </w:r>
      <w:r w:rsidR="00D14D1C">
        <w:t xml:space="preserve">regulatory </w:t>
      </w:r>
      <w:r w:rsidR="00081F97" w:rsidRPr="00D13E2C">
        <w:t xml:space="preserve">guidance </w:t>
      </w:r>
      <w:r w:rsidRPr="00D13E2C">
        <w:t>t</w:t>
      </w:r>
      <w:r w:rsidR="00684BC7">
        <w:t>hat</w:t>
      </w:r>
      <w:r w:rsidRPr="00D13E2C">
        <w:t xml:space="preserve"> clarif</w:t>
      </w:r>
      <w:r w:rsidR="00684BC7">
        <w:t>ies</w:t>
      </w:r>
      <w:r w:rsidRPr="00D13E2C">
        <w:t xml:space="preserve"> how the ACL applies to </w:t>
      </w:r>
      <w:r>
        <w:t>software-</w:t>
      </w:r>
      <w:r w:rsidRPr="00D13E2C">
        <w:t xml:space="preserve"> and </w:t>
      </w:r>
      <w:r w:rsidR="00A148EA">
        <w:t>AI</w:t>
      </w:r>
      <w:r w:rsidR="00A148EA">
        <w:noBreakHyphen/>
        <w:t>enabled</w:t>
      </w:r>
      <w:r w:rsidRPr="00D13E2C">
        <w:t xml:space="preserve"> goods and services. Stakeholders commented that education </w:t>
      </w:r>
      <w:r w:rsidR="00936FC3">
        <w:t>and guidance</w:t>
      </w:r>
      <w:r w:rsidRPr="00D13E2C">
        <w:t xml:space="preserve"> can help consumers to understand their rights and empower them </w:t>
      </w:r>
      <w:r>
        <w:t xml:space="preserve">with the </w:t>
      </w:r>
      <w:r w:rsidRPr="00D13E2C">
        <w:t>knowledge to make informed decisions</w:t>
      </w:r>
      <w:r w:rsidR="00B3792A" w:rsidRPr="00BC4B16">
        <w:t xml:space="preserve">, particularly </w:t>
      </w:r>
      <w:r w:rsidR="00F136D8" w:rsidRPr="00BC4B16">
        <w:t xml:space="preserve">in circumstances where </w:t>
      </w:r>
      <w:r w:rsidR="005718EF" w:rsidRPr="00BC4B16">
        <w:t xml:space="preserve">aspects of </w:t>
      </w:r>
      <w:r w:rsidR="003649B9" w:rsidRPr="00BC4B16">
        <w:t xml:space="preserve">the </w:t>
      </w:r>
      <w:r w:rsidR="005718EF" w:rsidRPr="00BC4B16">
        <w:t xml:space="preserve">existing consumer guarantees may be less readily </w:t>
      </w:r>
      <w:r w:rsidR="00823449" w:rsidRPr="00BC4B16">
        <w:t xml:space="preserve">understood </w:t>
      </w:r>
      <w:r w:rsidR="00995C47" w:rsidRPr="00BC4B16">
        <w:t xml:space="preserve">in their application </w:t>
      </w:r>
      <w:r w:rsidR="00995C47" w:rsidRPr="00BC4B16">
        <w:lastRenderedPageBreak/>
        <w:t>to software</w:t>
      </w:r>
      <w:r w:rsidR="004217A7" w:rsidRPr="00BC4B16">
        <w:noBreakHyphen/>
      </w:r>
      <w:r w:rsidR="00995C47" w:rsidRPr="00BC4B16">
        <w:t>enabled good</w:t>
      </w:r>
      <w:r w:rsidR="00D8512A" w:rsidRPr="00BC4B16">
        <w:t>s</w:t>
      </w:r>
      <w:r w:rsidR="00995C47" w:rsidRPr="00BC4B16">
        <w:t xml:space="preserve"> and services</w:t>
      </w:r>
      <w:r w:rsidRPr="00D13E2C">
        <w:t xml:space="preserve">. It may also help manufacturers </w:t>
      </w:r>
      <w:r>
        <w:t xml:space="preserve">and suppliers </w:t>
      </w:r>
      <w:r w:rsidRPr="00D13E2C">
        <w:t xml:space="preserve">understand their obligations. It was suggested that </w:t>
      </w:r>
      <w:r w:rsidR="008251AA">
        <w:t>additional education</w:t>
      </w:r>
      <w:r w:rsidR="008251AA" w:rsidRPr="00D13E2C">
        <w:t xml:space="preserve"> </w:t>
      </w:r>
      <w:r w:rsidR="008251AA">
        <w:t>materials</w:t>
      </w:r>
      <w:r w:rsidR="008251AA" w:rsidRPr="00D13E2C">
        <w:t xml:space="preserve"> </w:t>
      </w:r>
      <w:r w:rsidR="008251AA">
        <w:t>or</w:t>
      </w:r>
      <w:r w:rsidRPr="00D13E2C">
        <w:t xml:space="preserve"> greater guidance</w:t>
      </w:r>
      <w:r>
        <w:t xml:space="preserve"> </w:t>
      </w:r>
      <w:r w:rsidRPr="00D13E2C">
        <w:t xml:space="preserve">may increase consumers’ willingness to adopt </w:t>
      </w:r>
      <w:r w:rsidR="00A148EA">
        <w:t>AI</w:t>
      </w:r>
      <w:r w:rsidR="00A148EA">
        <w:noBreakHyphen/>
        <w:t>enabled</w:t>
      </w:r>
      <w:r>
        <w:t xml:space="preserve"> goods and services</w:t>
      </w:r>
      <w:r w:rsidRPr="00D13E2C">
        <w:t xml:space="preserve">, allowing the benefits </w:t>
      </w:r>
      <w:r>
        <w:t xml:space="preserve">of AI </w:t>
      </w:r>
      <w:r w:rsidRPr="00D13E2C">
        <w:t>to be more readily realised by consumers and businesses.</w:t>
      </w:r>
    </w:p>
    <w:p w14:paraId="1D35CFAA" w14:textId="0751FF8C" w:rsidR="00BB117A" w:rsidRPr="00D13E2C" w:rsidRDefault="00BF743F" w:rsidP="00BB117A">
      <w:r w:rsidRPr="00BC4B16">
        <w:t>F</w:t>
      </w:r>
      <w:r w:rsidR="00BB117A" w:rsidRPr="00BC4B16">
        <w:t xml:space="preserve">eedback received during the course of the Review suggests that additional </w:t>
      </w:r>
      <w:r w:rsidR="004B5120" w:rsidRPr="00BC4B16">
        <w:t>ACCC-published</w:t>
      </w:r>
      <w:r w:rsidR="00BB117A" w:rsidRPr="00BC4B16">
        <w:t xml:space="preserve"> educational materials </w:t>
      </w:r>
      <w:r w:rsidR="00135B7D" w:rsidRPr="00BC4B16">
        <w:t xml:space="preserve">may </w:t>
      </w:r>
      <w:r w:rsidR="0062795B" w:rsidRPr="00BC4B16">
        <w:t>deliver an immediate benefit</w:t>
      </w:r>
      <w:r w:rsidR="00BB117A" w:rsidRPr="00BC4B16">
        <w:t xml:space="preserve">. </w:t>
      </w:r>
      <w:r w:rsidR="00FC546A" w:rsidRPr="00BC4B16">
        <w:t xml:space="preserve">While stakeholders </w:t>
      </w:r>
      <w:r w:rsidR="004C284F" w:rsidRPr="00BC4B16">
        <w:t xml:space="preserve">commented on the potential benefit of educational materials in relation to the application of the ACL to AI-enabled goods and services specifically, </w:t>
      </w:r>
      <w:r w:rsidR="004C5768" w:rsidRPr="00BC4B16">
        <w:t>it is likely that</w:t>
      </w:r>
      <w:r w:rsidR="0060459B" w:rsidRPr="00BC4B16">
        <w:t xml:space="preserve"> these benefits could be realised through</w:t>
      </w:r>
      <w:r w:rsidR="0036190C" w:rsidRPr="00BC4B16">
        <w:t xml:space="preserve"> </w:t>
      </w:r>
      <w:r w:rsidR="000E19EC" w:rsidRPr="00BC4B16">
        <w:t xml:space="preserve">additional </w:t>
      </w:r>
      <w:r w:rsidR="0060459B" w:rsidRPr="00BC4B16">
        <w:t xml:space="preserve">education materials relating to </w:t>
      </w:r>
      <w:r w:rsidR="00DA2635" w:rsidRPr="00BC4B16">
        <w:t>a</w:t>
      </w:r>
      <w:r w:rsidR="00FC546A" w:rsidRPr="00BC4B16">
        <w:t xml:space="preserve"> broader class of software-enabled goods and services</w:t>
      </w:r>
      <w:r w:rsidR="00DA2635" w:rsidRPr="00BC4B16">
        <w:t xml:space="preserve">. </w:t>
      </w:r>
      <w:r w:rsidR="00BB117A" w:rsidRPr="00BC4B16">
        <w:t xml:space="preserve">The Review observed that </w:t>
      </w:r>
      <w:r w:rsidR="007C6F8A" w:rsidRPr="00BC4B16">
        <w:t>existing</w:t>
      </w:r>
      <w:r w:rsidR="00BB117A" w:rsidRPr="00BC4B16">
        <w:t xml:space="preserve"> </w:t>
      </w:r>
      <w:r w:rsidR="00C177B1" w:rsidRPr="00BC4B16">
        <w:t>ACCC-</w:t>
      </w:r>
      <w:r w:rsidR="00BB117A" w:rsidRPr="00BC4B16">
        <w:t xml:space="preserve">published education materials relating to the ACL currently have few references to software-enabled goods and services, tending </w:t>
      </w:r>
      <w:r w:rsidR="00C177B1" w:rsidRPr="00BC4B16">
        <w:t xml:space="preserve">instead </w:t>
      </w:r>
      <w:r w:rsidR="00BB117A" w:rsidRPr="00BC4B16">
        <w:t>to provide examples</w:t>
      </w:r>
      <w:r w:rsidR="00BB117A" w:rsidRPr="00D13E2C">
        <w:t xml:space="preserve"> involving traditional goods and services. While acknowledging that educational materials cannot be published to address every type of possible transaction to which the ACL may apply, there may be scope to make </w:t>
      </w:r>
      <w:r w:rsidR="00BB117A">
        <w:t>these materials</w:t>
      </w:r>
      <w:r w:rsidR="00BB117A" w:rsidRPr="00D13E2C">
        <w:t xml:space="preserve"> more representative for the increasing number of consumers acquiring software-enabled goods and services, including </w:t>
      </w:r>
      <w:r w:rsidR="00A148EA">
        <w:t>AI</w:t>
      </w:r>
      <w:r w:rsidR="00A148EA">
        <w:noBreakHyphen/>
        <w:t>enabled</w:t>
      </w:r>
      <w:r w:rsidR="00BB117A" w:rsidRPr="00D13E2C">
        <w:t xml:space="preserve"> goods and services. For example, while </w:t>
      </w:r>
      <w:r w:rsidR="00BB117A">
        <w:t>less</w:t>
      </w:r>
      <w:r w:rsidR="00BB117A" w:rsidRPr="00D13E2C">
        <w:t xml:space="preserve"> than half of Australian adults (47%) had smart devices such as smart TVs, wearables or smart speakers in 2018, this figure ha</w:t>
      </w:r>
      <w:r w:rsidR="00BB117A">
        <w:t>d</w:t>
      </w:r>
      <w:r w:rsidR="00BB117A" w:rsidRPr="00D13E2C">
        <w:t xml:space="preserve"> risen to 83% </w:t>
      </w:r>
      <w:r w:rsidR="00BB117A">
        <w:t>by</w:t>
      </w:r>
      <w:r w:rsidR="00BB117A" w:rsidRPr="00D13E2C">
        <w:t xml:space="preserve"> 2022.</w:t>
      </w:r>
      <w:r w:rsidR="00BB117A" w:rsidRPr="00D13E2C">
        <w:rPr>
          <w:rStyle w:val="FootnoteReference"/>
        </w:rPr>
        <w:footnoteReference w:id="50"/>
      </w:r>
      <w:r w:rsidR="00BB117A" w:rsidRPr="00D13E2C">
        <w:t xml:space="preserve"> It is expected that such an approach may increase consumer confidence generally in understanding how the ACL may apply to software-enabled goods and services, including those which are </w:t>
      </w:r>
      <w:r w:rsidR="00A148EA">
        <w:t>AI</w:t>
      </w:r>
      <w:r w:rsidR="00A148EA">
        <w:noBreakHyphen/>
        <w:t>enabled</w:t>
      </w:r>
      <w:r w:rsidR="00BB117A" w:rsidRPr="00D13E2C">
        <w:t xml:space="preserve">. </w:t>
      </w:r>
    </w:p>
    <w:p w14:paraId="346C67BA" w14:textId="2E9B7127" w:rsidR="00BB117A" w:rsidRPr="00D13E2C" w:rsidRDefault="000B339B" w:rsidP="00BB117A">
      <w:r w:rsidRPr="00BC4B16">
        <w:t>U</w:t>
      </w:r>
      <w:r w:rsidR="004B5630" w:rsidRPr="00BC4B16">
        <w:t xml:space="preserve">ncertainty over the application of the ACL to </w:t>
      </w:r>
      <w:r w:rsidR="002E006C" w:rsidRPr="00BC4B16">
        <w:t xml:space="preserve">software-enabled goods and services, including AI-enabled goods and services may also be reduced through additional </w:t>
      </w:r>
      <w:r w:rsidR="00E8637F" w:rsidRPr="00BC4B16">
        <w:t xml:space="preserve">regulatory </w:t>
      </w:r>
      <w:r w:rsidR="00BB117A" w:rsidRPr="00BC4B16">
        <w:t>guidance</w:t>
      </w:r>
      <w:r w:rsidR="002E006C" w:rsidRPr="00BC4B16">
        <w:t>. However, regulatory guidance is only beneficial where it is</w:t>
      </w:r>
      <w:r w:rsidR="00BB117A" w:rsidRPr="00BC4B16">
        <w:t xml:space="preserve"> reliable</w:t>
      </w:r>
      <w:r w:rsidR="0065130C" w:rsidRPr="00BC4B16">
        <w:t xml:space="preserve"> and up-to-date.</w:t>
      </w:r>
      <w:r w:rsidR="00087307" w:rsidRPr="00BC4B16">
        <w:t xml:space="preserve"> A</w:t>
      </w:r>
      <w:r w:rsidR="00544DCF" w:rsidRPr="00BC4B16">
        <w:t>s a result, additional guidance in this context is likely to be</w:t>
      </w:r>
      <w:r w:rsidR="00BB117A" w:rsidRPr="00BC4B16">
        <w:t xml:space="preserve"> of </w:t>
      </w:r>
      <w:r w:rsidR="00D842A8" w:rsidRPr="00BC4B16">
        <w:t>most</w:t>
      </w:r>
      <w:r w:rsidR="00BB117A" w:rsidRPr="00BC4B16">
        <w:t xml:space="preserve"> value to consumers, manufacturers and suppliers once the regulatory ecosystem applying to these goods and services settles and reform processes currently underway, including in relation to the use of AI in high-risk settings, are concluded.</w:t>
      </w:r>
    </w:p>
    <w:tbl>
      <w:tblPr>
        <w:tblpPr w:leftFromText="180" w:rightFromText="180" w:vertAnchor="text" w:horzAnchor="margin" w:tblpY="-6"/>
        <w:tblW w:w="5000" w:type="pct"/>
        <w:shd w:val="clear" w:color="auto" w:fill="FEF8F4"/>
        <w:tblCellMar>
          <w:top w:w="227" w:type="dxa"/>
          <w:left w:w="227" w:type="dxa"/>
          <w:bottom w:w="227" w:type="dxa"/>
          <w:right w:w="227" w:type="dxa"/>
        </w:tblCellMar>
        <w:tblLook w:val="0600" w:firstRow="0" w:lastRow="0" w:firstColumn="0" w:lastColumn="0" w:noHBand="1" w:noVBand="1"/>
      </w:tblPr>
      <w:tblGrid>
        <w:gridCol w:w="9072"/>
      </w:tblGrid>
      <w:tr w:rsidR="00BB117A" w:rsidRPr="00D13E2C" w14:paraId="69173F45" w14:textId="77777777" w:rsidTr="00D1010F">
        <w:tc>
          <w:tcPr>
            <w:tcW w:w="5000" w:type="pct"/>
            <w:shd w:val="clear" w:color="auto" w:fill="FCEEE5" w:themeFill="accent6" w:themeFillTint="33"/>
          </w:tcPr>
          <w:p w14:paraId="3DD42289" w14:textId="77777777" w:rsidR="00BB117A" w:rsidRPr="00D13E2C" w:rsidRDefault="00BB117A">
            <w:pPr>
              <w:pStyle w:val="BoxHeading"/>
              <w:rPr>
                <w:b w:val="0"/>
                <w:color w:val="auto"/>
                <w:sz w:val="22"/>
                <w:szCs w:val="20"/>
              </w:rPr>
            </w:pPr>
            <w:r w:rsidRPr="00D13E2C">
              <w:t>Finding 2</w:t>
            </w:r>
          </w:p>
          <w:p w14:paraId="0E3DC50E" w14:textId="1990220E" w:rsidR="00BB117A" w:rsidRPr="00D13E2C" w:rsidRDefault="00BB117A">
            <w:pPr>
              <w:pStyle w:val="OutlineNumbered1"/>
              <w:numPr>
                <w:ilvl w:val="0"/>
                <w:numId w:val="0"/>
              </w:numPr>
            </w:pPr>
            <w:r w:rsidRPr="00D13E2C">
              <w:t xml:space="preserve">Uncertainty regarding the distinction between goods and services, including </w:t>
            </w:r>
            <w:r w:rsidR="00A148EA">
              <w:t>AI</w:t>
            </w:r>
            <w:r w:rsidR="00A148EA">
              <w:noBreakHyphen/>
              <w:t>enabled</w:t>
            </w:r>
            <w:r w:rsidRPr="00D13E2C">
              <w:t xml:space="preserve"> goods and services, present</w:t>
            </w:r>
            <w:r>
              <w:t>s</w:t>
            </w:r>
            <w:r w:rsidRPr="00D13E2C">
              <w:t xml:space="preserve"> a barrier to applying the ACL to new and emerging technologies. This uncertainty may be reduced through:</w:t>
            </w:r>
          </w:p>
          <w:p w14:paraId="72BD510C" w14:textId="6BD81FBB" w:rsidR="00BB117A" w:rsidRPr="00D13E2C" w:rsidRDefault="00BB117A">
            <w:pPr>
              <w:pStyle w:val="Bullet"/>
            </w:pPr>
            <w:r w:rsidRPr="00D13E2C">
              <w:t xml:space="preserve">targeted amendments to the </w:t>
            </w:r>
            <w:r w:rsidR="00281942">
              <w:t xml:space="preserve">legislated </w:t>
            </w:r>
            <w:r w:rsidR="002C6D11">
              <w:t>list of items expressly</w:t>
            </w:r>
            <w:r w:rsidR="001822AE">
              <w:t xml:space="preserve"> </w:t>
            </w:r>
            <w:r w:rsidR="00B732A5">
              <w:t xml:space="preserve">included </w:t>
            </w:r>
            <w:r w:rsidR="0090681D">
              <w:t xml:space="preserve">in the </w:t>
            </w:r>
            <w:r w:rsidRPr="00D13E2C">
              <w:t>definition of ‘goods’ in the ACL</w:t>
            </w:r>
            <w:r w:rsidR="00B829AD">
              <w:t>,</w:t>
            </w:r>
            <w:r w:rsidRPr="00D13E2C">
              <w:t xml:space="preserve"> and</w:t>
            </w:r>
          </w:p>
          <w:p w14:paraId="63DB2494" w14:textId="39D7D807" w:rsidR="008D07F6" w:rsidRPr="00D13E2C" w:rsidRDefault="00BB117A" w:rsidP="004909D2">
            <w:pPr>
              <w:pStyle w:val="Bullet"/>
            </w:pPr>
            <w:r w:rsidRPr="004909D2">
              <w:t>updating</w:t>
            </w:r>
            <w:r w:rsidR="005D1762" w:rsidRPr="004909D2">
              <w:t xml:space="preserve"> education </w:t>
            </w:r>
            <w:r w:rsidR="00E241C5" w:rsidRPr="004909D2">
              <w:t>materials and</w:t>
            </w:r>
            <w:r w:rsidR="00681F1B" w:rsidRPr="004909D2">
              <w:t xml:space="preserve"> </w:t>
            </w:r>
            <w:r w:rsidRPr="004909D2">
              <w:t>regulatory guidance to provide greater clarity on the application of the ACL to software-enabled goods and services</w:t>
            </w:r>
            <w:r w:rsidR="008D07F6" w:rsidRPr="004909D2">
              <w:t>, including AI-enabled goods and services</w:t>
            </w:r>
            <w:r w:rsidR="004909D2">
              <w:t>.</w:t>
            </w:r>
          </w:p>
        </w:tc>
      </w:tr>
    </w:tbl>
    <w:p w14:paraId="63626EAA" w14:textId="77A5E020" w:rsidR="003C7B2D" w:rsidRDefault="00BB117A" w:rsidP="00CE09D6">
      <w:pPr>
        <w:pStyle w:val="Heading1Numbered"/>
      </w:pPr>
      <w:bookmarkStart w:id="27" w:name="_Toc192160552"/>
      <w:r>
        <w:lastRenderedPageBreak/>
        <w:t>Accessing remedies</w:t>
      </w:r>
      <w:bookmarkEnd w:id="27"/>
    </w:p>
    <w:p w14:paraId="6B3E0E9F" w14:textId="77777777" w:rsidR="003F1419" w:rsidRDefault="003F1419" w:rsidP="003F1419">
      <w:r w:rsidRPr="00D13E2C">
        <w:t xml:space="preserve">It is critical for consumers to be able to </w:t>
      </w:r>
      <w:r>
        <w:t xml:space="preserve">effectively </w:t>
      </w:r>
      <w:r w:rsidRPr="00D13E2C">
        <w:t>assert their rights, and for manufacturers and suppliers to understand their obligations under the ACL. Ensuring a clear understanding of rights, remedies and obligations is particularly important to encourage uptake of AI by consumers and across the supply chain.</w:t>
      </w:r>
    </w:p>
    <w:p w14:paraId="46C3D283" w14:textId="7D09DD5D" w:rsidR="003F1419" w:rsidRDefault="003F1419" w:rsidP="003F1419">
      <w:pPr>
        <w:pStyle w:val="SingleParagraph"/>
      </w:pPr>
      <w:r w:rsidRPr="00A70A01">
        <w:t xml:space="preserve">This </w:t>
      </w:r>
      <w:r w:rsidRPr="00D13E2C">
        <w:t>chapter</w:t>
      </w:r>
      <w:r w:rsidRPr="00A70A01" w:rsidDel="004C5A21">
        <w:t xml:space="preserve"> </w:t>
      </w:r>
      <w:r w:rsidRPr="00A70A01">
        <w:t>examines</w:t>
      </w:r>
      <w:r>
        <w:t xml:space="preserve"> the appropriateness of remedies under the ACL for consumers of </w:t>
      </w:r>
      <w:r w:rsidR="00A148EA">
        <w:t>AI</w:t>
      </w:r>
      <w:r w:rsidR="00A148EA">
        <w:noBreakHyphen/>
        <w:t>enabled</w:t>
      </w:r>
      <w:r>
        <w:t xml:space="preserve"> goods and services, </w:t>
      </w:r>
      <w:r w:rsidRPr="00A70A01">
        <w:t xml:space="preserve">barriers </w:t>
      </w:r>
      <w:r>
        <w:t>faced by</w:t>
      </w:r>
      <w:r w:rsidRPr="00A70A01">
        <w:t xml:space="preserve"> consumers </w:t>
      </w:r>
      <w:r>
        <w:t xml:space="preserve">in </w:t>
      </w:r>
      <w:r w:rsidRPr="00A70A01">
        <w:t>accessing those</w:t>
      </w:r>
      <w:r>
        <w:t xml:space="preserve"> remedies, supply chain complexities and the distribution of liability across those supply chains. The chapter concludes with a consideration of the functioning of relevant defences available for manufacturers of </w:t>
      </w:r>
      <w:r w:rsidR="00A148EA">
        <w:t>AI</w:t>
      </w:r>
      <w:r w:rsidR="00A148EA">
        <w:noBreakHyphen/>
        <w:t>enabled</w:t>
      </w:r>
      <w:r>
        <w:t xml:space="preserve"> goods with safety defects.</w:t>
      </w:r>
    </w:p>
    <w:p w14:paraId="616FC308" w14:textId="77777777" w:rsidR="003F1419" w:rsidRPr="00D13E2C" w:rsidRDefault="003F1419" w:rsidP="003F1419">
      <w:pPr>
        <w:pStyle w:val="Heading2"/>
      </w:pPr>
      <w:bookmarkStart w:id="28" w:name="_Toc190091950"/>
      <w:bookmarkStart w:id="29" w:name="_Toc192160553"/>
      <w:r w:rsidRPr="00D13E2C">
        <w:t>Appropriateness of remedies</w:t>
      </w:r>
      <w:bookmarkEnd w:id="28"/>
      <w:bookmarkEnd w:id="29"/>
    </w:p>
    <w:p w14:paraId="1799E2C6" w14:textId="77777777" w:rsidR="003F1419" w:rsidRPr="00AE4392" w:rsidRDefault="003F1419" w:rsidP="003F1419">
      <w:pPr>
        <w:rPr>
          <w:bCs/>
        </w:rPr>
      </w:pPr>
      <w:r w:rsidRPr="00A43E28">
        <w:t xml:space="preserve">The ACL </w:t>
      </w:r>
      <w:r>
        <w:t>contains a range of remedies available when a business provides a good or service that does not meet consumer guarantees. These remedies may include a repair, replacement, refund or contract cancellation.</w:t>
      </w:r>
      <w:r>
        <w:rPr>
          <w:rStyle w:val="FootnoteReference"/>
        </w:rPr>
        <w:footnoteReference w:id="51"/>
      </w:r>
      <w:r>
        <w:t xml:space="preserve"> When a consumer suffers damage or loss because of such a failure, they are also entitled to seek compensation. The remedies available to a consumer where a good or service fails to meet a consumer guarantee depend on whether that failure is ‘major’ or ’minor’ and are summarised in</w:t>
      </w:r>
      <w:r w:rsidDel="00080580">
        <w:t xml:space="preserve"> </w:t>
      </w:r>
      <w:r w:rsidRPr="00DA4971">
        <w:t>Box </w:t>
      </w:r>
      <w:r>
        <w:t>2.</w:t>
      </w:r>
    </w:p>
    <w:tbl>
      <w:tblPr>
        <w:tblpPr w:leftFromText="180" w:rightFromText="180" w:vertAnchor="text" w:horzAnchor="margin" w:tblpY="50"/>
        <w:tblW w:w="5000" w:type="pct"/>
        <w:shd w:val="clear" w:color="auto" w:fill="F2F9FC"/>
        <w:tblCellMar>
          <w:top w:w="227" w:type="dxa"/>
          <w:left w:w="227" w:type="dxa"/>
          <w:bottom w:w="227" w:type="dxa"/>
          <w:right w:w="227" w:type="dxa"/>
        </w:tblCellMar>
        <w:tblLook w:val="0600" w:firstRow="0" w:lastRow="0" w:firstColumn="0" w:lastColumn="0" w:noHBand="1" w:noVBand="1"/>
      </w:tblPr>
      <w:tblGrid>
        <w:gridCol w:w="9072"/>
      </w:tblGrid>
      <w:tr w:rsidR="00D74220" w:rsidRPr="00D13E2C" w14:paraId="588B4C27" w14:textId="77777777" w:rsidTr="00D1010F">
        <w:tc>
          <w:tcPr>
            <w:tcW w:w="5000" w:type="pct"/>
            <w:shd w:val="clear" w:color="auto" w:fill="F2F9FC"/>
            <w:hideMark/>
          </w:tcPr>
          <w:p w14:paraId="482DCB33" w14:textId="77777777" w:rsidR="00D74220" w:rsidRPr="00D13E2C" w:rsidRDefault="00D74220" w:rsidP="00D74220">
            <w:pPr>
              <w:pStyle w:val="BoxHeading"/>
              <w:rPr>
                <w:sz w:val="28"/>
                <w:szCs w:val="28"/>
                <w:lang w:eastAsia="en-US"/>
              </w:rPr>
            </w:pPr>
            <w:r>
              <w:rPr>
                <w:noProof/>
                <w:sz w:val="28"/>
                <w:szCs w:val="28"/>
                <w:lang w:eastAsia="en-US"/>
              </w:rPr>
              <w:drawing>
                <wp:anchor distT="0" distB="0" distL="114300" distR="114300" simplePos="0" relativeHeight="251660288" behindDoc="1" locked="0" layoutInCell="1" allowOverlap="1" wp14:anchorId="72F55918" wp14:editId="7CFCE812">
                  <wp:simplePos x="0" y="0"/>
                  <wp:positionH relativeFrom="column">
                    <wp:posOffset>59690</wp:posOffset>
                  </wp:positionH>
                  <wp:positionV relativeFrom="paragraph">
                    <wp:posOffset>96330</wp:posOffset>
                  </wp:positionV>
                  <wp:extent cx="360000" cy="360000"/>
                  <wp:effectExtent l="0" t="0" r="2540" b="2540"/>
                  <wp:wrapTight wrapText="bothSides">
                    <wp:wrapPolygon edited="0">
                      <wp:start x="4580" y="0"/>
                      <wp:lineTo x="0" y="5724"/>
                      <wp:lineTo x="1145" y="13739"/>
                      <wp:lineTo x="14883" y="19463"/>
                      <wp:lineTo x="14883" y="20608"/>
                      <wp:lineTo x="20608" y="20608"/>
                      <wp:lineTo x="20608" y="16028"/>
                      <wp:lineTo x="16028" y="5724"/>
                      <wp:lineTo x="11449" y="0"/>
                      <wp:lineTo x="4580" y="0"/>
                    </wp:wrapPolygon>
                  </wp:wrapTight>
                  <wp:docPr id="952728482" name="Graphic 952728482" descr="Small symbol displaying a magnifying glas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28482" name="Graphic 952728482" descr="Small symbol displaying a magnifying glass">
                            <a:extLst>
                              <a:ext uri="{C183D7F6-B498-43B3-948B-1728B52AA6E4}">
                                <adec:decorative xmlns:adec="http://schemas.microsoft.com/office/drawing/2017/decorative" val="0"/>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D13E2C">
              <w:rPr>
                <w:sz w:val="28"/>
                <w:szCs w:val="28"/>
                <w:lang w:eastAsia="en-US"/>
              </w:rPr>
              <w:t xml:space="preserve">Box </w:t>
            </w:r>
            <w:r>
              <w:rPr>
                <w:sz w:val="28"/>
                <w:szCs w:val="28"/>
                <w:lang w:eastAsia="en-US"/>
              </w:rPr>
              <w:t>2</w:t>
            </w:r>
            <w:r w:rsidRPr="00D13E2C">
              <w:rPr>
                <w:sz w:val="28"/>
                <w:szCs w:val="28"/>
                <w:lang w:eastAsia="en-US"/>
              </w:rPr>
              <w:t xml:space="preserve">: Consumer guarantees, failures and remedies </w:t>
            </w:r>
          </w:p>
          <w:p w14:paraId="1FD9520D" w14:textId="77777777" w:rsidR="00D74220" w:rsidRPr="00D13E2C" w:rsidRDefault="00D74220" w:rsidP="00D74220">
            <w:pPr>
              <w:pStyle w:val="Bullet"/>
              <w:numPr>
                <w:ilvl w:val="0"/>
                <w:numId w:val="0"/>
              </w:numPr>
              <w:spacing w:line="240" w:lineRule="atLeast"/>
            </w:pPr>
            <w:r w:rsidRPr="00D13E2C">
              <w:rPr>
                <w:bCs/>
              </w:rPr>
              <w:t>Major failures</w:t>
            </w:r>
            <w:r w:rsidRPr="005809B7">
              <w:rPr>
                <w:rStyle w:val="FootnoteReference"/>
              </w:rPr>
              <w:footnoteReference w:id="52"/>
            </w:r>
            <w:r w:rsidRPr="00D13E2C">
              <w:rPr>
                <w:bCs/>
              </w:rPr>
              <w:t xml:space="preserve"> </w:t>
            </w:r>
            <w:r w:rsidRPr="00D17177">
              <w:rPr>
                <w:bCs/>
              </w:rPr>
              <w:t xml:space="preserve">occur </w:t>
            </w:r>
            <w:r w:rsidRPr="00D17177">
              <w:t xml:space="preserve">where a </w:t>
            </w:r>
            <w:r w:rsidRPr="00BC4B16">
              <w:t>good is unsafe</w:t>
            </w:r>
            <w:r w:rsidRPr="00D17177">
              <w:t xml:space="preserve">, where a </w:t>
            </w:r>
            <w:r w:rsidRPr="00BC4B16">
              <w:t>good is significantly different</w:t>
            </w:r>
            <w:r w:rsidRPr="00D17177">
              <w:t xml:space="preserve"> from the description</w:t>
            </w:r>
            <w:r w:rsidRPr="00D13E2C">
              <w:t>, where the problem is such that the consumer would not have purchased the good or service if they had known about the problem, or where a good or service is not fit for its stated purpose, and cannot easily be fixed within a reasonable time.</w:t>
            </w:r>
          </w:p>
          <w:p w14:paraId="6F2D6D20" w14:textId="77777777" w:rsidR="00D74220" w:rsidRPr="00D13E2C" w:rsidRDefault="00D74220" w:rsidP="00D74220">
            <w:pPr>
              <w:spacing w:line="240" w:lineRule="atLeast"/>
            </w:pPr>
            <w:r w:rsidRPr="00D13E2C">
              <w:t xml:space="preserve">When there is a </w:t>
            </w:r>
            <w:r w:rsidRPr="00D23D10">
              <w:rPr>
                <w:b/>
                <w:bCs/>
              </w:rPr>
              <w:t>major</w:t>
            </w:r>
            <w:r w:rsidRPr="00D13E2C">
              <w:t xml:space="preserve"> failure with a </w:t>
            </w:r>
            <w:r w:rsidRPr="00D23D10">
              <w:rPr>
                <w:b/>
                <w:bCs/>
              </w:rPr>
              <w:t>good</w:t>
            </w:r>
            <w:r w:rsidRPr="00D13E2C">
              <w:t>, the consumer can choose to return the good for a refund or replacement or keep the good and seek compensation for the drop in value.</w:t>
            </w:r>
          </w:p>
          <w:p w14:paraId="3CC04B81" w14:textId="77777777" w:rsidR="00D74220" w:rsidRPr="00D13E2C" w:rsidRDefault="00D74220" w:rsidP="00D74220">
            <w:pPr>
              <w:spacing w:line="240" w:lineRule="atLeast"/>
              <w:rPr>
                <w:rFonts w:cs="Calibri Light"/>
              </w:rPr>
            </w:pPr>
            <w:r w:rsidRPr="00D13E2C">
              <w:t xml:space="preserve">When there is a </w:t>
            </w:r>
            <w:r w:rsidRPr="00D23D10">
              <w:rPr>
                <w:b/>
                <w:bCs/>
              </w:rPr>
              <w:t>major</w:t>
            </w:r>
            <w:r w:rsidRPr="00D13E2C">
              <w:t xml:space="preserve"> failure with a </w:t>
            </w:r>
            <w:r w:rsidRPr="00D23D10">
              <w:rPr>
                <w:b/>
                <w:bCs/>
              </w:rPr>
              <w:t>service</w:t>
            </w:r>
            <w:r w:rsidRPr="00D13E2C">
              <w:t>, the consumer can choose to cancel the contract and seek a refund for money paid, less a reasonable amount for any work done so far. Alternatively, they may keep the contract and negotiate a reduced price for the drop in value of the service</w:t>
            </w:r>
            <w:r w:rsidRPr="00D13E2C">
              <w:rPr>
                <w:rFonts w:cs="Calibri Light"/>
              </w:rPr>
              <w:t>.</w:t>
            </w:r>
          </w:p>
          <w:p w14:paraId="381D567A" w14:textId="77777777" w:rsidR="00D74220" w:rsidRPr="00D13E2C" w:rsidRDefault="00D74220" w:rsidP="00D74220">
            <w:pPr>
              <w:spacing w:line="240" w:lineRule="atLeast"/>
            </w:pPr>
            <w:r w:rsidRPr="00D13E2C">
              <w:t xml:space="preserve">If the failure is </w:t>
            </w:r>
            <w:r w:rsidRPr="00D23D10">
              <w:rPr>
                <w:b/>
                <w:bCs/>
              </w:rPr>
              <w:t>minor</w:t>
            </w:r>
            <w:r w:rsidRPr="00D13E2C">
              <w:t>, the seller or manufacturer can choose to provide a repair, replacement or refund, or, in the case of services, resupply.</w:t>
            </w:r>
          </w:p>
        </w:tc>
      </w:tr>
    </w:tbl>
    <w:p w14:paraId="13A06AC2" w14:textId="77777777" w:rsidR="008539C8" w:rsidRPr="00D13E2C" w:rsidRDefault="008539C8" w:rsidP="008539C8">
      <w:pPr>
        <w:pStyle w:val="Bullet"/>
        <w:numPr>
          <w:ilvl w:val="0"/>
          <w:numId w:val="0"/>
        </w:numPr>
        <w:spacing w:before="120" w:line="240" w:lineRule="auto"/>
      </w:pPr>
      <w:r w:rsidRPr="00D13E2C">
        <w:t xml:space="preserve">Stakeholders regarded the remedies available under the consumer guarantees as </w:t>
      </w:r>
      <w:r>
        <w:t>broadly</w:t>
      </w:r>
      <w:r w:rsidRPr="00D13E2C">
        <w:t xml:space="preserve"> appropriate in the context of </w:t>
      </w:r>
      <w:r>
        <w:t>AI</w:t>
      </w:r>
      <w:r>
        <w:noBreakHyphen/>
        <w:t>enabled</w:t>
      </w:r>
      <w:r w:rsidRPr="00D13E2C">
        <w:t xml:space="preserve"> goods and services. However, a small number of stakeholders queried whether:</w:t>
      </w:r>
    </w:p>
    <w:p w14:paraId="0C2C60D5" w14:textId="77777777" w:rsidR="008539C8" w:rsidRPr="00D13E2C" w:rsidRDefault="008539C8" w:rsidP="008539C8">
      <w:pPr>
        <w:pStyle w:val="Bullet"/>
      </w:pPr>
      <w:r w:rsidRPr="00D13E2C">
        <w:lastRenderedPageBreak/>
        <w:t xml:space="preserve">the remedy of a repair or replacement is appropriate when applied to </w:t>
      </w:r>
      <w:r>
        <w:t>AI</w:t>
      </w:r>
      <w:r>
        <w:noBreakHyphen/>
        <w:t>enabled</w:t>
      </w:r>
      <w:r w:rsidRPr="00D13E2C">
        <w:t xml:space="preserve"> goods</w:t>
      </w:r>
    </w:p>
    <w:p w14:paraId="1D8B8261" w14:textId="77777777" w:rsidR="008539C8" w:rsidRPr="00D13E2C" w:rsidRDefault="008539C8" w:rsidP="008539C8">
      <w:pPr>
        <w:pStyle w:val="Bullet"/>
      </w:pPr>
      <w:r w:rsidRPr="00D13E2C">
        <w:t xml:space="preserve">the remedy of re-supply is appropriate when applied to </w:t>
      </w:r>
      <w:r>
        <w:t>AI</w:t>
      </w:r>
      <w:r>
        <w:noBreakHyphen/>
        <w:t>enabled</w:t>
      </w:r>
      <w:r w:rsidRPr="00D13E2C">
        <w:t xml:space="preserve"> services, where the fault may lie in the underlying algorithm</w:t>
      </w:r>
    </w:p>
    <w:p w14:paraId="64187484" w14:textId="5654DAD2" w:rsidR="008539C8" w:rsidRPr="00AE4392" w:rsidRDefault="008539C8" w:rsidP="00EF0F60">
      <w:pPr>
        <w:pStyle w:val="Bullet"/>
        <w:rPr>
          <w:bCs/>
        </w:rPr>
      </w:pPr>
      <w:r w:rsidRPr="00D13E2C">
        <w:t>harms resulting from discrimination and mis- or disinformation are suitably covered.</w:t>
      </w:r>
    </w:p>
    <w:p w14:paraId="507E6D9D" w14:textId="77777777" w:rsidR="003F1419" w:rsidRDefault="003F1419" w:rsidP="003F1419">
      <w:pPr>
        <w:pStyle w:val="Bullet"/>
        <w:numPr>
          <w:ilvl w:val="0"/>
          <w:numId w:val="0"/>
        </w:numPr>
        <w:spacing w:before="120" w:line="240" w:lineRule="auto"/>
      </w:pPr>
      <w:r w:rsidRPr="00D13E2C">
        <w:t xml:space="preserve">As with traditional goods and services, the appropriateness of a particular remedy available under the ACL will be context specific and the ACL is not prescriptive in the particular remedy to be provided. </w:t>
      </w:r>
      <w:r>
        <w:t>Instead</w:t>
      </w:r>
      <w:r w:rsidRPr="00D13E2C">
        <w:t xml:space="preserve">, a range of remedies are available to suppliers, manufacturers and consumers </w:t>
      </w:r>
      <w:r>
        <w:t xml:space="preserve">so that </w:t>
      </w:r>
      <w:r w:rsidRPr="00D13E2C">
        <w:t>an appropriate solution suitable in the circumstances</w:t>
      </w:r>
      <w:r>
        <w:t xml:space="preserve"> can be provided</w:t>
      </w:r>
      <w:r w:rsidRPr="00D13E2C">
        <w:t xml:space="preserve">. </w:t>
      </w:r>
    </w:p>
    <w:p w14:paraId="1D3FF6F4" w14:textId="4142A65D" w:rsidR="003F1419" w:rsidRPr="00D13E2C" w:rsidRDefault="003F1419" w:rsidP="003F1419">
      <w:pPr>
        <w:pStyle w:val="Bullet"/>
        <w:numPr>
          <w:ilvl w:val="0"/>
          <w:numId w:val="0"/>
        </w:numPr>
        <w:spacing w:before="120" w:line="240" w:lineRule="auto"/>
      </w:pPr>
      <w:r w:rsidRPr="00D13E2C">
        <w:t xml:space="preserve">The existing </w:t>
      </w:r>
      <w:r>
        <w:t>approach</w:t>
      </w:r>
      <w:r w:rsidRPr="00D13E2C">
        <w:t xml:space="preserve"> for determining what remedy would apply</w:t>
      </w:r>
      <w:r>
        <w:t xml:space="preserve"> to a consumer guarantee failure</w:t>
      </w:r>
      <w:r w:rsidRPr="00D13E2C">
        <w:t xml:space="preserve">, by reference to </w:t>
      </w:r>
      <w:r>
        <w:t>whether it is ‘</w:t>
      </w:r>
      <w:r w:rsidRPr="00D13E2C">
        <w:t>major</w:t>
      </w:r>
      <w:r>
        <w:t>’</w:t>
      </w:r>
      <w:r w:rsidRPr="00D13E2C">
        <w:t xml:space="preserve"> </w:t>
      </w:r>
      <w:r>
        <w:t>or</w:t>
      </w:r>
      <w:r w:rsidRPr="00D13E2C">
        <w:t xml:space="preserve"> </w:t>
      </w:r>
      <w:r>
        <w:t>‘</w:t>
      </w:r>
      <w:r w:rsidRPr="00D13E2C">
        <w:t>minor</w:t>
      </w:r>
      <w:r>
        <w:t>’</w:t>
      </w:r>
      <w:r w:rsidRPr="00D13E2C">
        <w:t xml:space="preserve">, </w:t>
      </w:r>
      <w:r>
        <w:t>applies</w:t>
      </w:r>
      <w:r w:rsidRPr="00D13E2C">
        <w:t xml:space="preserve"> equally to </w:t>
      </w:r>
      <w:r w:rsidR="00A148EA">
        <w:t>AI</w:t>
      </w:r>
      <w:r w:rsidR="00A148EA">
        <w:noBreakHyphen/>
        <w:t>enabled</w:t>
      </w:r>
      <w:r w:rsidRPr="00D13E2C">
        <w:t xml:space="preserve"> goods and services. In practice, this means in the case of major failures, consumers would retain their ability to choose the remedy which they deem most appropriate. In the case of minor failures,</w:t>
      </w:r>
      <w:r w:rsidRPr="00D13E2C" w:rsidDel="00E62C80">
        <w:t xml:space="preserve"> </w:t>
      </w:r>
      <w:r w:rsidRPr="00D13E2C">
        <w:t>manufacturers and suppliers will choose a remedy that is appropriate in the circumstances, having regard to the nature of the failure and their capacity to rectify it.</w:t>
      </w:r>
    </w:p>
    <w:p w14:paraId="39F1BD17" w14:textId="39B4E581" w:rsidR="003F1419" w:rsidRPr="00D13E2C" w:rsidRDefault="003F1419" w:rsidP="003F1419">
      <w:r w:rsidRPr="00D13E2C">
        <w:t xml:space="preserve">Beyond remedies for breaches of consumer guarantees, the remedy provisions contained in Part 5-2 of the ACL also provide additional redress options for consumers. The provisions for damages and compensation orders contained in sections 236 and 237 </w:t>
      </w:r>
      <w:r>
        <w:t>enable consumers to bring actions for damages and apply to a court for compensation orders. These general provisions remain</w:t>
      </w:r>
      <w:r w:rsidRPr="00D13E2C">
        <w:t xml:space="preserve"> </w:t>
      </w:r>
      <w:r>
        <w:t>suitable</w:t>
      </w:r>
      <w:r w:rsidRPr="00D13E2C">
        <w:t xml:space="preserve"> to provide a broad range of remedies to consumers who suffer loss associated with contraventions of the ACL</w:t>
      </w:r>
      <w:r>
        <w:t xml:space="preserve">, including those </w:t>
      </w:r>
      <w:r w:rsidRPr="00D13E2C">
        <w:t xml:space="preserve">involving </w:t>
      </w:r>
      <w:r w:rsidR="00A148EA">
        <w:t>AI</w:t>
      </w:r>
      <w:r w:rsidR="00A148EA">
        <w:noBreakHyphen/>
        <w:t>enabled</w:t>
      </w:r>
      <w:r w:rsidRPr="00D13E2C">
        <w:t xml:space="preserve"> goods and services.</w:t>
      </w:r>
    </w:p>
    <w:p w14:paraId="09EFFC04" w14:textId="77777777" w:rsidR="003F1419" w:rsidRPr="00D13E2C" w:rsidRDefault="003F1419" w:rsidP="003F1419">
      <w:pPr>
        <w:pStyle w:val="Bullet"/>
        <w:numPr>
          <w:ilvl w:val="0"/>
          <w:numId w:val="0"/>
        </w:numPr>
        <w:spacing w:before="120" w:line="240" w:lineRule="auto"/>
      </w:pPr>
      <w:r w:rsidRPr="00D13E2C">
        <w:t>While the ACL’s remedial framework is broad, in some cases</w:t>
      </w:r>
      <w:r>
        <w:t>,</w:t>
      </w:r>
      <w:r w:rsidRPr="00D13E2C">
        <w:t xml:space="preserve"> the most appropriate remedies will exist outside the consumer protection framework. For example, the </w:t>
      </w:r>
      <w:r w:rsidRPr="00D13E2C">
        <w:rPr>
          <w:i/>
          <w:iCs/>
        </w:rPr>
        <w:t>Age Discrimination Act 2004</w:t>
      </w:r>
      <w:r w:rsidRPr="00D13E2C">
        <w:t xml:space="preserve">, </w:t>
      </w:r>
      <w:r w:rsidRPr="00D13E2C">
        <w:rPr>
          <w:i/>
          <w:iCs/>
        </w:rPr>
        <w:t>Disability Discrimination Act 1992</w:t>
      </w:r>
      <w:r w:rsidRPr="00D13E2C">
        <w:t xml:space="preserve">, </w:t>
      </w:r>
      <w:r w:rsidRPr="00D13E2C">
        <w:rPr>
          <w:i/>
          <w:iCs/>
        </w:rPr>
        <w:t>Racial Discrimination Act 1975</w:t>
      </w:r>
      <w:r w:rsidRPr="00D13E2C">
        <w:t xml:space="preserve">, and </w:t>
      </w:r>
      <w:r w:rsidRPr="00D13E2C">
        <w:rPr>
          <w:i/>
          <w:iCs/>
        </w:rPr>
        <w:t>Sex Discrimination Act 1984</w:t>
      </w:r>
      <w:r w:rsidRPr="00D13E2C">
        <w:t xml:space="preserve">, as well as frameworks such as the </w:t>
      </w:r>
      <w:r w:rsidRPr="00D13E2C">
        <w:rPr>
          <w:i/>
          <w:iCs/>
        </w:rPr>
        <w:t>Fair Work Act 2009</w:t>
      </w:r>
      <w:r w:rsidRPr="00D13E2C">
        <w:t xml:space="preserve"> and relevant state and territory legislation collectively provide a range of protections against discrimination that can be applied across various</w:t>
      </w:r>
      <w:r w:rsidRPr="00D13E2C" w:rsidDel="00312D08">
        <w:t xml:space="preserve"> </w:t>
      </w:r>
      <w:r w:rsidRPr="00D13E2C">
        <w:t xml:space="preserve">contexts, including </w:t>
      </w:r>
      <w:r>
        <w:t>those involving AI</w:t>
      </w:r>
      <w:r w:rsidRPr="00D13E2C">
        <w:t>.</w:t>
      </w:r>
    </w:p>
    <w:p w14:paraId="56A3E511" w14:textId="7CA95798" w:rsidR="003F1419" w:rsidRPr="00D13E2C" w:rsidRDefault="003F1419" w:rsidP="003F1419">
      <w:r w:rsidRPr="00D13E2C">
        <w:t xml:space="preserve">The information available to the Review indicates the breadth and adaptability of the existing remedial framework under the ACL means it is well placed to ensure consumers have access to appropriate </w:t>
      </w:r>
      <w:r w:rsidRPr="00CF6A47">
        <w:t>remedies now and into the future.</w:t>
      </w:r>
      <w:r w:rsidR="00B85BF0" w:rsidRPr="00CF6A47">
        <w:t xml:space="preserve"> Continuing work on the Australian Government’s safe and responsible AI agend</w:t>
      </w:r>
      <w:r w:rsidR="0091561A" w:rsidRPr="00CF6A47">
        <w:t xml:space="preserve">a </w:t>
      </w:r>
      <w:r w:rsidR="00403908" w:rsidRPr="00CF6A47">
        <w:t xml:space="preserve">will </w:t>
      </w:r>
      <w:r w:rsidR="00B45D70" w:rsidRPr="00CF6A47">
        <w:t>further</w:t>
      </w:r>
      <w:r w:rsidR="00403908" w:rsidRPr="00CF6A47">
        <w:t xml:space="preserve"> consider remedies </w:t>
      </w:r>
      <w:r w:rsidR="00B45D70" w:rsidRPr="00CF6A47">
        <w:t>for consumers across other frameworks.</w:t>
      </w:r>
      <w:r w:rsidR="00B45D70">
        <w:t xml:space="preserve"> </w:t>
      </w:r>
    </w:p>
    <w:p w14:paraId="68979F2E" w14:textId="77777777" w:rsidR="003F1419" w:rsidRPr="00D13E2C" w:rsidRDefault="003F1419" w:rsidP="003F1419">
      <w:pPr>
        <w:pStyle w:val="Heading2"/>
      </w:pPr>
      <w:bookmarkStart w:id="30" w:name="_Toc190091951"/>
      <w:bookmarkStart w:id="31" w:name="_Toc192160554"/>
      <w:r w:rsidRPr="00D13E2C">
        <w:t>Practical barriers to accessing remedies</w:t>
      </w:r>
      <w:bookmarkEnd w:id="30"/>
      <w:bookmarkEnd w:id="31"/>
    </w:p>
    <w:p w14:paraId="1BC29808" w14:textId="7346D3C0" w:rsidR="003F1419" w:rsidRPr="00D13E2C" w:rsidRDefault="003F1419" w:rsidP="003F1419">
      <w:r w:rsidRPr="00D13E2C">
        <w:t xml:space="preserve">While the remedies available to consumers under the ACL are broadly appropriate for </w:t>
      </w:r>
      <w:r w:rsidR="00A148EA">
        <w:t>AI</w:t>
      </w:r>
      <w:r w:rsidR="00A148EA">
        <w:noBreakHyphen/>
        <w:t>enabled</w:t>
      </w:r>
      <w:r w:rsidRPr="00D13E2C">
        <w:t xml:space="preserve"> goods and services, a concern commonly expressed among stakeholders was that consumers may face practical evidentiary challenges in successfully accessing the remedies available to them. It was contended that the </w:t>
      </w:r>
      <w:r>
        <w:t>opacity</w:t>
      </w:r>
      <w:r w:rsidRPr="00D13E2C">
        <w:t xml:space="preserve"> associated with some AI systems may present challenges for consumers.</w:t>
      </w:r>
    </w:p>
    <w:p w14:paraId="134F291A" w14:textId="3448C809" w:rsidR="003F1419" w:rsidRPr="00D13E2C" w:rsidRDefault="003F1419" w:rsidP="003F1419">
      <w:r w:rsidRPr="00D13E2C">
        <w:t xml:space="preserve">The operation of some AI models may be extremely difficult to explain. Even where evidence of underlying functionality is available, the nature of that information may be difficult for non-experts to understand. As a result, consumers of </w:t>
      </w:r>
      <w:r w:rsidR="00A148EA">
        <w:t>AI</w:t>
      </w:r>
      <w:r w:rsidR="00A148EA">
        <w:noBreakHyphen/>
        <w:t>enabled</w:t>
      </w:r>
      <w:r w:rsidRPr="00D13E2C">
        <w:t xml:space="preserve"> goods or services may face substantial difficulties when seeking to obtain evidence regarding the operation of an </w:t>
      </w:r>
      <w:r w:rsidR="00A148EA">
        <w:t>AI</w:t>
      </w:r>
      <w:r w:rsidR="00A148EA">
        <w:noBreakHyphen/>
        <w:t>enabled</w:t>
      </w:r>
      <w:r w:rsidRPr="00D13E2C">
        <w:t xml:space="preserve"> good or service in support of a claim made under the ACL. For example, an </w:t>
      </w:r>
      <w:r w:rsidR="00A148EA">
        <w:t>AI</w:t>
      </w:r>
      <w:r w:rsidR="00A148EA">
        <w:noBreakHyphen/>
        <w:t>enabled</w:t>
      </w:r>
      <w:r w:rsidRPr="00D13E2C">
        <w:t xml:space="preserve"> assistant on a business’ website may make a product recommendation to a consumer which, following the purchase, the consumer finds to be unsuitable for the desired purpose causing significant financial loss. </w:t>
      </w:r>
      <w:r>
        <w:t>In these circumstances, the</w:t>
      </w:r>
      <w:r w:rsidRPr="00D13E2C">
        <w:t xml:space="preserve"> </w:t>
      </w:r>
      <w:r w:rsidRPr="00D13E2C">
        <w:lastRenderedPageBreak/>
        <w:t xml:space="preserve">consumer may face difficulties in obtaining damages under the ACL without specific technical information relating to the operation of the </w:t>
      </w:r>
      <w:r w:rsidR="00A148EA">
        <w:t>AI</w:t>
      </w:r>
      <w:r w:rsidR="00A148EA">
        <w:noBreakHyphen/>
        <w:t>enabled</w:t>
      </w:r>
      <w:r w:rsidRPr="00D13E2C">
        <w:t xml:space="preserve"> assistant. </w:t>
      </w:r>
    </w:p>
    <w:p w14:paraId="5EE874C7" w14:textId="48F93494" w:rsidR="003F1419" w:rsidRPr="00D13E2C" w:rsidRDefault="003F1419" w:rsidP="003F1419">
      <w:r w:rsidRPr="00D13E2C">
        <w:t xml:space="preserve">Such issues are likely to be difficult for consumers to navigate given that information related to an AI model which may corroborate a claim may hold significant commercial value or be considered valuable intellectual property. This issue is not unique to the AI context and businesses in a range of circumstances may be reluctant to provide consumers with information which would substantiate a complaint. </w:t>
      </w:r>
      <w:r w:rsidR="006350B9" w:rsidRPr="00BC4B16">
        <w:t xml:space="preserve">This information asymmetry </w:t>
      </w:r>
      <w:r w:rsidR="00E3141A" w:rsidRPr="00BC4B16">
        <w:t>can make it harder for consumers to obtain a remedy.</w:t>
      </w:r>
    </w:p>
    <w:p w14:paraId="16D4E830" w14:textId="376E32CE" w:rsidR="003F1419" w:rsidRPr="00D13E2C" w:rsidRDefault="003F1419" w:rsidP="003F1419">
      <w:r w:rsidRPr="00D13E2C">
        <w:t>The increasing complexity of consumer goods and services more broadly – not just those incorporating AI – are presenting evidentiary challenges to a wide range of consumers. The 2023 Australian Consumer Survey found that many consumers are finding it difficult to obtain remedies from manufacturers and suppliers for consumer guarantees failure</w:t>
      </w:r>
      <w:r w:rsidR="005B53D0">
        <w:t>s</w:t>
      </w:r>
      <w:r w:rsidRPr="00D13E2C">
        <w:t>.</w:t>
      </w:r>
      <w:r w:rsidRPr="00D13E2C">
        <w:rPr>
          <w:rStyle w:val="FootnoteReference"/>
        </w:rPr>
        <w:footnoteReference w:id="53"/>
      </w:r>
      <w:r w:rsidRPr="00D13E2C">
        <w:t xml:space="preserve"> The survey found that 31% of surveyed consumers who had recently experienced a problem and taken action had not yet </w:t>
      </w:r>
      <w:r>
        <w:t xml:space="preserve">had </w:t>
      </w:r>
      <w:r w:rsidRPr="00D13E2C">
        <w:t xml:space="preserve">their problem resolved, while of the 69% of those whose issues were resolved, a third were not satisfied with the resolution. The survey also highlighted that only 23% of </w:t>
      </w:r>
      <w:r>
        <w:t>surveyed</w:t>
      </w:r>
      <w:r w:rsidRPr="00D13E2C">
        <w:t xml:space="preserve"> consumers were able to resolve their problem directly with the relevant business.</w:t>
      </w:r>
    </w:p>
    <w:p w14:paraId="00DC3084" w14:textId="0CBAE5C9" w:rsidR="003F1419" w:rsidRPr="00D13E2C" w:rsidRDefault="003F1419" w:rsidP="003F1419">
      <w:r w:rsidRPr="00D13E2C">
        <w:t xml:space="preserve">In practice, the burden of evidence which consumers of </w:t>
      </w:r>
      <w:r w:rsidR="00A148EA">
        <w:t>AI</w:t>
      </w:r>
      <w:r w:rsidR="00A148EA">
        <w:noBreakHyphen/>
        <w:t>enabled</w:t>
      </w:r>
      <w:r w:rsidRPr="00D13E2C">
        <w:t xml:space="preserve"> goods and services may face, as with consumers of traditional goods and services, </w:t>
      </w:r>
      <w:r>
        <w:t>is context dependent</w:t>
      </w:r>
      <w:r w:rsidRPr="00D13E2C">
        <w:t xml:space="preserve">. A consumer seeking a remedy </w:t>
      </w:r>
      <w:r>
        <w:t>from a supplier</w:t>
      </w:r>
      <w:r w:rsidRPr="00D13E2C">
        <w:t xml:space="preserve"> for </w:t>
      </w:r>
      <w:r>
        <w:t>failure of a</w:t>
      </w:r>
      <w:r w:rsidRPr="00D13E2C">
        <w:t xml:space="preserve"> consumer guarantee </w:t>
      </w:r>
      <w:r>
        <w:t>does</w:t>
      </w:r>
      <w:r w:rsidRPr="00D13E2C">
        <w:t xml:space="preserve"> not</w:t>
      </w:r>
      <w:r>
        <w:t xml:space="preserve"> </w:t>
      </w:r>
      <w:r w:rsidRPr="00D13E2C">
        <w:t xml:space="preserve">need </w:t>
      </w:r>
      <w:r>
        <w:t>to</w:t>
      </w:r>
      <w:r w:rsidRPr="00D13E2C">
        <w:t xml:space="preserve"> diagnose the precise cause of a malfunction, but rather demonstrate that a malfunction has occurred.</w:t>
      </w:r>
      <w:r w:rsidRPr="00D13E2C">
        <w:rPr>
          <w:rStyle w:val="FootnoteReference"/>
        </w:rPr>
        <w:footnoteReference w:id="54"/>
      </w:r>
      <w:r w:rsidRPr="00D13E2C">
        <w:t xml:space="preserve"> Consumers are therefore protected</w:t>
      </w:r>
      <w:r w:rsidRPr="00D13E2C" w:rsidDel="00CE7A5D">
        <w:t xml:space="preserve"> </w:t>
      </w:r>
      <w:r w:rsidRPr="00D13E2C">
        <w:t xml:space="preserve">from onerous evidentiary burdens for </w:t>
      </w:r>
      <w:r>
        <w:t>more</w:t>
      </w:r>
      <w:r w:rsidRPr="00D13E2C">
        <w:t xml:space="preserve"> minor matters. By contrast, </w:t>
      </w:r>
      <w:r>
        <w:t xml:space="preserve">under other ACL remedial provisions </w:t>
      </w:r>
      <w:r w:rsidRPr="00D13E2C">
        <w:t>a consumer seeking compensation for damages through a tribunal or court will face a higher evidentiary burden in establishing causation between a malfunction and any associated harms. This higher evidentiary burden, though potentially challenging to meet, is appropriate given the higher financial and other risks involved for all parties.</w:t>
      </w:r>
    </w:p>
    <w:p w14:paraId="1A3DD87A" w14:textId="22BD7EEB" w:rsidR="003F1419" w:rsidRPr="00D13E2C" w:rsidRDefault="003F1419" w:rsidP="003F1419">
      <w:r w:rsidRPr="00D13E2C">
        <w:t>The</w:t>
      </w:r>
      <w:r w:rsidRPr="00D13E2C" w:rsidDel="00F675AE">
        <w:t xml:space="preserve"> evidentiary </w:t>
      </w:r>
      <w:r w:rsidRPr="00D13E2C">
        <w:t>burdens imposed</w:t>
      </w:r>
      <w:r w:rsidRPr="00D13E2C" w:rsidDel="00F675AE">
        <w:t xml:space="preserve"> on consumers </w:t>
      </w:r>
      <w:r w:rsidRPr="00D13E2C">
        <w:t xml:space="preserve">of </w:t>
      </w:r>
      <w:r w:rsidR="00A148EA">
        <w:t>AI</w:t>
      </w:r>
      <w:r w:rsidR="00A148EA">
        <w:noBreakHyphen/>
        <w:t>enabled</w:t>
      </w:r>
      <w:r w:rsidRPr="00D13E2C">
        <w:t xml:space="preserve"> goods and services </w:t>
      </w:r>
      <w:r w:rsidRPr="00D13E2C" w:rsidDel="007110E1">
        <w:t xml:space="preserve">are </w:t>
      </w:r>
      <w:r w:rsidRPr="00D13E2C">
        <w:t>applicable to both simple and highly complex goods and services. Imposing an evidentiary burden on consumers seeking remedies under the ACL is intended to strike the right balance for consumers, manufacturers</w:t>
      </w:r>
      <w:r w:rsidR="007D32D9">
        <w:t xml:space="preserve"> and </w:t>
      </w:r>
      <w:r w:rsidR="007D32D9" w:rsidRPr="00D13E2C">
        <w:t>suppliers</w:t>
      </w:r>
      <w:r w:rsidRPr="00D13E2C">
        <w:t xml:space="preserve">. It is expected that </w:t>
      </w:r>
      <w:r>
        <w:t>proposed</w:t>
      </w:r>
      <w:r w:rsidRPr="00D13E2C">
        <w:t xml:space="preserve"> reforms to the consumer guarantee and supplier indemnification provisions will </w:t>
      </w:r>
      <w:r w:rsidR="00221D03" w:rsidRPr="00BE1DC9">
        <w:t xml:space="preserve">encourage </w:t>
      </w:r>
      <w:r w:rsidRPr="00BE1DC9">
        <w:t xml:space="preserve">businesses </w:t>
      </w:r>
      <w:r w:rsidR="00221D03" w:rsidRPr="00BE1DC9">
        <w:t>to</w:t>
      </w:r>
      <w:r w:rsidRPr="00D13E2C">
        <w:t xml:space="preserve"> comply with their obligations under the ACL, incentivising businesses to reach satisfactory outcomes with consumers without the need for tribunal and or court processes. </w:t>
      </w:r>
      <w:r w:rsidR="00040FF5" w:rsidRPr="00BE1DC9">
        <w:t xml:space="preserve">Barriers to accessing customer support, where businesses make it difficult for consumers to contact them about problems with goods or services, is also being considered as part of the Government’s consultation on proposed </w:t>
      </w:r>
      <w:r w:rsidR="009A5BB3" w:rsidRPr="00BE1DC9">
        <w:t>reform</w:t>
      </w:r>
      <w:r w:rsidR="009A5BB3">
        <w:t>s to address</w:t>
      </w:r>
      <w:r w:rsidR="009A5BB3" w:rsidRPr="00BE1DC9">
        <w:t xml:space="preserve"> </w:t>
      </w:r>
      <w:r w:rsidR="00040FF5" w:rsidRPr="00BE1DC9">
        <w:t>unfair trading practices</w:t>
      </w:r>
      <w:r w:rsidR="00040FF5" w:rsidRPr="00040FF5">
        <w:t>.</w:t>
      </w:r>
    </w:p>
    <w:p w14:paraId="51A66D5A" w14:textId="283C06B3" w:rsidR="003F1419" w:rsidRPr="00D13E2C" w:rsidRDefault="003F1419" w:rsidP="003F1419">
      <w:r w:rsidRPr="00D13E2C">
        <w:t xml:space="preserve">Consideration of evidentiary burdens in the context of </w:t>
      </w:r>
      <w:r w:rsidR="00A148EA">
        <w:t>AI</w:t>
      </w:r>
      <w:r w:rsidR="00A148EA">
        <w:noBreakHyphen/>
        <w:t>enabled</w:t>
      </w:r>
      <w:r w:rsidRPr="00D13E2C">
        <w:t xml:space="preserve"> goods and services is not unique to Australia. For example, the EU’s proposed AI Liability Directive (AILD) aims to address concerns that there may be evidentiary challenges in establishing liability for damage caused by an AI system’s opaque, complex and autonomous nature.</w:t>
      </w:r>
      <w:r w:rsidR="0020121F" w:rsidRPr="007E18D2">
        <w:rPr>
          <w:rStyle w:val="FootnoteReference"/>
        </w:rPr>
        <w:footnoteReference w:id="55"/>
      </w:r>
      <w:r w:rsidRPr="00D13E2C">
        <w:t xml:space="preserve"> While not yet implemented, if enacted the AILD would seek to address these concerns by providing a presumption of a causal link between the fault of the defendant and the failure of an AI system, under certain circumstances. </w:t>
      </w:r>
    </w:p>
    <w:p w14:paraId="78BE0167" w14:textId="77777777" w:rsidR="003F1419" w:rsidRPr="00D13E2C" w:rsidRDefault="003F1419" w:rsidP="003F1419">
      <w:r w:rsidRPr="00D13E2C">
        <w:lastRenderedPageBreak/>
        <w:t>Stakeholder</w:t>
      </w:r>
      <w:r>
        <w:t xml:space="preserve"> view</w:t>
      </w:r>
      <w:r w:rsidRPr="00D13E2C">
        <w:t xml:space="preserve">s </w:t>
      </w:r>
      <w:r>
        <w:t>on</w:t>
      </w:r>
      <w:r w:rsidRPr="00D13E2C">
        <w:t xml:space="preserve"> replicating an AILD approach in Australia was mixed. Some stakeholders expressed that it may provide a potential solution to some of the complexities that consumers may encounter in attributing liability to a manufacturer or supplier in an AI context. Conversely, other stakeholders expressed concern with an approach that would reverse the long-established onus of establishing causation.</w:t>
      </w:r>
    </w:p>
    <w:p w14:paraId="2C48BD90" w14:textId="77777777" w:rsidR="003F1419" w:rsidRPr="00D13E2C" w:rsidRDefault="003F1419" w:rsidP="003F1419">
      <w:r w:rsidRPr="00D13E2C">
        <w:t>While the AILD provides for a presumption of causation under limited circumstances in an EU context, the Review found insufficient evidence that such an intervention is required in Australia. It is a well-established principle of common law that one party (the plaintiff) should not be able to hold another party (the defendant)</w:t>
      </w:r>
      <w:r w:rsidRPr="00D13E2C" w:rsidDel="00C10977">
        <w:t xml:space="preserve"> </w:t>
      </w:r>
      <w:r w:rsidRPr="00D13E2C">
        <w:t>liable for any loss suffered, unless the plaintiff can establish the defendant’s conduct caused the plaintiff’s loss. While it may be reasonable to consider the appropriateness of evidentiary burdens faced by consumers under the ACL, particularly for complex software-enabled goods and services, detailed consideration of this issue is beyond the scope of this Review.</w:t>
      </w:r>
    </w:p>
    <w:p w14:paraId="7D9CFB93" w14:textId="77777777" w:rsidR="003F1419" w:rsidRPr="00D13E2C" w:rsidRDefault="003F1419" w:rsidP="003F1419">
      <w:pPr>
        <w:pStyle w:val="Heading2"/>
      </w:pPr>
      <w:bookmarkStart w:id="32" w:name="_Toc182223402"/>
      <w:bookmarkStart w:id="33" w:name="_Toc190091952"/>
      <w:bookmarkStart w:id="34" w:name="_Toc192160555"/>
      <w:r w:rsidRPr="00D13E2C">
        <w:t xml:space="preserve">Supply chain complexities and </w:t>
      </w:r>
      <w:r>
        <w:t>establishing</w:t>
      </w:r>
      <w:r w:rsidRPr="00D13E2C">
        <w:t xml:space="preserve"> liability</w:t>
      </w:r>
      <w:bookmarkEnd w:id="32"/>
      <w:bookmarkEnd w:id="33"/>
      <w:bookmarkEnd w:id="34"/>
    </w:p>
    <w:p w14:paraId="0A6C346F" w14:textId="77777777" w:rsidR="003F1419" w:rsidRPr="00D13E2C" w:rsidRDefault="003F1419" w:rsidP="003F1419">
      <w:r w:rsidRPr="00D13E2C">
        <w:t xml:space="preserve">AI systems often involve a complex network of parties responsible for different aspects of the system’s development, deployment and integration into consumer goods and services. The supply chain and lifecycle of an AI system can vary significantly depending on context, such as whether </w:t>
      </w:r>
      <w:r>
        <w:t>the</w:t>
      </w:r>
      <w:r w:rsidRPr="00D13E2C">
        <w:t xml:space="preserve"> systems are developed in-house or by an external developer.</w:t>
      </w:r>
    </w:p>
    <w:p w14:paraId="74244DE1" w14:textId="0FEE2C0C" w:rsidR="003F1419" w:rsidRPr="00D13E2C" w:rsidRDefault="003F1419" w:rsidP="003F1419">
      <w:r w:rsidRPr="00D13E2C">
        <w:t xml:space="preserve">Concerns were raised by a number of stakeholders, particularly those representing the business community, in regard to the complexity of those supply chains and how that complexity may affect the distribution of liability. </w:t>
      </w:r>
      <w:r>
        <w:t>Those s</w:t>
      </w:r>
      <w:r w:rsidRPr="00D13E2C">
        <w:t xml:space="preserve">takeholders expressed concern at a lack of clarity </w:t>
      </w:r>
      <w:r>
        <w:t>as to whom</w:t>
      </w:r>
      <w:r w:rsidRPr="00D13E2C">
        <w:t xml:space="preserve"> would be deemed </w:t>
      </w:r>
      <w:r>
        <w:t>a ‘manufacturer’ within the</w:t>
      </w:r>
      <w:r w:rsidRPr="00D13E2C">
        <w:t xml:space="preserve"> supply</w:t>
      </w:r>
      <w:r>
        <w:t xml:space="preserve"> chain</w:t>
      </w:r>
      <w:r w:rsidRPr="00D13E2C">
        <w:t xml:space="preserve">. </w:t>
      </w:r>
      <w:r>
        <w:t>U</w:t>
      </w:r>
      <w:r w:rsidRPr="00D13E2C">
        <w:t>ncertainty was</w:t>
      </w:r>
      <w:r>
        <w:t xml:space="preserve"> also</w:t>
      </w:r>
      <w:r w:rsidRPr="00D13E2C">
        <w:t xml:space="preserve"> raised about circumstances where multiple AI systems may be interacting with each other, and that many businesses across AI supply chains may be based overseas. Small business representatives noted the lack of resources and relative sophistication of those businesses may increase their vulnerability to costs associated with supply chain complexity.</w:t>
      </w:r>
    </w:p>
    <w:p w14:paraId="2FCC9C7D" w14:textId="70E15423" w:rsidR="003F1419" w:rsidRPr="00D13E2C" w:rsidRDefault="003F1419" w:rsidP="003F1419">
      <w:r w:rsidRPr="00D13E2C">
        <w:t xml:space="preserve">Stakeholders also contended that supply chains for </w:t>
      </w:r>
      <w:r w:rsidR="00A148EA">
        <w:t>AI</w:t>
      </w:r>
      <w:r w:rsidR="00A148EA">
        <w:noBreakHyphen/>
        <w:t>enabled</w:t>
      </w:r>
      <w:r w:rsidRPr="00D13E2C">
        <w:t xml:space="preserve"> goods and services may be further complicated where parties who sit downstream from AI model developers modify the underlying model for their own purposes. For example, an AI model may be developed and sold to multiple organisations, with each individual organisation training that model on their own information and data to enable bespoke outputs. </w:t>
      </w:r>
    </w:p>
    <w:p w14:paraId="579C22AD" w14:textId="2160250F" w:rsidR="003F1419" w:rsidRPr="00D13E2C" w:rsidRDefault="003F1419" w:rsidP="003F1419">
      <w:r w:rsidRPr="00D13E2C">
        <w:t xml:space="preserve">While AI supply chains, and the technology underlying them, can exhibit complexities, this is not unique to AI </w:t>
      </w:r>
      <w:r>
        <w:t>as</w:t>
      </w:r>
      <w:r w:rsidRPr="00D13E2C">
        <w:t xml:space="preserve"> many traditional goods and services are delivered through complex and cross</w:t>
      </w:r>
      <w:r w:rsidR="00DC0D8B">
        <w:noBreakHyphen/>
      </w:r>
      <w:r w:rsidRPr="00D13E2C">
        <w:t>jurisdictional supply chains. For example, a vehicle such as a caravan may have a complex supply chain involved in its construction. One party</w:t>
      </w:r>
      <w:r w:rsidRPr="00D13E2C" w:rsidDel="00481B13">
        <w:t xml:space="preserve"> </w:t>
      </w:r>
      <w:r w:rsidRPr="00D13E2C">
        <w:t xml:space="preserve">may purchase any number of component parts to the caravan which are ultimately assembled into the final good purchased by a consumer. While the determination of which party or parties are considered to be a manufacturer may vary on a case-by-case basis, the ACL does not specify how such relationships should be formed between parties in every supply chain. Instead, the ACL provides </w:t>
      </w:r>
      <w:r>
        <w:t>broad</w:t>
      </w:r>
      <w:r w:rsidRPr="00D13E2C">
        <w:t xml:space="preserve"> definitions which, to date,</w:t>
      </w:r>
      <w:r>
        <w:t xml:space="preserve"> have</w:t>
      </w:r>
      <w:r w:rsidRPr="00D13E2C">
        <w:t xml:space="preserve"> </w:t>
      </w:r>
      <w:r>
        <w:t>proven</w:t>
      </w:r>
      <w:r w:rsidRPr="00D13E2C">
        <w:t xml:space="preserve"> </w:t>
      </w:r>
      <w:r w:rsidR="00E6374C" w:rsidRPr="00EE182D">
        <w:t>to be generally</w:t>
      </w:r>
      <w:r w:rsidR="00E6374C">
        <w:t xml:space="preserve"> </w:t>
      </w:r>
      <w:r w:rsidRPr="00D13E2C">
        <w:t>adaptable to a variety of different circumstances and technologies.</w:t>
      </w:r>
    </w:p>
    <w:p w14:paraId="1BEB3AB0" w14:textId="57F9DEE1" w:rsidR="003F1419" w:rsidRPr="00D13E2C" w:rsidRDefault="00C2304D" w:rsidP="003F1419">
      <w:r w:rsidRPr="00CF6A47">
        <w:t xml:space="preserve">The AI market and supply chain is still developing </w:t>
      </w:r>
      <w:r w:rsidR="00B80C0D" w:rsidRPr="00CF6A47">
        <w:t>and n</w:t>
      </w:r>
      <w:r w:rsidR="003F1419" w:rsidRPr="00CF6A47">
        <w:t xml:space="preserve">ew market participants may require time to understand how the ACL applies to them. However, the Review did not identify any reason unique to AI that would prevent these same definitions from applying in this context. Fundamentally, it is incumbent on parties within AI supply chains to understand how their business models are likely to be treated under the ACL and the attendant obligations and responsibilities relevant to them. However, </w:t>
      </w:r>
      <w:r w:rsidR="003F1419" w:rsidRPr="00CF6A47">
        <w:lastRenderedPageBreak/>
        <w:t>opportunities may exist for targeted legislative amendments to enhance clarity and certainty to support manufacturers of software</w:t>
      </w:r>
      <w:r w:rsidR="00A6364B" w:rsidRPr="00CF6A47">
        <w:t>-</w:t>
      </w:r>
      <w:r w:rsidR="003F1419" w:rsidRPr="00CF6A47">
        <w:t xml:space="preserve">enabled goods, including </w:t>
      </w:r>
      <w:r w:rsidR="00A148EA" w:rsidRPr="00CF6A47">
        <w:t>AI</w:t>
      </w:r>
      <w:r w:rsidR="00A148EA" w:rsidRPr="00CF6A47">
        <w:noBreakHyphen/>
        <w:t>enabled</w:t>
      </w:r>
      <w:r w:rsidR="003F1419" w:rsidRPr="00CF6A47">
        <w:t xml:space="preserve"> goods.</w:t>
      </w:r>
      <w:r w:rsidR="003F1419" w:rsidRPr="00D13E2C">
        <w:t xml:space="preserve"> </w:t>
      </w:r>
    </w:p>
    <w:p w14:paraId="2A3744BC" w14:textId="28C3ED69" w:rsidR="003F1419" w:rsidRPr="00D13E2C" w:rsidRDefault="003F1419" w:rsidP="003F1419">
      <w:r w:rsidRPr="00D13E2C">
        <w:t>Section 7(1)(a) of the ACL currently defines a manufacturer as including ‘a person who grows, extracts, produces, processes or assembles goods’. Although goods are defined to include computer software (and</w:t>
      </w:r>
      <w:r>
        <w:t xml:space="preserve"> computer software</w:t>
      </w:r>
      <w:r w:rsidRPr="00D13E2C">
        <w:t xml:space="preserve"> is therefore ‘manufactured’ within the meaning of the ACL), elements of this definition are more readily and clearly applied to traditional goods. Clarifying the definition of a manufacturer within the ACL to </w:t>
      </w:r>
      <w:r w:rsidRPr="00D13E2C">
        <w:rPr>
          <w:i/>
          <w:iCs/>
        </w:rPr>
        <w:t xml:space="preserve">expressly </w:t>
      </w:r>
      <w:r w:rsidRPr="00D13E2C">
        <w:t>refer to manufacturers of digital products</w:t>
      </w:r>
      <w:r>
        <w:t xml:space="preserve"> – or a similarly described class of software-enabled goods – </w:t>
      </w:r>
      <w:r w:rsidRPr="00D13E2C">
        <w:t xml:space="preserve">may address some of the supply-chain complexity uncertainty raised in response to consultation. Any review would likely benefit from considering alignment between the ACL and other </w:t>
      </w:r>
      <w:r w:rsidRPr="00F90A3A">
        <w:t>frameworks</w:t>
      </w:r>
      <w:r w:rsidRPr="00EE182D">
        <w:t xml:space="preserve">, </w:t>
      </w:r>
      <w:r w:rsidRPr="00D13E2C">
        <w:t xml:space="preserve">as well as the potential amendments to the definition of ‘goods’ discussed in </w:t>
      </w:r>
      <w:r w:rsidR="001C7BC1">
        <w:rPr>
          <w:b/>
        </w:rPr>
        <w:t>Chapter </w:t>
      </w:r>
      <w:r w:rsidRPr="005C56FB">
        <w:rPr>
          <w:b/>
        </w:rPr>
        <w:t>3</w:t>
      </w:r>
      <w:r w:rsidRPr="00D13E2C">
        <w:t xml:space="preserve">. </w:t>
      </w:r>
    </w:p>
    <w:p w14:paraId="2C0A1523" w14:textId="1E6B90AA" w:rsidR="000C574D" w:rsidRDefault="003F1419" w:rsidP="003F1419">
      <w:r w:rsidRPr="00D13E2C">
        <w:t xml:space="preserve">While clarification may benefit manufacturers of </w:t>
      </w:r>
      <w:r w:rsidR="00A148EA">
        <w:t>AI</w:t>
      </w:r>
      <w:r w:rsidR="00A148EA">
        <w:noBreakHyphen/>
        <w:t>enabled</w:t>
      </w:r>
      <w:r w:rsidRPr="00D13E2C">
        <w:t xml:space="preserve"> goods, the ACL </w:t>
      </w:r>
      <w:r w:rsidR="00BE713D" w:rsidRPr="00EE182D">
        <w:t>is intended to</w:t>
      </w:r>
      <w:r w:rsidR="00BE713D">
        <w:t xml:space="preserve"> </w:t>
      </w:r>
      <w:r w:rsidRPr="00D13E2C">
        <w:t xml:space="preserve">largely inoculate consumers from the complexity of the supply chain which may sit behind any good, including </w:t>
      </w:r>
      <w:r w:rsidR="00A148EA">
        <w:t>AI</w:t>
      </w:r>
      <w:r w:rsidR="00A148EA">
        <w:noBreakHyphen/>
        <w:t>enabled</w:t>
      </w:r>
      <w:r w:rsidRPr="00D13E2C">
        <w:t xml:space="preserve"> goods. Under the consumer guarantees,</w:t>
      </w:r>
      <w:r w:rsidRPr="00D13E2C" w:rsidDel="00E4186F">
        <w:t xml:space="preserve"> </w:t>
      </w:r>
      <w:r w:rsidRPr="00D13E2C">
        <w:t>for example, suppliers are required to provide consumers with a repair, replacement or refund when there has been a failure</w:t>
      </w:r>
      <w:r>
        <w:t>. M</w:t>
      </w:r>
      <w:r w:rsidRPr="00D13E2C">
        <w:t>anufacturers</w:t>
      </w:r>
      <w:r>
        <w:t xml:space="preserve"> are then</w:t>
      </w:r>
      <w:r w:rsidRPr="00D13E2C">
        <w:t xml:space="preserve"> held liable for indemnifying (reimbursing) suppliers for the cost of providing the consumer with a remedy where the manufacturer is at fault for the </w:t>
      </w:r>
      <w:r w:rsidR="000C574D" w:rsidRPr="00EE182D">
        <w:t>consumer guarantees’</w:t>
      </w:r>
      <w:r w:rsidR="000C574D">
        <w:t xml:space="preserve"> </w:t>
      </w:r>
      <w:r w:rsidRPr="00D13E2C">
        <w:t>failure.</w:t>
      </w:r>
      <w:r w:rsidRPr="00D13E2C">
        <w:rPr>
          <w:rStyle w:val="FootnoteReference"/>
        </w:rPr>
        <w:footnoteReference w:id="56"/>
      </w:r>
      <w:r w:rsidRPr="00D13E2C">
        <w:t xml:space="preserve"> </w:t>
      </w:r>
    </w:p>
    <w:p w14:paraId="2554AF20" w14:textId="4A831329" w:rsidR="003F1419" w:rsidRPr="00D13E2C" w:rsidRDefault="003F1419" w:rsidP="003F1419">
      <w:r w:rsidRPr="00D13E2C">
        <w:t xml:space="preserve">Manufacturers cannot contract out of </w:t>
      </w:r>
      <w:r w:rsidR="00AB6650">
        <w:t xml:space="preserve">their </w:t>
      </w:r>
      <w:r w:rsidR="003D68A0">
        <w:t>supplier indemnification</w:t>
      </w:r>
      <w:r w:rsidRPr="00D13E2C">
        <w:t xml:space="preserve"> obligations.</w:t>
      </w:r>
      <w:r w:rsidRPr="00D13E2C">
        <w:rPr>
          <w:rStyle w:val="FootnoteReference"/>
        </w:rPr>
        <w:footnoteReference w:id="57"/>
      </w:r>
      <w:r w:rsidRPr="00D13E2C">
        <w:t xml:space="preserve"> The effect is that the consumer need only engage with the supplier of the good regardless of the complexity of the underlying supply chain. Similarly, a consumer seeking a remedy for a defective good under the ACL is expressly protected from instances where there is an unidentified manufacturer</w:t>
      </w:r>
      <w:r w:rsidRPr="00D13E2C" w:rsidDel="00BE6AA3">
        <w:t>.</w:t>
      </w:r>
      <w:r w:rsidRPr="00D13E2C">
        <w:rPr>
          <w:rStyle w:val="FootnoteReference"/>
        </w:rPr>
        <w:footnoteReference w:id="58"/>
      </w:r>
      <w:r w:rsidRPr="00D13E2C">
        <w:t xml:space="preserve"> As with consumer guarantees, the result is that the consumer only need</w:t>
      </w:r>
      <w:r>
        <w:t>s to</w:t>
      </w:r>
      <w:r w:rsidRPr="00D13E2C">
        <w:t xml:space="preserve"> engage with known parties, regardless of the complexity of the underlying supply chain.</w:t>
      </w:r>
    </w:p>
    <w:p w14:paraId="3CCF1566" w14:textId="77777777" w:rsidR="003F1419" w:rsidRPr="00D13E2C" w:rsidRDefault="003F1419" w:rsidP="003F1419">
      <w:pPr>
        <w:pStyle w:val="Heading3"/>
      </w:pPr>
      <w:r w:rsidRPr="00D13E2C">
        <w:t>Establishing liability</w:t>
      </w:r>
    </w:p>
    <w:p w14:paraId="6F74BB6D" w14:textId="77777777" w:rsidR="003F1419" w:rsidRPr="00D13E2C" w:rsidRDefault="003F1419" w:rsidP="003F1419">
      <w:r w:rsidRPr="00D13E2C">
        <w:t>In establishing supplier or manufacturer liability under the ACL, the conduct, knowledge or intention of directors, employees and agents may, under certain circumstances, be considered when determining the state of mind of a corporation (‘corporate attribution’).</w:t>
      </w:r>
      <w:r w:rsidRPr="00D13E2C">
        <w:rPr>
          <w:rStyle w:val="FootnoteReference"/>
        </w:rPr>
        <w:footnoteReference w:id="59"/>
      </w:r>
      <w:r w:rsidRPr="00D13E2C">
        <w:t xml:space="preserve"> </w:t>
      </w:r>
    </w:p>
    <w:p w14:paraId="6C47287A" w14:textId="77777777" w:rsidR="003F1419" w:rsidRPr="00D13E2C" w:rsidRDefault="003F1419" w:rsidP="003F1419">
      <w:r w:rsidRPr="00D13E2C">
        <w:t xml:space="preserve">Some stakeholders raised that the introduction of AI into decision-making processes, or as a tool for making representations to consumers, may have implications for establishing liability in this way. For example, concern was expressed over whether existing mechanisms for establishing liability may operate as intended in circumstances involving autonomous or semi-autonomous AI systems. </w:t>
      </w:r>
    </w:p>
    <w:p w14:paraId="00E8AF1C" w14:textId="1F998F72" w:rsidR="003F1419" w:rsidRPr="00D13E2C" w:rsidRDefault="003F1419" w:rsidP="003F1419">
      <w:r w:rsidRPr="00D13E2C">
        <w:t xml:space="preserve">The approach to corporate attribution </w:t>
      </w:r>
      <w:r>
        <w:t>contained in</w:t>
      </w:r>
      <w:r w:rsidRPr="00D13E2C">
        <w:t xml:space="preserve"> the ACL reflects similar approaches taken across many Commonwealth statutes.</w:t>
      </w:r>
      <w:r w:rsidRPr="00D13E2C">
        <w:rPr>
          <w:rStyle w:val="FootnoteReference"/>
        </w:rPr>
        <w:footnoteReference w:id="60"/>
      </w:r>
      <w:r w:rsidRPr="00D13E2C">
        <w:t xml:space="preserve"> Different approaches to attributing knowledge, intent or conduct to corporations received detailed consideration as part of the Australian Law Reform Commission’s 2020 report on Corporate Criminal Responsibility.</w:t>
      </w:r>
      <w:r w:rsidRPr="00D13E2C">
        <w:rPr>
          <w:rStyle w:val="FootnoteReference"/>
        </w:rPr>
        <w:footnoteReference w:id="61"/>
      </w:r>
      <w:r w:rsidRPr="00D13E2C">
        <w:t xml:space="preserve"> </w:t>
      </w:r>
    </w:p>
    <w:p w14:paraId="7992701A" w14:textId="0DA4F8B2" w:rsidR="003F1419" w:rsidRDefault="003F1419" w:rsidP="003F1419">
      <w:r w:rsidRPr="00D13E2C">
        <w:lastRenderedPageBreak/>
        <w:t>No evidence was provided as part of the Review that existing arrangements for attributing liability</w:t>
      </w:r>
      <w:r w:rsidR="00A76562">
        <w:t xml:space="preserve"> to corporations</w:t>
      </w:r>
      <w:r w:rsidRPr="00D13E2C">
        <w:t xml:space="preserve"> are unsuitable in the context of supplier and manufacturer adoption of AI technologies. However, the emergence of new technologies over time, including agentic AI, may necessitate further consideration of the mechanisms available under the law to ensure the ACL is realising its policy intent. If required, consumers and businesses would benefit from this consideration occurring in a coordinated way across</w:t>
      </w:r>
      <w:r w:rsidR="00E40D27">
        <w:t xml:space="preserve"> legislative frameworks</w:t>
      </w:r>
      <w:r w:rsidRPr="00D13E2C">
        <w:t xml:space="preserve">, to avoid regulatory dislocation and </w:t>
      </w:r>
      <w:r>
        <w:t>preserve</w:t>
      </w:r>
      <w:r w:rsidRPr="00D13E2C">
        <w:t xml:space="preserve"> certainty.</w:t>
      </w:r>
    </w:p>
    <w:p w14:paraId="1366B937" w14:textId="77777777" w:rsidR="003F1419" w:rsidRPr="00D13E2C" w:rsidRDefault="003F1419" w:rsidP="003F1419">
      <w:pPr>
        <w:pStyle w:val="Heading2"/>
      </w:pPr>
      <w:bookmarkStart w:id="35" w:name="_Toc190091953"/>
      <w:bookmarkStart w:id="36" w:name="_Toc192160556"/>
      <w:r w:rsidRPr="00D13E2C">
        <w:t>Defences to defective goods actions</w:t>
      </w:r>
      <w:bookmarkEnd w:id="35"/>
      <w:bookmarkEnd w:id="36"/>
    </w:p>
    <w:p w14:paraId="66DC3BD0" w14:textId="6A4D210F" w:rsidR="003F1419" w:rsidRPr="00D13E2C" w:rsidRDefault="003F1419" w:rsidP="003F1419">
      <w:r w:rsidRPr="00D13E2C">
        <w:t xml:space="preserve">The Review sought views from stakeholders on the applicability and suitability of defences under the ACL which may warrant </w:t>
      </w:r>
      <w:r>
        <w:t>re-examination</w:t>
      </w:r>
      <w:r w:rsidRPr="00D13E2C">
        <w:t xml:space="preserve"> </w:t>
      </w:r>
      <w:r>
        <w:t xml:space="preserve">in the </w:t>
      </w:r>
      <w:r w:rsidRPr="00D13E2C">
        <w:t xml:space="preserve">context of </w:t>
      </w:r>
      <w:r w:rsidR="00A148EA">
        <w:t>AI</w:t>
      </w:r>
      <w:r w:rsidR="00A148EA">
        <w:noBreakHyphen/>
        <w:t>enabled</w:t>
      </w:r>
      <w:r w:rsidRPr="00D13E2C">
        <w:t xml:space="preserve"> goods and services. </w:t>
      </w:r>
      <w:r>
        <w:t>In this regard, s</w:t>
      </w:r>
      <w:r w:rsidRPr="00D13E2C">
        <w:t>ome stakeholders</w:t>
      </w:r>
      <w:r w:rsidRPr="00D13E2C" w:rsidDel="00321855">
        <w:t xml:space="preserve"> </w:t>
      </w:r>
      <w:r w:rsidRPr="00D13E2C">
        <w:t>expressed concerns with defences available to manufacturers in defective goods actions.</w:t>
      </w:r>
    </w:p>
    <w:p w14:paraId="29EF7A53" w14:textId="0283661B" w:rsidR="003F1419" w:rsidRPr="00D13E2C" w:rsidRDefault="003F1419" w:rsidP="003F1419">
      <w:r w:rsidRPr="00D13E2C">
        <w:t>A</w:t>
      </w:r>
      <w:r w:rsidR="00724FBF">
        <w:t xml:space="preserve">s noted in </w:t>
      </w:r>
      <w:r w:rsidR="00724FBF" w:rsidRPr="00DD46E6">
        <w:rPr>
          <w:b/>
          <w:bCs/>
        </w:rPr>
        <w:t>Chapter 2</w:t>
      </w:r>
      <w:r w:rsidR="00724FBF">
        <w:t xml:space="preserve">, a </w:t>
      </w:r>
      <w:r w:rsidRPr="00D13E2C">
        <w:t>good has a safety defect if it does not meet the level of safety the public is generally entitled to expect. The expected level of safety will vary from case to case, and</w:t>
      </w:r>
      <w:r w:rsidRPr="00D13E2C" w:rsidDel="0050749C">
        <w:t xml:space="preserve"> whether a </w:t>
      </w:r>
      <w:r w:rsidRPr="00D13E2C">
        <w:t>safety defect exists is a matter for the court.</w:t>
      </w:r>
      <w:r>
        <w:rPr>
          <w:rStyle w:val="FootnoteReference"/>
        </w:rPr>
        <w:footnoteReference w:id="62"/>
      </w:r>
      <w:r>
        <w:t xml:space="preserve"> The factors the court may take into account when determining whether a good has a safety defect are summarised in </w:t>
      </w:r>
      <w:r w:rsidRPr="00AA454E">
        <w:t xml:space="preserve">Box </w:t>
      </w:r>
      <w:r>
        <w:t>3.</w:t>
      </w:r>
    </w:p>
    <w:tbl>
      <w:tblPr>
        <w:tblpPr w:leftFromText="180" w:rightFromText="180" w:vertAnchor="text" w:horzAnchor="margin" w:tblpY="-61"/>
        <w:tblOverlap w:val="never"/>
        <w:tblW w:w="5000" w:type="pct"/>
        <w:shd w:val="clear" w:color="auto" w:fill="F2F9FC"/>
        <w:tblCellMar>
          <w:top w:w="227" w:type="dxa"/>
          <w:left w:w="227" w:type="dxa"/>
          <w:bottom w:w="227" w:type="dxa"/>
          <w:right w:w="227" w:type="dxa"/>
        </w:tblCellMar>
        <w:tblLook w:val="0600" w:firstRow="0" w:lastRow="0" w:firstColumn="0" w:lastColumn="0" w:noHBand="1" w:noVBand="1"/>
      </w:tblPr>
      <w:tblGrid>
        <w:gridCol w:w="9072"/>
      </w:tblGrid>
      <w:tr w:rsidR="00D74220" w:rsidRPr="00D13E2C" w14:paraId="00ABE270" w14:textId="77777777" w:rsidTr="00D1010F">
        <w:tc>
          <w:tcPr>
            <w:tcW w:w="5000" w:type="pct"/>
            <w:shd w:val="clear" w:color="auto" w:fill="F2F9FC"/>
            <w:hideMark/>
          </w:tcPr>
          <w:p w14:paraId="4C7D86F0" w14:textId="77777777" w:rsidR="00D74220" w:rsidRPr="00D13E2C" w:rsidRDefault="00D74220" w:rsidP="00D74220">
            <w:pPr>
              <w:pStyle w:val="BoxHeading"/>
              <w:rPr>
                <w:sz w:val="28"/>
                <w:szCs w:val="28"/>
                <w:lang w:eastAsia="en-US"/>
              </w:rPr>
            </w:pPr>
            <w:r>
              <w:rPr>
                <w:noProof/>
                <w:sz w:val="28"/>
                <w:szCs w:val="28"/>
                <w:lang w:eastAsia="en-US"/>
              </w:rPr>
              <w:drawing>
                <wp:anchor distT="0" distB="0" distL="114300" distR="114300" simplePos="0" relativeHeight="251661312" behindDoc="1" locked="0" layoutInCell="1" allowOverlap="1" wp14:anchorId="5D1A9603" wp14:editId="0D60004A">
                  <wp:simplePos x="0" y="0"/>
                  <wp:positionH relativeFrom="column">
                    <wp:posOffset>34620</wp:posOffset>
                  </wp:positionH>
                  <wp:positionV relativeFrom="paragraph">
                    <wp:posOffset>82550</wp:posOffset>
                  </wp:positionV>
                  <wp:extent cx="360000" cy="360000"/>
                  <wp:effectExtent l="0" t="0" r="0" b="2540"/>
                  <wp:wrapTight wrapText="bothSides">
                    <wp:wrapPolygon edited="0">
                      <wp:start x="6869" y="0"/>
                      <wp:lineTo x="1145" y="13739"/>
                      <wp:lineTo x="1145" y="17173"/>
                      <wp:lineTo x="5724" y="20608"/>
                      <wp:lineTo x="14883" y="20608"/>
                      <wp:lineTo x="19463" y="17173"/>
                      <wp:lineTo x="19463" y="13739"/>
                      <wp:lineTo x="13739" y="0"/>
                      <wp:lineTo x="6869" y="0"/>
                    </wp:wrapPolygon>
                  </wp:wrapTight>
                  <wp:docPr id="1481033819" name="Graphic 1481033819" descr="Traffic cone outli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97678" name="Graphic 4" descr="Traffic cone outline">
                            <a:extLst>
                              <a:ext uri="{C183D7F6-B498-43B3-948B-1728B52AA6E4}">
                                <adec:decorative xmlns:adec="http://schemas.microsoft.com/office/drawing/2017/decorative" val="0"/>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sidRPr="00AA454E">
              <w:rPr>
                <w:sz w:val="28"/>
                <w:szCs w:val="28"/>
                <w:lang w:eastAsia="en-US"/>
              </w:rPr>
              <w:t>Box 3:</w:t>
            </w:r>
            <w:r w:rsidRPr="00D13E2C">
              <w:rPr>
                <w:sz w:val="28"/>
                <w:szCs w:val="28"/>
                <w:lang w:eastAsia="en-US"/>
              </w:rPr>
              <w:t xml:space="preserve"> Safety defects and compensation</w:t>
            </w:r>
          </w:p>
          <w:p w14:paraId="06AE7058" w14:textId="77777777" w:rsidR="00D74220" w:rsidRPr="00D13E2C" w:rsidRDefault="00D74220" w:rsidP="00D74220">
            <w:r w:rsidRPr="00D13E2C">
              <w:t>The court will take various factors into account when determining whether a good has a safety defect, including:</w:t>
            </w:r>
          </w:p>
          <w:p w14:paraId="6D189A8F" w14:textId="77777777" w:rsidR="00D74220" w:rsidRPr="00D13E2C" w:rsidRDefault="00D74220" w:rsidP="00D74220">
            <w:pPr>
              <w:pStyle w:val="Bullet"/>
            </w:pPr>
            <w:r w:rsidRPr="00D13E2C">
              <w:t>how and for what purposes the product has been marketed</w:t>
            </w:r>
          </w:p>
          <w:p w14:paraId="63EE61CC" w14:textId="77777777" w:rsidR="00D74220" w:rsidRPr="00D13E2C" w:rsidRDefault="00D74220" w:rsidP="00D74220">
            <w:pPr>
              <w:pStyle w:val="Bullet"/>
            </w:pPr>
            <w:r w:rsidRPr="00D13E2C">
              <w:t>product packaging</w:t>
            </w:r>
          </w:p>
          <w:p w14:paraId="4B2AC712" w14:textId="77777777" w:rsidR="00D74220" w:rsidRPr="00D13E2C" w:rsidRDefault="00D74220" w:rsidP="00D74220">
            <w:pPr>
              <w:pStyle w:val="Bullet"/>
            </w:pPr>
            <w:r w:rsidRPr="00D13E2C">
              <w:t>the use of any mark in relation to the product</w:t>
            </w:r>
          </w:p>
          <w:p w14:paraId="4323CFF6" w14:textId="77777777" w:rsidR="00D74220" w:rsidRPr="00D13E2C" w:rsidRDefault="00D74220" w:rsidP="00D74220">
            <w:pPr>
              <w:pStyle w:val="Bullet"/>
            </w:pPr>
            <w:r w:rsidRPr="00D13E2C">
              <w:t>instructions and warnings for assembly and use</w:t>
            </w:r>
          </w:p>
          <w:p w14:paraId="4FEDE2B6" w14:textId="77777777" w:rsidR="00D74220" w:rsidRPr="00D13E2C" w:rsidRDefault="00D74220" w:rsidP="00D74220">
            <w:pPr>
              <w:pStyle w:val="Bullet"/>
            </w:pPr>
            <w:r w:rsidRPr="00D13E2C">
              <w:t>what might reasonably be expected to be done with the product</w:t>
            </w:r>
          </w:p>
          <w:p w14:paraId="741F51DB" w14:textId="77777777" w:rsidR="00D74220" w:rsidRPr="00D13E2C" w:rsidRDefault="00D74220" w:rsidP="00D74220">
            <w:pPr>
              <w:pStyle w:val="Bullet"/>
            </w:pPr>
            <w:r w:rsidRPr="00D13E2C">
              <w:t>the time when the product was supplied.</w:t>
            </w:r>
          </w:p>
          <w:p w14:paraId="7094346B" w14:textId="77777777" w:rsidR="00D74220" w:rsidRPr="00D13E2C" w:rsidRDefault="00D74220" w:rsidP="00D74220">
            <w:pPr>
              <w:rPr>
                <w:lang w:eastAsia="en-US"/>
              </w:rPr>
            </w:pPr>
            <w:r w:rsidRPr="00D13E2C">
              <w:t xml:space="preserve">Under the ACL, a consumer can seek compensation from a manufacturer who has supplied a good with a safety defect, if that good has caused loss or damage. </w:t>
            </w:r>
          </w:p>
        </w:tc>
      </w:tr>
    </w:tbl>
    <w:p w14:paraId="4A81604D" w14:textId="77777777" w:rsidR="003F1419" w:rsidRPr="00D13E2C" w:rsidRDefault="003F1419" w:rsidP="003F1419">
      <w:r w:rsidRPr="00D13E2C">
        <w:t xml:space="preserve">Consumers who suffer loss or damage because of safety defects in a manufacturer's goods can take legal action against the manufacturer or make a complaint to </w:t>
      </w:r>
      <w:r>
        <w:t>the regulator</w:t>
      </w:r>
      <w:r w:rsidRPr="00D13E2C">
        <w:t xml:space="preserve">. Defences </w:t>
      </w:r>
      <w:r>
        <w:t xml:space="preserve">available to manufacturers in such matters are: </w:t>
      </w:r>
    </w:p>
    <w:p w14:paraId="6058387F" w14:textId="4F3009EF" w:rsidR="003F1419" w:rsidRPr="00D13E2C" w:rsidRDefault="003F1419" w:rsidP="003F1419">
      <w:pPr>
        <w:pStyle w:val="Bullet"/>
      </w:pPr>
      <w:r w:rsidRPr="00D13E2C">
        <w:t>the safety defect did not exist at the time of supply by the manufacturer</w:t>
      </w:r>
      <w:r>
        <w:t xml:space="preserve"> (‘time of supply</w:t>
      </w:r>
      <w:r w:rsidR="00797FEB">
        <w:t xml:space="preserve"> defence</w:t>
      </w:r>
      <w:r>
        <w:t>’)</w:t>
      </w:r>
      <w:r w:rsidRPr="00D13E2C">
        <w:t xml:space="preserve"> </w:t>
      </w:r>
    </w:p>
    <w:p w14:paraId="337C47C3" w14:textId="77777777" w:rsidR="003F1419" w:rsidRPr="00D13E2C" w:rsidRDefault="003F1419" w:rsidP="003F1419">
      <w:pPr>
        <w:pStyle w:val="Bullet"/>
      </w:pPr>
      <w:r w:rsidRPr="00D13E2C">
        <w:t>the safety defect only existed because a mandatory standard was complied with</w:t>
      </w:r>
    </w:p>
    <w:p w14:paraId="41D9E5B2" w14:textId="77777777" w:rsidR="003F1419" w:rsidRPr="00D13E2C" w:rsidRDefault="003F1419" w:rsidP="003F1419">
      <w:pPr>
        <w:pStyle w:val="Bullet"/>
      </w:pPr>
      <w:r w:rsidRPr="00D13E2C">
        <w:lastRenderedPageBreak/>
        <w:t>the safety defect could not have been discovered at the time the manufacturer supplied the goods because there was insufficient scientific or technical knowledge at that time (‘state-of-the-art defence’)</w:t>
      </w:r>
    </w:p>
    <w:p w14:paraId="5F4DC00B" w14:textId="77777777" w:rsidR="003F1419" w:rsidRPr="00D13E2C" w:rsidRDefault="003F1419" w:rsidP="003F1419">
      <w:pPr>
        <w:pStyle w:val="Bullet"/>
      </w:pPr>
      <w:r w:rsidRPr="00D13E2C">
        <w:t>the product was a component of a finished product and the safety defect is only attributable to:</w:t>
      </w:r>
    </w:p>
    <w:p w14:paraId="44CD52CB" w14:textId="77777777" w:rsidR="003F1419" w:rsidRPr="00D13E2C" w:rsidRDefault="003F1419" w:rsidP="003F1419">
      <w:pPr>
        <w:pStyle w:val="Dash"/>
        <w:ind w:left="851"/>
      </w:pPr>
      <w:r w:rsidRPr="00D13E2C">
        <w:t>the design of the finished goods or the markings on or accompanying them</w:t>
      </w:r>
    </w:p>
    <w:p w14:paraId="13EE05B3" w14:textId="3CB2835F" w:rsidR="003F1419" w:rsidRPr="00D13E2C" w:rsidRDefault="003F1419" w:rsidP="003F1419">
      <w:pPr>
        <w:pStyle w:val="Dash"/>
        <w:ind w:left="851"/>
      </w:pPr>
      <w:r w:rsidRPr="00D13E2C">
        <w:t>instructions or warnings included in those finished goods.</w:t>
      </w:r>
    </w:p>
    <w:p w14:paraId="2D5D503D" w14:textId="77777777" w:rsidR="003F1419" w:rsidRDefault="003F1419" w:rsidP="003F1419">
      <w:r w:rsidRPr="00D13E2C">
        <w:t xml:space="preserve">Stakeholder feedback </w:t>
      </w:r>
      <w:r>
        <w:t xml:space="preserve">focused on the time of supply and state-of-the art defences. </w:t>
      </w:r>
    </w:p>
    <w:p w14:paraId="6FDBEE14" w14:textId="77777777" w:rsidR="003F1419" w:rsidRPr="00D13E2C" w:rsidRDefault="003F1419" w:rsidP="003F1419">
      <w:pPr>
        <w:pStyle w:val="Heading3"/>
      </w:pPr>
      <w:r w:rsidRPr="00D13E2C">
        <w:t>Time of supply and manufacturer control</w:t>
      </w:r>
    </w:p>
    <w:p w14:paraId="63495EC3" w14:textId="39EFE499" w:rsidR="003F1419" w:rsidRPr="00D13E2C" w:rsidRDefault="003F1419" w:rsidP="003F1419">
      <w:r>
        <w:t xml:space="preserve">Stakeholders supported retaining the time of supply defence in the context of </w:t>
      </w:r>
      <w:r w:rsidR="00A148EA">
        <w:t>AI</w:t>
      </w:r>
      <w:r w:rsidR="00A148EA">
        <w:noBreakHyphen/>
        <w:t>enabled</w:t>
      </w:r>
      <w:r>
        <w:t xml:space="preserve"> goods; however,</w:t>
      </w:r>
      <w:r w:rsidRPr="00D13E2C">
        <w:t xml:space="preserve"> noted that the provision as presently drafted may not achieve this policy intent in all circumstances.</w:t>
      </w:r>
    </w:p>
    <w:p w14:paraId="10C55574" w14:textId="58361CEC" w:rsidR="003F1419" w:rsidRPr="00D13E2C" w:rsidRDefault="003F1419" w:rsidP="003F1419">
      <w:r w:rsidRPr="00D13E2C">
        <w:t xml:space="preserve">The apparent policy intent behind </w:t>
      </w:r>
      <w:r>
        <w:t>the time of supply defence</w:t>
      </w:r>
      <w:r w:rsidRPr="00D13E2C">
        <w:t xml:space="preserve"> is to insulate manufacturers from liability for safety defects that arise after they could reasonably be considered to maintain control of the goods. For traditional goods, the time of supply and the time at which control is relinquished by the manufacturer are the same. </w:t>
      </w:r>
      <w:r>
        <w:t>By contrast, c</w:t>
      </w:r>
      <w:r w:rsidRPr="00D13E2C">
        <w:t xml:space="preserve">ertain </w:t>
      </w:r>
      <w:r>
        <w:t>software-enabled</w:t>
      </w:r>
      <w:r w:rsidRPr="00D13E2C">
        <w:t xml:space="preserve"> goods, including </w:t>
      </w:r>
      <w:r w:rsidR="00A148EA">
        <w:t>AI</w:t>
      </w:r>
      <w:r w:rsidR="003676F4" w:rsidRPr="00D13E2C">
        <w:t>-</w:t>
      </w:r>
      <w:r w:rsidR="00A148EA">
        <w:t>enabled</w:t>
      </w:r>
      <w:r w:rsidRPr="00D13E2C">
        <w:t xml:space="preserve"> goods, may enable a manufacturer to continue to update software after the time of initial supply</w:t>
      </w:r>
      <w:r w:rsidR="00F542FD">
        <w:t xml:space="preserve"> and in a way which</w:t>
      </w:r>
      <w:r w:rsidR="004B664D">
        <w:t xml:space="preserve"> </w:t>
      </w:r>
      <w:r>
        <w:t xml:space="preserve">materially </w:t>
      </w:r>
      <w:r w:rsidR="00F542FD">
        <w:t>affects</w:t>
      </w:r>
      <w:r>
        <w:t xml:space="preserve"> the safety of the good</w:t>
      </w:r>
      <w:r w:rsidRPr="00D13E2C">
        <w:t>. For example, a manufacturer of a smart fridge may continue to provide software updates after the fridge is sold to a consumer. Such updates may alter the functioning of the software, including functionality which may impact product safety.</w:t>
      </w:r>
    </w:p>
    <w:p w14:paraId="7D6C0B38" w14:textId="6005E6CA" w:rsidR="003F1419" w:rsidRDefault="003F1419" w:rsidP="003F1419">
      <w:r w:rsidRPr="00D13E2C">
        <w:t xml:space="preserve">A defence that relies on the time of </w:t>
      </w:r>
      <w:r w:rsidRPr="00D13E2C">
        <w:rPr>
          <w:i/>
        </w:rPr>
        <w:t>supply</w:t>
      </w:r>
      <w:r w:rsidRPr="00D13E2C">
        <w:t xml:space="preserve">, rather than the time at which </w:t>
      </w:r>
      <w:r w:rsidRPr="00D13E2C">
        <w:rPr>
          <w:i/>
        </w:rPr>
        <w:t>control</w:t>
      </w:r>
      <w:r w:rsidRPr="00D13E2C">
        <w:t xml:space="preserve"> is relinquished, in some cases may not reflect the reality of how consumers experience certain </w:t>
      </w:r>
      <w:r>
        <w:t>software-enabled</w:t>
      </w:r>
      <w:r w:rsidRPr="00D13E2C">
        <w:t xml:space="preserve"> goods and the </w:t>
      </w:r>
      <w:r>
        <w:t>ongoing</w:t>
      </w:r>
      <w:r w:rsidRPr="00D13E2C">
        <w:t xml:space="preserve"> relationship with manufacturers. While this changing relationship</w:t>
      </w:r>
      <w:r w:rsidRPr="00D13E2C" w:rsidDel="003C1D91">
        <w:t xml:space="preserve"> </w:t>
      </w:r>
      <w:r w:rsidRPr="00D13E2C">
        <w:t>is not unique to AI, reconsideration of the framing of this defence may nevertheless be warranted in order for the policy intent of the defence to be realised.</w:t>
      </w:r>
    </w:p>
    <w:p w14:paraId="34F75982" w14:textId="777B0942" w:rsidR="003F1419" w:rsidRPr="00D13E2C" w:rsidRDefault="003F1419" w:rsidP="003F1419">
      <w:r w:rsidRPr="00D13E2C">
        <w:t xml:space="preserve">In considering how </w:t>
      </w:r>
      <w:r w:rsidR="004E3105">
        <w:t>the time of supply</w:t>
      </w:r>
      <w:r w:rsidRPr="00D13E2C">
        <w:t xml:space="preserve"> </w:t>
      </w:r>
      <w:r>
        <w:t>defence may be amended</w:t>
      </w:r>
      <w:r w:rsidRPr="00D13E2C">
        <w:t xml:space="preserve">, consideration </w:t>
      </w:r>
      <w:r>
        <w:t>could</w:t>
      </w:r>
      <w:r w:rsidRPr="00D13E2C">
        <w:t xml:space="preserve"> be given to alignment with existing provisions within the ACL </w:t>
      </w:r>
      <w:r>
        <w:t xml:space="preserve">which expressly incorporate the concept of control </w:t>
      </w:r>
      <w:r w:rsidRPr="00D13E2C">
        <w:t>to ensure a greater level of consistency.</w:t>
      </w:r>
      <w:r w:rsidRPr="00D13E2C">
        <w:rPr>
          <w:rStyle w:val="FootnoteReference"/>
        </w:rPr>
        <w:footnoteReference w:id="63"/>
      </w:r>
      <w:r w:rsidRPr="00D13E2C">
        <w:t xml:space="preserve"> However, any change to </w:t>
      </w:r>
      <w:r>
        <w:t>this provision</w:t>
      </w:r>
      <w:r w:rsidRPr="00D13E2C">
        <w:t xml:space="preserve"> would require careful consideration to ensure the effective functioning of the defence is retained, while reducing </w:t>
      </w:r>
      <w:r>
        <w:t xml:space="preserve">regulatory </w:t>
      </w:r>
      <w:r w:rsidRPr="00D13E2C">
        <w:t>uncertainty</w:t>
      </w:r>
      <w:r>
        <w:t>.</w:t>
      </w:r>
      <w:r w:rsidR="5F6FE6DD">
        <w:t>.</w:t>
      </w:r>
    </w:p>
    <w:p w14:paraId="103194F0" w14:textId="77777777" w:rsidR="003F1419" w:rsidRPr="00D13E2C" w:rsidRDefault="003F1419" w:rsidP="003F1419">
      <w:pPr>
        <w:pStyle w:val="Heading3"/>
      </w:pPr>
      <w:r w:rsidRPr="00D13E2C">
        <w:t>State-of-the-art defence</w:t>
      </w:r>
    </w:p>
    <w:p w14:paraId="592B8451" w14:textId="18D5C027" w:rsidR="003F1419" w:rsidRPr="00D13E2C" w:rsidRDefault="003F1419" w:rsidP="003F1419">
      <w:r w:rsidRPr="00D13E2C">
        <w:t>In relation to</w:t>
      </w:r>
      <w:r>
        <w:t xml:space="preserve"> the</w:t>
      </w:r>
      <w:r w:rsidRPr="00D13E2C">
        <w:t xml:space="preserve"> state-of-the-art defence,</w:t>
      </w:r>
      <w:r w:rsidRPr="00D13E2C" w:rsidDel="00EE3CAA">
        <w:t xml:space="preserve"> </w:t>
      </w:r>
      <w:r w:rsidRPr="00D13E2C">
        <w:t xml:space="preserve">stakeholders questioned whether this defence may be overly broad if applied to </w:t>
      </w:r>
      <w:r w:rsidR="00A148EA">
        <w:t>AI</w:t>
      </w:r>
      <w:r w:rsidR="00A148EA">
        <w:noBreakHyphen/>
        <w:t>enabled</w:t>
      </w:r>
      <w:r w:rsidRPr="00D13E2C">
        <w:t xml:space="preserve"> goods. In particular, it was suggested that, as a manufacturer may be unable to predict all possible outputs arising from an </w:t>
      </w:r>
      <w:r w:rsidR="00A148EA">
        <w:t>AI</w:t>
      </w:r>
      <w:r w:rsidR="00A148EA">
        <w:noBreakHyphen/>
        <w:t>enabled</w:t>
      </w:r>
      <w:r w:rsidRPr="00D13E2C">
        <w:t xml:space="preserve"> good, the manufacturer may be able to rely on the defence that they did not </w:t>
      </w:r>
      <w:r>
        <w:t>know</w:t>
      </w:r>
      <w:r w:rsidRPr="00D13E2C">
        <w:t xml:space="preserve"> that such an output would occur in order to avoid liability in a defective goods action</w:t>
      </w:r>
      <w:r w:rsidRPr="00D13E2C" w:rsidDel="006F2C2A">
        <w:t>.</w:t>
      </w:r>
      <w:r w:rsidRPr="00D13E2C">
        <w:t xml:space="preserve"> </w:t>
      </w:r>
    </w:p>
    <w:p w14:paraId="757FFC0D" w14:textId="13863A9E" w:rsidR="003F1419" w:rsidRPr="00D13E2C" w:rsidRDefault="003F1419" w:rsidP="003F1419">
      <w:r w:rsidRPr="00D13E2C">
        <w:t>The purpose</w:t>
      </w:r>
      <w:r>
        <w:t xml:space="preserve"> of the state-of-the-art defence</w:t>
      </w:r>
      <w:r w:rsidRPr="00D13E2C">
        <w:t xml:space="preserve"> is to shield manufacturers from liability in circumstances where they</w:t>
      </w:r>
      <w:r w:rsidRPr="00D13E2C" w:rsidDel="006062DE">
        <w:t xml:space="preserve"> </w:t>
      </w:r>
      <w:r w:rsidRPr="00D13E2C">
        <w:t>could not have known of the existence of a safety defect with the technology available at the time of supply. To be su</w:t>
      </w:r>
      <w:r w:rsidR="00784157">
        <w:t>c</w:t>
      </w:r>
      <w:r w:rsidRPr="00D13E2C">
        <w:t xml:space="preserve">cessful, the </w:t>
      </w:r>
      <w:r>
        <w:t>manufacturer</w:t>
      </w:r>
      <w:r w:rsidRPr="00D13E2C">
        <w:t xml:space="preserve"> must not establish that </w:t>
      </w:r>
      <w:r w:rsidRPr="00D13E2C">
        <w:rPr>
          <w:i/>
          <w:iCs/>
        </w:rPr>
        <w:t xml:space="preserve">they </w:t>
      </w:r>
      <w:r w:rsidRPr="00D13E2C">
        <w:t xml:space="preserve">did not have knowledge of the safety defect, rather that the safety defect could not have been discovered by </w:t>
      </w:r>
      <w:r w:rsidRPr="00D13E2C">
        <w:rPr>
          <w:i/>
          <w:iCs/>
        </w:rPr>
        <w:lastRenderedPageBreak/>
        <w:t xml:space="preserve">anybody </w:t>
      </w:r>
      <w:r w:rsidRPr="00D13E2C">
        <w:t xml:space="preserve">at the time. The defence therefore imposes a high bar on manufacturers and means manufacturers must keep up to date with advances in relevant knowledge after putting goods into circulation. For example, if it becomes known that certain code used in a </w:t>
      </w:r>
      <w:r>
        <w:t>large language model</w:t>
      </w:r>
      <w:r w:rsidRPr="00D13E2C">
        <w:t xml:space="preserve"> </w:t>
      </w:r>
      <w:r>
        <w:t xml:space="preserve">(LLM) </w:t>
      </w:r>
      <w:r w:rsidRPr="00D13E2C">
        <w:t xml:space="preserve">is prone to produce safety defects, and </w:t>
      </w:r>
      <w:r>
        <w:t>the</w:t>
      </w:r>
      <w:r w:rsidRPr="00D13E2C">
        <w:t xml:space="preserve"> manufacturer </w:t>
      </w:r>
      <w:r>
        <w:t>of</w:t>
      </w:r>
      <w:r w:rsidRPr="00D13E2C">
        <w:t xml:space="preserve"> that </w:t>
      </w:r>
      <w:r>
        <w:t>LLM</w:t>
      </w:r>
      <w:r w:rsidRPr="00D13E2C">
        <w:t xml:space="preserve"> could have discovered and remedied that prior to a safety defect arising, it is highly unlikely </w:t>
      </w:r>
      <w:r>
        <w:t>the manufacturer</w:t>
      </w:r>
      <w:r w:rsidRPr="00D13E2C">
        <w:t xml:space="preserve"> would be able to successfully rely on the state-of-the-art defence. </w:t>
      </w:r>
    </w:p>
    <w:p w14:paraId="49F57CC0" w14:textId="41A758A3" w:rsidR="003F1419" w:rsidRPr="00D13E2C" w:rsidRDefault="003F1419" w:rsidP="003F1419">
      <w:r w:rsidRPr="00D13E2C">
        <w:t xml:space="preserve">While close attention </w:t>
      </w:r>
      <w:r>
        <w:t>should continue to be given</w:t>
      </w:r>
      <w:r w:rsidRPr="00D13E2C">
        <w:t xml:space="preserve"> </w:t>
      </w:r>
      <w:r>
        <w:t>to</w:t>
      </w:r>
      <w:r w:rsidRPr="00D13E2C">
        <w:t xml:space="preserve"> how the state-of-the-art defence is pleaded in matters involving </w:t>
      </w:r>
      <w:r w:rsidR="00A148EA">
        <w:t>AI</w:t>
      </w:r>
      <w:r w:rsidR="00A148EA">
        <w:noBreakHyphen/>
        <w:t>enabled</w:t>
      </w:r>
      <w:r w:rsidRPr="00D13E2C">
        <w:t xml:space="preserve"> goods under Part 3-5, the Review did not find evidence to suggest that the current settings require recalibration at this time. If the defence is found to be operating in an unintentionally broad manner in future, consideration should then be given to adjustments to ensure the intent of the defence is retained.</w:t>
      </w:r>
    </w:p>
    <w:tbl>
      <w:tblPr>
        <w:tblW w:w="5000" w:type="pct"/>
        <w:shd w:val="clear" w:color="auto" w:fill="FEF8F4"/>
        <w:tblCellMar>
          <w:top w:w="227" w:type="dxa"/>
          <w:left w:w="227" w:type="dxa"/>
          <w:bottom w:w="227" w:type="dxa"/>
          <w:right w:w="227" w:type="dxa"/>
        </w:tblCellMar>
        <w:tblLook w:val="0600" w:firstRow="0" w:lastRow="0" w:firstColumn="0" w:lastColumn="0" w:noHBand="1" w:noVBand="1"/>
      </w:tblPr>
      <w:tblGrid>
        <w:gridCol w:w="9072"/>
      </w:tblGrid>
      <w:tr w:rsidR="003F1419" w:rsidRPr="00D13E2C" w14:paraId="49609C21" w14:textId="77777777" w:rsidTr="00D1010F">
        <w:tc>
          <w:tcPr>
            <w:tcW w:w="5000" w:type="pct"/>
            <w:shd w:val="clear" w:color="auto" w:fill="FCEEE5" w:themeFill="accent6" w:themeFillTint="33"/>
          </w:tcPr>
          <w:p w14:paraId="69BFBFAB" w14:textId="77777777" w:rsidR="003F1419" w:rsidRPr="00D13E2C" w:rsidRDefault="003F1419">
            <w:pPr>
              <w:pStyle w:val="BoxHeading"/>
            </w:pPr>
            <w:r w:rsidRPr="00D13E2C">
              <w:t>Finding 3</w:t>
            </w:r>
          </w:p>
          <w:p w14:paraId="7C28EEDD" w14:textId="77777777" w:rsidR="003F1419" w:rsidRPr="00D13E2C" w:rsidRDefault="003F1419">
            <w:r w:rsidRPr="00D13E2C">
              <w:t xml:space="preserve">The </w:t>
            </w:r>
            <w:r>
              <w:t>existing</w:t>
            </w:r>
            <w:r w:rsidRPr="00D13E2C">
              <w:t xml:space="preserve"> remedy and liability provisions under the ACL are broad and remain appropriate in an AI context. Additional clarity regarding the existing obligations of businesses across the AI supply chain may be realised through targeted amendments to the definition of ‘manufacturer’.</w:t>
            </w:r>
          </w:p>
        </w:tc>
      </w:tr>
    </w:tbl>
    <w:p w14:paraId="1A5283F8" w14:textId="77777777" w:rsidR="003F1419" w:rsidRPr="00D13E2C" w:rsidRDefault="003F1419" w:rsidP="003F1419"/>
    <w:tbl>
      <w:tblPr>
        <w:tblpPr w:leftFromText="180" w:rightFromText="180" w:vertAnchor="text" w:tblpY="1"/>
        <w:tblOverlap w:val="never"/>
        <w:tblW w:w="5000" w:type="pct"/>
        <w:shd w:val="clear" w:color="auto" w:fill="FEF8F4"/>
        <w:tblCellMar>
          <w:top w:w="227" w:type="dxa"/>
          <w:left w:w="227" w:type="dxa"/>
          <w:bottom w:w="227" w:type="dxa"/>
          <w:right w:w="227" w:type="dxa"/>
        </w:tblCellMar>
        <w:tblLook w:val="0600" w:firstRow="0" w:lastRow="0" w:firstColumn="0" w:lastColumn="0" w:noHBand="1" w:noVBand="1"/>
      </w:tblPr>
      <w:tblGrid>
        <w:gridCol w:w="9072"/>
      </w:tblGrid>
      <w:tr w:rsidR="003F1419" w:rsidRPr="00D13E2C" w14:paraId="116DF398" w14:textId="77777777" w:rsidTr="00D1010F">
        <w:tc>
          <w:tcPr>
            <w:tcW w:w="5000" w:type="pct"/>
            <w:shd w:val="clear" w:color="auto" w:fill="FCEEE5" w:themeFill="accent6" w:themeFillTint="33"/>
          </w:tcPr>
          <w:p w14:paraId="6A9D7CBC" w14:textId="77777777" w:rsidR="003F1419" w:rsidRPr="00D13E2C" w:rsidRDefault="003F1419">
            <w:pPr>
              <w:pStyle w:val="BoxHeading"/>
            </w:pPr>
            <w:r w:rsidRPr="00D13E2C">
              <w:t>Finding 4</w:t>
            </w:r>
          </w:p>
          <w:p w14:paraId="36C7289E" w14:textId="16ACDE4E" w:rsidR="003F1419" w:rsidRPr="00D13E2C" w:rsidRDefault="00BB7DB6">
            <w:r>
              <w:t>Existing manufacturer defences to defective goods actions available under the ACL remain broadly appropriate in an AI context. Technical amendments may be required to ensure existing defences operate as intended in the context of software-enabled goods, including AI enabled goods, where the manufacturer continues to exercise a degree of control over the good post-supply</w:t>
            </w:r>
            <w:r w:rsidR="003F1419">
              <w:t>.</w:t>
            </w:r>
            <w:r w:rsidR="680A9DDB">
              <w:t xml:space="preserve"> </w:t>
            </w:r>
          </w:p>
        </w:tc>
      </w:tr>
    </w:tbl>
    <w:p w14:paraId="7CC52373" w14:textId="0C242B49" w:rsidR="00BB117A" w:rsidRDefault="003F1419" w:rsidP="00CE09D6">
      <w:pPr>
        <w:pStyle w:val="Heading1Numbered"/>
      </w:pPr>
      <w:bookmarkStart w:id="37" w:name="_Toc192160557"/>
      <w:r>
        <w:t>Administration</w:t>
      </w:r>
      <w:bookmarkEnd w:id="37"/>
    </w:p>
    <w:p w14:paraId="0C73C974" w14:textId="77777777" w:rsidR="00232EB0" w:rsidRPr="00D13E2C" w:rsidRDefault="00232EB0" w:rsidP="00232EB0">
      <w:r w:rsidRPr="00D13E2C">
        <w:t xml:space="preserve">In adopting the ACL in 2010, the Commonwealth, state and territory governments agreed to retain their own consumer regulators </w:t>
      </w:r>
      <w:r>
        <w:t>for</w:t>
      </w:r>
      <w:r w:rsidRPr="00D13E2C">
        <w:t xml:space="preserve"> administ</w:t>
      </w:r>
      <w:r>
        <w:t>ration</w:t>
      </w:r>
      <w:r w:rsidRPr="00D13E2C">
        <w:t xml:space="preserve"> and enforce</w:t>
      </w:r>
      <w:r>
        <w:t>ment</w:t>
      </w:r>
      <w:r w:rsidRPr="00D13E2C">
        <w:t xml:space="preserve">. Consequently, the ACL is administered under a ‘one-law, multiple-regulator’ model. </w:t>
      </w:r>
      <w:r w:rsidRPr="00D13E2C">
        <w:rPr>
          <w:szCs w:val="22"/>
        </w:rPr>
        <w:t>Each ACL regulator is independent, has its own enabling legislation and exercises its powers and functions accordingly. The regulators of the ACL are:</w:t>
      </w:r>
    </w:p>
    <w:p w14:paraId="51041D63" w14:textId="77777777" w:rsidR="00232EB0" w:rsidRPr="00D13E2C" w:rsidRDefault="00232EB0" w:rsidP="00232EB0">
      <w:pPr>
        <w:pStyle w:val="Bullet"/>
      </w:pPr>
      <w:r w:rsidRPr="00D13E2C">
        <w:t>the ACCC, in respect of systemic conduct in trade or commerce at a national level and consistent with published priorities, and conduct involving the use of postal, telephonic and internet services</w:t>
      </w:r>
    </w:p>
    <w:p w14:paraId="25E84C4A" w14:textId="77777777" w:rsidR="00232EB0" w:rsidRPr="00D13E2C" w:rsidRDefault="00232EB0" w:rsidP="00232EB0">
      <w:pPr>
        <w:pStyle w:val="Bullet"/>
      </w:pPr>
      <w:r w:rsidRPr="00D13E2C">
        <w:t xml:space="preserve">state and territory consumer protection agencies, in respect of conduct engaged in by persons carrying on a business in, or connected with, the respective state or territory. </w:t>
      </w:r>
    </w:p>
    <w:p w14:paraId="0703B905" w14:textId="795D6488" w:rsidR="007433F7" w:rsidRPr="00D13E2C" w:rsidRDefault="00232EB0" w:rsidP="007433F7">
      <w:r w:rsidRPr="00D13E2C">
        <w:t xml:space="preserve">Each ACL regulator has a compliance and enforcement policy which details the compliance and enforcement powers and tools available to them under the ACL and supporting legislation. These include court action, infringement notices, enforceable undertakings, administrative resolutions, guidance and education, formal written warnings to a business, dispute resolution, and public </w:t>
      </w:r>
      <w:r w:rsidRPr="00D13E2C">
        <w:lastRenderedPageBreak/>
        <w:t>warnings or other public statements.</w:t>
      </w:r>
      <w:r>
        <w:rPr>
          <w:rStyle w:val="FootnoteReference"/>
        </w:rPr>
        <w:footnoteReference w:id="64"/>
      </w:r>
      <w:r w:rsidRPr="00D13E2C">
        <w:t xml:space="preserve"> When enforcing the law</w:t>
      </w:r>
      <w:r w:rsidR="00E73B73">
        <w:t>,</w:t>
      </w:r>
      <w:r w:rsidRPr="00D13E2C">
        <w:t xml:space="preserve"> ACL regulators </w:t>
      </w:r>
      <w:r>
        <w:t>seek to</w:t>
      </w:r>
      <w:r w:rsidRPr="00D13E2C">
        <w:t xml:space="preserve"> take proportionate action, aiming to ensure compliance and deter offending conduct, encourage the effective use of compliance systems and</w:t>
      </w:r>
      <w:r w:rsidR="004B428E">
        <w:t>,</w:t>
      </w:r>
      <w:r w:rsidRPr="00D13E2C">
        <w:t xml:space="preserve"> </w:t>
      </w:r>
      <w:r w:rsidR="00E73B73">
        <w:t>as</w:t>
      </w:r>
      <w:r>
        <w:t xml:space="preserve"> </w:t>
      </w:r>
      <w:r w:rsidR="007433F7">
        <w:t xml:space="preserve">appropriate, seek </w:t>
      </w:r>
      <w:r w:rsidR="007433F7" w:rsidRPr="00D13E2C">
        <w:t>penalties</w:t>
      </w:r>
      <w:r w:rsidR="007433F7">
        <w:t xml:space="preserve"> </w:t>
      </w:r>
      <w:r w:rsidR="007433F7" w:rsidRPr="00EE182D">
        <w:t>through court action</w:t>
      </w:r>
      <w:r w:rsidR="007433F7" w:rsidRPr="00D13E2C">
        <w:t>.</w:t>
      </w:r>
    </w:p>
    <w:p w14:paraId="724EC830" w14:textId="03A07CC2" w:rsidR="00232EB0" w:rsidRPr="00D13E2C" w:rsidRDefault="00232EB0" w:rsidP="00232EB0">
      <w:r w:rsidRPr="00D13E2C">
        <w:t xml:space="preserve">Some submissions to this Review suggested that the ACCC may require additional powers to be able to effectively regulate </w:t>
      </w:r>
      <w:r w:rsidR="00A148EA">
        <w:t>AI</w:t>
      </w:r>
      <w:r w:rsidR="00A148EA">
        <w:noBreakHyphen/>
        <w:t>enabled</w:t>
      </w:r>
      <w:r w:rsidRPr="00D13E2C">
        <w:t xml:space="preserve"> goods and services. The speed and scalability of AI was frequently referenced as a point of concern, with the potential for many breaches of the ACL to occur within short periods of time. The takedown regime in the </w:t>
      </w:r>
      <w:r w:rsidRPr="00B9056F">
        <w:rPr>
          <w:i/>
          <w:iCs/>
        </w:rPr>
        <w:t xml:space="preserve">Copyright Regulations 2017 </w:t>
      </w:r>
      <w:r w:rsidRPr="00D13E2C">
        <w:t>made under the</w:t>
      </w:r>
      <w:r w:rsidRPr="00D13E2C">
        <w:rPr>
          <w:i/>
        </w:rPr>
        <w:t xml:space="preserve"> Copyright Act 1968</w:t>
      </w:r>
      <w:r w:rsidRPr="00D13E2C">
        <w:t xml:space="preserve"> and removal notices given by the eSafety Commissioner under sections 109 and 110 of the </w:t>
      </w:r>
      <w:r w:rsidRPr="00D13E2C">
        <w:rPr>
          <w:i/>
        </w:rPr>
        <w:t>Online Safety Act 2021</w:t>
      </w:r>
      <w:r w:rsidRPr="00D13E2C">
        <w:t xml:space="preserve"> were referenced as possible models on which additional powers could be modelled.</w:t>
      </w:r>
    </w:p>
    <w:p w14:paraId="5362BC58" w14:textId="03B66D2C" w:rsidR="00232EB0" w:rsidRPr="00D13E2C" w:rsidRDefault="00232EB0" w:rsidP="00232EB0">
      <w:r w:rsidRPr="00D13E2C">
        <w:t xml:space="preserve">While approaches vary across regulators, the ACCC has </w:t>
      </w:r>
      <w:r>
        <w:t>access</w:t>
      </w:r>
      <w:r w:rsidRPr="00D13E2C">
        <w:t xml:space="preserve"> to a broad range of powers under the </w:t>
      </w:r>
      <w:r w:rsidRPr="00D13E2C">
        <w:rPr>
          <w:i/>
        </w:rPr>
        <w:t>Competition and Consumer Act 2010</w:t>
      </w:r>
      <w:r w:rsidRPr="00D13E2C">
        <w:t xml:space="preserve"> to address risks which may emerge in the marketplace</w:t>
      </w:r>
      <w:r>
        <w:t>, including those which may arise due to</w:t>
      </w:r>
      <w:r w:rsidRPr="00D13E2C">
        <w:t xml:space="preserve"> </w:t>
      </w:r>
      <w:r w:rsidR="00A148EA">
        <w:t>AI</w:t>
      </w:r>
      <w:r w:rsidR="00A148EA">
        <w:noBreakHyphen/>
        <w:t>enabled</w:t>
      </w:r>
      <w:r w:rsidRPr="00D13E2C">
        <w:t xml:space="preserve"> goods and services. These include powers to seek an injunction and issue public warning notices.</w:t>
      </w:r>
      <w:r w:rsidRPr="00D13E2C">
        <w:rPr>
          <w:rStyle w:val="FootnoteReference"/>
        </w:rPr>
        <w:footnoteReference w:id="65"/>
      </w:r>
      <w:r w:rsidRPr="00D13E2C">
        <w:t xml:space="preserve"> </w:t>
      </w:r>
      <w:r>
        <w:t xml:space="preserve">While the sufficiency of the ACCC’s powers to undertake its regulatory activities are regularly reviewed, the Review did not find evidence that the nature of </w:t>
      </w:r>
      <w:r w:rsidR="00A148EA">
        <w:t>AI</w:t>
      </w:r>
      <w:r w:rsidR="00A148EA">
        <w:noBreakHyphen/>
        <w:t>enabled</w:t>
      </w:r>
      <w:r>
        <w:t xml:space="preserve"> goods or services necessitate changes to existing powers available to the ACCC.</w:t>
      </w:r>
    </w:p>
    <w:p w14:paraId="70EFC763" w14:textId="2D0CE53D" w:rsidR="00232EB0" w:rsidRDefault="00232EB0" w:rsidP="00232EB0">
      <w:r w:rsidRPr="00D13E2C">
        <w:t xml:space="preserve">Some stakeholders also suggested that, as many parties in the AI supply chain may be based overseas, there may be practical difficulties for ACL regulators in enforcing the ACL. While pursuing actions against entities in other jurisdictions is complex, this complexity is not unique to </w:t>
      </w:r>
      <w:r w:rsidR="00A148EA">
        <w:t>AI</w:t>
      </w:r>
      <w:r w:rsidR="00A148EA">
        <w:noBreakHyphen/>
        <w:t>enabled</w:t>
      </w:r>
      <w:r w:rsidRPr="00D13E2C">
        <w:t xml:space="preserve"> goods and services. In view of this, the ACCC’s information gathering powers were clarified in 2022 to explicitly specify that the ACCC can serve certain notices in or outside of Australia.</w:t>
      </w:r>
      <w:r w:rsidRPr="00D13E2C">
        <w:rPr>
          <w:rStyle w:val="FootnoteReference"/>
        </w:rPr>
        <w:footnoteReference w:id="66"/>
      </w:r>
      <w:r w:rsidRPr="00D13E2C">
        <w:t xml:space="preserve"> In addition, following the Federal Court Legislation Amendment Rules 2022, leave of the court is no longer required to serve originating applications on parties outside </w:t>
      </w:r>
      <w:r>
        <w:t xml:space="preserve">of </w:t>
      </w:r>
      <w:r w:rsidRPr="00D13E2C">
        <w:t xml:space="preserve">Australia. This amendment reduces previous barriers to claims being brought under the </w:t>
      </w:r>
      <w:r>
        <w:rPr>
          <w:i/>
          <w:iCs/>
        </w:rPr>
        <w:t>Competition</w:t>
      </w:r>
      <w:r>
        <w:rPr>
          <w:i/>
        </w:rPr>
        <w:t xml:space="preserve"> and</w:t>
      </w:r>
      <w:r>
        <w:rPr>
          <w:i/>
          <w:iCs/>
        </w:rPr>
        <w:t xml:space="preserve"> Consumer Act </w:t>
      </w:r>
      <w:r w:rsidRPr="009E418F">
        <w:rPr>
          <w:i/>
        </w:rPr>
        <w:t>2010</w:t>
      </w:r>
      <w:r w:rsidRPr="00D13E2C">
        <w:t xml:space="preserve"> against overseas entities, including those involved in the provision of </w:t>
      </w:r>
      <w:r w:rsidR="00A148EA">
        <w:t>AI</w:t>
      </w:r>
      <w:r w:rsidR="00A148EA">
        <w:noBreakHyphen/>
        <w:t>enabled</w:t>
      </w:r>
      <w:r w:rsidRPr="00D13E2C">
        <w:t xml:space="preserve"> goods and services.</w:t>
      </w:r>
    </w:p>
    <w:tbl>
      <w:tblPr>
        <w:tblStyle w:val="TableGrid"/>
        <w:tblW w:w="5000" w:type="pct"/>
        <w:shd w:val="clear" w:color="auto" w:fill="FCEEE5" w:themeFill="accent6" w:themeFillTint="33"/>
        <w:tblCellMar>
          <w:top w:w="227" w:type="dxa"/>
          <w:left w:w="227" w:type="dxa"/>
          <w:bottom w:w="227" w:type="dxa"/>
          <w:right w:w="227" w:type="dxa"/>
        </w:tblCellMar>
        <w:tblLook w:val="0620" w:firstRow="1" w:lastRow="0" w:firstColumn="0" w:lastColumn="0" w:noHBand="1" w:noVBand="1"/>
      </w:tblPr>
      <w:tblGrid>
        <w:gridCol w:w="9072"/>
      </w:tblGrid>
      <w:tr w:rsidR="008D784D" w14:paraId="0C769974" w14:textId="77777777" w:rsidTr="005A5551">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CEEE5" w:themeFill="accent6" w:themeFillTint="33"/>
          </w:tcPr>
          <w:p w14:paraId="3CB9A396" w14:textId="77777777" w:rsidR="008D784D" w:rsidRPr="002A4ABB" w:rsidRDefault="008D784D">
            <w:pPr>
              <w:pStyle w:val="BoxHeading"/>
              <w:rPr>
                <w:b/>
                <w:bCs/>
                <w:szCs w:val="22"/>
              </w:rPr>
            </w:pPr>
            <w:r w:rsidRPr="002A4ABB">
              <w:rPr>
                <w:b/>
                <w:bCs/>
                <w:szCs w:val="22"/>
              </w:rPr>
              <w:t>Finding 5</w:t>
            </w:r>
          </w:p>
          <w:p w14:paraId="38C58470" w14:textId="2C16A05F" w:rsidR="008D784D" w:rsidRPr="002A4ABB" w:rsidRDefault="000F38C7" w:rsidP="000F38C7">
            <w:pPr>
              <w:rPr>
                <w:b w:val="0"/>
                <w:bCs/>
                <w:sz w:val="22"/>
                <w:szCs w:val="22"/>
              </w:rPr>
            </w:pPr>
            <w:r w:rsidRPr="002A4ABB">
              <w:rPr>
                <w:b w:val="0"/>
                <w:bCs/>
                <w:sz w:val="22"/>
                <w:szCs w:val="22"/>
              </w:rPr>
              <w:t>The nature of AI</w:t>
            </w:r>
            <w:r w:rsidRPr="002A4ABB">
              <w:rPr>
                <w:b w:val="0"/>
                <w:bCs/>
                <w:sz w:val="22"/>
                <w:szCs w:val="22"/>
              </w:rPr>
              <w:noBreakHyphen/>
              <w:t>enabled goods and services does not necessitate specific changes to current powers available to the Australian Competition and Consumer Commission (ACCC). Regular review of the ACCC’s powers should continue in order to ensure the ongoing sufficiency of those powers in contexts including, but not limited to, AI.</w:t>
            </w:r>
          </w:p>
        </w:tc>
      </w:tr>
    </w:tbl>
    <w:p w14:paraId="27D3E748" w14:textId="68B9700F" w:rsidR="003F1419" w:rsidRDefault="00232EB0" w:rsidP="00CE09D6">
      <w:pPr>
        <w:pStyle w:val="Heading1Numbered"/>
      </w:pPr>
      <w:bookmarkStart w:id="38" w:name="_Toc192160558"/>
      <w:r>
        <w:t>International perspectives</w:t>
      </w:r>
      <w:bookmarkEnd w:id="38"/>
    </w:p>
    <w:p w14:paraId="45C66F69" w14:textId="77777777" w:rsidR="00A07547" w:rsidRPr="00D13E2C" w:rsidRDefault="00A07547" w:rsidP="00A07547">
      <w:r w:rsidRPr="00D13E2C">
        <w:t xml:space="preserve">Governments across the world are considering how best to realise the benefits and </w:t>
      </w:r>
      <w:r w:rsidRPr="00D13E2C" w:rsidDel="009F6C9C">
        <w:t xml:space="preserve">manage </w:t>
      </w:r>
      <w:r w:rsidRPr="00D13E2C">
        <w:t xml:space="preserve">risks associated with AI. In response to consultation, stakeholders expressed that their views were informed by international approaches to AI regulation. Given the global nature of AI supply chains, </w:t>
      </w:r>
      <w:r>
        <w:t>the</w:t>
      </w:r>
      <w:r w:rsidRPr="00D13E2C">
        <w:t xml:space="preserve"> similarities and differences between Australia’s national consumer protection framework and similar jurisdictions</w:t>
      </w:r>
      <w:r>
        <w:t xml:space="preserve"> are a focal point for both consumers and businesses. </w:t>
      </w:r>
    </w:p>
    <w:p w14:paraId="68ACEEE7" w14:textId="4CC3D554" w:rsidR="00A07547" w:rsidRPr="00D13E2C" w:rsidRDefault="00A07547" w:rsidP="00A07547">
      <w:r w:rsidRPr="00D13E2C">
        <w:lastRenderedPageBreak/>
        <w:t xml:space="preserve">This chapter considers how Australia’s consumer protection framework is positioned to respond to risks from </w:t>
      </w:r>
      <w:r w:rsidR="00A148EA">
        <w:t>AI</w:t>
      </w:r>
      <w:r w:rsidR="00A148EA">
        <w:noBreakHyphen/>
        <w:t>enabled</w:t>
      </w:r>
      <w:r w:rsidRPr="00D13E2C">
        <w:t xml:space="preserve"> goods and services when compared to the consumer protections laws of select comparable jurisdictions: the European Union (EU), the United Kingdom (UK) and Singapore. </w:t>
      </w:r>
    </w:p>
    <w:p w14:paraId="4D55F300" w14:textId="77777777" w:rsidR="00A07547" w:rsidRPr="00D13E2C" w:rsidRDefault="00A07547" w:rsidP="00A07547">
      <w:pPr>
        <w:pStyle w:val="Heading2"/>
      </w:pPr>
      <w:bookmarkStart w:id="39" w:name="_Toc190091956"/>
      <w:bookmarkStart w:id="40" w:name="_Toc192160559"/>
      <w:r w:rsidRPr="00D13E2C">
        <w:t>European Union</w:t>
      </w:r>
      <w:bookmarkEnd w:id="39"/>
      <w:bookmarkEnd w:id="40"/>
    </w:p>
    <w:p w14:paraId="75583418" w14:textId="77777777" w:rsidR="00A07547" w:rsidRPr="00D13E2C" w:rsidRDefault="00A07547" w:rsidP="00A07547">
      <w:r w:rsidRPr="00D13E2C">
        <w:t xml:space="preserve">In the EU, consumer protections are governed by ‘directives’ or ‘regulations’ made by the European Commission. A directive is a legislative act that sets out a goal and requires each member state to draft its own legislation transposing the directive to achieve the goal. By contrast, a regulation is a binding legislative act, directly applicable in its entirety across each EU member state. Regulations do not require separate implementation by EU member states. </w:t>
      </w:r>
    </w:p>
    <w:p w14:paraId="53D3688A" w14:textId="0045F2DD" w:rsidR="00A07547" w:rsidRPr="00D13E2C" w:rsidRDefault="00A07547" w:rsidP="00A07547">
      <w:r w:rsidRPr="00D13E2C">
        <w:rPr>
          <w:b/>
        </w:rPr>
        <w:t>Attachment</w:t>
      </w:r>
      <w:r>
        <w:rPr>
          <w:b/>
        </w:rPr>
        <w:t> </w:t>
      </w:r>
      <w:r w:rsidRPr="00D13E2C">
        <w:rPr>
          <w:b/>
        </w:rPr>
        <w:t>A</w:t>
      </w:r>
      <w:r w:rsidRPr="00D13E2C">
        <w:t xml:space="preserve"> maps core protections relevant to consumers of </w:t>
      </w:r>
      <w:r w:rsidR="00A148EA">
        <w:t>AI</w:t>
      </w:r>
      <w:r w:rsidR="00A148EA">
        <w:noBreakHyphen/>
        <w:t>enabled</w:t>
      </w:r>
      <w:r w:rsidRPr="00D13E2C">
        <w:t xml:space="preserve"> goods and services to the</w:t>
      </w:r>
      <w:r w:rsidRPr="00D13E2C" w:rsidDel="00B13455">
        <w:t xml:space="preserve"> </w:t>
      </w:r>
      <w:r w:rsidRPr="00D13E2C">
        <w:t xml:space="preserve">EU’s consumer protections regime. Overall, the directives that make up the EU’s framework offer largely comparable consumer protections to those in the ACL. </w:t>
      </w:r>
      <w:r w:rsidRPr="00D13E2C" w:rsidDel="003809B0">
        <w:t>Some</w:t>
      </w:r>
      <w:r w:rsidRPr="00D13E2C">
        <w:t xml:space="preserve"> of the key differences are:</w:t>
      </w:r>
    </w:p>
    <w:p w14:paraId="705E5EA8" w14:textId="77777777" w:rsidR="00A07547" w:rsidRPr="00D13E2C" w:rsidRDefault="00A07547" w:rsidP="00A07547">
      <w:pPr>
        <w:pStyle w:val="Bullet"/>
      </w:pPr>
      <w:r w:rsidRPr="00D13E2C">
        <w:t xml:space="preserve">There is no direct equivalent for unconscionable conduct in EU law. However, the EU prohibits ‘unfair commercial practices’, including ‘aggressive practices’ </w:t>
      </w:r>
      <w:r w:rsidRPr="00D13E2C">
        <w:rPr>
          <w:rFonts w:cs="Arial"/>
        </w:rPr>
        <w:t>which, in certain circumstances, may</w:t>
      </w:r>
      <w:r w:rsidRPr="00D13E2C" w:rsidDel="006D792A">
        <w:t xml:space="preserve"> </w:t>
      </w:r>
      <w:r w:rsidRPr="00D13E2C">
        <w:t>amount to</w:t>
      </w:r>
      <w:r w:rsidRPr="00D13E2C">
        <w:rPr>
          <w:rFonts w:cs="Arial"/>
        </w:rPr>
        <w:t xml:space="preserve"> </w:t>
      </w:r>
      <w:r w:rsidRPr="00D13E2C">
        <w:t xml:space="preserve">unconscionable conduct under the ACL. </w:t>
      </w:r>
    </w:p>
    <w:p w14:paraId="6F623BC7" w14:textId="58DF6395" w:rsidR="00A07547" w:rsidRPr="00D13E2C" w:rsidRDefault="00A07547" w:rsidP="00A07547">
      <w:pPr>
        <w:pStyle w:val="Bullet"/>
      </w:pPr>
      <w:r>
        <w:t>While protections</w:t>
      </w:r>
      <w:r w:rsidRPr="00D13E2C">
        <w:t xml:space="preserve"> equivalent to the consumer guarantees appl</w:t>
      </w:r>
      <w:r>
        <w:t>y</w:t>
      </w:r>
      <w:r w:rsidRPr="00D13E2C">
        <w:t xml:space="preserve"> to goods and digital services</w:t>
      </w:r>
      <w:r>
        <w:t xml:space="preserve"> in the EU</w:t>
      </w:r>
      <w:r w:rsidRPr="00D13E2C">
        <w:t xml:space="preserve">, no statutory guarantees apply to non-digital services. As discussed in </w:t>
      </w:r>
      <w:r w:rsidR="001C7BC1">
        <w:rPr>
          <w:b/>
        </w:rPr>
        <w:t>Chapter </w:t>
      </w:r>
      <w:r w:rsidRPr="00D13E2C">
        <w:rPr>
          <w:b/>
        </w:rPr>
        <w:t>2</w:t>
      </w:r>
      <w:r w:rsidRPr="00D13E2C">
        <w:t>, under the ACL the consumer guarantees apply to both goods and services.</w:t>
      </w:r>
    </w:p>
    <w:p w14:paraId="269C3F19" w14:textId="6948E7F1" w:rsidR="00A07547" w:rsidRPr="00D13E2C" w:rsidRDefault="00A07547" w:rsidP="00A07547">
      <w:pPr>
        <w:pStyle w:val="Bullet"/>
      </w:pPr>
      <w:r w:rsidRPr="00D13E2C">
        <w:t xml:space="preserve">Consumer remedies for </w:t>
      </w:r>
      <w:r w:rsidR="0072131A">
        <w:t xml:space="preserve">a </w:t>
      </w:r>
      <w:r w:rsidRPr="00D13E2C">
        <w:t xml:space="preserve">failure to meet the EU’s equivalent of consumer guarantees are more closely linked with the time of supply. There is a statutory presumption that if a defect manifests within 6 months of supply the defect was present at the time of supply. However, remedies are generally only available if the failure occurs within 2 years of supply. In Australia, the period for which goods and services must conform with the consumer guarantees depends on what would be reasonable, given the cost and quality of the </w:t>
      </w:r>
      <w:r w:rsidR="00896C94">
        <w:t>good or service</w:t>
      </w:r>
      <w:r w:rsidRPr="00D13E2C">
        <w:t xml:space="preserve">. As such, a consumer may have a longer period to seek a remedy in </w:t>
      </w:r>
      <w:r w:rsidR="00C82384">
        <w:t>Australia</w:t>
      </w:r>
      <w:r w:rsidRPr="00D13E2C">
        <w:t xml:space="preserve">, depending on what is reasonable. </w:t>
      </w:r>
    </w:p>
    <w:p w14:paraId="532D7B05" w14:textId="77777777" w:rsidR="00A07547" w:rsidRPr="00D13E2C" w:rsidRDefault="00A07547" w:rsidP="00A07547">
      <w:pPr>
        <w:pStyle w:val="Bullet"/>
      </w:pPr>
      <w:r w:rsidRPr="00D13E2C">
        <w:t>The EU consumer protections regime does not apply to business-to-business transactions unless specified. In Australia, business transactions are generally protected under the ACL, subject to certain restrictions. For example, under the ACL consumer guarantees will generally apply to a business transaction under $100,000</w:t>
      </w:r>
      <w:r w:rsidRPr="00D13E2C" w:rsidDel="00BB3550">
        <w:t>.</w:t>
      </w:r>
    </w:p>
    <w:p w14:paraId="12D55FF6" w14:textId="6AEFE3A4" w:rsidR="00A07547" w:rsidRPr="00D13E2C" w:rsidRDefault="00A07547" w:rsidP="00A07547">
      <w:r w:rsidRPr="00D13E2C">
        <w:t xml:space="preserve">In addition to the consumer protection regime, the EU has also enacted regulations that seek to more directly address harms that may arise from </w:t>
      </w:r>
      <w:r w:rsidR="00A148EA">
        <w:t>AI</w:t>
      </w:r>
      <w:r w:rsidR="00A148EA">
        <w:noBreakHyphen/>
        <w:t>enabled</w:t>
      </w:r>
      <w:r w:rsidRPr="00D13E2C">
        <w:t xml:space="preserve"> goods and services. These include the Data Act,</w:t>
      </w:r>
      <w:r w:rsidRPr="00D13E2C">
        <w:rPr>
          <w:rStyle w:val="FootnoteReference"/>
        </w:rPr>
        <w:footnoteReference w:id="67"/>
      </w:r>
      <w:r w:rsidRPr="00D13E2C">
        <w:t xml:space="preserve"> which regulates access to and use of IoT products and related service data, the AI Act,</w:t>
      </w:r>
      <w:r w:rsidRPr="00D13E2C">
        <w:rPr>
          <w:rStyle w:val="FootnoteReference"/>
        </w:rPr>
        <w:footnoteReference w:id="68"/>
      </w:r>
      <w:r w:rsidRPr="00D13E2C">
        <w:t xml:space="preserve"> which prohibits certain applications of AI and provides mandatory transparency requirements, the Digital Services Act,</w:t>
      </w:r>
      <w:r w:rsidRPr="00D13E2C">
        <w:rPr>
          <w:rStyle w:val="FootnoteReference"/>
        </w:rPr>
        <w:footnoteReference w:id="69"/>
      </w:r>
      <w:r w:rsidRPr="00D13E2C">
        <w:t xml:space="preserve"> which regulates the design, organisation and operation of digital platforms (including </w:t>
      </w:r>
      <w:r w:rsidRPr="00D13E2C">
        <w:lastRenderedPageBreak/>
        <w:t>marketplaces), and the Digital Markets Act,</w:t>
      </w:r>
      <w:r w:rsidRPr="00D13E2C">
        <w:rPr>
          <w:rStyle w:val="FootnoteReference"/>
        </w:rPr>
        <w:footnoteReference w:id="70"/>
      </w:r>
      <w:r w:rsidRPr="00D13E2C">
        <w:t xml:space="preserve"> which regulates large digital platforms. The protections afforded by these acts are more closely aligned to reforms being progressed through other processes across Government and operate in addition to the protections afforded by the ACL. </w:t>
      </w:r>
      <w:r w:rsidR="00511392" w:rsidRPr="00D13E2C">
        <w:t>These include</w:t>
      </w:r>
      <w:r w:rsidR="00511392" w:rsidRPr="00F537CC">
        <w:t xml:space="preserve"> implementation of the Government Response to the Privacy Act Review, the </w:t>
      </w:r>
      <w:r w:rsidR="00511392" w:rsidRPr="00F537CC">
        <w:rPr>
          <w:i/>
        </w:rPr>
        <w:t>2023-2030 Australian Cyber Security Strategy</w:t>
      </w:r>
      <w:r w:rsidR="002A0831" w:rsidRPr="00F537CC">
        <w:rPr>
          <w:i/>
        </w:rPr>
        <w:t xml:space="preserve"> </w:t>
      </w:r>
      <w:r w:rsidR="002A0831" w:rsidRPr="004357F7">
        <w:t xml:space="preserve">and </w:t>
      </w:r>
      <w:r w:rsidR="004357F7" w:rsidRPr="00DE760A">
        <w:t xml:space="preserve">the </w:t>
      </w:r>
      <w:r w:rsidR="004357F7" w:rsidRPr="007A4FC4">
        <w:t>consumer recommendations of the</w:t>
      </w:r>
      <w:r w:rsidR="004357F7" w:rsidRPr="004357F7">
        <w:t xml:space="preserve"> ACCC’s Digital Platform Services Inquiry</w:t>
      </w:r>
      <w:r w:rsidR="00511392" w:rsidRPr="004357F7">
        <w:t>.</w:t>
      </w:r>
      <w:r w:rsidR="002A0831">
        <w:rPr>
          <w:rStyle w:val="FootnoteReference"/>
        </w:rPr>
        <w:footnoteReference w:id="71"/>
      </w:r>
      <w:r w:rsidR="00511392" w:rsidRPr="00D13E2C">
        <w:t xml:space="preserve"> </w:t>
      </w:r>
    </w:p>
    <w:p w14:paraId="1ECF1E7C" w14:textId="6DDDAF4A" w:rsidR="00A07547" w:rsidRPr="00D13E2C" w:rsidRDefault="00A07547" w:rsidP="00A07547">
      <w:r w:rsidRPr="00D13E2C">
        <w:t xml:space="preserve">The proposed AILD, described in </w:t>
      </w:r>
      <w:r w:rsidR="001C7BC1">
        <w:rPr>
          <w:b/>
        </w:rPr>
        <w:t>Chapter </w:t>
      </w:r>
      <w:r w:rsidRPr="00721FB4">
        <w:rPr>
          <w:b/>
        </w:rPr>
        <w:t>4</w:t>
      </w:r>
      <w:r w:rsidRPr="00D13E2C">
        <w:t>, also aims to address specific AI concerns in adapting non-contractual civil liability rules to AI, including by imposing a presumption of causality on businesses under certain circumstances. The AILD is not finalised and there are ongoing discussions on its direction. If the presumption of causality is enacted, it may lower barriers to accessing remedies for consumers in the EU</w:t>
      </w:r>
      <w:r w:rsidR="00EA021C">
        <w:t>.</w:t>
      </w:r>
      <w:r w:rsidRPr="00D13E2C">
        <w:t xml:space="preserve"> </w:t>
      </w:r>
      <w:r w:rsidR="00EA021C">
        <w:t>H</w:t>
      </w:r>
      <w:r w:rsidRPr="00D13E2C">
        <w:t>owever</w:t>
      </w:r>
      <w:r w:rsidR="00EA021C">
        <w:t>,</w:t>
      </w:r>
      <w:r w:rsidRPr="00D13E2C">
        <w:t xml:space="preserve"> as discussed in </w:t>
      </w:r>
      <w:r w:rsidR="001C7BC1">
        <w:rPr>
          <w:b/>
          <w:bCs/>
        </w:rPr>
        <w:t>Chapter </w:t>
      </w:r>
      <w:r w:rsidRPr="00D13E2C">
        <w:rPr>
          <w:b/>
          <w:bCs/>
        </w:rPr>
        <w:t>4</w:t>
      </w:r>
      <w:r w:rsidRPr="00D13E2C">
        <w:t>, replicating such an approach in Australia would represent a significant break with legal convention, and there is currently insufficient evidence that such an intervention is required</w:t>
      </w:r>
      <w:r w:rsidR="00BD7E4B">
        <w:t xml:space="preserve"> under the ACL</w:t>
      </w:r>
      <w:r w:rsidRPr="00D13E2C">
        <w:t>.</w:t>
      </w:r>
    </w:p>
    <w:p w14:paraId="0AD144C8" w14:textId="12E57BCF" w:rsidR="00A07547" w:rsidRPr="00D13E2C" w:rsidRDefault="00A07547" w:rsidP="00A07547">
      <w:r w:rsidRPr="00D13E2C">
        <w:t>Overall,</w:t>
      </w:r>
      <w:r w:rsidRPr="00D13E2C" w:rsidDel="007F6D67">
        <w:t xml:space="preserve"> </w:t>
      </w:r>
      <w:r w:rsidRPr="00D13E2C">
        <w:t xml:space="preserve">Australian consumers of </w:t>
      </w:r>
      <w:r w:rsidR="00A148EA">
        <w:t>AI</w:t>
      </w:r>
      <w:r w:rsidR="00A148EA">
        <w:noBreakHyphen/>
        <w:t>enabled</w:t>
      </w:r>
      <w:r w:rsidRPr="00D13E2C">
        <w:t xml:space="preserve"> goods and services enjoy </w:t>
      </w:r>
      <w:r>
        <w:t>similar protections</w:t>
      </w:r>
      <w:r w:rsidRPr="00D13E2C">
        <w:t xml:space="preserve"> to consumers in the EU.</w:t>
      </w:r>
      <w:r w:rsidRPr="00D13E2C" w:rsidDel="007F6D67">
        <w:t xml:space="preserve"> </w:t>
      </w:r>
      <w:r w:rsidRPr="00D13E2C">
        <w:t xml:space="preserve">While individual consumers in the EU may have easier access to remedies under certain circumstances, such as during the first </w:t>
      </w:r>
      <w:r>
        <w:t>6</w:t>
      </w:r>
      <w:r w:rsidRPr="00D13E2C">
        <w:t xml:space="preserve"> months after a good is supplied, remedies in Australia are available to both individuals and businesses and </w:t>
      </w:r>
      <w:r>
        <w:t>accessible</w:t>
      </w:r>
      <w:r w:rsidRPr="00D13E2C">
        <w:t xml:space="preserve"> for a longer period. Ongoing work on </w:t>
      </w:r>
      <w:r w:rsidR="005C14E4" w:rsidRPr="007E18D2">
        <w:t xml:space="preserve">implementing the Government Response to the Privacy Act Review, </w:t>
      </w:r>
      <w:r w:rsidRPr="0079393E">
        <w:t>the</w:t>
      </w:r>
      <w:r w:rsidRPr="00C81CCA">
        <w:t xml:space="preserve"> </w:t>
      </w:r>
      <w:r w:rsidRPr="005C4A14">
        <w:rPr>
          <w:i/>
        </w:rPr>
        <w:t>2023-2030 Australian Cyber Security Strategy</w:t>
      </w:r>
      <w:r>
        <w:t xml:space="preserve">, and </w:t>
      </w:r>
      <w:r w:rsidRPr="00DE760A">
        <w:t xml:space="preserve">the </w:t>
      </w:r>
      <w:r w:rsidR="006279FF" w:rsidRPr="007E18D2">
        <w:t>consumer recommendations of the</w:t>
      </w:r>
      <w:r w:rsidR="006279FF" w:rsidRPr="00DE760A">
        <w:t xml:space="preserve"> </w:t>
      </w:r>
      <w:r w:rsidRPr="00DE760A">
        <w:t>ACCC’s Digital Platform Services Inquiry</w:t>
      </w:r>
      <w:r w:rsidRPr="00D13E2C">
        <w:t xml:space="preserve"> </w:t>
      </w:r>
      <w:r w:rsidRPr="00D13E2C" w:rsidDel="001F337C">
        <w:t xml:space="preserve">may </w:t>
      </w:r>
      <w:r w:rsidRPr="00D13E2C">
        <w:t>serve to supplement protections contained in Australia’s consumer protection framework, reflecting the multi-framework approach adopted in the EU.</w:t>
      </w:r>
    </w:p>
    <w:p w14:paraId="194855F2" w14:textId="77777777" w:rsidR="00A07547" w:rsidRPr="00D13E2C" w:rsidRDefault="00A07547" w:rsidP="00A07547">
      <w:pPr>
        <w:pStyle w:val="Heading2"/>
      </w:pPr>
      <w:bookmarkStart w:id="41" w:name="_Toc190091957"/>
      <w:bookmarkStart w:id="42" w:name="_Toc192160560"/>
      <w:r w:rsidRPr="00D13E2C">
        <w:t>United Kingdom</w:t>
      </w:r>
      <w:bookmarkEnd w:id="41"/>
      <w:bookmarkEnd w:id="42"/>
    </w:p>
    <w:p w14:paraId="0715DB9E" w14:textId="2C47133D" w:rsidR="00A07547" w:rsidRPr="00D13E2C" w:rsidRDefault="00A07547" w:rsidP="00A07547">
      <w:r w:rsidRPr="00D13E2C">
        <w:t xml:space="preserve">As a former member of the EU, </w:t>
      </w:r>
      <w:r w:rsidRPr="00D13E2C" w:rsidDel="0070255A">
        <w:t xml:space="preserve">the </w:t>
      </w:r>
      <w:r w:rsidRPr="00D13E2C">
        <w:t xml:space="preserve">UK’s consumer protection framework is currently broadly consistent with the EU. The UK’s consumer protection framework is mainly contained in 2 key pieces of legislation - the </w:t>
      </w:r>
      <w:r w:rsidRPr="00D13E2C">
        <w:rPr>
          <w:i/>
        </w:rPr>
        <w:t>Consumer Protection from Unfair Trading Regulations 2008</w:t>
      </w:r>
      <w:r>
        <w:rPr>
          <w:iCs/>
        </w:rPr>
        <w:t xml:space="preserve"> (UK)</w:t>
      </w:r>
      <w:r w:rsidRPr="00D13E2C">
        <w:t xml:space="preserve"> (CPUTR) and the</w:t>
      </w:r>
      <w:r w:rsidRPr="00D13E2C">
        <w:rPr>
          <w:i/>
        </w:rPr>
        <w:t xml:space="preserve"> </w:t>
      </w:r>
      <w:r w:rsidRPr="00D13E2C">
        <w:rPr>
          <w:i/>
          <w:iCs/>
        </w:rPr>
        <w:t>Consumer Rights Act 2015</w:t>
      </w:r>
      <w:r w:rsidRPr="00D13E2C">
        <w:t xml:space="preserve"> (UK) (CRA). The CPUTR largely enacts EU Directive 2005/29 on unfair commercial practices and does not apply to business-to-business transactions. The CRA protects consumers in respect of unfair contracts, provides statutory rights for consumers and establishes a strict liability regime for damages caused by defective products.</w:t>
      </w:r>
    </w:p>
    <w:p w14:paraId="6C96E070" w14:textId="77777777" w:rsidR="00A07547" w:rsidRPr="00D13E2C" w:rsidRDefault="00A07547" w:rsidP="00A07547">
      <w:r w:rsidRPr="00D13E2C">
        <w:t xml:space="preserve">In addition to the consumer protections framework, the UK has enacted comprehensive product safety and product liability legislation. The </w:t>
      </w:r>
      <w:r w:rsidRPr="00D13E2C">
        <w:rPr>
          <w:i/>
        </w:rPr>
        <w:t>G</w:t>
      </w:r>
      <w:r w:rsidRPr="00D13E2C">
        <w:rPr>
          <w:i/>
          <w:iCs/>
        </w:rPr>
        <w:t>eneral Product Safety Regulations 2005</w:t>
      </w:r>
      <w:r w:rsidRPr="00D13E2C">
        <w:t xml:space="preserve"> </w:t>
      </w:r>
      <w:r>
        <w:t xml:space="preserve">(UK) </w:t>
      </w:r>
      <w:r w:rsidRPr="00D13E2C">
        <w:t>aims to ensure that all consumer products on the market are safe by imposing safety obligations on producers and distributors. In addition,</w:t>
      </w:r>
      <w:r w:rsidRPr="00D13E2C" w:rsidDel="0060018E">
        <w:t xml:space="preserve"> </w:t>
      </w:r>
      <w:r w:rsidRPr="00D13E2C">
        <w:t xml:space="preserve">the </w:t>
      </w:r>
      <w:r w:rsidRPr="00D13E2C">
        <w:rPr>
          <w:i/>
          <w:iCs/>
        </w:rPr>
        <w:t>Consumer Protection Act 1987</w:t>
      </w:r>
      <w:r w:rsidRPr="00D13E2C">
        <w:t xml:space="preserve"> (UK) establishes a strict liability regime for damage caused by defective products. Unlike the EU, there is no specific rights to access information, or presumptions that assist to establish defectiveness or causation.</w:t>
      </w:r>
    </w:p>
    <w:p w14:paraId="732D10AF" w14:textId="6918CA61" w:rsidR="00A07547" w:rsidRPr="00D13E2C" w:rsidRDefault="00A07547" w:rsidP="00A07547">
      <w:r w:rsidRPr="00D13E2C">
        <w:t>As the UK consumer protections regime continues to, in large part, reflect that of the EU, the differences between the UK consumer protections regime and the ACL are similar</w:t>
      </w:r>
      <w:r w:rsidRPr="00D13E2C" w:rsidDel="002A6D81">
        <w:t xml:space="preserve"> </w:t>
      </w:r>
      <w:r w:rsidRPr="00D13E2C">
        <w:t xml:space="preserve">to those in the EU as outlined above. </w:t>
      </w:r>
      <w:r w:rsidRPr="00D13E2C">
        <w:rPr>
          <w:b/>
        </w:rPr>
        <w:t>Attachment</w:t>
      </w:r>
      <w:r>
        <w:rPr>
          <w:b/>
        </w:rPr>
        <w:t> </w:t>
      </w:r>
      <w:r w:rsidRPr="00D13E2C">
        <w:rPr>
          <w:b/>
        </w:rPr>
        <w:t>A</w:t>
      </w:r>
      <w:r w:rsidRPr="00D13E2C">
        <w:t xml:space="preserve"> maps core protections relevant to consumers of </w:t>
      </w:r>
      <w:r w:rsidR="00A148EA">
        <w:t>AI</w:t>
      </w:r>
      <w:r w:rsidR="00A148EA">
        <w:noBreakHyphen/>
        <w:t>enabled</w:t>
      </w:r>
      <w:r w:rsidRPr="00D13E2C">
        <w:t xml:space="preserve"> goods and services to the UK’s consumer protection regime. Key differences between jurisdictions are:</w:t>
      </w:r>
    </w:p>
    <w:p w14:paraId="22E60E46" w14:textId="5A90B008" w:rsidR="00A07547" w:rsidRPr="00D13E2C" w:rsidRDefault="00A07547" w:rsidP="00A07547">
      <w:pPr>
        <w:pStyle w:val="Bullet"/>
      </w:pPr>
      <w:r w:rsidRPr="00D13E2C">
        <w:lastRenderedPageBreak/>
        <w:t xml:space="preserve">Under the UK’s equivalent to the ACL’s misleading </w:t>
      </w:r>
      <w:r>
        <w:t>or</w:t>
      </w:r>
      <w:r w:rsidRPr="00D13E2C">
        <w:t xml:space="preserve"> deceptive conduct provisions, certain statutory defences are available to traders which are not available in Australia. These include</w:t>
      </w:r>
      <w:r w:rsidRPr="00D13E2C" w:rsidDel="0095658F">
        <w:t xml:space="preserve"> </w:t>
      </w:r>
      <w:r w:rsidRPr="00D13E2C">
        <w:t>a ‘due diligence’ defence set out in Regulation 17 of the CPUTR that all reasonable precautions and due diligence was undertaken to avoid an offence being committed.</w:t>
      </w:r>
    </w:p>
    <w:p w14:paraId="6EBE6147" w14:textId="77777777" w:rsidR="00A07547" w:rsidRPr="00D13E2C" w:rsidRDefault="00A07547" w:rsidP="00A07547">
      <w:pPr>
        <w:pStyle w:val="Bullet"/>
      </w:pPr>
      <w:r w:rsidRPr="00D13E2C">
        <w:t>The UK’s equivalent to the consumer guarantees are the consumer statutory rights set out in the CRA. Under the CRA, different remedies apply from 30 days after supply, while in Australia the rights established under the consumer guarantees do not differ after 30 days.</w:t>
      </w:r>
    </w:p>
    <w:p w14:paraId="18A6D66F" w14:textId="7782DFDD" w:rsidR="00A07547" w:rsidRPr="00D13E2C" w:rsidRDefault="00A07547" w:rsidP="00A07547">
      <w:pPr>
        <w:pStyle w:val="Bullet"/>
      </w:pPr>
      <w:r w:rsidRPr="00D13E2C">
        <w:t xml:space="preserve">The statutory consumer rights in the UK apply explicitly to ‘digital content’, where no such distinction exists within the ACL. This is discussed further in </w:t>
      </w:r>
      <w:r w:rsidR="001C7BC1">
        <w:rPr>
          <w:b/>
        </w:rPr>
        <w:t>Chapter </w:t>
      </w:r>
      <w:r w:rsidRPr="003F7B82">
        <w:rPr>
          <w:b/>
        </w:rPr>
        <w:t>3</w:t>
      </w:r>
      <w:r w:rsidRPr="00D13E2C">
        <w:t>.</w:t>
      </w:r>
    </w:p>
    <w:p w14:paraId="537D1AB1" w14:textId="77777777" w:rsidR="00A07547" w:rsidRPr="00D13E2C" w:rsidRDefault="00A07547" w:rsidP="00A07547">
      <w:r w:rsidRPr="00D13E2C">
        <w:t>The UK has issued a framework for responsible AI development and ‘principles’ for regulators to apply in responding to AI-related risks.</w:t>
      </w:r>
      <w:r w:rsidRPr="00D13E2C">
        <w:rPr>
          <w:rStyle w:val="FootnoteReference"/>
        </w:rPr>
        <w:footnoteReference w:id="72"/>
      </w:r>
      <w:r w:rsidRPr="00D13E2C">
        <w:t xml:space="preserve"> However, there is currently no targeted legislative response in the UK to AI in consumer goods and services. The Starmer Government has flagged an intention for legislative intervention in relation to AI, but no proposals have yet been released.</w:t>
      </w:r>
      <w:r>
        <w:rPr>
          <w:rStyle w:val="FootnoteReference"/>
        </w:rPr>
        <w:footnoteReference w:id="73"/>
      </w:r>
      <w:r w:rsidRPr="00D13E2C">
        <w:t xml:space="preserve"> </w:t>
      </w:r>
    </w:p>
    <w:p w14:paraId="0175E540" w14:textId="604B23C6" w:rsidR="00A07547" w:rsidRPr="00D13E2C" w:rsidRDefault="00A07547" w:rsidP="00A07547">
      <w:r w:rsidRPr="00D13E2C">
        <w:t xml:space="preserve">Overall, the UK's consumer protection regime provides broadly equivalent </w:t>
      </w:r>
      <w:r>
        <w:t>protections</w:t>
      </w:r>
      <w:r w:rsidRPr="00D13E2C">
        <w:t xml:space="preserve"> to consumers </w:t>
      </w:r>
      <w:bookmarkStart w:id="43" w:name="_Hlk185269220"/>
      <w:r w:rsidRPr="00D13E2C">
        <w:t xml:space="preserve">of </w:t>
      </w:r>
      <w:r w:rsidR="00A148EA">
        <w:t>AI</w:t>
      </w:r>
      <w:r w:rsidR="00A148EA">
        <w:noBreakHyphen/>
        <w:t>enabled</w:t>
      </w:r>
      <w:r w:rsidRPr="00D13E2C">
        <w:t xml:space="preserve"> goods and services</w:t>
      </w:r>
      <w:bookmarkEnd w:id="43"/>
      <w:r w:rsidRPr="00D13E2C">
        <w:t xml:space="preserve"> to those afforded to consumers in Australia. This regime, together with the AI development framework and accompanying principles are unlikely to offer UK consumers of </w:t>
      </w:r>
      <w:r w:rsidR="00A148EA">
        <w:t>AI</w:t>
      </w:r>
      <w:r w:rsidR="00A148EA">
        <w:noBreakHyphen/>
        <w:t>enabled</w:t>
      </w:r>
      <w:r w:rsidRPr="00D13E2C">
        <w:t xml:space="preserve"> goods and services better protections compared to consumers in Australia.</w:t>
      </w:r>
    </w:p>
    <w:p w14:paraId="22E87FC6" w14:textId="77777777" w:rsidR="00A07547" w:rsidRPr="00D13E2C" w:rsidRDefault="00A07547" w:rsidP="00A07547">
      <w:pPr>
        <w:pStyle w:val="Heading2"/>
      </w:pPr>
      <w:bookmarkStart w:id="44" w:name="_Toc190091958"/>
      <w:bookmarkStart w:id="45" w:name="_Toc192160561"/>
      <w:r w:rsidRPr="00D13E2C">
        <w:t>Singapore</w:t>
      </w:r>
      <w:bookmarkEnd w:id="44"/>
      <w:bookmarkEnd w:id="45"/>
    </w:p>
    <w:p w14:paraId="4C7A9942" w14:textId="52C3F887" w:rsidR="00A07547" w:rsidRPr="00D13E2C" w:rsidRDefault="00A07547" w:rsidP="00A07547">
      <w:r w:rsidRPr="00D13E2C">
        <w:t xml:space="preserve">Singapore’s consumer </w:t>
      </w:r>
      <w:r>
        <w:t xml:space="preserve">protection </w:t>
      </w:r>
      <w:r w:rsidRPr="00D13E2C">
        <w:t>regime is contained in a number of pieces of legislation and generally offers narrower protection</w:t>
      </w:r>
      <w:r w:rsidR="009C7350">
        <w:t>s</w:t>
      </w:r>
      <w:r w:rsidRPr="00D13E2C">
        <w:t xml:space="preserve"> than the ACL, as outlined in </w:t>
      </w:r>
      <w:r w:rsidRPr="00D13E2C">
        <w:rPr>
          <w:b/>
          <w:bCs/>
        </w:rPr>
        <w:t>Attachment</w:t>
      </w:r>
      <w:r>
        <w:rPr>
          <w:b/>
          <w:bCs/>
        </w:rPr>
        <w:t> </w:t>
      </w:r>
      <w:r w:rsidRPr="00D13E2C">
        <w:rPr>
          <w:b/>
          <w:bCs/>
        </w:rPr>
        <w:t>A.</w:t>
      </w:r>
    </w:p>
    <w:p w14:paraId="16566583" w14:textId="77777777" w:rsidR="00A07547" w:rsidRPr="00D13E2C" w:rsidRDefault="00A07547" w:rsidP="00A07547">
      <w:r w:rsidRPr="00D13E2C">
        <w:t xml:space="preserve">Singapore’s principal consumer protection law is the </w:t>
      </w:r>
      <w:r w:rsidRPr="00D13E2C">
        <w:rPr>
          <w:i/>
        </w:rPr>
        <w:t>Consumer Protection (Fair Trading) Act 2003</w:t>
      </w:r>
      <w:r w:rsidRPr="00D13E2C">
        <w:t xml:space="preserve"> (Singapore) (CPFTA). The second schedule of the CPFTA contains a list of specific practices that are prohibited, and this list shares similarities to the prohibitions on misleading or deceptive conduct and unconscionable conduct contained in the ACL. Unlike </w:t>
      </w:r>
      <w:r>
        <w:t>in</w:t>
      </w:r>
      <w:r w:rsidRPr="00D13E2C">
        <w:t xml:space="preserve"> Australia</w:t>
      </w:r>
      <w:r>
        <w:t>,</w:t>
      </w:r>
      <w:r w:rsidRPr="00D13E2C">
        <w:t xml:space="preserve"> the CPFTA applies only to consumer transactions, and a statutory maximum of </w:t>
      </w:r>
      <w:r>
        <w:t>S</w:t>
      </w:r>
      <w:r w:rsidRPr="00D13E2C">
        <w:t>$30,000 applies to claims in most circumstances.</w:t>
      </w:r>
    </w:p>
    <w:p w14:paraId="0B811D5F" w14:textId="77777777" w:rsidR="00A07547" w:rsidRPr="00D13E2C" w:rsidRDefault="00A07547" w:rsidP="00A07547">
      <w:r w:rsidRPr="00D13E2C">
        <w:t xml:space="preserve">In addition to the CPFTA, the </w:t>
      </w:r>
      <w:r w:rsidRPr="00D13E2C">
        <w:rPr>
          <w:i/>
          <w:iCs/>
        </w:rPr>
        <w:t>Sale of Goods Act 1979</w:t>
      </w:r>
      <w:r w:rsidRPr="00D13E2C">
        <w:t xml:space="preserve"> (Singapore) implies a number of guarantees into contracts for sale of goods that are functionally similar to the consumer guarantees for goods in the ACL. Singapore does not provide consumer guarantees, or an equivalent thereof, for services. There is also no general prohibition on unfair contract terms in Singapore. However, the </w:t>
      </w:r>
      <w:r w:rsidRPr="00D13E2C">
        <w:rPr>
          <w:i/>
          <w:iCs/>
        </w:rPr>
        <w:t>Unfair Contract Terms Act 1977</w:t>
      </w:r>
      <w:r w:rsidRPr="00D13E2C">
        <w:t xml:space="preserve"> (Singapore) does prohibit some specific standard terms in consumer contracts.</w:t>
      </w:r>
    </w:p>
    <w:p w14:paraId="735083A0" w14:textId="77777777" w:rsidR="00A07547" w:rsidRPr="00D13E2C" w:rsidRDefault="00A07547" w:rsidP="00A07547">
      <w:r w:rsidRPr="00D13E2C">
        <w:t xml:space="preserve">In contrast to Australia, the UK and EU, Singapore’s product safety regime is not </w:t>
      </w:r>
      <w:r>
        <w:t xml:space="preserve">primarily </w:t>
      </w:r>
      <w:r w:rsidRPr="00D13E2C">
        <w:t xml:space="preserve">contained </w:t>
      </w:r>
      <w:r>
        <w:t xml:space="preserve">in statute. </w:t>
      </w:r>
      <w:r w:rsidRPr="00D13E2C">
        <w:t xml:space="preserve">Consumers must rely on common law principles and various statutes, including the protections in the CPFTA and </w:t>
      </w:r>
      <w:r w:rsidRPr="00D13E2C">
        <w:rPr>
          <w:i/>
          <w:iCs/>
        </w:rPr>
        <w:t>Sale of Goods Act 1979</w:t>
      </w:r>
      <w:r w:rsidRPr="00D13E2C">
        <w:t xml:space="preserve"> (Singapore) where available. Where claims for damages exceed </w:t>
      </w:r>
      <w:r>
        <w:t>S</w:t>
      </w:r>
      <w:r w:rsidRPr="00D13E2C">
        <w:t>$30,000, consumers must rely on negligence or other tortious causes of action.</w:t>
      </w:r>
    </w:p>
    <w:p w14:paraId="72D68137" w14:textId="7AE81AF5" w:rsidR="00A07547" w:rsidRPr="00D13E2C" w:rsidRDefault="00A07547" w:rsidP="00A07547">
      <w:r w:rsidRPr="00D13E2C">
        <w:t xml:space="preserve">Singapore has not implemented legislation that is targeted at protecting consumers from risks arising from </w:t>
      </w:r>
      <w:r w:rsidR="00A148EA">
        <w:t>AI</w:t>
      </w:r>
      <w:r w:rsidR="00A148EA">
        <w:noBreakHyphen/>
        <w:t>enabled</w:t>
      </w:r>
      <w:r w:rsidRPr="00D13E2C">
        <w:t xml:space="preserve"> goods and services. However, Singapore has published guidance on AI including:</w:t>
      </w:r>
    </w:p>
    <w:p w14:paraId="2A2810FF" w14:textId="77777777" w:rsidR="00A07547" w:rsidRPr="00D13E2C" w:rsidRDefault="00A07547" w:rsidP="00A07547">
      <w:pPr>
        <w:pStyle w:val="Bullet"/>
      </w:pPr>
      <w:r w:rsidRPr="00D13E2C">
        <w:lastRenderedPageBreak/>
        <w:t>The Model AI Governance Framework</w:t>
      </w:r>
      <w:r>
        <w:t xml:space="preserve"> for Generative AI</w:t>
      </w:r>
      <w:r w:rsidRPr="00D13E2C">
        <w:t>, which provides guidance on addressing key ethical guidance and governance issues when deploying AI</w:t>
      </w:r>
      <w:r>
        <w:t>.</w:t>
      </w:r>
      <w:r>
        <w:rPr>
          <w:rStyle w:val="FootnoteReference"/>
        </w:rPr>
        <w:footnoteReference w:id="74"/>
      </w:r>
    </w:p>
    <w:p w14:paraId="5E20BD68" w14:textId="77777777" w:rsidR="00A07547" w:rsidRPr="00D13E2C" w:rsidRDefault="00A07547" w:rsidP="00A07547">
      <w:pPr>
        <w:pStyle w:val="Bullet"/>
      </w:pPr>
      <w:r w:rsidRPr="00D13E2C">
        <w:t>The Advisory Guidelines on use of Personal Data in AI Recommendation and Decision Systems, which sets out best practices for how organisations should handle personal data and how they should inform customers of the use of that data. The guidelines are not legally binding.</w:t>
      </w:r>
      <w:r>
        <w:rPr>
          <w:rStyle w:val="FootnoteReference"/>
        </w:rPr>
        <w:footnoteReference w:id="75"/>
      </w:r>
    </w:p>
    <w:tbl>
      <w:tblPr>
        <w:tblpPr w:leftFromText="180" w:rightFromText="180" w:vertAnchor="text" w:horzAnchor="margin" w:tblpY="1008"/>
        <w:tblW w:w="5000" w:type="pct"/>
        <w:shd w:val="clear" w:color="auto" w:fill="FEF8F4"/>
        <w:tblCellMar>
          <w:top w:w="227" w:type="dxa"/>
          <w:left w:w="227" w:type="dxa"/>
          <w:bottom w:w="227" w:type="dxa"/>
          <w:right w:w="227" w:type="dxa"/>
        </w:tblCellMar>
        <w:tblLook w:val="0600" w:firstRow="0" w:lastRow="0" w:firstColumn="0" w:lastColumn="0" w:noHBand="1" w:noVBand="1"/>
      </w:tblPr>
      <w:tblGrid>
        <w:gridCol w:w="9072"/>
      </w:tblGrid>
      <w:tr w:rsidR="00C05731" w:rsidRPr="00D13E2C" w14:paraId="425E7DDB" w14:textId="77777777" w:rsidTr="00D1010F">
        <w:tc>
          <w:tcPr>
            <w:tcW w:w="5000" w:type="pct"/>
            <w:shd w:val="clear" w:color="auto" w:fill="FCEEE5" w:themeFill="accent6" w:themeFillTint="33"/>
          </w:tcPr>
          <w:p w14:paraId="2D744FAF" w14:textId="77777777" w:rsidR="00C05731" w:rsidRPr="00D13E2C" w:rsidRDefault="00C05731" w:rsidP="00C05731">
            <w:pPr>
              <w:pStyle w:val="BoxHeading"/>
            </w:pPr>
            <w:r w:rsidRPr="00D13E2C">
              <w:t>Finding 6</w:t>
            </w:r>
          </w:p>
          <w:p w14:paraId="6221B660" w14:textId="5C77DA64" w:rsidR="00C05731" w:rsidRPr="00D13E2C" w:rsidRDefault="006A03C1" w:rsidP="00C05731">
            <w:r w:rsidRPr="006A03C1">
              <w:t>The protections available under the ACL provide Australian consumers of AI-enabled goods and services with similar, and in some cases enhanced, protections when compared to those available to consumers in the EU, UK and Singapore</w:t>
            </w:r>
            <w:r w:rsidR="00C05731" w:rsidRPr="00D13E2C">
              <w:t>.</w:t>
            </w:r>
          </w:p>
        </w:tc>
      </w:tr>
    </w:tbl>
    <w:p w14:paraId="0940525B" w14:textId="365B6A44" w:rsidR="0016781D" w:rsidRPr="0016781D" w:rsidRDefault="00A07547" w:rsidP="00364BBB">
      <w:pPr>
        <w:pStyle w:val="SingleParagraph"/>
      </w:pPr>
      <w:r w:rsidRPr="00D13E2C">
        <w:t xml:space="preserve">Overall, Singapore’s consumer protection regime and voluntary AI guidance and frameworks provide consumers in Singapore with more limited rights than consumers of </w:t>
      </w:r>
      <w:r w:rsidR="00A148EA">
        <w:t>AI</w:t>
      </w:r>
      <w:r w:rsidR="00A148EA">
        <w:noBreakHyphen/>
        <w:t>enabled</w:t>
      </w:r>
      <w:r w:rsidRPr="00D13E2C">
        <w:t xml:space="preserve"> goods and services in Australia.</w:t>
      </w:r>
    </w:p>
    <w:tbl>
      <w:tblPr>
        <w:tblStyle w:val="TableGrid"/>
        <w:tblW w:w="5000" w:type="pct"/>
        <w:shd w:val="clear" w:color="auto" w:fill="F2F2F2" w:themeFill="background1" w:themeFillShade="F2"/>
        <w:tblCellMar>
          <w:top w:w="227" w:type="dxa"/>
          <w:left w:w="227" w:type="dxa"/>
          <w:bottom w:w="227" w:type="dxa"/>
          <w:right w:w="227" w:type="dxa"/>
        </w:tblCellMar>
        <w:tblLook w:val="0620" w:firstRow="1" w:lastRow="0" w:firstColumn="0" w:lastColumn="0" w:noHBand="1" w:noVBand="1"/>
      </w:tblPr>
      <w:tblGrid>
        <w:gridCol w:w="9072"/>
      </w:tblGrid>
      <w:tr w:rsidR="00A07547" w14:paraId="64CF4A77" w14:textId="77777777" w:rsidTr="0025036C">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F2F2F2" w:themeFill="background1" w:themeFillShade="F2"/>
          </w:tcPr>
          <w:p w14:paraId="47AB49D5" w14:textId="7820506B" w:rsidR="00A07547" w:rsidRDefault="00A07547">
            <w:pPr>
              <w:pStyle w:val="BoxHeading"/>
              <w:rPr>
                <w:sz w:val="28"/>
                <w:szCs w:val="28"/>
                <w:lang w:eastAsia="en-US"/>
              </w:rPr>
            </w:pPr>
            <w:r>
              <w:rPr>
                <w:noProof/>
                <w:sz w:val="28"/>
                <w:szCs w:val="28"/>
                <w:lang w:eastAsia="en-US"/>
              </w:rPr>
              <w:lastRenderedPageBreak/>
              <w:drawing>
                <wp:anchor distT="0" distB="0" distL="114300" distR="114300" simplePos="0" relativeHeight="251658752" behindDoc="1" locked="0" layoutInCell="1" allowOverlap="1" wp14:anchorId="45ACF370" wp14:editId="649DF290">
                  <wp:simplePos x="0" y="0"/>
                  <wp:positionH relativeFrom="column">
                    <wp:posOffset>-2540</wp:posOffset>
                  </wp:positionH>
                  <wp:positionV relativeFrom="paragraph">
                    <wp:posOffset>68580</wp:posOffset>
                  </wp:positionV>
                  <wp:extent cx="360000" cy="360000"/>
                  <wp:effectExtent l="0" t="0" r="2540" b="2540"/>
                  <wp:wrapTight wrapText="bothSides">
                    <wp:wrapPolygon edited="0">
                      <wp:start x="14883" y="0"/>
                      <wp:lineTo x="0" y="11449"/>
                      <wp:lineTo x="0" y="18318"/>
                      <wp:lineTo x="1145" y="20608"/>
                      <wp:lineTo x="20608" y="20608"/>
                      <wp:lineTo x="20608" y="0"/>
                      <wp:lineTo x="14883" y="0"/>
                    </wp:wrapPolygon>
                  </wp:wrapTight>
                  <wp:docPr id="86604201" name="Graphic 86604201" descr="Mop and bucke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4201" name="Graphic 86604201" descr="Mop and bucket outline"/>
                          <pic:cNvPicPr/>
                        </pic:nvPicPr>
                        <pic:blipFill>
                          <a:blip r:embed="rId34">
                            <a:extLst>
                              <a:ext uri="{96DAC541-7B7A-43D3-8B79-37D633B846F1}">
                                <asvg:svgBlip xmlns:asvg="http://schemas.microsoft.com/office/drawing/2016/SVG/main" r:embed="rId35"/>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r>
              <w:rPr>
                <w:sz w:val="28"/>
                <w:szCs w:val="28"/>
                <w:lang w:eastAsia="en-US"/>
              </w:rPr>
              <w:t xml:space="preserve">Multi-jurisdiction Case study: </w:t>
            </w:r>
            <w:r w:rsidR="00A148EA">
              <w:rPr>
                <w:sz w:val="28"/>
                <w:szCs w:val="28"/>
                <w:lang w:eastAsia="en-US"/>
              </w:rPr>
              <w:t>AI-enabled</w:t>
            </w:r>
            <w:r>
              <w:rPr>
                <w:sz w:val="28"/>
                <w:szCs w:val="28"/>
                <w:lang w:eastAsia="en-US"/>
              </w:rPr>
              <w:t xml:space="preserve"> vacuum cleaner  </w:t>
            </w:r>
          </w:p>
          <w:p w14:paraId="113C4F17" w14:textId="2F288039" w:rsidR="00A07547" w:rsidRPr="009516E6" w:rsidRDefault="00A07547">
            <w:pPr>
              <w:pStyle w:val="BoxText"/>
              <w:rPr>
                <w:b w:val="0"/>
                <w:bCs/>
                <w:sz w:val="18"/>
                <w:szCs w:val="18"/>
              </w:rPr>
            </w:pPr>
            <w:r w:rsidRPr="009516E6">
              <w:rPr>
                <w:b w:val="0"/>
                <w:bCs/>
                <w:sz w:val="18"/>
                <w:szCs w:val="18"/>
              </w:rPr>
              <w:t xml:space="preserve">An individual consumer acquires an </w:t>
            </w:r>
            <w:r w:rsidR="00A148EA" w:rsidRPr="009516E6">
              <w:rPr>
                <w:b w:val="0"/>
                <w:bCs/>
                <w:sz w:val="18"/>
                <w:szCs w:val="18"/>
              </w:rPr>
              <w:t>AI</w:t>
            </w:r>
            <w:r w:rsidR="00A148EA" w:rsidRPr="009516E6">
              <w:rPr>
                <w:b w:val="0"/>
                <w:bCs/>
                <w:sz w:val="18"/>
                <w:szCs w:val="18"/>
              </w:rPr>
              <w:noBreakHyphen/>
              <w:t>enabled</w:t>
            </w:r>
            <w:r w:rsidRPr="009516E6">
              <w:rPr>
                <w:b w:val="0"/>
                <w:bCs/>
                <w:sz w:val="18"/>
                <w:szCs w:val="18"/>
              </w:rPr>
              <w:t xml:space="preserve"> vacuum cleaner. The vacuum cleaner uses speech recognition to allow the consumer to control the product by voice command. While the vacuum cleaner is in use shortly after purchase, the vacuum cleaner fails to change direction and collides with a piece of furniture, damaging it in the process. </w:t>
            </w:r>
          </w:p>
          <w:p w14:paraId="51B2EF9C" w14:textId="77777777" w:rsidR="00A07547" w:rsidRPr="009516E6" w:rsidRDefault="00A07547">
            <w:pPr>
              <w:pStyle w:val="BoxText"/>
              <w:rPr>
                <w:sz w:val="18"/>
                <w:szCs w:val="18"/>
              </w:rPr>
            </w:pPr>
            <w:r w:rsidRPr="009516E6">
              <w:rPr>
                <w:sz w:val="18"/>
                <w:szCs w:val="18"/>
              </w:rPr>
              <w:t>Australia</w:t>
            </w:r>
          </w:p>
          <w:p w14:paraId="589F0DBC" w14:textId="0D409B13" w:rsidR="00A07547" w:rsidRPr="009516E6" w:rsidRDefault="00A07547">
            <w:pPr>
              <w:pStyle w:val="BoxText"/>
              <w:rPr>
                <w:b w:val="0"/>
                <w:bCs/>
                <w:sz w:val="18"/>
                <w:szCs w:val="18"/>
              </w:rPr>
            </w:pPr>
            <w:r w:rsidRPr="009516E6">
              <w:rPr>
                <w:b w:val="0"/>
                <w:bCs/>
                <w:sz w:val="18"/>
                <w:szCs w:val="18"/>
              </w:rPr>
              <w:t xml:space="preserve">An Australian consumer would be able to seek a remedy under the consumer guarantees for failure to meet the guarantee of acceptable quality. Unless the fault with the vacuum cleaner met the threshold to be considered a major failure, it would be considered a minor failure </w:t>
            </w:r>
            <w:r w:rsidR="007B49F2" w:rsidRPr="009516E6">
              <w:rPr>
                <w:b w:val="0"/>
                <w:bCs/>
                <w:sz w:val="18"/>
                <w:szCs w:val="18"/>
              </w:rPr>
              <w:t>so the supplier or manufacturer would need to supply</w:t>
            </w:r>
            <w:r w:rsidR="00693628" w:rsidRPr="009516E6">
              <w:rPr>
                <w:b w:val="0"/>
                <w:bCs/>
                <w:sz w:val="18"/>
                <w:szCs w:val="18"/>
              </w:rPr>
              <w:t>, at minimum,</w:t>
            </w:r>
            <w:r w:rsidR="007B49F2" w:rsidRPr="009516E6">
              <w:rPr>
                <w:b w:val="0"/>
                <w:bCs/>
                <w:sz w:val="18"/>
                <w:szCs w:val="18"/>
              </w:rPr>
              <w:t xml:space="preserve"> a repair. They may also choose to provide a </w:t>
            </w:r>
            <w:r w:rsidRPr="009516E6">
              <w:rPr>
                <w:b w:val="0"/>
                <w:bCs/>
                <w:sz w:val="18"/>
                <w:szCs w:val="18"/>
              </w:rPr>
              <w:t>refund</w:t>
            </w:r>
            <w:r w:rsidR="007B49F2" w:rsidRPr="009516E6">
              <w:rPr>
                <w:b w:val="0"/>
                <w:bCs/>
                <w:sz w:val="18"/>
                <w:szCs w:val="18"/>
              </w:rPr>
              <w:t xml:space="preserve"> or</w:t>
            </w:r>
            <w:r w:rsidRPr="009516E6">
              <w:rPr>
                <w:b w:val="0"/>
                <w:bCs/>
                <w:sz w:val="18"/>
                <w:szCs w:val="18"/>
              </w:rPr>
              <w:t xml:space="preserve"> replacement. </w:t>
            </w:r>
          </w:p>
          <w:p w14:paraId="68DECBDF" w14:textId="07ECAFFF" w:rsidR="00A07547" w:rsidRPr="009516E6" w:rsidRDefault="00A07547">
            <w:pPr>
              <w:pStyle w:val="BoxText"/>
              <w:rPr>
                <w:b w:val="0"/>
                <w:bCs/>
                <w:sz w:val="18"/>
                <w:szCs w:val="18"/>
              </w:rPr>
            </w:pPr>
            <w:r w:rsidRPr="009516E6">
              <w:rPr>
                <w:b w:val="0"/>
                <w:bCs/>
                <w:sz w:val="18"/>
                <w:szCs w:val="18"/>
              </w:rPr>
              <w:t xml:space="preserve">The test of whether a good is of acceptable quality considers whether the good is fit for all purposes for which it was supplied, is acceptable in appearance and finish, is free for defects, is safe, and is durable. It is up to the consumer to establish that the </w:t>
            </w:r>
            <w:r w:rsidR="00A148EA" w:rsidRPr="009516E6">
              <w:rPr>
                <w:b w:val="0"/>
                <w:bCs/>
                <w:sz w:val="18"/>
                <w:szCs w:val="18"/>
              </w:rPr>
              <w:t>AI</w:t>
            </w:r>
            <w:r w:rsidR="00A148EA" w:rsidRPr="009516E6">
              <w:rPr>
                <w:b w:val="0"/>
                <w:bCs/>
                <w:sz w:val="18"/>
                <w:szCs w:val="18"/>
              </w:rPr>
              <w:noBreakHyphen/>
              <w:t>enabled</w:t>
            </w:r>
            <w:r w:rsidRPr="009516E6">
              <w:rPr>
                <w:b w:val="0"/>
                <w:bCs/>
                <w:sz w:val="18"/>
                <w:szCs w:val="18"/>
              </w:rPr>
              <w:t xml:space="preserve"> vacuum was not of acceptable quality, but there is no requirement for the consumer to identify a specific fault.</w:t>
            </w:r>
          </w:p>
          <w:p w14:paraId="46401D67" w14:textId="7A5F14CC" w:rsidR="00A07547" w:rsidRPr="009516E6" w:rsidRDefault="00A07547">
            <w:pPr>
              <w:pStyle w:val="BoxText"/>
              <w:rPr>
                <w:b w:val="0"/>
                <w:bCs/>
                <w:sz w:val="18"/>
                <w:szCs w:val="18"/>
              </w:rPr>
            </w:pPr>
            <w:r w:rsidRPr="009516E6">
              <w:rPr>
                <w:b w:val="0"/>
                <w:bCs/>
                <w:sz w:val="18"/>
                <w:szCs w:val="18"/>
              </w:rPr>
              <w:t xml:space="preserve">An Australian consumer may be able to seek compensation for damage to the furniture if it is considered reasonably attributable to the </w:t>
            </w:r>
            <w:r w:rsidR="00A148EA" w:rsidRPr="009516E6">
              <w:rPr>
                <w:b w:val="0"/>
                <w:bCs/>
                <w:sz w:val="18"/>
                <w:szCs w:val="18"/>
              </w:rPr>
              <w:t>AI</w:t>
            </w:r>
            <w:r w:rsidR="00A148EA" w:rsidRPr="009516E6">
              <w:rPr>
                <w:b w:val="0"/>
                <w:bCs/>
                <w:sz w:val="18"/>
                <w:szCs w:val="18"/>
              </w:rPr>
              <w:noBreakHyphen/>
              <w:t>enabled</w:t>
            </w:r>
            <w:r w:rsidRPr="009516E6">
              <w:rPr>
                <w:b w:val="0"/>
                <w:bCs/>
                <w:sz w:val="18"/>
                <w:szCs w:val="18"/>
              </w:rPr>
              <w:t xml:space="preserve"> vacuum cleaner. Compensation could include paying for the damage caused by the vacuum cleaner and transportation costs incurred from fixing the damage.</w:t>
            </w:r>
          </w:p>
          <w:p w14:paraId="24B4C7C5" w14:textId="77777777" w:rsidR="00A07547" w:rsidRPr="009516E6" w:rsidRDefault="00A07547">
            <w:pPr>
              <w:pStyle w:val="BoxText"/>
              <w:rPr>
                <w:sz w:val="18"/>
                <w:szCs w:val="18"/>
              </w:rPr>
            </w:pPr>
            <w:r w:rsidRPr="009516E6">
              <w:rPr>
                <w:sz w:val="18"/>
                <w:szCs w:val="18"/>
              </w:rPr>
              <w:t>European Union</w:t>
            </w:r>
          </w:p>
          <w:p w14:paraId="466091C1" w14:textId="41836FF3" w:rsidR="00A07547" w:rsidRPr="009516E6" w:rsidRDefault="00A07547">
            <w:pPr>
              <w:pStyle w:val="BoxText"/>
              <w:rPr>
                <w:b w:val="0"/>
                <w:bCs/>
                <w:sz w:val="18"/>
                <w:szCs w:val="18"/>
              </w:rPr>
            </w:pPr>
            <w:r w:rsidRPr="009516E6">
              <w:rPr>
                <w:b w:val="0"/>
                <w:bCs/>
                <w:sz w:val="18"/>
                <w:szCs w:val="18"/>
              </w:rPr>
              <w:t xml:space="preserve">The </w:t>
            </w:r>
            <w:r w:rsidR="00A148EA" w:rsidRPr="009516E6">
              <w:rPr>
                <w:b w:val="0"/>
                <w:bCs/>
                <w:sz w:val="18"/>
                <w:szCs w:val="18"/>
              </w:rPr>
              <w:t>AI</w:t>
            </w:r>
            <w:r w:rsidR="00A148EA" w:rsidRPr="009516E6">
              <w:rPr>
                <w:b w:val="0"/>
                <w:bCs/>
                <w:sz w:val="18"/>
                <w:szCs w:val="18"/>
              </w:rPr>
              <w:noBreakHyphen/>
              <w:t>enabled</w:t>
            </w:r>
            <w:r w:rsidRPr="009516E6">
              <w:rPr>
                <w:b w:val="0"/>
                <w:bCs/>
                <w:sz w:val="18"/>
                <w:szCs w:val="18"/>
              </w:rPr>
              <w:t xml:space="preserve"> vacuum cleaner could be regarded as either a good or a digital service in the EU. Consequently, an individual EU consumer could seek a remedy under the EU’s equivalent of consumer guarantees in Directive 2019/770</w:t>
            </w:r>
            <w:r w:rsidRPr="009516E6">
              <w:rPr>
                <w:rStyle w:val="FootnoteReference"/>
                <w:b w:val="0"/>
                <w:bCs/>
                <w:szCs w:val="18"/>
              </w:rPr>
              <w:footnoteReference w:id="76"/>
            </w:r>
            <w:r w:rsidRPr="009516E6">
              <w:rPr>
                <w:b w:val="0"/>
                <w:bCs/>
                <w:sz w:val="18"/>
                <w:szCs w:val="18"/>
              </w:rPr>
              <w:t xml:space="preserve"> which applies to goods or Directive 2019/771</w:t>
            </w:r>
            <w:r w:rsidRPr="009516E6">
              <w:rPr>
                <w:rStyle w:val="FootnoteReference"/>
                <w:b w:val="0"/>
                <w:bCs/>
                <w:szCs w:val="18"/>
              </w:rPr>
              <w:footnoteReference w:id="77"/>
            </w:r>
            <w:r w:rsidRPr="009516E6">
              <w:rPr>
                <w:b w:val="0"/>
                <w:bCs/>
                <w:sz w:val="18"/>
                <w:szCs w:val="18"/>
              </w:rPr>
              <w:t xml:space="preserve"> which applies to digital services. In either case, remedies that the consumer can seek are a repair or replacement, reduction in price or termination of the contract. Compensation for the damaged furniture may not be directly sought through these directives.</w:t>
            </w:r>
          </w:p>
          <w:p w14:paraId="01C47401" w14:textId="77777777" w:rsidR="00A07547" w:rsidRPr="009516E6" w:rsidRDefault="00A07547">
            <w:pPr>
              <w:pStyle w:val="BoxText"/>
              <w:rPr>
                <w:b w:val="0"/>
                <w:bCs/>
                <w:sz w:val="18"/>
                <w:szCs w:val="18"/>
              </w:rPr>
            </w:pPr>
            <w:r w:rsidRPr="009516E6">
              <w:rPr>
                <w:b w:val="0"/>
                <w:bCs/>
                <w:sz w:val="18"/>
                <w:szCs w:val="18"/>
              </w:rPr>
              <w:t xml:space="preserve">As the failure occurred within the first 6 months of supply, there is a statutory presumption that the defect was present at the time of supply. </w:t>
            </w:r>
          </w:p>
          <w:p w14:paraId="68A30A80" w14:textId="77777777" w:rsidR="00A07547" w:rsidRPr="009516E6" w:rsidRDefault="00A07547">
            <w:pPr>
              <w:pStyle w:val="BoxText"/>
              <w:rPr>
                <w:b w:val="0"/>
                <w:bCs/>
                <w:sz w:val="18"/>
                <w:szCs w:val="18"/>
              </w:rPr>
            </w:pPr>
            <w:r w:rsidRPr="009516E6">
              <w:rPr>
                <w:b w:val="0"/>
                <w:bCs/>
                <w:sz w:val="18"/>
                <w:szCs w:val="18"/>
              </w:rPr>
              <w:t>As an alternative to the consumer guarantees, an EU consumer may also access a remedy under Directive 2024/2853</w:t>
            </w:r>
            <w:r w:rsidRPr="009516E6">
              <w:rPr>
                <w:rStyle w:val="FootnoteReference"/>
                <w:b w:val="0"/>
                <w:bCs/>
                <w:szCs w:val="18"/>
              </w:rPr>
              <w:footnoteReference w:id="78"/>
            </w:r>
            <w:r w:rsidRPr="009516E6">
              <w:rPr>
                <w:b w:val="0"/>
                <w:bCs/>
                <w:sz w:val="18"/>
                <w:szCs w:val="18"/>
              </w:rPr>
              <w:t xml:space="preserve"> on product safety for damage resulting from the AI functionality. In this case, the consumer could seek compensation for damage caused to the furniture. </w:t>
            </w:r>
          </w:p>
          <w:p w14:paraId="51D6BCEC" w14:textId="77777777" w:rsidR="00A07547" w:rsidRPr="009516E6" w:rsidRDefault="00A07547">
            <w:pPr>
              <w:pStyle w:val="BoxText"/>
              <w:rPr>
                <w:sz w:val="18"/>
                <w:szCs w:val="18"/>
              </w:rPr>
            </w:pPr>
            <w:r w:rsidRPr="009516E6">
              <w:rPr>
                <w:sz w:val="18"/>
                <w:szCs w:val="18"/>
              </w:rPr>
              <w:t>United Kingdom</w:t>
            </w:r>
          </w:p>
          <w:p w14:paraId="361A9435" w14:textId="77777777" w:rsidR="00A07547" w:rsidRPr="009516E6" w:rsidRDefault="00A07547">
            <w:pPr>
              <w:pStyle w:val="BoxText"/>
              <w:rPr>
                <w:b w:val="0"/>
                <w:bCs/>
                <w:sz w:val="18"/>
                <w:szCs w:val="18"/>
              </w:rPr>
            </w:pPr>
            <w:r w:rsidRPr="009516E6">
              <w:rPr>
                <w:b w:val="0"/>
                <w:bCs/>
                <w:sz w:val="18"/>
                <w:szCs w:val="18"/>
              </w:rPr>
              <w:t xml:space="preserve">A UK consumer could seek a remedy under the UK’s equivalent to consumer guarantees in the CRA. If the failure occurred within the first 30 days of supply, the consumer could reject the goods and seek a refund. If it is after 30 days, a consumer can seek a repair or replacement. If a repair or replacement is not practical or possible, or fails, the consumer may claim a full refund (or a price reduction if they wish to keep the vacuum cleaner). </w:t>
            </w:r>
          </w:p>
          <w:p w14:paraId="34B4935D" w14:textId="77777777" w:rsidR="00A07547" w:rsidRPr="009516E6" w:rsidRDefault="00A07547">
            <w:pPr>
              <w:pStyle w:val="BoxText"/>
              <w:rPr>
                <w:b w:val="0"/>
                <w:bCs/>
                <w:sz w:val="18"/>
                <w:szCs w:val="18"/>
              </w:rPr>
            </w:pPr>
            <w:r w:rsidRPr="009516E6">
              <w:rPr>
                <w:b w:val="0"/>
                <w:bCs/>
                <w:sz w:val="18"/>
                <w:szCs w:val="18"/>
              </w:rPr>
              <w:t xml:space="preserve">As with the EU, there is a statutory presumption that the defect was present at the time of supply. </w:t>
            </w:r>
          </w:p>
          <w:p w14:paraId="0E863606" w14:textId="77777777" w:rsidR="00A07547" w:rsidRPr="009516E6" w:rsidRDefault="00A07547">
            <w:pPr>
              <w:pStyle w:val="BoxText"/>
              <w:rPr>
                <w:b w:val="0"/>
                <w:bCs/>
                <w:sz w:val="18"/>
                <w:szCs w:val="18"/>
              </w:rPr>
            </w:pPr>
            <w:r w:rsidRPr="009516E6">
              <w:rPr>
                <w:b w:val="0"/>
                <w:bCs/>
                <w:sz w:val="18"/>
                <w:szCs w:val="18"/>
              </w:rPr>
              <w:t>The consumer does not have a right to seek compensation for the damaged furniture under the CRA.</w:t>
            </w:r>
          </w:p>
          <w:p w14:paraId="4DD3327C" w14:textId="77777777" w:rsidR="00A07547" w:rsidRPr="009516E6" w:rsidRDefault="00A07547">
            <w:pPr>
              <w:pStyle w:val="BoxText"/>
              <w:rPr>
                <w:sz w:val="18"/>
                <w:szCs w:val="18"/>
              </w:rPr>
            </w:pPr>
            <w:r w:rsidRPr="009516E6">
              <w:rPr>
                <w:sz w:val="18"/>
                <w:szCs w:val="18"/>
              </w:rPr>
              <w:t>Singapore</w:t>
            </w:r>
          </w:p>
          <w:p w14:paraId="3A44A2A1" w14:textId="6D5B2F58" w:rsidR="00A07547" w:rsidRPr="009516E6" w:rsidRDefault="00A07547">
            <w:pPr>
              <w:pStyle w:val="BoxText"/>
              <w:rPr>
                <w:b w:val="0"/>
                <w:bCs/>
                <w:sz w:val="18"/>
                <w:szCs w:val="18"/>
              </w:rPr>
            </w:pPr>
            <w:r w:rsidRPr="009516E6">
              <w:rPr>
                <w:b w:val="0"/>
                <w:bCs/>
                <w:sz w:val="18"/>
                <w:szCs w:val="18"/>
              </w:rPr>
              <w:t xml:space="preserve">A Singaporean consumer may obtain a remedy under the CPFTA, depending on the representations made by the supplier about the </w:t>
            </w:r>
            <w:r w:rsidR="00A148EA" w:rsidRPr="009516E6">
              <w:rPr>
                <w:b w:val="0"/>
                <w:bCs/>
                <w:sz w:val="18"/>
                <w:szCs w:val="18"/>
              </w:rPr>
              <w:t>AI</w:t>
            </w:r>
            <w:r w:rsidR="00A148EA" w:rsidRPr="009516E6">
              <w:rPr>
                <w:b w:val="0"/>
                <w:bCs/>
                <w:sz w:val="18"/>
                <w:szCs w:val="18"/>
              </w:rPr>
              <w:noBreakHyphen/>
              <w:t>enabled</w:t>
            </w:r>
            <w:r w:rsidRPr="009516E6">
              <w:rPr>
                <w:b w:val="0"/>
                <w:bCs/>
                <w:sz w:val="18"/>
                <w:szCs w:val="18"/>
              </w:rPr>
              <w:t xml:space="preserve"> vacuum’s capabilities. Remedies available under the CPFTA are a right to a repair or replacement, or a reduction in the price of goods. While likely not applicable in this scenario, there is a limit of S$30,000 to claims. </w:t>
            </w:r>
          </w:p>
          <w:p w14:paraId="761FBD52" w14:textId="77777777" w:rsidR="00A07547" w:rsidRPr="009516E6" w:rsidRDefault="00A07547">
            <w:pPr>
              <w:pStyle w:val="BoxText"/>
              <w:rPr>
                <w:b w:val="0"/>
                <w:bCs/>
                <w:sz w:val="18"/>
                <w:szCs w:val="18"/>
              </w:rPr>
            </w:pPr>
            <w:r w:rsidRPr="009516E6">
              <w:rPr>
                <w:b w:val="0"/>
                <w:bCs/>
                <w:sz w:val="18"/>
                <w:szCs w:val="18"/>
              </w:rPr>
              <w:t xml:space="preserve">To access the remedy, a Singaporean consumer would need to demonstrate that the vacuum cleaner did not work as advertised. </w:t>
            </w:r>
          </w:p>
          <w:p w14:paraId="3AAEF3E4" w14:textId="77777777" w:rsidR="00A07547" w:rsidRPr="00BC74CA" w:rsidRDefault="00A07547">
            <w:pPr>
              <w:pStyle w:val="BoxText"/>
              <w:rPr>
                <w:b w:val="0"/>
                <w:bCs/>
              </w:rPr>
            </w:pPr>
            <w:r w:rsidRPr="009516E6">
              <w:rPr>
                <w:b w:val="0"/>
                <w:bCs/>
                <w:sz w:val="18"/>
                <w:szCs w:val="18"/>
              </w:rPr>
              <w:t>There is no right of compensation for the damaged furniture under statute in Singapore, and a consumer wishing to seek damages for the damaged furniture would have to bring an action in tort.</w:t>
            </w:r>
            <w:r w:rsidRPr="00BC74CA">
              <w:rPr>
                <w:b w:val="0"/>
                <w:bCs/>
              </w:rPr>
              <w:t xml:space="preserve"> </w:t>
            </w:r>
          </w:p>
        </w:tc>
      </w:tr>
    </w:tbl>
    <w:p w14:paraId="6EA296E2" w14:textId="77777777" w:rsidR="00A07547" w:rsidRDefault="00A07547" w:rsidP="00A07547"/>
    <w:p w14:paraId="22BAF4BD" w14:textId="77777777" w:rsidR="00253EBB" w:rsidRPr="00D13E2C" w:rsidRDefault="00253EBB" w:rsidP="00A07547"/>
    <w:p w14:paraId="2DB99A64" w14:textId="2F5338DF" w:rsidR="00232EB0" w:rsidRDefault="00A07547" w:rsidP="00CE09D6">
      <w:pPr>
        <w:pStyle w:val="Heading1Numbered"/>
      </w:pPr>
      <w:bookmarkStart w:id="46" w:name="_Toc192160562"/>
      <w:r>
        <w:lastRenderedPageBreak/>
        <w:t>Conclusion</w:t>
      </w:r>
      <w:bookmarkEnd w:id="46"/>
    </w:p>
    <w:p w14:paraId="37CEBBF3" w14:textId="77D4A200" w:rsidR="000A0772" w:rsidRPr="00D13E2C" w:rsidRDefault="000A0772" w:rsidP="000A0772">
      <w:r w:rsidRPr="00D13E2C">
        <w:t xml:space="preserve">Since its introduction, the ACL has </w:t>
      </w:r>
      <w:r w:rsidR="00FC5713" w:rsidRPr="00F537CC">
        <w:t>generally</w:t>
      </w:r>
      <w:r w:rsidRPr="00D13E2C">
        <w:t xml:space="preserve"> proven effective and adaptable in empowering and protecting consumers. The ACL’s economy-wide and </w:t>
      </w:r>
      <w:r w:rsidR="00F47713">
        <w:t>principles</w:t>
      </w:r>
      <w:r w:rsidR="00F47713">
        <w:noBreakHyphen/>
        <w:t>based</w:t>
      </w:r>
      <w:r w:rsidRPr="00D13E2C">
        <w:t xml:space="preserve"> approach to improving consumer wellbeing has </w:t>
      </w:r>
      <w:r w:rsidR="00A3438E" w:rsidRPr="00F537CC">
        <w:t>largely</w:t>
      </w:r>
      <w:r w:rsidR="00A3438E">
        <w:t xml:space="preserve"> </w:t>
      </w:r>
      <w:r w:rsidRPr="00D13E2C">
        <w:t xml:space="preserve">responded to a changing economy and evolving consumer harms. The ACL will remain an important framework for consumers, manufacturers </w:t>
      </w:r>
      <w:r>
        <w:t>and suppliers</w:t>
      </w:r>
      <w:r w:rsidRPr="00D13E2C">
        <w:t xml:space="preserve"> </w:t>
      </w:r>
      <w:r>
        <w:t>as</w:t>
      </w:r>
      <w:r w:rsidRPr="00D13E2C">
        <w:t xml:space="preserve"> technological change continues at a rapid pace, including due to AI.</w:t>
      </w:r>
    </w:p>
    <w:p w14:paraId="110D21F6" w14:textId="2034BE93" w:rsidR="000A0772" w:rsidRPr="00D13E2C" w:rsidRDefault="000A0772" w:rsidP="000A0772">
      <w:r w:rsidRPr="00D13E2C">
        <w:t xml:space="preserve">AI is already delivering benefits to Australian consumers and businesses and demand for </w:t>
      </w:r>
      <w:r w:rsidR="00A148EA">
        <w:t>AI</w:t>
      </w:r>
      <w:r w:rsidR="00A148EA">
        <w:noBreakHyphen/>
        <w:t>enabled</w:t>
      </w:r>
      <w:r w:rsidRPr="00D13E2C">
        <w:t xml:space="preserve"> goods and services is expected to grow into the future. However, </w:t>
      </w:r>
      <w:r>
        <w:t>the</w:t>
      </w:r>
      <w:r w:rsidRPr="00D13E2C">
        <w:t xml:space="preserve"> integration of AI into goods and services has the potential to amplify or augment </w:t>
      </w:r>
      <w:r>
        <w:t>risks for consumers</w:t>
      </w:r>
      <w:r w:rsidRPr="00D13E2C">
        <w:t>.</w:t>
      </w:r>
      <w:r>
        <w:t xml:space="preserve"> In responding to these risks</w:t>
      </w:r>
      <w:r w:rsidRPr="008B535A">
        <w:t xml:space="preserve">, </w:t>
      </w:r>
      <w:r>
        <w:t>proportionate regulation is required</w:t>
      </w:r>
      <w:r w:rsidRPr="008B535A">
        <w:t xml:space="preserve"> </w:t>
      </w:r>
      <w:r>
        <w:t xml:space="preserve">which </w:t>
      </w:r>
      <w:r w:rsidRPr="008B535A">
        <w:t>protect</w:t>
      </w:r>
      <w:r>
        <w:t>s consumers</w:t>
      </w:r>
      <w:r w:rsidR="001B5AB7">
        <w:t xml:space="preserve"> </w:t>
      </w:r>
      <w:r>
        <w:t xml:space="preserve">while also supporting the safe and responsible adoption of AI across </w:t>
      </w:r>
      <w:r w:rsidRPr="008B535A">
        <w:t xml:space="preserve">the </w:t>
      </w:r>
      <w:r>
        <w:t xml:space="preserve">economy. </w:t>
      </w:r>
    </w:p>
    <w:p w14:paraId="3FDC9530" w14:textId="58A8E312" w:rsidR="000A0772" w:rsidRPr="00D13E2C" w:rsidRDefault="000A0772" w:rsidP="000A0772">
      <w:r w:rsidRPr="00D13E2C">
        <w:t xml:space="preserve">The Review identified that the ACL is broadly capable of adapting effectively to </w:t>
      </w:r>
      <w:r>
        <w:t xml:space="preserve">cover </w:t>
      </w:r>
      <w:r w:rsidR="00A148EA">
        <w:t>AI</w:t>
      </w:r>
      <w:r w:rsidR="00A148EA">
        <w:noBreakHyphen/>
        <w:t>enabled</w:t>
      </w:r>
      <w:r w:rsidRPr="00D13E2C">
        <w:t xml:space="preserve"> goods and services, and t</w:t>
      </w:r>
      <w:r>
        <w:t xml:space="preserve">o </w:t>
      </w:r>
      <w:r w:rsidRPr="00D13E2C">
        <w:t xml:space="preserve">the introduction of AI into business practices. While opportunities exist to enhance regulatory clarity and certainty in </w:t>
      </w:r>
      <w:r>
        <w:t>some areas</w:t>
      </w:r>
      <w:r w:rsidRPr="005420A1">
        <w:t>,</w:t>
      </w:r>
      <w:r>
        <w:t xml:space="preserve"> </w:t>
      </w:r>
      <w:r w:rsidRPr="00D13E2C">
        <w:t>the scope of the existing protections and mechanisms for providing remedies remain appropriate.</w:t>
      </w:r>
      <w:r w:rsidR="00E1608A">
        <w:t xml:space="preserve"> </w:t>
      </w:r>
      <w:r w:rsidR="007A444A">
        <w:t xml:space="preserve">In addition, it is expected that </w:t>
      </w:r>
      <w:r w:rsidR="00BA64CF">
        <w:t xml:space="preserve">reforms currently underway in relation to unfair trading practices and consumer guarantees and supplier indemnification arrangements will further the strengthen the operation of the ACL to the benefit of consumers, suppliers and manufacturers of AI-enabled goods and services. </w:t>
      </w:r>
    </w:p>
    <w:p w14:paraId="0C541C78" w14:textId="68FF7424" w:rsidR="000A0772" w:rsidRPr="00CF6A47" w:rsidRDefault="000A0772" w:rsidP="000A0772">
      <w:r w:rsidRPr="00CF6A47">
        <w:t xml:space="preserve">Improving clarity and certainty in the operation of the ACL benefits consumers, manufacturers and suppliers. In many cases, stakeholders acknowledged the opportunities for improving clarity and certainty identified by the Review are applicable to a broader </w:t>
      </w:r>
      <w:r w:rsidR="00606C56" w:rsidRPr="00CF6A47">
        <w:t>class</w:t>
      </w:r>
      <w:r w:rsidRPr="00CF6A47">
        <w:t xml:space="preserve"> of software-enabled goods and services, including </w:t>
      </w:r>
      <w:r w:rsidR="00A148EA" w:rsidRPr="00CF6A47">
        <w:t>AI</w:t>
      </w:r>
      <w:r w:rsidR="00A148EA" w:rsidRPr="00CF6A47">
        <w:noBreakHyphen/>
        <w:t>enabled</w:t>
      </w:r>
      <w:r w:rsidRPr="00CF6A47">
        <w:t xml:space="preserve"> goods and services.</w:t>
      </w:r>
      <w:r w:rsidR="00CE0FE7" w:rsidRPr="00CF6A47">
        <w:t xml:space="preserve"> </w:t>
      </w:r>
      <w:r w:rsidR="00E75637" w:rsidRPr="00CF6A47">
        <w:t>Continuing</w:t>
      </w:r>
      <w:r w:rsidR="00CE0FE7" w:rsidRPr="00CF6A47">
        <w:t xml:space="preserve"> work</w:t>
      </w:r>
      <w:r w:rsidR="00E75637" w:rsidRPr="00CF6A47">
        <w:t xml:space="preserve"> across Government</w:t>
      </w:r>
      <w:r w:rsidR="00CE0FE7" w:rsidRPr="00CF6A47">
        <w:t xml:space="preserve"> </w:t>
      </w:r>
      <w:r w:rsidR="00811CEA" w:rsidRPr="00CF6A47">
        <w:t xml:space="preserve">to support </w:t>
      </w:r>
      <w:r w:rsidR="005A5DAA" w:rsidRPr="00CF6A47">
        <w:t xml:space="preserve">the </w:t>
      </w:r>
      <w:r w:rsidR="00811CEA" w:rsidRPr="00CF6A47">
        <w:t xml:space="preserve">safe and responsible </w:t>
      </w:r>
      <w:r w:rsidR="00175D8D" w:rsidRPr="00CF6A47">
        <w:t xml:space="preserve">adoption and </w:t>
      </w:r>
      <w:r w:rsidR="005A5DAA" w:rsidRPr="00CF6A47">
        <w:t xml:space="preserve">use of </w:t>
      </w:r>
      <w:r w:rsidR="00811CEA" w:rsidRPr="00CF6A47">
        <w:t xml:space="preserve">AI </w:t>
      </w:r>
      <w:r w:rsidR="00446A67" w:rsidRPr="00CF6A47">
        <w:t>will also contribute to improved clarity and certainty.</w:t>
      </w:r>
    </w:p>
    <w:p w14:paraId="11D4ECC1" w14:textId="1A6052AD" w:rsidR="000A0772" w:rsidRPr="00D13E2C" w:rsidRDefault="000A0772" w:rsidP="000A0772">
      <w:r w:rsidRPr="00CF6A47">
        <w:t>The Review has adopted a forward-looking approach</w:t>
      </w:r>
      <w:r w:rsidR="00FE6150" w:rsidRPr="00CF6A47">
        <w:t>,</w:t>
      </w:r>
      <w:r w:rsidRPr="00CF6A47">
        <w:t xml:space="preserve"> however, AI technology continue</w:t>
      </w:r>
      <w:r w:rsidR="004341F4" w:rsidRPr="00CF6A47">
        <w:t>s</w:t>
      </w:r>
      <w:r w:rsidRPr="00CF6A47">
        <w:t xml:space="preserve"> to develop </w:t>
      </w:r>
      <w:r w:rsidR="00062A0C" w:rsidRPr="00CF6A47">
        <w:t>quickly</w:t>
      </w:r>
      <w:r w:rsidRPr="00CF6A47">
        <w:t xml:space="preserve">. </w:t>
      </w:r>
      <w:r w:rsidR="007729D3">
        <w:t xml:space="preserve">Mechanisms currently exist under the ACL that enable Government and regulators to address </w:t>
      </w:r>
      <w:r w:rsidR="004D6A43">
        <w:t>changes in consumer risks which may</w:t>
      </w:r>
      <w:r w:rsidR="007729D3">
        <w:t xml:space="preserve"> arise</w:t>
      </w:r>
      <w:r w:rsidR="004D6A43">
        <w:t xml:space="preserve"> in future</w:t>
      </w:r>
      <w:r w:rsidR="007729D3">
        <w:t xml:space="preserve">. </w:t>
      </w:r>
      <w:r w:rsidRPr="00CF6A47">
        <w:t>Treasury, the ACCC, and state and territory regulators all have a role to play in monitoring continuing AI-related developments. As with other emerging consumer law issues, existing governance arrangements used to administer and develop the ACL provide an avenue for undertaking this monitoring effort.</w:t>
      </w:r>
    </w:p>
    <w:p w14:paraId="28737B5E" w14:textId="1ACB5104" w:rsidR="00A07547" w:rsidRDefault="000A0772" w:rsidP="000A0772">
      <w:r w:rsidRPr="00D13E2C">
        <w:t xml:space="preserve">Consumer Affairs Ministers have agreed that ensuring consumer protection laws remain fit-for-purpose to protect consumers using </w:t>
      </w:r>
      <w:r w:rsidR="00A148EA">
        <w:t>AI</w:t>
      </w:r>
      <w:r w:rsidR="00A148EA">
        <w:noBreakHyphen/>
        <w:t>enabled</w:t>
      </w:r>
      <w:r w:rsidRPr="00D13E2C">
        <w:t xml:space="preserve"> products and services is a policy priority for 2025. Further consideration of the treatment of </w:t>
      </w:r>
      <w:r w:rsidR="00A148EA">
        <w:t>AI</w:t>
      </w:r>
      <w:r w:rsidR="00A148EA">
        <w:noBreakHyphen/>
        <w:t>enabled</w:t>
      </w:r>
      <w:r w:rsidRPr="00D13E2C">
        <w:t xml:space="preserve"> goods and services under the national consumer protection framework will be considered through this mechanism.</w:t>
      </w:r>
    </w:p>
    <w:p w14:paraId="67B215F9" w14:textId="77777777" w:rsidR="00840359" w:rsidRDefault="00840359">
      <w:pPr>
        <w:spacing w:before="0" w:after="160" w:line="259" w:lineRule="auto"/>
      </w:pPr>
      <w:r>
        <w:br w:type="page"/>
      </w:r>
    </w:p>
    <w:p w14:paraId="41EF3E34" w14:textId="77777777" w:rsidR="00BC129F" w:rsidRDefault="00BC129F" w:rsidP="0023077B">
      <w:pPr>
        <w:sectPr w:rsidR="00BC129F" w:rsidSect="00EA08C9">
          <w:footerReference w:type="even" r:id="rId36"/>
          <w:footerReference w:type="default" r:id="rId37"/>
          <w:type w:val="continuous"/>
          <w:pgSz w:w="11906" w:h="16838" w:code="9"/>
          <w:pgMar w:top="1843" w:right="1417" w:bottom="1417" w:left="1417" w:header="709" w:footer="709" w:gutter="0"/>
          <w:cols w:space="708"/>
          <w:docGrid w:linePitch="360"/>
        </w:sectPr>
      </w:pPr>
    </w:p>
    <w:p w14:paraId="4FCD6689" w14:textId="1346C005" w:rsidR="000A0772" w:rsidRDefault="000A0772" w:rsidP="00BC129F">
      <w:pPr>
        <w:pStyle w:val="Heading1"/>
        <w:spacing w:before="0"/>
      </w:pPr>
      <w:bookmarkStart w:id="47" w:name="_Toc192160563"/>
      <w:r>
        <w:lastRenderedPageBreak/>
        <w:t>Key terminology</w:t>
      </w:r>
      <w:bookmarkEnd w:id="47"/>
    </w:p>
    <w:p w14:paraId="06CE2275" w14:textId="77777777" w:rsidR="00CF1C7F" w:rsidRPr="00CB0903" w:rsidRDefault="00CF1C7F" w:rsidP="00CF1C7F"/>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45"/>
        <w:gridCol w:w="6319"/>
      </w:tblGrid>
      <w:tr w:rsidR="00CF1C7F" w:rsidRPr="00C0497B" w14:paraId="5E8E512A" w14:textId="77777777" w:rsidTr="00D1010F">
        <w:trPr>
          <w:cnfStyle w:val="100000000000" w:firstRow="1" w:lastRow="0" w:firstColumn="0" w:lastColumn="0" w:oddVBand="0" w:evenVBand="0" w:oddHBand="0" w:evenHBand="0" w:firstRowFirstColumn="0" w:firstRowLastColumn="0" w:lastRowFirstColumn="0" w:lastRowLastColumn="0"/>
        </w:trPr>
        <w:tc>
          <w:tcPr>
            <w:tcW w:w="2745" w:type="dxa"/>
          </w:tcPr>
          <w:p w14:paraId="2D0C9109" w14:textId="77777777" w:rsidR="00CF1C7F" w:rsidRPr="00586647" w:rsidRDefault="00CF1C7F">
            <w:pPr>
              <w:spacing w:before="96" w:after="96"/>
              <w:rPr>
                <w:rStyle w:val="Strong"/>
                <w:rFonts w:ascii="Calibri" w:hAnsi="Calibri" w:cs="Calibri"/>
                <w:color w:val="263C30" w:themeColor="accent2" w:themeShade="80"/>
                <w:sz w:val="28"/>
                <w:szCs w:val="28"/>
              </w:rPr>
            </w:pPr>
            <w:r w:rsidRPr="00586647">
              <w:rPr>
                <w:rStyle w:val="Strong"/>
                <w:rFonts w:ascii="Calibri" w:hAnsi="Calibri" w:cs="Calibri"/>
                <w:color w:val="263C30" w:themeColor="accent2" w:themeShade="80"/>
                <w:sz w:val="28"/>
                <w:szCs w:val="28"/>
              </w:rPr>
              <w:t>Term</w:t>
            </w:r>
          </w:p>
        </w:tc>
        <w:tc>
          <w:tcPr>
            <w:tcW w:w="6319" w:type="dxa"/>
          </w:tcPr>
          <w:p w14:paraId="5624D864" w14:textId="77777777" w:rsidR="00CF1C7F" w:rsidRPr="00586647" w:rsidRDefault="00CF1C7F">
            <w:pPr>
              <w:spacing w:before="96" w:after="96"/>
              <w:rPr>
                <w:rStyle w:val="Strong"/>
                <w:rFonts w:ascii="Calibri" w:hAnsi="Calibri" w:cs="Calibri"/>
                <w:color w:val="263C30" w:themeColor="accent2" w:themeShade="80"/>
                <w:sz w:val="28"/>
                <w:szCs w:val="28"/>
              </w:rPr>
            </w:pPr>
            <w:r w:rsidRPr="00586647">
              <w:rPr>
                <w:rStyle w:val="Strong"/>
                <w:rFonts w:ascii="Calibri" w:hAnsi="Calibri" w:cs="Calibri"/>
                <w:color w:val="263C30" w:themeColor="accent2" w:themeShade="80"/>
                <w:sz w:val="28"/>
                <w:szCs w:val="28"/>
              </w:rPr>
              <w:t>Definition*</w:t>
            </w:r>
          </w:p>
        </w:tc>
      </w:tr>
      <w:tr w:rsidR="00CF1C7F" w:rsidRPr="00E465E4" w14:paraId="5163E28D" w14:textId="77777777" w:rsidTr="00D1010F">
        <w:tc>
          <w:tcPr>
            <w:tcW w:w="2745" w:type="dxa"/>
          </w:tcPr>
          <w:p w14:paraId="14CC941F" w14:textId="77777777" w:rsidR="00CF1C7F" w:rsidRPr="00E465E4" w:rsidRDefault="00CF1C7F">
            <w:pPr>
              <w:rPr>
                <w:sz w:val="22"/>
                <w:szCs w:val="22"/>
              </w:rPr>
            </w:pPr>
            <w:r>
              <w:rPr>
                <w:b/>
                <w:sz w:val="22"/>
                <w:szCs w:val="22"/>
              </w:rPr>
              <w:t>Agentic</w:t>
            </w:r>
            <w:r w:rsidRPr="00E465E4">
              <w:rPr>
                <w:b/>
                <w:sz w:val="22"/>
                <w:szCs w:val="22"/>
              </w:rPr>
              <w:t xml:space="preserve"> AI</w:t>
            </w:r>
            <w:r>
              <w:rPr>
                <w:b/>
                <w:sz w:val="22"/>
                <w:szCs w:val="22"/>
              </w:rPr>
              <w:t xml:space="preserve"> </w:t>
            </w:r>
          </w:p>
        </w:tc>
        <w:tc>
          <w:tcPr>
            <w:tcW w:w="6319" w:type="dxa"/>
            <w:vAlign w:val="center"/>
          </w:tcPr>
          <w:p w14:paraId="075B3744" w14:textId="77777777" w:rsidR="00CF1C7F" w:rsidRPr="00E465E4" w:rsidRDefault="00CF1C7F">
            <w:pPr>
              <w:pStyle w:val="NormalIndent"/>
              <w:ind w:left="0"/>
              <w:rPr>
                <w:i/>
                <w:sz w:val="22"/>
                <w:szCs w:val="22"/>
              </w:rPr>
            </w:pPr>
            <w:r>
              <w:rPr>
                <w:sz w:val="22"/>
                <w:szCs w:val="22"/>
              </w:rPr>
              <w:t>AI that is capable of accomplishing multi-step tasks in pursuit of a high-level goal with little or no human oversight.</w:t>
            </w:r>
          </w:p>
        </w:tc>
      </w:tr>
      <w:tr w:rsidR="00CF1C7F" w:rsidRPr="00E465E4" w14:paraId="38B4A099" w14:textId="77777777" w:rsidTr="00D1010F">
        <w:tc>
          <w:tcPr>
            <w:tcW w:w="2745" w:type="dxa"/>
          </w:tcPr>
          <w:p w14:paraId="7FF7138F" w14:textId="7DE7782B" w:rsidR="00CF1C7F" w:rsidRPr="00E465E4" w:rsidRDefault="00A148EA">
            <w:pPr>
              <w:rPr>
                <w:b/>
                <w:szCs w:val="22"/>
              </w:rPr>
            </w:pPr>
            <w:r>
              <w:rPr>
                <w:b/>
                <w:sz w:val="22"/>
                <w:szCs w:val="22"/>
              </w:rPr>
              <w:t>AI</w:t>
            </w:r>
            <w:r>
              <w:rPr>
                <w:b/>
                <w:sz w:val="22"/>
                <w:szCs w:val="22"/>
              </w:rPr>
              <w:noBreakHyphen/>
              <w:t>enabled</w:t>
            </w:r>
            <w:r w:rsidR="00CF1C7F" w:rsidRPr="00E465E4">
              <w:rPr>
                <w:b/>
                <w:sz w:val="22"/>
                <w:szCs w:val="22"/>
              </w:rPr>
              <w:t xml:space="preserve"> goods and services</w:t>
            </w:r>
          </w:p>
        </w:tc>
        <w:tc>
          <w:tcPr>
            <w:tcW w:w="6319" w:type="dxa"/>
          </w:tcPr>
          <w:p w14:paraId="44B65B12" w14:textId="77777777" w:rsidR="00CF1C7F" w:rsidRPr="00E465E4" w:rsidRDefault="00CF1C7F">
            <w:pPr>
              <w:rPr>
                <w:sz w:val="22"/>
                <w:szCs w:val="22"/>
              </w:rPr>
            </w:pPr>
            <w:r w:rsidRPr="00E465E4">
              <w:rPr>
                <w:sz w:val="22"/>
                <w:szCs w:val="22"/>
              </w:rPr>
              <w:t xml:space="preserve">Goods and services which, when made available to consumers, involve a consumer directly interacting with an AI system. </w:t>
            </w:r>
          </w:p>
          <w:p w14:paraId="22D0A0C6" w14:textId="3B3F2311" w:rsidR="00CF1C7F" w:rsidRPr="00E465E4" w:rsidRDefault="00CF1C7F">
            <w:pPr>
              <w:rPr>
                <w:szCs w:val="22"/>
              </w:rPr>
            </w:pPr>
            <w:r w:rsidRPr="00E465E4">
              <w:rPr>
                <w:i/>
                <w:sz w:val="22"/>
                <w:szCs w:val="22"/>
              </w:rPr>
              <w:t xml:space="preserve">For example: A security system which uses facial recognition is an </w:t>
            </w:r>
            <w:r w:rsidR="00A148EA">
              <w:rPr>
                <w:i/>
                <w:sz w:val="22"/>
                <w:szCs w:val="22"/>
              </w:rPr>
              <w:t>AI</w:t>
            </w:r>
            <w:r w:rsidR="00A148EA">
              <w:rPr>
                <w:i/>
                <w:sz w:val="22"/>
                <w:szCs w:val="22"/>
              </w:rPr>
              <w:noBreakHyphen/>
              <w:t>enabled</w:t>
            </w:r>
            <w:r w:rsidRPr="00E465E4">
              <w:rPr>
                <w:i/>
                <w:sz w:val="22"/>
                <w:szCs w:val="22"/>
              </w:rPr>
              <w:t xml:space="preserve"> good and an online chatbot to assist with consumer queries is an </w:t>
            </w:r>
            <w:r w:rsidR="00A148EA">
              <w:rPr>
                <w:i/>
                <w:sz w:val="22"/>
                <w:szCs w:val="22"/>
              </w:rPr>
              <w:t>AI</w:t>
            </w:r>
            <w:r w:rsidR="00A148EA">
              <w:rPr>
                <w:i/>
                <w:sz w:val="22"/>
                <w:szCs w:val="22"/>
              </w:rPr>
              <w:noBreakHyphen/>
              <w:t>enabled</w:t>
            </w:r>
            <w:r w:rsidRPr="00E465E4">
              <w:rPr>
                <w:i/>
                <w:sz w:val="22"/>
                <w:szCs w:val="22"/>
              </w:rPr>
              <w:t xml:space="preserve"> service. </w:t>
            </w:r>
          </w:p>
        </w:tc>
      </w:tr>
      <w:tr w:rsidR="00CF1C7F" w:rsidRPr="00E465E4" w14:paraId="6447DB11" w14:textId="77777777" w:rsidTr="00D1010F">
        <w:tc>
          <w:tcPr>
            <w:tcW w:w="2745" w:type="dxa"/>
          </w:tcPr>
          <w:p w14:paraId="0481F12A" w14:textId="77777777" w:rsidR="00CF1C7F" w:rsidRPr="00E465E4" w:rsidRDefault="00CF1C7F">
            <w:pPr>
              <w:rPr>
                <w:b/>
                <w:szCs w:val="22"/>
              </w:rPr>
            </w:pPr>
            <w:r w:rsidRPr="001C0755">
              <w:rPr>
                <w:b/>
                <w:sz w:val="22"/>
                <w:szCs w:val="22"/>
              </w:rPr>
              <w:t>AI model</w:t>
            </w:r>
          </w:p>
        </w:tc>
        <w:tc>
          <w:tcPr>
            <w:tcW w:w="6319" w:type="dxa"/>
          </w:tcPr>
          <w:p w14:paraId="080D9B19" w14:textId="77777777" w:rsidR="00CF1C7F" w:rsidRPr="00FC6420" w:rsidRDefault="00CF1C7F">
            <w:pPr>
              <w:spacing w:before="96" w:after="96"/>
              <w:rPr>
                <w:sz w:val="22"/>
                <w:szCs w:val="22"/>
              </w:rPr>
            </w:pPr>
            <w:r w:rsidRPr="00FC6420">
              <w:rPr>
                <w:sz w:val="22"/>
                <w:szCs w:val="22"/>
              </w:rPr>
              <w:t xml:space="preserve">The raw, mathematical essence that is often the ‘engine’ of AI applications. </w:t>
            </w:r>
          </w:p>
          <w:p w14:paraId="0D03C276" w14:textId="77777777" w:rsidR="00CF1C7F" w:rsidRPr="00E465E4" w:rsidRDefault="00CF1C7F">
            <w:pPr>
              <w:rPr>
                <w:szCs w:val="22"/>
              </w:rPr>
            </w:pPr>
            <w:r w:rsidRPr="00FE22B3">
              <w:rPr>
                <w:i/>
                <w:sz w:val="22"/>
                <w:szCs w:val="22"/>
              </w:rPr>
              <w:t xml:space="preserve">For example, the ChatGPT app is an AI system. Its core engine, GPT-4, is an AI model. </w:t>
            </w:r>
          </w:p>
        </w:tc>
      </w:tr>
      <w:tr w:rsidR="00CF1C7F" w:rsidRPr="00E465E4" w14:paraId="6EF84D57" w14:textId="77777777" w:rsidTr="00D1010F">
        <w:tc>
          <w:tcPr>
            <w:tcW w:w="2745" w:type="dxa"/>
          </w:tcPr>
          <w:p w14:paraId="33AC0FD7" w14:textId="77777777" w:rsidR="00CF1C7F" w:rsidRPr="001C0755" w:rsidRDefault="00CF1C7F">
            <w:pPr>
              <w:rPr>
                <w:b/>
                <w:szCs w:val="22"/>
              </w:rPr>
            </w:pPr>
            <w:r w:rsidRPr="00E465E4">
              <w:rPr>
                <w:b/>
                <w:sz w:val="22"/>
                <w:szCs w:val="22"/>
              </w:rPr>
              <w:t>AI system</w:t>
            </w:r>
          </w:p>
        </w:tc>
        <w:tc>
          <w:tcPr>
            <w:tcW w:w="6319" w:type="dxa"/>
            <w:vAlign w:val="center"/>
          </w:tcPr>
          <w:p w14:paraId="6AE87DD3" w14:textId="77777777" w:rsidR="00CF1C7F" w:rsidRDefault="00CF1C7F">
            <w:pPr>
              <w:rPr>
                <w:sz w:val="22"/>
                <w:szCs w:val="22"/>
              </w:rPr>
            </w:pPr>
            <w:r w:rsidRPr="00E465E4">
              <w:rPr>
                <w:sz w:val="22"/>
                <w:szCs w:val="22"/>
              </w:rPr>
              <w:t>A machine-based system that, for explicit or implicit objectives, infers, from the input it receives, how to generate outputs such as predictions, content, recommendations, or decisions that can influence physical or virtual environments. Different AI systems vary in their levels of autonomy and adaptiveness after deployment.</w:t>
            </w:r>
          </w:p>
          <w:p w14:paraId="742FF5DE" w14:textId="77777777" w:rsidR="00CF1C7F" w:rsidRPr="00FC6420" w:rsidRDefault="00CF1C7F">
            <w:pPr>
              <w:spacing w:before="96" w:after="96"/>
              <w:rPr>
                <w:szCs w:val="22"/>
              </w:rPr>
            </w:pPr>
            <w:r w:rsidRPr="00FC6420">
              <w:rPr>
                <w:sz w:val="22"/>
                <w:szCs w:val="22"/>
              </w:rPr>
              <w:t xml:space="preserve">The tools or techniques AI systems can employ vary widely and may include: machine learning, computer vision, natural language processing, expert systems and speech recognition. </w:t>
            </w:r>
          </w:p>
        </w:tc>
      </w:tr>
      <w:tr w:rsidR="00CF1C7F" w:rsidRPr="00793921" w14:paraId="7A5F86E5" w14:textId="77777777" w:rsidTr="00D1010F">
        <w:tc>
          <w:tcPr>
            <w:tcW w:w="2745" w:type="dxa"/>
          </w:tcPr>
          <w:p w14:paraId="46BC0102" w14:textId="77777777" w:rsidR="00CF1C7F" w:rsidRPr="00917B40" w:rsidRDefault="00CF1C7F">
            <w:pPr>
              <w:spacing w:before="96" w:after="96"/>
              <w:rPr>
                <w:b/>
                <w:sz w:val="22"/>
                <w:szCs w:val="22"/>
              </w:rPr>
            </w:pPr>
            <w:r w:rsidRPr="00922ECB">
              <w:rPr>
                <w:b/>
                <w:sz w:val="22"/>
                <w:szCs w:val="22"/>
              </w:rPr>
              <w:t>Developer</w:t>
            </w:r>
          </w:p>
        </w:tc>
        <w:tc>
          <w:tcPr>
            <w:tcW w:w="6319" w:type="dxa"/>
            <w:vAlign w:val="center"/>
          </w:tcPr>
          <w:p w14:paraId="357F940D" w14:textId="77777777" w:rsidR="00CF1C7F" w:rsidRPr="00793921" w:rsidRDefault="00CF1C7F">
            <w:pPr>
              <w:spacing w:before="96" w:after="96"/>
              <w:rPr>
                <w:i/>
                <w:sz w:val="22"/>
                <w:szCs w:val="22"/>
              </w:rPr>
            </w:pPr>
            <w:r w:rsidRPr="00922ECB">
              <w:rPr>
                <w:sz w:val="22"/>
                <w:szCs w:val="22"/>
              </w:rPr>
              <w:t>An organisation or individual who designs, builds, trains, adapts, or combines AI models and applications.</w:t>
            </w:r>
          </w:p>
        </w:tc>
      </w:tr>
      <w:tr w:rsidR="00CF1C7F" w:rsidRPr="00922ECB" w14:paraId="203A0421" w14:textId="77777777" w:rsidTr="00D1010F">
        <w:tc>
          <w:tcPr>
            <w:tcW w:w="2745" w:type="dxa"/>
          </w:tcPr>
          <w:p w14:paraId="3DC6E6AB" w14:textId="77777777" w:rsidR="00CF1C7F" w:rsidRPr="00922ECB" w:rsidRDefault="00CF1C7F">
            <w:pPr>
              <w:rPr>
                <w:b/>
                <w:sz w:val="22"/>
                <w:szCs w:val="22"/>
              </w:rPr>
            </w:pPr>
            <w:r w:rsidRPr="00E465E4">
              <w:rPr>
                <w:b/>
                <w:sz w:val="22"/>
                <w:szCs w:val="22"/>
              </w:rPr>
              <w:t>Large language model (LLM)</w:t>
            </w:r>
          </w:p>
        </w:tc>
        <w:tc>
          <w:tcPr>
            <w:tcW w:w="6319" w:type="dxa"/>
          </w:tcPr>
          <w:p w14:paraId="128C021E" w14:textId="77777777" w:rsidR="00CF1C7F" w:rsidRPr="00922ECB" w:rsidRDefault="00CF1C7F">
            <w:pPr>
              <w:rPr>
                <w:sz w:val="22"/>
                <w:szCs w:val="22"/>
              </w:rPr>
            </w:pPr>
            <w:r w:rsidRPr="00E465E4">
              <w:rPr>
                <w:sz w:val="22"/>
                <w:szCs w:val="22"/>
              </w:rPr>
              <w:t>A type of generative AI that specialises in the generation of human-like text.</w:t>
            </w:r>
            <w:r w:rsidRPr="00E465E4">
              <w:rPr>
                <w:sz w:val="22"/>
                <w:szCs w:val="22"/>
              </w:rPr>
              <w:br w:type="page"/>
            </w:r>
          </w:p>
        </w:tc>
      </w:tr>
      <w:tr w:rsidR="00CF1C7F" w:rsidRPr="00922ECB" w14:paraId="209929E7" w14:textId="77777777" w:rsidTr="00D1010F">
        <w:tc>
          <w:tcPr>
            <w:tcW w:w="2745" w:type="dxa"/>
          </w:tcPr>
          <w:p w14:paraId="6CBD278C" w14:textId="77777777" w:rsidR="00CF1C7F" w:rsidRPr="00E465E4" w:rsidRDefault="00CF1C7F">
            <w:pPr>
              <w:rPr>
                <w:b/>
                <w:sz w:val="22"/>
                <w:szCs w:val="22"/>
              </w:rPr>
            </w:pPr>
            <w:r w:rsidRPr="00FB607C">
              <w:rPr>
                <w:b/>
                <w:sz w:val="22"/>
                <w:szCs w:val="22"/>
              </w:rPr>
              <w:t>Software-enabled goods and services</w:t>
            </w:r>
          </w:p>
        </w:tc>
        <w:tc>
          <w:tcPr>
            <w:tcW w:w="6319" w:type="dxa"/>
          </w:tcPr>
          <w:p w14:paraId="2FA32397" w14:textId="77777777" w:rsidR="00CF1C7F" w:rsidRPr="00922ECB" w:rsidRDefault="00CF1C7F">
            <w:pPr>
              <w:rPr>
                <w:sz w:val="22"/>
                <w:szCs w:val="22"/>
              </w:rPr>
            </w:pPr>
            <w:r w:rsidRPr="00E465E4">
              <w:rPr>
                <w:sz w:val="22"/>
                <w:szCs w:val="22"/>
              </w:rPr>
              <w:t xml:space="preserve">Goods and services which, when made available to consumers, involve a consumer directly interacting with </w:t>
            </w:r>
            <w:r>
              <w:rPr>
                <w:sz w:val="22"/>
                <w:szCs w:val="22"/>
              </w:rPr>
              <w:t>software, whether or not that software uses AI technology</w:t>
            </w:r>
            <w:r w:rsidRPr="00E465E4">
              <w:rPr>
                <w:sz w:val="22"/>
                <w:szCs w:val="22"/>
              </w:rPr>
              <w:t xml:space="preserve">. </w:t>
            </w:r>
          </w:p>
        </w:tc>
      </w:tr>
    </w:tbl>
    <w:p w14:paraId="371BFE4C" w14:textId="067970DD" w:rsidR="00A961DC" w:rsidRPr="00A961DC" w:rsidRDefault="00CF1C7F" w:rsidP="00A961DC">
      <w:pPr>
        <w:rPr>
          <w:i/>
        </w:rPr>
      </w:pPr>
      <w:r w:rsidRPr="00F12E96">
        <w:rPr>
          <w:i/>
        </w:rPr>
        <w:t>*</w:t>
      </w:r>
      <w:r>
        <w:rPr>
          <w:i/>
          <w:iCs/>
        </w:rPr>
        <w:t>These definitions</w:t>
      </w:r>
      <w:r w:rsidRPr="00F12E96">
        <w:rPr>
          <w:i/>
        </w:rPr>
        <w:t xml:space="preserve"> </w:t>
      </w:r>
      <w:r w:rsidR="00284A06">
        <w:rPr>
          <w:i/>
        </w:rPr>
        <w:t xml:space="preserve">are </w:t>
      </w:r>
      <w:r w:rsidRPr="00F12E96">
        <w:rPr>
          <w:i/>
        </w:rPr>
        <w:t>used for the purposes of this paper. Treasury acknowledges that preferred terminology surrounding AI continue</w:t>
      </w:r>
      <w:r>
        <w:rPr>
          <w:i/>
          <w:iCs/>
        </w:rPr>
        <w:t>s</w:t>
      </w:r>
      <w:r w:rsidRPr="00F12E96">
        <w:rPr>
          <w:i/>
        </w:rPr>
        <w:t xml:space="preserve"> to evolve</w:t>
      </w:r>
      <w:r>
        <w:rPr>
          <w:i/>
          <w:iCs/>
        </w:rPr>
        <w:t>.</w:t>
      </w:r>
      <w:r w:rsidR="00A961DC">
        <w:br w:type="page"/>
      </w:r>
    </w:p>
    <w:p w14:paraId="56D3CD52" w14:textId="77777777" w:rsidR="00AC46F7" w:rsidRDefault="00AC46F7" w:rsidP="00AC46F7">
      <w:pPr>
        <w:pStyle w:val="Heading1"/>
        <w:sectPr w:rsidR="00AC46F7" w:rsidSect="00EA08C9">
          <w:footerReference w:type="even" r:id="rId38"/>
          <w:type w:val="continuous"/>
          <w:pgSz w:w="11906" w:h="16838" w:code="9"/>
          <w:pgMar w:top="1843" w:right="1417" w:bottom="1417" w:left="1417" w:header="709" w:footer="709" w:gutter="0"/>
          <w:cols w:space="708"/>
          <w:docGrid w:linePitch="360"/>
        </w:sectPr>
      </w:pPr>
    </w:p>
    <w:p w14:paraId="4B0F40A5" w14:textId="359EDF8E" w:rsidR="00ED7FEC" w:rsidRDefault="00AC46F7" w:rsidP="00AC46F7">
      <w:pPr>
        <w:pStyle w:val="Heading1"/>
      </w:pPr>
      <w:bookmarkStart w:id="48" w:name="_Toc192160564"/>
      <w:r>
        <w:lastRenderedPageBreak/>
        <w:t>Attachment A – International comparisons to the ACL</w:t>
      </w:r>
      <w:bookmarkEnd w:id="48"/>
    </w:p>
    <w:p w14:paraId="6AE60963" w14:textId="16CD57DF" w:rsidR="00993F58" w:rsidRPr="00D13E2C" w:rsidRDefault="00993F58" w:rsidP="00993F58">
      <w:pPr>
        <w:pStyle w:val="Heading2"/>
      </w:pPr>
      <w:bookmarkStart w:id="49" w:name="_Toc190091962"/>
      <w:bookmarkStart w:id="50" w:name="_Toc192160565"/>
      <w:r w:rsidRPr="00D13E2C">
        <w:t>European Union</w:t>
      </w:r>
      <w:bookmarkEnd w:id="49"/>
      <w:bookmarkEnd w:id="50"/>
    </w:p>
    <w:tbl>
      <w:tblPr>
        <w:tblStyle w:val="TableGrid"/>
        <w:tblW w:w="13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3946"/>
        <w:gridCol w:w="7654"/>
      </w:tblGrid>
      <w:tr w:rsidR="00993F58" w:rsidRPr="00D13E2C" w14:paraId="5368C216" w14:textId="77777777" w:rsidTr="00D1010F">
        <w:trPr>
          <w:cnfStyle w:val="100000000000" w:firstRow="1" w:lastRow="0" w:firstColumn="0" w:lastColumn="0" w:oddVBand="0" w:evenVBand="0" w:oddHBand="0" w:evenHBand="0" w:firstRowFirstColumn="0" w:firstRowLastColumn="0" w:lastRowFirstColumn="0" w:lastRowLastColumn="0"/>
        </w:trPr>
        <w:tc>
          <w:tcPr>
            <w:tcW w:w="2256" w:type="dxa"/>
          </w:tcPr>
          <w:p w14:paraId="160319F9" w14:textId="77777777" w:rsidR="00993F58" w:rsidRPr="00D13E2C" w:rsidRDefault="00993F58">
            <w:pPr>
              <w:pStyle w:val="Bullet"/>
              <w:numPr>
                <w:ilvl w:val="0"/>
                <w:numId w:val="0"/>
              </w:numPr>
              <w:tabs>
                <w:tab w:val="left" w:pos="2569"/>
                <w:tab w:val="right" w:pos="2715"/>
              </w:tabs>
              <w:spacing w:before="60" w:after="60"/>
            </w:pPr>
            <w:r w:rsidRPr="00D13E2C">
              <w:t>ACL protection</w:t>
            </w:r>
          </w:p>
        </w:tc>
        <w:tc>
          <w:tcPr>
            <w:tcW w:w="3946" w:type="dxa"/>
          </w:tcPr>
          <w:p w14:paraId="10081471" w14:textId="77777777" w:rsidR="00993F58" w:rsidRPr="00D13E2C" w:rsidRDefault="00993F58">
            <w:pPr>
              <w:pStyle w:val="Bullet"/>
              <w:numPr>
                <w:ilvl w:val="0"/>
                <w:numId w:val="0"/>
              </w:numPr>
              <w:spacing w:before="60" w:after="60"/>
            </w:pPr>
            <w:r w:rsidRPr="00D13E2C">
              <w:t>EU directive</w:t>
            </w:r>
          </w:p>
        </w:tc>
        <w:tc>
          <w:tcPr>
            <w:tcW w:w="7654" w:type="dxa"/>
          </w:tcPr>
          <w:p w14:paraId="2104E242" w14:textId="77777777" w:rsidR="00993F58" w:rsidRPr="00D13E2C" w:rsidRDefault="00993F58">
            <w:pPr>
              <w:pStyle w:val="Bullet"/>
              <w:numPr>
                <w:ilvl w:val="0"/>
                <w:numId w:val="0"/>
              </w:numPr>
              <w:spacing w:before="60" w:after="60"/>
            </w:pPr>
            <w:r w:rsidRPr="00D13E2C">
              <w:t>Comparison</w:t>
            </w:r>
          </w:p>
        </w:tc>
      </w:tr>
      <w:tr w:rsidR="00C87277" w:rsidRPr="00D13E2C" w14:paraId="6ED404E2" w14:textId="77777777" w:rsidTr="00D1010F">
        <w:trPr>
          <w:trHeight w:val="1259"/>
        </w:trPr>
        <w:tc>
          <w:tcPr>
            <w:tcW w:w="2256" w:type="dxa"/>
          </w:tcPr>
          <w:p w14:paraId="00B5C67E" w14:textId="77777777" w:rsidR="00C87277" w:rsidRPr="00D13E2C" w:rsidRDefault="00C87277" w:rsidP="00C87277">
            <w:pPr>
              <w:pStyle w:val="Bullet"/>
              <w:numPr>
                <w:ilvl w:val="0"/>
                <w:numId w:val="0"/>
              </w:numPr>
            </w:pPr>
            <w:r w:rsidRPr="00D13E2C">
              <w:t>Misleading or deceptive conduct</w:t>
            </w:r>
          </w:p>
          <w:p w14:paraId="5A96A5F0" w14:textId="588C8412" w:rsidR="00C87277" w:rsidRPr="00D13E2C" w:rsidRDefault="00C87277" w:rsidP="00C87277">
            <w:pPr>
              <w:pStyle w:val="Bullet"/>
              <w:numPr>
                <w:ilvl w:val="0"/>
                <w:numId w:val="0"/>
              </w:numPr>
            </w:pPr>
            <w:r w:rsidRPr="00D13E2C">
              <w:t>False or misleading representations</w:t>
            </w:r>
          </w:p>
        </w:tc>
        <w:tc>
          <w:tcPr>
            <w:tcW w:w="3946" w:type="dxa"/>
          </w:tcPr>
          <w:p w14:paraId="21B39E81" w14:textId="77777777" w:rsidR="00C87277" w:rsidRPr="00D13E2C" w:rsidRDefault="00C87277" w:rsidP="00C87277">
            <w:pPr>
              <w:spacing w:before="0"/>
              <w:rPr>
                <w:rFonts w:cs="Arial"/>
                <w:i/>
              </w:rPr>
            </w:pPr>
            <w:hyperlink r:id="rId39" w:history="1">
              <w:r w:rsidRPr="00CE7AE8">
                <w:rPr>
                  <w:rStyle w:val="Hyperlink"/>
                  <w:rFonts w:cs="Arial"/>
                  <w:i/>
                  <w:szCs w:val="18"/>
                </w:rPr>
                <w:t>Directive 98/6/EC of the European Parliament and of the Council of 16 February 1998 on consumer protection in the indication of the prices of products offered to consumers</w:t>
              </w:r>
            </w:hyperlink>
          </w:p>
          <w:p w14:paraId="02D47264" w14:textId="77777777" w:rsidR="00C87277" w:rsidRPr="00D13E2C" w:rsidRDefault="00C87277" w:rsidP="00C87277">
            <w:pPr>
              <w:pStyle w:val="Bullet"/>
              <w:numPr>
                <w:ilvl w:val="0"/>
                <w:numId w:val="0"/>
              </w:numPr>
              <w:rPr>
                <w:i/>
                <w:iCs/>
              </w:rPr>
            </w:pPr>
            <w:hyperlink r:id="rId40" w:history="1">
              <w:r w:rsidRPr="00CE7AE8">
                <w:rPr>
                  <w:rStyle w:val="Hyperlink"/>
                  <w:i/>
                  <w:szCs w:val="18"/>
                </w:rPr>
                <w:t>Directive 2005/29/EC of the European Parliament and of the Council of 11 May 2005 concerning unfair business-to-consumer commercial practices in the internal market</w:t>
              </w:r>
            </w:hyperlink>
          </w:p>
          <w:p w14:paraId="2B350A4C" w14:textId="77777777" w:rsidR="00C87277" w:rsidRPr="00D13E2C" w:rsidRDefault="00C87277" w:rsidP="00C87277">
            <w:pPr>
              <w:pStyle w:val="Bullet"/>
              <w:numPr>
                <w:ilvl w:val="0"/>
                <w:numId w:val="0"/>
              </w:numPr>
              <w:rPr>
                <w:rFonts w:cs="Arial"/>
                <w:i/>
              </w:rPr>
            </w:pPr>
            <w:hyperlink r:id="rId41" w:history="1">
              <w:r w:rsidRPr="00CE7AE8">
                <w:rPr>
                  <w:rStyle w:val="Hyperlink"/>
                  <w:rFonts w:cs="Arial"/>
                  <w:i/>
                  <w:szCs w:val="18"/>
                </w:rPr>
                <w:t xml:space="preserve">Directive 2006/114/EC of the European Parliament and of the </w:t>
              </w:r>
              <w:r w:rsidRPr="004F2AA3">
                <w:rPr>
                  <w:rStyle w:val="Hyperlink"/>
                  <w:rFonts w:cs="Arial"/>
                  <w:i/>
                </w:rPr>
                <w:t>Council of 12 December 2006 concerning misleading and comparative advertising</w:t>
              </w:r>
            </w:hyperlink>
          </w:p>
          <w:p w14:paraId="2CD8C048" w14:textId="77777777" w:rsidR="00C87277" w:rsidRPr="00D13E2C" w:rsidRDefault="00C87277" w:rsidP="00C87277">
            <w:pPr>
              <w:pStyle w:val="Bullet"/>
              <w:numPr>
                <w:ilvl w:val="0"/>
                <w:numId w:val="0"/>
              </w:numPr>
              <w:rPr>
                <w:i/>
                <w:iCs/>
              </w:rPr>
            </w:pPr>
            <w:hyperlink r:id="rId42" w:history="1">
              <w:r w:rsidRPr="00710D28">
                <w:rPr>
                  <w:rStyle w:val="Hyperlink"/>
                  <w:i/>
                  <w:iCs/>
                </w:rPr>
                <w:t>Directive 2011/83/EU of the European Parliament and of the Council of 25 October 2011 on consumer rights</w:t>
              </w:r>
            </w:hyperlink>
          </w:p>
          <w:p w14:paraId="6068C519" w14:textId="12555D41" w:rsidR="00C87277" w:rsidRDefault="00C87277" w:rsidP="00C87277">
            <w:pPr>
              <w:spacing w:before="0"/>
            </w:pPr>
            <w:hyperlink r:id="rId43" w:history="1">
              <w:r w:rsidRPr="00CE7AE8">
                <w:rPr>
                  <w:rStyle w:val="Hyperlink"/>
                  <w:rFonts w:cs="Arial"/>
                  <w:i/>
                  <w:szCs w:val="18"/>
                </w:rPr>
                <w:t>Directive (EU) 2019/2161 of the European Parliament and of the Council of 27 November 2019 as regards the better enforcement and modernisation of Union consumer protection rules (Omnibus Directive)</w:t>
              </w:r>
            </w:hyperlink>
          </w:p>
        </w:tc>
        <w:tc>
          <w:tcPr>
            <w:tcW w:w="7654" w:type="dxa"/>
          </w:tcPr>
          <w:p w14:paraId="2E5E32EA" w14:textId="6FE74AF2" w:rsidR="00C87277" w:rsidRPr="00D13E2C" w:rsidRDefault="00C87277" w:rsidP="00C87277">
            <w:pPr>
              <w:pStyle w:val="Bullet"/>
              <w:numPr>
                <w:ilvl w:val="0"/>
                <w:numId w:val="0"/>
              </w:numPr>
            </w:pPr>
            <w:r w:rsidRPr="00D13E2C">
              <w:t>The EU consumer protection regime includes a prohibition against ‘unfair commercial practices’, which include misleading acts and omissions. This general protection is similar to the protections against false, misleading or deceptive conduct afforded to Australian consumers under the ACL.</w:t>
            </w:r>
          </w:p>
        </w:tc>
      </w:tr>
      <w:tr w:rsidR="00C87277" w:rsidRPr="00D13E2C" w14:paraId="64069E7D" w14:textId="77777777" w:rsidTr="00D1010F">
        <w:tc>
          <w:tcPr>
            <w:tcW w:w="2256" w:type="dxa"/>
          </w:tcPr>
          <w:p w14:paraId="0581CB72" w14:textId="77777777" w:rsidR="00C87277" w:rsidRPr="00D13E2C" w:rsidRDefault="00C87277" w:rsidP="00C87277">
            <w:pPr>
              <w:pStyle w:val="Bullet"/>
              <w:numPr>
                <w:ilvl w:val="0"/>
                <w:numId w:val="0"/>
              </w:numPr>
            </w:pPr>
            <w:r w:rsidRPr="00D13E2C">
              <w:t>Unconscionable conduct</w:t>
            </w:r>
          </w:p>
        </w:tc>
        <w:tc>
          <w:tcPr>
            <w:tcW w:w="3946" w:type="dxa"/>
          </w:tcPr>
          <w:p w14:paraId="48707633" w14:textId="6308390F" w:rsidR="00DA66D0" w:rsidRPr="00D13E2C" w:rsidRDefault="00DA66D0" w:rsidP="0079385A">
            <w:pPr>
              <w:spacing w:before="0" w:after="80"/>
              <w:rPr>
                <w:rFonts w:cs="Arial"/>
                <w:i/>
              </w:rPr>
            </w:pPr>
            <w:hyperlink r:id="rId44" w:history="1">
              <w:r w:rsidRPr="00CE7AE8">
                <w:rPr>
                  <w:rStyle w:val="Hyperlink"/>
                  <w:rFonts w:cs="Arial"/>
                  <w:i/>
                  <w:szCs w:val="18"/>
                </w:rPr>
                <w:t xml:space="preserve">Directive 98/6/EC </w:t>
              </w:r>
            </w:hyperlink>
          </w:p>
          <w:p w14:paraId="1D735939" w14:textId="4030E6B0" w:rsidR="00DA66D0" w:rsidRPr="00D13E2C" w:rsidRDefault="00DA66D0" w:rsidP="0079385A">
            <w:pPr>
              <w:pStyle w:val="Bullet"/>
              <w:numPr>
                <w:ilvl w:val="0"/>
                <w:numId w:val="0"/>
              </w:numPr>
              <w:spacing w:after="80"/>
              <w:rPr>
                <w:i/>
                <w:iCs/>
              </w:rPr>
            </w:pPr>
            <w:hyperlink r:id="rId45" w:history="1">
              <w:r w:rsidRPr="00CE7AE8">
                <w:rPr>
                  <w:rStyle w:val="Hyperlink"/>
                  <w:i/>
                  <w:szCs w:val="18"/>
                </w:rPr>
                <w:t xml:space="preserve">Directive 2005/29/EC </w:t>
              </w:r>
            </w:hyperlink>
          </w:p>
          <w:p w14:paraId="6D329940" w14:textId="14AE5A71" w:rsidR="00DA66D0" w:rsidRPr="00D13E2C" w:rsidRDefault="00DA66D0" w:rsidP="0079385A">
            <w:pPr>
              <w:pStyle w:val="Bullet"/>
              <w:numPr>
                <w:ilvl w:val="0"/>
                <w:numId w:val="0"/>
              </w:numPr>
              <w:spacing w:after="80"/>
              <w:rPr>
                <w:rFonts w:cs="Arial"/>
                <w:i/>
              </w:rPr>
            </w:pPr>
            <w:hyperlink r:id="rId46" w:history="1">
              <w:r w:rsidRPr="00CE7AE8">
                <w:rPr>
                  <w:rStyle w:val="Hyperlink"/>
                  <w:rFonts w:cs="Arial"/>
                  <w:i/>
                  <w:szCs w:val="18"/>
                </w:rPr>
                <w:t>Directive 2006/114/EC</w:t>
              </w:r>
            </w:hyperlink>
          </w:p>
          <w:p w14:paraId="492E1945" w14:textId="0787700F" w:rsidR="00DA66D0" w:rsidRPr="00D13E2C" w:rsidRDefault="00DA66D0" w:rsidP="0079385A">
            <w:pPr>
              <w:pStyle w:val="Bullet"/>
              <w:numPr>
                <w:ilvl w:val="0"/>
                <w:numId w:val="0"/>
              </w:numPr>
              <w:spacing w:after="80"/>
              <w:rPr>
                <w:i/>
                <w:iCs/>
              </w:rPr>
            </w:pPr>
            <w:hyperlink r:id="rId47" w:history="1">
              <w:r w:rsidRPr="00710D28">
                <w:rPr>
                  <w:rStyle w:val="Hyperlink"/>
                  <w:i/>
                  <w:iCs/>
                </w:rPr>
                <w:t xml:space="preserve">Directive 2011/83/EU </w:t>
              </w:r>
            </w:hyperlink>
          </w:p>
          <w:p w14:paraId="5F669321" w14:textId="32235D30" w:rsidR="00C87277" w:rsidRPr="00D13E2C" w:rsidRDefault="00DA66D0" w:rsidP="0079385A">
            <w:pPr>
              <w:pStyle w:val="Bullet"/>
              <w:numPr>
                <w:ilvl w:val="0"/>
                <w:numId w:val="0"/>
              </w:numPr>
              <w:spacing w:after="80"/>
              <w:rPr>
                <w:i/>
                <w:iCs/>
              </w:rPr>
            </w:pPr>
            <w:hyperlink r:id="rId48" w:history="1">
              <w:r w:rsidRPr="00CE7AE8">
                <w:rPr>
                  <w:rStyle w:val="Hyperlink"/>
                  <w:rFonts w:cs="Arial"/>
                  <w:i/>
                  <w:szCs w:val="18"/>
                </w:rPr>
                <w:t>Directive (EU) 2019/2161</w:t>
              </w:r>
            </w:hyperlink>
          </w:p>
        </w:tc>
        <w:tc>
          <w:tcPr>
            <w:tcW w:w="7654" w:type="dxa"/>
          </w:tcPr>
          <w:p w14:paraId="7D273419" w14:textId="77777777" w:rsidR="00C87277" w:rsidRPr="00D13E2C" w:rsidRDefault="00C87277" w:rsidP="00C87277">
            <w:pPr>
              <w:pStyle w:val="Bullet"/>
              <w:numPr>
                <w:ilvl w:val="0"/>
                <w:numId w:val="0"/>
              </w:numPr>
            </w:pPr>
            <w:bookmarkStart w:id="51" w:name="_Hlk189598233"/>
            <w:r w:rsidRPr="00D13E2C">
              <w:t>There is no concept of 'unconscionable conduct' under EU law. However, the prohibition against ‘unfair commercial practices’ extends to ‘aggressive practices’ which may capture a subset of conduct prohibited by the Australian prohibition against unconscionable conduct</w:t>
            </w:r>
            <w:bookmarkEnd w:id="51"/>
            <w:r w:rsidRPr="00D13E2C">
              <w:t>.</w:t>
            </w:r>
          </w:p>
        </w:tc>
      </w:tr>
      <w:tr w:rsidR="00C87277" w:rsidRPr="00D13E2C" w14:paraId="25A88C99" w14:textId="77777777" w:rsidTr="00D1010F">
        <w:tc>
          <w:tcPr>
            <w:tcW w:w="2256" w:type="dxa"/>
          </w:tcPr>
          <w:p w14:paraId="6CFB018A" w14:textId="77777777" w:rsidR="00C87277" w:rsidRPr="00D13E2C" w:rsidRDefault="00C87277" w:rsidP="00C87277">
            <w:pPr>
              <w:pStyle w:val="Bullet"/>
              <w:numPr>
                <w:ilvl w:val="0"/>
                <w:numId w:val="0"/>
              </w:numPr>
            </w:pPr>
            <w:r w:rsidRPr="00D13E2C">
              <w:lastRenderedPageBreak/>
              <w:t>Unfair contract terms</w:t>
            </w:r>
          </w:p>
        </w:tc>
        <w:tc>
          <w:tcPr>
            <w:tcW w:w="3946" w:type="dxa"/>
          </w:tcPr>
          <w:p w14:paraId="74770D0E" w14:textId="77777777" w:rsidR="00C87277" w:rsidRPr="00D13E2C" w:rsidRDefault="00C87277" w:rsidP="00C87277">
            <w:pPr>
              <w:spacing w:before="0"/>
              <w:rPr>
                <w:i/>
                <w:iCs/>
              </w:rPr>
            </w:pPr>
            <w:hyperlink r:id="rId49" w:history="1">
              <w:r w:rsidRPr="00CE7AE8">
                <w:rPr>
                  <w:rStyle w:val="Hyperlink"/>
                  <w:i/>
                  <w:szCs w:val="18"/>
                </w:rPr>
                <w:t xml:space="preserve">Council Directive </w:t>
              </w:r>
              <w:r w:rsidRPr="000C2A40">
                <w:rPr>
                  <w:rStyle w:val="Hyperlink"/>
                  <w:i/>
                  <w:iCs/>
                </w:rPr>
                <w:t>93/13/EEC of 5 April 1993 on unfair terms in consumer contracts</w:t>
              </w:r>
            </w:hyperlink>
          </w:p>
          <w:p w14:paraId="163CD118" w14:textId="77777777" w:rsidR="00C87277" w:rsidRPr="00D13E2C" w:rsidRDefault="00C87277" w:rsidP="00C87277">
            <w:pPr>
              <w:pStyle w:val="Bullet"/>
              <w:numPr>
                <w:ilvl w:val="0"/>
                <w:numId w:val="0"/>
              </w:numPr>
              <w:rPr>
                <w:rFonts w:cs="Arial"/>
                <w:i/>
              </w:rPr>
            </w:pPr>
          </w:p>
        </w:tc>
        <w:tc>
          <w:tcPr>
            <w:tcW w:w="7654" w:type="dxa"/>
          </w:tcPr>
          <w:p w14:paraId="362E34B3" w14:textId="77777777" w:rsidR="00C87277" w:rsidRPr="00D13E2C" w:rsidRDefault="00C87277" w:rsidP="00C87277">
            <w:pPr>
              <w:pStyle w:val="Bullet"/>
              <w:numPr>
                <w:ilvl w:val="0"/>
                <w:numId w:val="0"/>
              </w:numPr>
            </w:pPr>
            <w:r w:rsidRPr="00D13E2C">
              <w:t>Consumers in the EU benefit from similar protections against unfair contract terms in standard form contracts available to Australian consumers under the ACL. Unlike in Australia, small businesses do not benefit from protections (other than in respect of data transactions).</w:t>
            </w:r>
          </w:p>
        </w:tc>
      </w:tr>
      <w:tr w:rsidR="00C87277" w:rsidRPr="00D13E2C" w14:paraId="3BFB1100" w14:textId="77777777" w:rsidTr="00D1010F">
        <w:tc>
          <w:tcPr>
            <w:tcW w:w="2256" w:type="dxa"/>
          </w:tcPr>
          <w:p w14:paraId="4E268DB1" w14:textId="77777777" w:rsidR="00C87277" w:rsidRPr="00D13E2C" w:rsidRDefault="00C87277" w:rsidP="00C87277">
            <w:pPr>
              <w:pStyle w:val="Bullet"/>
              <w:numPr>
                <w:ilvl w:val="0"/>
                <w:numId w:val="0"/>
              </w:numPr>
            </w:pPr>
            <w:r w:rsidRPr="00D13E2C">
              <w:t>Consumer guarantees</w:t>
            </w:r>
          </w:p>
        </w:tc>
        <w:tc>
          <w:tcPr>
            <w:tcW w:w="3946" w:type="dxa"/>
          </w:tcPr>
          <w:p w14:paraId="38169D69" w14:textId="77777777" w:rsidR="00C87277" w:rsidRPr="00D13E2C" w:rsidRDefault="00C87277" w:rsidP="00C87277">
            <w:pPr>
              <w:pStyle w:val="Bullet"/>
              <w:numPr>
                <w:ilvl w:val="0"/>
                <w:numId w:val="0"/>
              </w:numPr>
              <w:rPr>
                <w:i/>
                <w:iCs/>
              </w:rPr>
            </w:pPr>
            <w:hyperlink r:id="rId50" w:history="1">
              <w:r w:rsidRPr="00CE7AE8">
                <w:rPr>
                  <w:rStyle w:val="Hyperlink"/>
                  <w:i/>
                  <w:szCs w:val="18"/>
                </w:rPr>
                <w:t>Directive (EU) 2019/770 of the European Parliament and of the Council of 20 May 2019 on certain aspects concerning contracts for the supply of digital content and digital services</w:t>
              </w:r>
            </w:hyperlink>
          </w:p>
          <w:p w14:paraId="56A1A461" w14:textId="77777777" w:rsidR="00C87277" w:rsidRPr="00D13E2C" w:rsidRDefault="00C87277" w:rsidP="00C87277">
            <w:pPr>
              <w:pStyle w:val="Bullet"/>
              <w:numPr>
                <w:ilvl w:val="0"/>
                <w:numId w:val="0"/>
              </w:numPr>
              <w:rPr>
                <w:i/>
                <w:iCs/>
              </w:rPr>
            </w:pPr>
            <w:hyperlink r:id="rId51" w:history="1">
              <w:r w:rsidRPr="00CE7AE8">
                <w:rPr>
                  <w:rStyle w:val="Hyperlink"/>
                  <w:i/>
                  <w:szCs w:val="18"/>
                </w:rPr>
                <w:t>Directive (EU) 2019/771 of the European Parliament and of the Council of 20 May 2019 on certain aspects concerning contracts for the sale of goods</w:t>
              </w:r>
            </w:hyperlink>
          </w:p>
        </w:tc>
        <w:tc>
          <w:tcPr>
            <w:tcW w:w="7654" w:type="dxa"/>
          </w:tcPr>
          <w:p w14:paraId="122BF1E9" w14:textId="77777777" w:rsidR="00C87277" w:rsidRPr="00D13E2C" w:rsidRDefault="00C87277" w:rsidP="00C87277">
            <w:pPr>
              <w:pStyle w:val="Bullet"/>
              <w:numPr>
                <w:ilvl w:val="0"/>
                <w:numId w:val="0"/>
              </w:numPr>
            </w:pPr>
            <w:r w:rsidRPr="00D13E2C">
              <w:t>Consumers in the EU enjoy guarantees equivalent to those in the ACL (with the exception of the guarantee as to undisclosed securities in section 53) in respect of goods and digital services, but there are no statutory guarantees applicable to non-digital services.</w:t>
            </w:r>
          </w:p>
          <w:p w14:paraId="3AEC34DD" w14:textId="0C84E7D4" w:rsidR="00C87277" w:rsidRPr="00D13E2C" w:rsidRDefault="00C87277" w:rsidP="00C87277">
            <w:pPr>
              <w:pStyle w:val="Bullet"/>
              <w:numPr>
                <w:ilvl w:val="0"/>
                <w:numId w:val="0"/>
              </w:numPr>
            </w:pPr>
            <w:r w:rsidRPr="00D13E2C">
              <w:t>In the EU, remedies are only required to be available where a failure occurs within two years of supply. There is a statutory presumption in the EU that if a defect manifests within the first six months, it was present at the time of supply</w:t>
            </w:r>
            <w:r w:rsidR="0006041F">
              <w:t>.</w:t>
            </w:r>
          </w:p>
          <w:p w14:paraId="12B4C520" w14:textId="77777777" w:rsidR="00C87277" w:rsidRPr="00D13E2C" w:rsidRDefault="00C87277" w:rsidP="00C87277">
            <w:pPr>
              <w:pStyle w:val="Bullet"/>
              <w:numPr>
                <w:ilvl w:val="0"/>
                <w:numId w:val="0"/>
              </w:numPr>
            </w:pPr>
            <w:r w:rsidRPr="00D13E2C">
              <w:t>In Australia, a consumer has longer to seek a remedy where a good or service does not comply with consumer guarantees. The period for which goods and services must conform with the consumer guarantees depends on what would be reasonable, given the cost and quality of the item.</w:t>
            </w:r>
          </w:p>
        </w:tc>
      </w:tr>
      <w:tr w:rsidR="00C87277" w:rsidRPr="00D13E2C" w14:paraId="351417F4" w14:textId="77777777" w:rsidTr="00D1010F">
        <w:tc>
          <w:tcPr>
            <w:tcW w:w="2256" w:type="dxa"/>
          </w:tcPr>
          <w:p w14:paraId="29C80591" w14:textId="77777777" w:rsidR="00C87277" w:rsidRPr="00D13E2C" w:rsidRDefault="00C87277" w:rsidP="00C87277">
            <w:pPr>
              <w:pStyle w:val="Bullet"/>
              <w:numPr>
                <w:ilvl w:val="0"/>
                <w:numId w:val="0"/>
              </w:numPr>
            </w:pPr>
            <w:r w:rsidRPr="00D13E2C">
              <w:t>Product safety</w:t>
            </w:r>
          </w:p>
        </w:tc>
        <w:tc>
          <w:tcPr>
            <w:tcW w:w="3946" w:type="dxa"/>
          </w:tcPr>
          <w:p w14:paraId="798A59F9" w14:textId="77777777" w:rsidR="00C87277" w:rsidRPr="00D13E2C" w:rsidRDefault="00C87277" w:rsidP="00C87277">
            <w:pPr>
              <w:pStyle w:val="Bullet"/>
              <w:numPr>
                <w:ilvl w:val="0"/>
                <w:numId w:val="0"/>
              </w:numPr>
            </w:pPr>
            <w:hyperlink r:id="rId52" w:history="1">
              <w:r w:rsidRPr="00CE7AE8">
                <w:rPr>
                  <w:rStyle w:val="Hyperlink"/>
                  <w:i/>
                  <w:szCs w:val="18"/>
                </w:rPr>
                <w:t>Directive (EU) 2024/2853 of the European Parliament and of the Council of 23 October 2024 on liability for defective products</w:t>
              </w:r>
            </w:hyperlink>
          </w:p>
        </w:tc>
        <w:tc>
          <w:tcPr>
            <w:tcW w:w="7654" w:type="dxa"/>
          </w:tcPr>
          <w:p w14:paraId="4BAA9E8A" w14:textId="77777777" w:rsidR="00C87277" w:rsidRPr="00D13E2C" w:rsidRDefault="00C87277" w:rsidP="00C87277">
            <w:pPr>
              <w:pStyle w:val="Bullet"/>
              <w:numPr>
                <w:ilvl w:val="0"/>
                <w:numId w:val="0"/>
              </w:numPr>
            </w:pPr>
            <w:r w:rsidRPr="00D13E2C">
              <w:t xml:space="preserve">In the EU, a product liability regime is currently available to any natural person who suffers damage (including personal injury or death, damage to personal property or destruction or corruption of data) caused by unsafe products. It provides similar </w:t>
            </w:r>
            <w:r>
              <w:t>protections</w:t>
            </w:r>
            <w:r w:rsidRPr="00D13E2C">
              <w:t xml:space="preserve"> as the product safety regime in the ACL.</w:t>
            </w:r>
          </w:p>
          <w:p w14:paraId="6B91025A" w14:textId="77777777" w:rsidR="00C87277" w:rsidRPr="00D13E2C" w:rsidRDefault="00C87277" w:rsidP="00C87277">
            <w:pPr>
              <w:pStyle w:val="Bullet"/>
              <w:numPr>
                <w:ilvl w:val="0"/>
                <w:numId w:val="0"/>
              </w:numPr>
            </w:pPr>
            <w:r w:rsidRPr="00D13E2C">
              <w:t xml:space="preserve">The EU has recently legislated a new legal framework concerning product liability, which will apply to products placed on the market or put into service after 9 December 2026. The regime provides </w:t>
            </w:r>
            <w:r>
              <w:t>improved</w:t>
            </w:r>
            <w:r w:rsidRPr="00D13E2C">
              <w:t xml:space="preserve"> access to information and establishes a presumption of defectiveness in certain circumstances.</w:t>
            </w:r>
          </w:p>
        </w:tc>
      </w:tr>
    </w:tbl>
    <w:p w14:paraId="5EE7BCC9" w14:textId="77777777" w:rsidR="00993F58" w:rsidRPr="00D13E2C" w:rsidRDefault="00993F58" w:rsidP="00993F58">
      <w:pPr>
        <w:pStyle w:val="Heading2"/>
      </w:pPr>
      <w:bookmarkStart w:id="52" w:name="_Toc190091963"/>
      <w:bookmarkStart w:id="53" w:name="_Toc192160566"/>
      <w:r w:rsidRPr="00D13E2C">
        <w:t>United Kingdom</w:t>
      </w:r>
      <w:bookmarkEnd w:id="52"/>
      <w:bookmarkEnd w:id="53"/>
    </w:p>
    <w:tbl>
      <w:tblPr>
        <w:tblStyle w:val="TableGrid"/>
        <w:tblW w:w="13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3957"/>
        <w:gridCol w:w="7654"/>
      </w:tblGrid>
      <w:tr w:rsidR="00993F58" w:rsidRPr="00D13E2C" w14:paraId="50024E2F" w14:textId="77777777" w:rsidTr="00D1010F">
        <w:trPr>
          <w:cnfStyle w:val="100000000000" w:firstRow="1" w:lastRow="0" w:firstColumn="0" w:lastColumn="0" w:oddVBand="0" w:evenVBand="0" w:oddHBand="0" w:evenHBand="0" w:firstRowFirstColumn="0" w:firstRowLastColumn="0" w:lastRowFirstColumn="0" w:lastRowLastColumn="0"/>
        </w:trPr>
        <w:tc>
          <w:tcPr>
            <w:tcW w:w="2256" w:type="dxa"/>
          </w:tcPr>
          <w:p w14:paraId="7B42605B" w14:textId="77777777" w:rsidR="00993F58" w:rsidRPr="00D13E2C" w:rsidRDefault="00993F58">
            <w:pPr>
              <w:pStyle w:val="Bullet"/>
              <w:numPr>
                <w:ilvl w:val="0"/>
                <w:numId w:val="0"/>
              </w:numPr>
              <w:tabs>
                <w:tab w:val="left" w:pos="2569"/>
                <w:tab w:val="right" w:pos="2715"/>
              </w:tabs>
              <w:spacing w:before="60" w:after="60"/>
            </w:pPr>
            <w:r w:rsidRPr="00D13E2C">
              <w:t>ACL protection</w:t>
            </w:r>
          </w:p>
        </w:tc>
        <w:tc>
          <w:tcPr>
            <w:tcW w:w="3957" w:type="dxa"/>
          </w:tcPr>
          <w:p w14:paraId="3C776E22" w14:textId="77777777" w:rsidR="00993F58" w:rsidRPr="00D13E2C" w:rsidRDefault="00993F58">
            <w:pPr>
              <w:pStyle w:val="Bullet"/>
              <w:numPr>
                <w:ilvl w:val="0"/>
                <w:numId w:val="0"/>
              </w:numPr>
              <w:spacing w:before="60" w:after="60"/>
            </w:pPr>
            <w:r w:rsidRPr="00D13E2C">
              <w:t>UK law</w:t>
            </w:r>
          </w:p>
        </w:tc>
        <w:tc>
          <w:tcPr>
            <w:tcW w:w="7654" w:type="dxa"/>
          </w:tcPr>
          <w:p w14:paraId="4CC8D78E" w14:textId="77777777" w:rsidR="00993F58" w:rsidRPr="00D13E2C" w:rsidRDefault="00993F58">
            <w:pPr>
              <w:pStyle w:val="Bullet"/>
              <w:numPr>
                <w:ilvl w:val="0"/>
                <w:numId w:val="0"/>
              </w:numPr>
              <w:spacing w:before="60" w:after="60"/>
            </w:pPr>
            <w:r w:rsidRPr="00D13E2C">
              <w:t>Comparison</w:t>
            </w:r>
          </w:p>
        </w:tc>
      </w:tr>
      <w:tr w:rsidR="00C87277" w:rsidRPr="00D13E2C" w14:paraId="07ED971F" w14:textId="77777777" w:rsidTr="00D1010F">
        <w:tc>
          <w:tcPr>
            <w:tcW w:w="2256" w:type="dxa"/>
          </w:tcPr>
          <w:p w14:paraId="01895D53" w14:textId="77777777" w:rsidR="00C87277" w:rsidRPr="00D13E2C" w:rsidRDefault="00C87277" w:rsidP="00C87277">
            <w:pPr>
              <w:pStyle w:val="Bullet"/>
              <w:numPr>
                <w:ilvl w:val="0"/>
                <w:numId w:val="0"/>
              </w:numPr>
              <w:rPr>
                <w:szCs w:val="18"/>
              </w:rPr>
            </w:pPr>
            <w:r w:rsidRPr="00D13E2C">
              <w:rPr>
                <w:szCs w:val="18"/>
              </w:rPr>
              <w:t>Misleading or deceptive conduct</w:t>
            </w:r>
          </w:p>
          <w:p w14:paraId="27D85484" w14:textId="0DCDDA93" w:rsidR="00C87277" w:rsidRPr="00D13E2C" w:rsidRDefault="00C87277" w:rsidP="00C87277">
            <w:pPr>
              <w:pStyle w:val="Bullet"/>
              <w:numPr>
                <w:ilvl w:val="0"/>
                <w:numId w:val="0"/>
              </w:numPr>
              <w:rPr>
                <w:szCs w:val="18"/>
              </w:rPr>
            </w:pPr>
            <w:r w:rsidRPr="00D13E2C">
              <w:rPr>
                <w:szCs w:val="18"/>
              </w:rPr>
              <w:t xml:space="preserve">False or misleading </w:t>
            </w:r>
            <w:r w:rsidRPr="00D13E2C">
              <w:t>representations</w:t>
            </w:r>
          </w:p>
        </w:tc>
        <w:tc>
          <w:tcPr>
            <w:tcW w:w="3957" w:type="dxa"/>
          </w:tcPr>
          <w:p w14:paraId="312F1FB9" w14:textId="2D46ED55" w:rsidR="00C87277" w:rsidRDefault="00C87277" w:rsidP="00C87277">
            <w:pPr>
              <w:pStyle w:val="Bullet"/>
              <w:numPr>
                <w:ilvl w:val="0"/>
                <w:numId w:val="0"/>
              </w:numPr>
            </w:pPr>
            <w:hyperlink r:id="rId53" w:history="1">
              <w:r w:rsidRPr="002F22A4">
                <w:rPr>
                  <w:rStyle w:val="Hyperlink"/>
                  <w:i/>
                  <w:iCs/>
                  <w:szCs w:val="18"/>
                </w:rPr>
                <w:t>Consumer Protection from Unfair Trading Regulations 2008</w:t>
              </w:r>
              <w:r w:rsidRPr="002F22A4">
                <w:rPr>
                  <w:rStyle w:val="Hyperlink"/>
                  <w:szCs w:val="18"/>
                </w:rPr>
                <w:t xml:space="preserve"> (UK) </w:t>
              </w:r>
            </w:hyperlink>
            <w:r w:rsidRPr="002F22A4">
              <w:rPr>
                <w:szCs w:val="18"/>
              </w:rPr>
              <w:t>(CPUTR)</w:t>
            </w:r>
          </w:p>
        </w:tc>
        <w:tc>
          <w:tcPr>
            <w:tcW w:w="7654" w:type="dxa"/>
          </w:tcPr>
          <w:p w14:paraId="150B9023" w14:textId="77777777" w:rsidR="00C87277" w:rsidRPr="00D13E2C" w:rsidRDefault="00C87277" w:rsidP="00C87277">
            <w:pPr>
              <w:pStyle w:val="Bullet"/>
              <w:numPr>
                <w:ilvl w:val="0"/>
                <w:numId w:val="0"/>
              </w:numPr>
              <w:rPr>
                <w:szCs w:val="18"/>
              </w:rPr>
            </w:pPr>
            <w:r w:rsidRPr="00D13E2C">
              <w:rPr>
                <w:szCs w:val="18"/>
              </w:rPr>
              <w:t xml:space="preserve">The CPUTR is a key part of the UK's consumer protection framework. In 2025, the </w:t>
            </w:r>
            <w:r>
              <w:rPr>
                <w:szCs w:val="18"/>
              </w:rPr>
              <w:t>CPUTR</w:t>
            </w:r>
            <w:r w:rsidRPr="00D13E2C">
              <w:rPr>
                <w:szCs w:val="18"/>
              </w:rPr>
              <w:t xml:space="preserve"> will be replaced by the </w:t>
            </w:r>
            <w:r w:rsidRPr="00AF4875">
              <w:rPr>
                <w:i/>
                <w:szCs w:val="18"/>
              </w:rPr>
              <w:t>Digital Markets, Competition and Consumers Act 2024</w:t>
            </w:r>
            <w:r w:rsidRPr="00D13E2C">
              <w:rPr>
                <w:szCs w:val="18"/>
              </w:rPr>
              <w:t xml:space="preserve"> (UK)</w:t>
            </w:r>
            <w:r>
              <w:rPr>
                <w:szCs w:val="18"/>
              </w:rPr>
              <w:t>.</w:t>
            </w:r>
            <w:r w:rsidRPr="00D13E2C">
              <w:rPr>
                <w:szCs w:val="18"/>
              </w:rPr>
              <w:t xml:space="preserve"> The provisions will remain largely equivalent with some supplementation.</w:t>
            </w:r>
          </w:p>
          <w:p w14:paraId="77A55E06" w14:textId="77777777" w:rsidR="00C87277" w:rsidRPr="00D13E2C" w:rsidRDefault="00C87277" w:rsidP="00C87277">
            <w:pPr>
              <w:pStyle w:val="Bullet"/>
              <w:numPr>
                <w:ilvl w:val="0"/>
                <w:numId w:val="0"/>
              </w:numPr>
              <w:rPr>
                <w:szCs w:val="18"/>
              </w:rPr>
            </w:pPr>
            <w:r w:rsidRPr="00D13E2C">
              <w:rPr>
                <w:szCs w:val="18"/>
              </w:rPr>
              <w:t xml:space="preserve">Regulation 3 of the </w:t>
            </w:r>
            <w:r>
              <w:rPr>
                <w:szCs w:val="18"/>
              </w:rPr>
              <w:t>CPUTR</w:t>
            </w:r>
            <w:r w:rsidRPr="00D13E2C">
              <w:rPr>
                <w:szCs w:val="18"/>
              </w:rPr>
              <w:t xml:space="preserve"> prohibits unfair commercial practices. Regulations 5 and 6 of the </w:t>
            </w:r>
            <w:r>
              <w:rPr>
                <w:szCs w:val="18"/>
              </w:rPr>
              <w:t>CPUTR</w:t>
            </w:r>
            <w:r w:rsidRPr="00D13E2C">
              <w:rPr>
                <w:szCs w:val="18"/>
              </w:rPr>
              <w:t xml:space="preserve"> relate to misleading actions and misleading omissions Apart from some minor differences, these are broadly equivalent to those in EU Directive 2005/29.</w:t>
            </w:r>
          </w:p>
          <w:p w14:paraId="77E0D8E4" w14:textId="1E15036E" w:rsidR="00C87277" w:rsidRPr="00D13E2C" w:rsidRDefault="00C87277" w:rsidP="00C87277">
            <w:pPr>
              <w:pStyle w:val="Bullet"/>
              <w:numPr>
                <w:ilvl w:val="0"/>
                <w:numId w:val="0"/>
              </w:numPr>
              <w:rPr>
                <w:szCs w:val="18"/>
              </w:rPr>
            </w:pPr>
            <w:r w:rsidRPr="00D13E2C">
              <w:rPr>
                <w:szCs w:val="18"/>
              </w:rPr>
              <w:lastRenderedPageBreak/>
              <w:t xml:space="preserve">In Australia, silence (even an unintentional omission) can amount to misleading or deceptive conduct in contravention of section 18 of the ACL. As such, the </w:t>
            </w:r>
            <w:r>
              <w:rPr>
                <w:szCs w:val="18"/>
              </w:rPr>
              <w:t>CPUTR</w:t>
            </w:r>
            <w:r w:rsidRPr="00D13E2C">
              <w:rPr>
                <w:szCs w:val="18"/>
              </w:rPr>
              <w:t xml:space="preserve">' provisions </w:t>
            </w:r>
            <w:r w:rsidRPr="00D47E91">
              <w:rPr>
                <w:szCs w:val="18"/>
              </w:rPr>
              <w:t>concern</w:t>
            </w:r>
            <w:r>
              <w:rPr>
                <w:szCs w:val="18"/>
              </w:rPr>
              <w:t>ing</w:t>
            </w:r>
            <w:r w:rsidRPr="00D13E2C">
              <w:rPr>
                <w:szCs w:val="18"/>
              </w:rPr>
              <w:t xml:space="preserve"> misleading omissions does not afford UK consumers greater protection than the protection provided under the ACL. </w:t>
            </w:r>
          </w:p>
        </w:tc>
      </w:tr>
      <w:tr w:rsidR="00C87277" w:rsidRPr="00D13E2C" w14:paraId="3DC3B549" w14:textId="77777777" w:rsidTr="00D1010F">
        <w:tc>
          <w:tcPr>
            <w:tcW w:w="2256" w:type="dxa"/>
          </w:tcPr>
          <w:p w14:paraId="539AE51A" w14:textId="77777777" w:rsidR="00C87277" w:rsidRPr="00D13E2C" w:rsidRDefault="00C87277" w:rsidP="00C87277">
            <w:pPr>
              <w:pStyle w:val="Bullet"/>
              <w:numPr>
                <w:ilvl w:val="0"/>
                <w:numId w:val="0"/>
              </w:numPr>
              <w:rPr>
                <w:szCs w:val="18"/>
              </w:rPr>
            </w:pPr>
            <w:r w:rsidRPr="00D13E2C">
              <w:rPr>
                <w:szCs w:val="18"/>
              </w:rPr>
              <w:lastRenderedPageBreak/>
              <w:t>Unconscionable conduct</w:t>
            </w:r>
          </w:p>
        </w:tc>
        <w:tc>
          <w:tcPr>
            <w:tcW w:w="3957" w:type="dxa"/>
          </w:tcPr>
          <w:p w14:paraId="7853EA83" w14:textId="053B6A8A" w:rsidR="00C87277" w:rsidRPr="00D13E2C" w:rsidRDefault="00C87277" w:rsidP="00C87277">
            <w:pPr>
              <w:pStyle w:val="Bullet"/>
              <w:numPr>
                <w:ilvl w:val="0"/>
                <w:numId w:val="0"/>
              </w:numPr>
              <w:rPr>
                <w:i/>
                <w:iCs/>
                <w:szCs w:val="18"/>
              </w:rPr>
            </w:pPr>
            <w:hyperlink r:id="rId54" w:history="1">
              <w:r w:rsidRPr="002F22A4">
                <w:rPr>
                  <w:rStyle w:val="Hyperlink"/>
                  <w:i/>
                  <w:iCs/>
                  <w:szCs w:val="18"/>
                </w:rPr>
                <w:t>Consumer Protection from Unfair Trading Regulations 2008</w:t>
              </w:r>
              <w:r w:rsidRPr="002F22A4">
                <w:rPr>
                  <w:rStyle w:val="Hyperlink"/>
                  <w:szCs w:val="18"/>
                </w:rPr>
                <w:t xml:space="preserve"> (UK) </w:t>
              </w:r>
            </w:hyperlink>
            <w:r w:rsidRPr="002F22A4">
              <w:rPr>
                <w:szCs w:val="18"/>
              </w:rPr>
              <w:t>(CPUTR)</w:t>
            </w:r>
          </w:p>
        </w:tc>
        <w:tc>
          <w:tcPr>
            <w:tcW w:w="7654" w:type="dxa"/>
          </w:tcPr>
          <w:p w14:paraId="46589C26" w14:textId="4D27E194" w:rsidR="00C87277" w:rsidRPr="00D13E2C" w:rsidRDefault="00C87277" w:rsidP="00C87277">
            <w:pPr>
              <w:pStyle w:val="Bullet"/>
              <w:numPr>
                <w:ilvl w:val="0"/>
                <w:numId w:val="0"/>
              </w:numPr>
              <w:rPr>
                <w:szCs w:val="18"/>
              </w:rPr>
            </w:pPr>
            <w:r w:rsidRPr="00D13E2C">
              <w:rPr>
                <w:szCs w:val="18"/>
              </w:rPr>
              <w:t xml:space="preserve">Like in the EU, the UK regime does not otherwise have a protection against the Australian concept of ‘unconscionability’. Regulation 7 of </w:t>
            </w:r>
            <w:r>
              <w:rPr>
                <w:szCs w:val="18"/>
              </w:rPr>
              <w:t>CPUTR</w:t>
            </w:r>
            <w:r w:rsidRPr="00D13E2C">
              <w:rPr>
                <w:szCs w:val="18"/>
              </w:rPr>
              <w:t xml:space="preserve"> prohibits ‘aggressive commercial practices’ which can include harassment, coercion or undue influence.</w:t>
            </w:r>
          </w:p>
          <w:p w14:paraId="506B41AF" w14:textId="77777777" w:rsidR="00C87277" w:rsidRPr="00D13E2C" w:rsidRDefault="00C87277" w:rsidP="00C87277">
            <w:pPr>
              <w:pStyle w:val="Bullet"/>
              <w:numPr>
                <w:ilvl w:val="0"/>
                <w:numId w:val="0"/>
              </w:numPr>
              <w:rPr>
                <w:szCs w:val="18"/>
              </w:rPr>
            </w:pPr>
            <w:r w:rsidRPr="00D13E2C">
              <w:rPr>
                <w:szCs w:val="18"/>
              </w:rPr>
              <w:t>For something to be deemed ‘aggressive’, there must be a degree of heavy-handedness in suppliers' conduct. This makes the protection potentially narrower than under the ACL.</w:t>
            </w:r>
          </w:p>
        </w:tc>
      </w:tr>
      <w:tr w:rsidR="00C87277" w:rsidRPr="00D13E2C" w14:paraId="00E29688" w14:textId="77777777" w:rsidTr="00D1010F">
        <w:tc>
          <w:tcPr>
            <w:tcW w:w="2256" w:type="dxa"/>
          </w:tcPr>
          <w:p w14:paraId="180E7BC7" w14:textId="77777777" w:rsidR="00C87277" w:rsidRPr="00D13E2C" w:rsidRDefault="00C87277" w:rsidP="00C87277">
            <w:pPr>
              <w:pStyle w:val="Bullet"/>
              <w:numPr>
                <w:ilvl w:val="0"/>
                <w:numId w:val="0"/>
              </w:numPr>
              <w:rPr>
                <w:szCs w:val="18"/>
              </w:rPr>
            </w:pPr>
            <w:r w:rsidRPr="00D13E2C">
              <w:rPr>
                <w:szCs w:val="18"/>
              </w:rPr>
              <w:t>Unfair contract terms</w:t>
            </w:r>
          </w:p>
        </w:tc>
        <w:tc>
          <w:tcPr>
            <w:tcW w:w="3957" w:type="dxa"/>
          </w:tcPr>
          <w:p w14:paraId="7EAF34FD" w14:textId="77777777" w:rsidR="00C87277" w:rsidRPr="00D13E2C" w:rsidRDefault="00C87277" w:rsidP="00C87277">
            <w:pPr>
              <w:pStyle w:val="Bullet"/>
              <w:numPr>
                <w:ilvl w:val="0"/>
                <w:numId w:val="0"/>
              </w:numPr>
              <w:rPr>
                <w:rFonts w:cs="Arial"/>
                <w:i/>
                <w:szCs w:val="18"/>
              </w:rPr>
            </w:pPr>
            <w:hyperlink r:id="rId55" w:history="1">
              <w:r w:rsidRPr="009D4386">
                <w:rPr>
                  <w:rStyle w:val="Hyperlink"/>
                  <w:rFonts w:cs="Arial"/>
                  <w:i/>
                  <w:szCs w:val="18"/>
                </w:rPr>
                <w:t xml:space="preserve">Consumer Rights Act 2015 </w:t>
              </w:r>
              <w:r w:rsidRPr="009D4386">
                <w:rPr>
                  <w:rStyle w:val="Hyperlink"/>
                  <w:rFonts w:cs="Arial"/>
                  <w:szCs w:val="18"/>
                </w:rPr>
                <w:t xml:space="preserve">(UK) </w:t>
              </w:r>
            </w:hyperlink>
            <w:r w:rsidRPr="009D4386">
              <w:rPr>
                <w:rFonts w:cs="Arial"/>
                <w:szCs w:val="18"/>
              </w:rPr>
              <w:t>(CRA)</w:t>
            </w:r>
          </w:p>
        </w:tc>
        <w:tc>
          <w:tcPr>
            <w:tcW w:w="7654" w:type="dxa"/>
          </w:tcPr>
          <w:p w14:paraId="2290DADA" w14:textId="77777777" w:rsidR="00C87277" w:rsidRPr="00D13E2C" w:rsidRDefault="00C87277" w:rsidP="00C87277">
            <w:pPr>
              <w:pStyle w:val="Bullet"/>
              <w:numPr>
                <w:ilvl w:val="0"/>
                <w:numId w:val="0"/>
              </w:numPr>
              <w:rPr>
                <w:szCs w:val="18"/>
              </w:rPr>
            </w:pPr>
            <w:r w:rsidRPr="00D13E2C">
              <w:rPr>
                <w:szCs w:val="18"/>
              </w:rPr>
              <w:t>The CRA applies to business to consumer transactions. It contains a 'grey list' of terms which may be considered as unfair and a 'blacklist' of terms which are considered to be unfair and are banned under the CRA. These are broadly comparable to those under the EU Directive 93/13.</w:t>
            </w:r>
          </w:p>
          <w:p w14:paraId="2A28AA4C" w14:textId="77777777" w:rsidR="00C87277" w:rsidRPr="00D13E2C" w:rsidRDefault="00C87277" w:rsidP="00C87277">
            <w:pPr>
              <w:pStyle w:val="Bullet"/>
              <w:numPr>
                <w:ilvl w:val="0"/>
                <w:numId w:val="0"/>
              </w:numPr>
              <w:rPr>
                <w:szCs w:val="18"/>
              </w:rPr>
            </w:pPr>
            <w:r w:rsidRPr="00D13E2C">
              <w:rPr>
                <w:szCs w:val="18"/>
              </w:rPr>
              <w:t>Like under the ACL, an unfair term will be void and severed from the contract. The contract will otherwise continue to bind the parties.</w:t>
            </w:r>
          </w:p>
          <w:p w14:paraId="7519FBED" w14:textId="77777777" w:rsidR="00C87277" w:rsidRPr="00D13E2C" w:rsidRDefault="00C87277" w:rsidP="00C87277">
            <w:pPr>
              <w:pStyle w:val="Bullet"/>
              <w:numPr>
                <w:ilvl w:val="0"/>
                <w:numId w:val="0"/>
              </w:numPr>
              <w:rPr>
                <w:szCs w:val="18"/>
              </w:rPr>
            </w:pPr>
            <w:r w:rsidRPr="00D13E2C">
              <w:rPr>
                <w:szCs w:val="18"/>
              </w:rPr>
              <w:t>Businesses are protected from certain unfair terms under the Unfair Contract Terms Act 1977 (UK) (UCTA).</w:t>
            </w:r>
          </w:p>
        </w:tc>
      </w:tr>
      <w:tr w:rsidR="00C87277" w:rsidRPr="00D13E2C" w14:paraId="11516E82" w14:textId="77777777" w:rsidTr="00D1010F">
        <w:tc>
          <w:tcPr>
            <w:tcW w:w="2256" w:type="dxa"/>
          </w:tcPr>
          <w:p w14:paraId="0FB59462" w14:textId="77777777" w:rsidR="00C87277" w:rsidRPr="00D13E2C" w:rsidRDefault="00C87277" w:rsidP="00C87277">
            <w:pPr>
              <w:pStyle w:val="Bullet"/>
              <w:numPr>
                <w:ilvl w:val="0"/>
                <w:numId w:val="0"/>
              </w:numPr>
              <w:rPr>
                <w:szCs w:val="18"/>
              </w:rPr>
            </w:pPr>
            <w:r w:rsidRPr="00D13E2C">
              <w:rPr>
                <w:szCs w:val="18"/>
              </w:rPr>
              <w:t>Consumer guarantees</w:t>
            </w:r>
          </w:p>
        </w:tc>
        <w:tc>
          <w:tcPr>
            <w:tcW w:w="3957" w:type="dxa"/>
          </w:tcPr>
          <w:p w14:paraId="440A3730" w14:textId="149BE8D0" w:rsidR="00C87277" w:rsidRPr="005149F2" w:rsidRDefault="00C87277" w:rsidP="00C87277">
            <w:pPr>
              <w:pStyle w:val="Bullet"/>
              <w:numPr>
                <w:ilvl w:val="0"/>
                <w:numId w:val="0"/>
              </w:numPr>
              <w:rPr>
                <w:rStyle w:val="Hyperlink"/>
                <w:rFonts w:cs="Arial"/>
              </w:rPr>
            </w:pPr>
            <w:hyperlink r:id="rId56" w:history="1">
              <w:r w:rsidRPr="005149F2">
                <w:rPr>
                  <w:rStyle w:val="Hyperlink"/>
                  <w:rFonts w:cs="Arial"/>
                  <w:i/>
                  <w:szCs w:val="18"/>
                </w:rPr>
                <w:t>Consumer Rights Act 2015 (UK)</w:t>
              </w:r>
            </w:hyperlink>
            <w:r w:rsidRPr="005149F2">
              <w:rPr>
                <w:rStyle w:val="Hyperlink"/>
                <w:i/>
              </w:rPr>
              <w:t xml:space="preserve"> </w:t>
            </w:r>
            <w:r w:rsidRPr="003E79D3">
              <w:rPr>
                <w:rStyle w:val="Hyperlink"/>
                <w:color w:val="auto"/>
              </w:rPr>
              <w:t>(CRA)</w:t>
            </w:r>
          </w:p>
        </w:tc>
        <w:tc>
          <w:tcPr>
            <w:tcW w:w="7654" w:type="dxa"/>
          </w:tcPr>
          <w:p w14:paraId="56F40BA2" w14:textId="77777777" w:rsidR="00C87277" w:rsidRPr="00D13E2C" w:rsidRDefault="00C87277" w:rsidP="00C87277">
            <w:pPr>
              <w:pStyle w:val="Bullet"/>
              <w:numPr>
                <w:ilvl w:val="0"/>
                <w:numId w:val="0"/>
              </w:numPr>
              <w:rPr>
                <w:szCs w:val="18"/>
              </w:rPr>
            </w:pPr>
            <w:r w:rsidRPr="00D13E2C">
              <w:rPr>
                <w:szCs w:val="18"/>
              </w:rPr>
              <w:t xml:space="preserve">Consumers in the UK enjoy statutory guarantees broadly equivalent to those in the ACL. Unlike the EU, statutory guarantees in the UK apply to the sale of goods, digital content and services to consumers. </w:t>
            </w:r>
          </w:p>
          <w:p w14:paraId="6B6F2A41" w14:textId="77777777" w:rsidR="00C87277" w:rsidRPr="00D13E2C" w:rsidRDefault="00C87277" w:rsidP="00C87277">
            <w:pPr>
              <w:pStyle w:val="Bullet"/>
              <w:numPr>
                <w:ilvl w:val="0"/>
                <w:numId w:val="0"/>
              </w:numPr>
              <w:rPr>
                <w:szCs w:val="18"/>
              </w:rPr>
            </w:pPr>
            <w:r w:rsidRPr="00D13E2C">
              <w:rPr>
                <w:szCs w:val="18"/>
              </w:rPr>
              <w:t>Consumers in the UK have a short-term 30 day right to reject goods that do not comply with the statutory guarantees. The rejection period in Australia is more flexible, running from the date of supply to the consumer, until the fault or problem would reasonably be expected to appear.</w:t>
            </w:r>
          </w:p>
          <w:p w14:paraId="22B4E8BD" w14:textId="77777777" w:rsidR="00C87277" w:rsidRPr="00D13E2C" w:rsidRDefault="00C87277" w:rsidP="00C87277">
            <w:pPr>
              <w:pStyle w:val="Bullet"/>
              <w:numPr>
                <w:ilvl w:val="0"/>
                <w:numId w:val="0"/>
              </w:numPr>
              <w:rPr>
                <w:szCs w:val="18"/>
              </w:rPr>
            </w:pPr>
            <w:r w:rsidRPr="00D13E2C">
              <w:rPr>
                <w:szCs w:val="18"/>
              </w:rPr>
              <w:t>After 30 days, consumers in the UK have a right to a repair or replacement. If a repair or replacement is not practical or possible, or fails, consumers may claim a full refund (or a price reduction if they wish to keep the product).</w:t>
            </w:r>
          </w:p>
        </w:tc>
      </w:tr>
      <w:tr w:rsidR="00C87277" w:rsidRPr="00D13E2C" w14:paraId="3A4D096D" w14:textId="77777777" w:rsidTr="00D1010F">
        <w:tc>
          <w:tcPr>
            <w:tcW w:w="2256" w:type="dxa"/>
          </w:tcPr>
          <w:p w14:paraId="7C092E84" w14:textId="77777777" w:rsidR="00C87277" w:rsidRPr="00D13E2C" w:rsidRDefault="00C87277" w:rsidP="00C87277">
            <w:pPr>
              <w:pStyle w:val="Bullet"/>
              <w:numPr>
                <w:ilvl w:val="0"/>
                <w:numId w:val="0"/>
              </w:numPr>
              <w:rPr>
                <w:szCs w:val="18"/>
              </w:rPr>
            </w:pPr>
            <w:r w:rsidRPr="00D13E2C">
              <w:rPr>
                <w:szCs w:val="18"/>
              </w:rPr>
              <w:t>Product safety</w:t>
            </w:r>
          </w:p>
        </w:tc>
        <w:tc>
          <w:tcPr>
            <w:tcW w:w="3957" w:type="dxa"/>
          </w:tcPr>
          <w:p w14:paraId="074A6E20" w14:textId="77777777" w:rsidR="00C87277" w:rsidRPr="00D13E2C" w:rsidRDefault="00C87277" w:rsidP="00C87277">
            <w:pPr>
              <w:pStyle w:val="Bullet"/>
              <w:numPr>
                <w:ilvl w:val="0"/>
                <w:numId w:val="0"/>
              </w:numPr>
              <w:rPr>
                <w:i/>
                <w:iCs/>
                <w:szCs w:val="18"/>
              </w:rPr>
            </w:pPr>
            <w:hyperlink r:id="rId57" w:history="1">
              <w:r w:rsidRPr="00405853">
                <w:rPr>
                  <w:rStyle w:val="Hyperlink"/>
                  <w:i/>
                  <w:szCs w:val="18"/>
                </w:rPr>
                <w:t>General Product Safety Regulations 2005</w:t>
              </w:r>
              <w:r w:rsidRPr="00363336">
                <w:rPr>
                  <w:rStyle w:val="Hyperlink"/>
                  <w:szCs w:val="18"/>
                </w:rPr>
                <w:t xml:space="preserve"> (UK) </w:t>
              </w:r>
            </w:hyperlink>
            <w:r w:rsidRPr="00640C28">
              <w:rPr>
                <w:szCs w:val="18"/>
              </w:rPr>
              <w:t>(GPSR)</w:t>
            </w:r>
          </w:p>
          <w:p w14:paraId="4D6F71F4" w14:textId="423B176B" w:rsidR="00C87277" w:rsidRPr="00D13E2C" w:rsidRDefault="00C87277" w:rsidP="00C87277">
            <w:pPr>
              <w:pStyle w:val="Bullet"/>
              <w:numPr>
                <w:ilvl w:val="0"/>
                <w:numId w:val="0"/>
              </w:numPr>
              <w:rPr>
                <w:szCs w:val="18"/>
              </w:rPr>
            </w:pPr>
            <w:hyperlink r:id="rId58" w:history="1">
              <w:r w:rsidRPr="003E79D3">
                <w:rPr>
                  <w:rStyle w:val="Hyperlink"/>
                  <w:i/>
                  <w:iCs/>
                  <w:szCs w:val="18"/>
                </w:rPr>
                <w:t xml:space="preserve">Consumer Protection Act 1987 </w:t>
              </w:r>
              <w:r w:rsidRPr="003E79D3">
                <w:rPr>
                  <w:rStyle w:val="Hyperlink"/>
                  <w:szCs w:val="18"/>
                </w:rPr>
                <w:t>(UK)</w:t>
              </w:r>
            </w:hyperlink>
            <w:r>
              <w:rPr>
                <w:szCs w:val="18"/>
              </w:rPr>
              <w:t xml:space="preserve"> (CPA)</w:t>
            </w:r>
          </w:p>
        </w:tc>
        <w:tc>
          <w:tcPr>
            <w:tcW w:w="7654" w:type="dxa"/>
          </w:tcPr>
          <w:p w14:paraId="47737D8C" w14:textId="77777777" w:rsidR="00C87277" w:rsidRDefault="00C87277" w:rsidP="00C87277">
            <w:pPr>
              <w:pStyle w:val="Bullet"/>
              <w:numPr>
                <w:ilvl w:val="0"/>
                <w:numId w:val="0"/>
              </w:numPr>
              <w:rPr>
                <w:szCs w:val="18"/>
              </w:rPr>
            </w:pPr>
            <w:r>
              <w:rPr>
                <w:szCs w:val="18"/>
              </w:rPr>
              <w:t>Product safety and product liability in the UK is substantially similar to Australia.</w:t>
            </w:r>
          </w:p>
          <w:p w14:paraId="34A450E2" w14:textId="77777777" w:rsidR="00C87277" w:rsidRPr="008F2514" w:rsidRDefault="00C87277" w:rsidP="00C87277">
            <w:pPr>
              <w:pStyle w:val="Bullet"/>
              <w:numPr>
                <w:ilvl w:val="0"/>
                <w:numId w:val="0"/>
              </w:numPr>
            </w:pPr>
            <w:r>
              <w:rPr>
                <w:szCs w:val="18"/>
              </w:rPr>
              <w:t>T</w:t>
            </w:r>
            <w:r w:rsidRPr="00D13E2C">
              <w:rPr>
                <w:szCs w:val="18"/>
              </w:rPr>
              <w:t>he GPSRs impos</w:t>
            </w:r>
            <w:r>
              <w:rPr>
                <w:szCs w:val="18"/>
              </w:rPr>
              <w:t>e</w:t>
            </w:r>
            <w:r w:rsidRPr="00D13E2C">
              <w:rPr>
                <w:szCs w:val="18"/>
              </w:rPr>
              <w:t xml:space="preserve"> safety obligations on producers and distributors. </w:t>
            </w:r>
            <w:r>
              <w:rPr>
                <w:szCs w:val="18"/>
              </w:rPr>
              <w:t>A</w:t>
            </w:r>
            <w:r w:rsidRPr="00787934">
              <w:rPr>
                <w:szCs w:val="18"/>
              </w:rPr>
              <w:t xml:space="preserve"> safe product is one that, under normal or reasonably foreseeable conditions of use, does not present any risk or only the minimum risk compatible with the product's use and intended users. The GPSR provides for the publication of regulations and standards applicable to products, against which products' safety can be assessed.</w:t>
            </w:r>
            <w:r w:rsidRPr="00D13E2C">
              <w:rPr>
                <w:szCs w:val="18"/>
              </w:rPr>
              <w:t xml:space="preserve"> </w:t>
            </w:r>
            <w:r w:rsidRPr="0001235F">
              <w:rPr>
                <w:szCs w:val="18"/>
              </w:rPr>
              <w:t>Breach of the GPSRs gives rise to criminal sanctions.</w:t>
            </w:r>
          </w:p>
          <w:p w14:paraId="1EBFAC98" w14:textId="77777777" w:rsidR="00C87277" w:rsidRPr="00D13E2C" w:rsidRDefault="00C87277" w:rsidP="00C87277">
            <w:pPr>
              <w:pStyle w:val="Bullet"/>
              <w:numPr>
                <w:ilvl w:val="0"/>
                <w:numId w:val="0"/>
              </w:numPr>
              <w:rPr>
                <w:szCs w:val="18"/>
              </w:rPr>
            </w:pPr>
            <w:r w:rsidRPr="00D13E2C">
              <w:rPr>
                <w:szCs w:val="18"/>
              </w:rPr>
              <w:lastRenderedPageBreak/>
              <w:t>The CPA imposes establishing a strict liability regime for damage caused by defective products</w:t>
            </w:r>
            <w:r>
              <w:rPr>
                <w:szCs w:val="18"/>
              </w:rPr>
              <w:t xml:space="preserve">. Where </w:t>
            </w:r>
            <w:r w:rsidRPr="00CE50EA">
              <w:rPr>
                <w:szCs w:val="18"/>
              </w:rPr>
              <w:t>injury or damage occurs, consumers are entitled to compensation for death, personal injury or damage to private property exceeding £275 (excluding the defective product itself).</w:t>
            </w:r>
          </w:p>
        </w:tc>
      </w:tr>
    </w:tbl>
    <w:p w14:paraId="386F7C01" w14:textId="77777777" w:rsidR="00993F58" w:rsidRPr="00D13E2C" w:rsidRDefault="00993F58" w:rsidP="00993F58">
      <w:pPr>
        <w:pStyle w:val="Heading2"/>
      </w:pPr>
      <w:bookmarkStart w:id="54" w:name="_Toc190091964"/>
      <w:bookmarkStart w:id="55" w:name="_Toc192160567"/>
      <w:r w:rsidRPr="00D13E2C">
        <w:lastRenderedPageBreak/>
        <w:t>Singapore</w:t>
      </w:r>
      <w:bookmarkEnd w:id="54"/>
      <w:bookmarkEnd w:id="55"/>
    </w:p>
    <w:tbl>
      <w:tblPr>
        <w:tblStyle w:val="TableGrid"/>
        <w:tblW w:w="13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3957"/>
        <w:gridCol w:w="7654"/>
      </w:tblGrid>
      <w:tr w:rsidR="00993F58" w:rsidRPr="00D13E2C" w14:paraId="6EA0667A" w14:textId="77777777" w:rsidTr="00D1010F">
        <w:trPr>
          <w:cnfStyle w:val="100000000000" w:firstRow="1" w:lastRow="0" w:firstColumn="0" w:lastColumn="0" w:oddVBand="0" w:evenVBand="0" w:oddHBand="0" w:evenHBand="0" w:firstRowFirstColumn="0" w:firstRowLastColumn="0" w:lastRowFirstColumn="0" w:lastRowLastColumn="0"/>
        </w:trPr>
        <w:tc>
          <w:tcPr>
            <w:tcW w:w="2256" w:type="dxa"/>
          </w:tcPr>
          <w:p w14:paraId="27F5114D" w14:textId="77777777" w:rsidR="00993F58" w:rsidRPr="00D13E2C" w:rsidRDefault="00993F58">
            <w:pPr>
              <w:pStyle w:val="Bullet"/>
              <w:keepNext/>
              <w:numPr>
                <w:ilvl w:val="0"/>
                <w:numId w:val="0"/>
              </w:numPr>
              <w:tabs>
                <w:tab w:val="left" w:pos="2569"/>
                <w:tab w:val="right" w:pos="2715"/>
              </w:tabs>
              <w:spacing w:before="60" w:after="60"/>
            </w:pPr>
            <w:r w:rsidRPr="00D13E2C">
              <w:t>ACL protection</w:t>
            </w:r>
          </w:p>
        </w:tc>
        <w:tc>
          <w:tcPr>
            <w:tcW w:w="3957" w:type="dxa"/>
          </w:tcPr>
          <w:p w14:paraId="7FA56FC4" w14:textId="77777777" w:rsidR="00993F58" w:rsidRPr="00D13E2C" w:rsidRDefault="00993F58">
            <w:pPr>
              <w:pStyle w:val="Bullet"/>
              <w:keepNext/>
              <w:numPr>
                <w:ilvl w:val="0"/>
                <w:numId w:val="0"/>
              </w:numPr>
              <w:spacing w:before="60" w:after="60"/>
            </w:pPr>
            <w:r w:rsidRPr="00D13E2C">
              <w:t>Singaporean law</w:t>
            </w:r>
          </w:p>
        </w:tc>
        <w:tc>
          <w:tcPr>
            <w:tcW w:w="7654" w:type="dxa"/>
          </w:tcPr>
          <w:p w14:paraId="08BDA645" w14:textId="77777777" w:rsidR="00993F58" w:rsidRPr="00D13E2C" w:rsidRDefault="00993F58">
            <w:pPr>
              <w:pStyle w:val="Bullet"/>
              <w:keepNext/>
              <w:numPr>
                <w:ilvl w:val="0"/>
                <w:numId w:val="0"/>
              </w:numPr>
              <w:spacing w:before="60" w:after="60"/>
            </w:pPr>
            <w:r w:rsidRPr="00D13E2C">
              <w:t>Comparison</w:t>
            </w:r>
          </w:p>
        </w:tc>
      </w:tr>
      <w:tr w:rsidR="00C87277" w:rsidRPr="00D13E2C" w14:paraId="18D1138E" w14:textId="77777777" w:rsidTr="00D1010F">
        <w:tc>
          <w:tcPr>
            <w:tcW w:w="2256" w:type="dxa"/>
          </w:tcPr>
          <w:p w14:paraId="149E6783" w14:textId="77777777" w:rsidR="00C87277" w:rsidRPr="00D13E2C" w:rsidRDefault="00C87277" w:rsidP="00C87277">
            <w:pPr>
              <w:pStyle w:val="Bullet"/>
              <w:numPr>
                <w:ilvl w:val="0"/>
                <w:numId w:val="0"/>
              </w:numPr>
            </w:pPr>
            <w:r w:rsidRPr="00D13E2C">
              <w:t>Misleading or deceptive conduct</w:t>
            </w:r>
          </w:p>
          <w:p w14:paraId="03612B29" w14:textId="1BF5C6D0" w:rsidR="00C87277" w:rsidRPr="00D13E2C" w:rsidRDefault="00C87277" w:rsidP="00C87277">
            <w:pPr>
              <w:pStyle w:val="Bullet"/>
              <w:numPr>
                <w:ilvl w:val="0"/>
                <w:numId w:val="0"/>
              </w:numPr>
            </w:pPr>
            <w:r w:rsidRPr="00D13E2C">
              <w:t>False or misleading representations</w:t>
            </w:r>
          </w:p>
        </w:tc>
        <w:tc>
          <w:tcPr>
            <w:tcW w:w="3957" w:type="dxa"/>
          </w:tcPr>
          <w:p w14:paraId="41C17CEB" w14:textId="3ED8D235" w:rsidR="00C87277" w:rsidRDefault="00C87277" w:rsidP="00C87277">
            <w:pPr>
              <w:pStyle w:val="Bullet"/>
              <w:numPr>
                <w:ilvl w:val="0"/>
                <w:numId w:val="0"/>
              </w:numPr>
            </w:pPr>
            <w:hyperlink r:id="rId59" w:history="1">
              <w:r w:rsidRPr="004A1877">
                <w:rPr>
                  <w:rStyle w:val="Hyperlink"/>
                  <w:i/>
                  <w:szCs w:val="18"/>
                </w:rPr>
                <w:t xml:space="preserve">Consumer Protection (Fair Trading) Act 2003 </w:t>
              </w:r>
            </w:hyperlink>
            <w:r w:rsidRPr="00D13E2C">
              <w:t xml:space="preserve">(Singapore) - </w:t>
            </w:r>
            <w:r w:rsidRPr="00945168">
              <w:rPr>
                <w:szCs w:val="18"/>
              </w:rPr>
              <w:t>Second Schedule</w:t>
            </w:r>
          </w:p>
        </w:tc>
        <w:tc>
          <w:tcPr>
            <w:tcW w:w="7654" w:type="dxa"/>
          </w:tcPr>
          <w:p w14:paraId="36E20B1C" w14:textId="1F052162" w:rsidR="00C87277" w:rsidRPr="00D13E2C" w:rsidRDefault="00C87277" w:rsidP="00C87277">
            <w:pPr>
              <w:pStyle w:val="Bullet"/>
              <w:numPr>
                <w:ilvl w:val="0"/>
                <w:numId w:val="0"/>
              </w:numPr>
              <w:rPr>
                <w:szCs w:val="18"/>
              </w:rPr>
            </w:pPr>
            <w:r w:rsidRPr="00D13E2C">
              <w:rPr>
                <w:szCs w:val="18"/>
              </w:rPr>
              <w:t>The Singaporean regime gives consumers a right to sue where, during a ‘consumer transaction’, a supplier engages in conduct that may reasonably deceive or mislead a consumer or makes a false claim. Unlike in Australia, the regime in Singapore applies only to consumer transactions and the quantum of damages recoverable for contraventions of the regime is capped.</w:t>
            </w:r>
          </w:p>
        </w:tc>
      </w:tr>
      <w:tr w:rsidR="00C87277" w:rsidRPr="00D13E2C" w14:paraId="2EB42ECA" w14:textId="77777777" w:rsidTr="00D1010F">
        <w:tc>
          <w:tcPr>
            <w:tcW w:w="2256" w:type="dxa"/>
          </w:tcPr>
          <w:p w14:paraId="4F440E54" w14:textId="77777777" w:rsidR="00C87277" w:rsidRPr="00D13E2C" w:rsidRDefault="00C87277" w:rsidP="00C87277">
            <w:pPr>
              <w:pStyle w:val="Bullet"/>
              <w:numPr>
                <w:ilvl w:val="0"/>
                <w:numId w:val="0"/>
              </w:numPr>
            </w:pPr>
            <w:r w:rsidRPr="00D13E2C">
              <w:t>Unconscionable conduct</w:t>
            </w:r>
          </w:p>
        </w:tc>
        <w:tc>
          <w:tcPr>
            <w:tcW w:w="3957" w:type="dxa"/>
          </w:tcPr>
          <w:p w14:paraId="00E699EA" w14:textId="241DFBB4" w:rsidR="00C87277" w:rsidRPr="00D13E2C" w:rsidRDefault="00C87277" w:rsidP="00C87277">
            <w:pPr>
              <w:pStyle w:val="Bullet"/>
              <w:numPr>
                <w:ilvl w:val="0"/>
                <w:numId w:val="0"/>
              </w:numPr>
              <w:rPr>
                <w:i/>
                <w:iCs/>
              </w:rPr>
            </w:pPr>
            <w:hyperlink r:id="rId60" w:history="1">
              <w:r w:rsidRPr="004A1877">
                <w:rPr>
                  <w:rStyle w:val="Hyperlink"/>
                  <w:i/>
                  <w:szCs w:val="18"/>
                </w:rPr>
                <w:t xml:space="preserve">Consumer Protection (Fair Trading) Act 2003 </w:t>
              </w:r>
            </w:hyperlink>
            <w:r w:rsidRPr="00D13E2C">
              <w:t xml:space="preserve">(Singapore) - </w:t>
            </w:r>
            <w:r w:rsidRPr="00945168">
              <w:rPr>
                <w:szCs w:val="18"/>
              </w:rPr>
              <w:t>Second Schedule</w:t>
            </w:r>
          </w:p>
        </w:tc>
        <w:tc>
          <w:tcPr>
            <w:tcW w:w="7654" w:type="dxa"/>
          </w:tcPr>
          <w:p w14:paraId="29AB60FA" w14:textId="77777777" w:rsidR="00C87277" w:rsidRPr="00D13E2C" w:rsidRDefault="00C87277" w:rsidP="00C87277">
            <w:pPr>
              <w:pStyle w:val="Bullet"/>
              <w:numPr>
                <w:ilvl w:val="0"/>
                <w:numId w:val="0"/>
              </w:numPr>
              <w:rPr>
                <w:szCs w:val="18"/>
              </w:rPr>
            </w:pPr>
            <w:r w:rsidRPr="00D13E2C">
              <w:rPr>
                <w:szCs w:val="18"/>
              </w:rPr>
              <w:t xml:space="preserve">Consumers in Singapore also have a right to </w:t>
            </w:r>
            <w:r>
              <w:rPr>
                <w:szCs w:val="18"/>
              </w:rPr>
              <w:t>sue</w:t>
            </w:r>
            <w:r w:rsidRPr="00D13E2C">
              <w:rPr>
                <w:szCs w:val="18"/>
              </w:rPr>
              <w:t xml:space="preserve"> where a supplier knowingly takes advantage of a consumer not in a position to protect their own interests or understand the transaction. This is narrower that the Australian statutory concept of unconscionable conduct which does not require a finding that a consumer was suffering a special disadvantage or vulnerability.</w:t>
            </w:r>
          </w:p>
        </w:tc>
      </w:tr>
      <w:tr w:rsidR="00C87277" w:rsidRPr="00D13E2C" w14:paraId="172FA6A3" w14:textId="77777777" w:rsidTr="00D1010F">
        <w:tc>
          <w:tcPr>
            <w:tcW w:w="2256" w:type="dxa"/>
          </w:tcPr>
          <w:p w14:paraId="5173C3CD" w14:textId="77777777" w:rsidR="00C87277" w:rsidRPr="00D13E2C" w:rsidRDefault="00C87277" w:rsidP="00C87277">
            <w:pPr>
              <w:pStyle w:val="Bullet"/>
              <w:numPr>
                <w:ilvl w:val="0"/>
                <w:numId w:val="0"/>
              </w:numPr>
            </w:pPr>
            <w:r w:rsidRPr="00D13E2C">
              <w:t>Unfair contract terms</w:t>
            </w:r>
          </w:p>
        </w:tc>
        <w:tc>
          <w:tcPr>
            <w:tcW w:w="3957" w:type="dxa"/>
          </w:tcPr>
          <w:p w14:paraId="612B6B72" w14:textId="77777777" w:rsidR="00C87277" w:rsidRPr="00D13E2C" w:rsidRDefault="00C87277" w:rsidP="00C87277">
            <w:pPr>
              <w:pStyle w:val="Bullet"/>
              <w:numPr>
                <w:ilvl w:val="0"/>
                <w:numId w:val="0"/>
              </w:numPr>
              <w:rPr>
                <w:rFonts w:cs="Arial"/>
                <w:i/>
              </w:rPr>
            </w:pPr>
            <w:hyperlink r:id="rId61" w:history="1">
              <w:r w:rsidRPr="004A1877">
                <w:rPr>
                  <w:rStyle w:val="Hyperlink"/>
                  <w:i/>
                  <w:szCs w:val="18"/>
                </w:rPr>
                <w:t>Unfair Contract Terms Act 1977</w:t>
              </w:r>
              <w:r w:rsidRPr="00BA0417">
                <w:rPr>
                  <w:rStyle w:val="Hyperlink"/>
                </w:rPr>
                <w:t xml:space="preserve"> </w:t>
              </w:r>
            </w:hyperlink>
            <w:r w:rsidRPr="00D13E2C">
              <w:t>(Singapore)</w:t>
            </w:r>
          </w:p>
        </w:tc>
        <w:tc>
          <w:tcPr>
            <w:tcW w:w="7654" w:type="dxa"/>
          </w:tcPr>
          <w:p w14:paraId="59C5E003" w14:textId="77777777" w:rsidR="00C87277" w:rsidRPr="00D13E2C" w:rsidRDefault="00C87277" w:rsidP="00C87277">
            <w:pPr>
              <w:pStyle w:val="Bullet"/>
              <w:numPr>
                <w:ilvl w:val="0"/>
                <w:numId w:val="0"/>
              </w:numPr>
              <w:rPr>
                <w:szCs w:val="18"/>
              </w:rPr>
            </w:pPr>
            <w:r w:rsidRPr="00D13E2C">
              <w:rPr>
                <w:szCs w:val="18"/>
              </w:rPr>
              <w:t>Consumers in Singapore have a much narrower protection against unfair contract terms than is available in Australia. Clauses will only be deemed unfair if they exclude or restrict liability for a party’s own breaches, or claim to entitle a party to render a contractual performance substantially different from what was reasonably expected, or to render no performance at all. There is otherwise no general prohibition against unfair contract terms</w:t>
            </w:r>
          </w:p>
        </w:tc>
      </w:tr>
      <w:tr w:rsidR="00C87277" w:rsidRPr="00D13E2C" w14:paraId="48D33EAA" w14:textId="77777777" w:rsidTr="00D1010F">
        <w:tc>
          <w:tcPr>
            <w:tcW w:w="2256" w:type="dxa"/>
          </w:tcPr>
          <w:p w14:paraId="1A188300" w14:textId="77777777" w:rsidR="00C87277" w:rsidRPr="00D13E2C" w:rsidRDefault="00C87277" w:rsidP="00C87277">
            <w:pPr>
              <w:pStyle w:val="Bullet"/>
              <w:numPr>
                <w:ilvl w:val="0"/>
                <w:numId w:val="0"/>
              </w:numPr>
            </w:pPr>
            <w:r w:rsidRPr="00D13E2C">
              <w:t>Consumer guarantees</w:t>
            </w:r>
          </w:p>
        </w:tc>
        <w:tc>
          <w:tcPr>
            <w:tcW w:w="3957" w:type="dxa"/>
          </w:tcPr>
          <w:p w14:paraId="39664AED" w14:textId="77777777" w:rsidR="00C87277" w:rsidRPr="00D13E2C" w:rsidRDefault="00C87277" w:rsidP="00C87277">
            <w:pPr>
              <w:pStyle w:val="Bullet"/>
              <w:numPr>
                <w:ilvl w:val="0"/>
                <w:numId w:val="0"/>
              </w:numPr>
            </w:pPr>
            <w:hyperlink r:id="rId62" w:history="1">
              <w:r w:rsidRPr="004A1877">
                <w:rPr>
                  <w:rStyle w:val="Hyperlink"/>
                  <w:i/>
                  <w:iCs/>
                  <w:szCs w:val="18"/>
                </w:rPr>
                <w:t>Sale of Goods Act 1979</w:t>
              </w:r>
              <w:r w:rsidRPr="004A1877">
                <w:rPr>
                  <w:rStyle w:val="Hyperlink"/>
                  <w:szCs w:val="18"/>
                </w:rPr>
                <w:t xml:space="preserve"> </w:t>
              </w:r>
            </w:hyperlink>
            <w:r w:rsidRPr="004A1877">
              <w:rPr>
                <w:szCs w:val="18"/>
              </w:rPr>
              <w:t>(Singapore) – Sections 12 to 15</w:t>
            </w:r>
          </w:p>
          <w:p w14:paraId="24553B38" w14:textId="2FDBCCB2" w:rsidR="00C87277" w:rsidRPr="00D13E2C" w:rsidRDefault="00C87277" w:rsidP="00C87277">
            <w:pPr>
              <w:pStyle w:val="Bullet"/>
              <w:numPr>
                <w:ilvl w:val="0"/>
                <w:numId w:val="0"/>
              </w:numPr>
              <w:rPr>
                <w:i/>
                <w:iCs/>
              </w:rPr>
            </w:pPr>
            <w:hyperlink r:id="rId63" w:history="1">
              <w:r w:rsidRPr="00F12380">
                <w:rPr>
                  <w:rStyle w:val="Hyperlink"/>
                  <w:i/>
                  <w:iCs/>
                  <w:szCs w:val="18"/>
                </w:rPr>
                <w:t>Consumer Protection (Fair Trading) Act 2003</w:t>
              </w:r>
            </w:hyperlink>
            <w:r w:rsidRPr="00F12380">
              <w:rPr>
                <w:i/>
                <w:iCs/>
                <w:szCs w:val="18"/>
              </w:rPr>
              <w:t xml:space="preserve"> </w:t>
            </w:r>
            <w:r w:rsidRPr="00F12380">
              <w:rPr>
                <w:szCs w:val="18"/>
              </w:rPr>
              <w:t>(Sin</w:t>
            </w:r>
            <w:r w:rsidRPr="00D13E2C">
              <w:t>gapore)</w:t>
            </w:r>
          </w:p>
        </w:tc>
        <w:tc>
          <w:tcPr>
            <w:tcW w:w="7654" w:type="dxa"/>
          </w:tcPr>
          <w:p w14:paraId="74CD9401" w14:textId="07035C80" w:rsidR="00C87277" w:rsidRPr="00D13E2C" w:rsidRDefault="00C87277" w:rsidP="00C87277">
            <w:pPr>
              <w:pStyle w:val="Bullet"/>
              <w:numPr>
                <w:ilvl w:val="0"/>
                <w:numId w:val="0"/>
              </w:numPr>
              <w:rPr>
                <w:szCs w:val="18"/>
              </w:rPr>
            </w:pPr>
            <w:r w:rsidRPr="00D13E2C">
              <w:rPr>
                <w:szCs w:val="18"/>
              </w:rPr>
              <w:t xml:space="preserve">Consumer guarantees available in Singapore </w:t>
            </w:r>
            <w:r>
              <w:rPr>
                <w:szCs w:val="18"/>
              </w:rPr>
              <w:t>are similar to</w:t>
            </w:r>
            <w:r w:rsidRPr="00D13E2C">
              <w:rPr>
                <w:szCs w:val="18"/>
              </w:rPr>
              <w:t xml:space="preserve"> those in Australia. However, only a subset give rise to consumer remedies, resulting in less beneficial consumer protection than that afforded in Australia.</w:t>
            </w:r>
          </w:p>
          <w:p w14:paraId="0DB3E134" w14:textId="77777777" w:rsidR="00C87277" w:rsidRPr="00D13E2C" w:rsidRDefault="00C87277" w:rsidP="00C87277">
            <w:pPr>
              <w:pStyle w:val="Bullet"/>
              <w:numPr>
                <w:ilvl w:val="0"/>
                <w:numId w:val="0"/>
              </w:numPr>
              <w:rPr>
                <w:szCs w:val="18"/>
              </w:rPr>
            </w:pPr>
            <w:r w:rsidRPr="00D13E2C">
              <w:t xml:space="preserve">The CPFTA provides a right to a repair or replacement, or a reduction in the price of goods where there is non-conformity with </w:t>
            </w:r>
            <w:r w:rsidRPr="00D13E2C">
              <w:rPr>
                <w:i/>
                <w:iCs/>
              </w:rPr>
              <w:t>certain</w:t>
            </w:r>
            <w:r w:rsidRPr="00D13E2C">
              <w:t xml:space="preserve"> of the terms implied by the </w:t>
            </w:r>
            <w:r w:rsidRPr="00D13E2C">
              <w:rPr>
                <w:i/>
                <w:iCs/>
              </w:rPr>
              <w:t>Sale of Goods Act 1979</w:t>
            </w:r>
            <w:r w:rsidRPr="00D13E2C">
              <w:t xml:space="preserve"> (Singapore)</w:t>
            </w:r>
          </w:p>
        </w:tc>
      </w:tr>
      <w:tr w:rsidR="00C87277" w:rsidRPr="00D13E2C" w14:paraId="20127C8C" w14:textId="77777777" w:rsidTr="00D1010F">
        <w:tc>
          <w:tcPr>
            <w:tcW w:w="2256" w:type="dxa"/>
          </w:tcPr>
          <w:p w14:paraId="6B17D121" w14:textId="77777777" w:rsidR="00C87277" w:rsidRPr="00D13E2C" w:rsidRDefault="00C87277" w:rsidP="00C87277">
            <w:pPr>
              <w:pStyle w:val="Bullet"/>
              <w:numPr>
                <w:ilvl w:val="0"/>
                <w:numId w:val="0"/>
              </w:numPr>
            </w:pPr>
            <w:r w:rsidRPr="00D13E2C">
              <w:t>Product safety</w:t>
            </w:r>
          </w:p>
        </w:tc>
        <w:tc>
          <w:tcPr>
            <w:tcW w:w="3957" w:type="dxa"/>
          </w:tcPr>
          <w:p w14:paraId="0BBEC2DF" w14:textId="77777777" w:rsidR="00C87277" w:rsidRPr="00D13E2C" w:rsidRDefault="00C87277" w:rsidP="00C87277">
            <w:pPr>
              <w:pStyle w:val="Bullet"/>
              <w:numPr>
                <w:ilvl w:val="0"/>
                <w:numId w:val="0"/>
              </w:numPr>
              <w:rPr>
                <w:szCs w:val="18"/>
              </w:rPr>
            </w:pPr>
            <w:r w:rsidRPr="00D13E2C">
              <w:rPr>
                <w:szCs w:val="18"/>
              </w:rPr>
              <w:t xml:space="preserve">No single law – </w:t>
            </w:r>
            <w:r>
              <w:rPr>
                <w:szCs w:val="18"/>
              </w:rPr>
              <w:t>c</w:t>
            </w:r>
            <w:r w:rsidRPr="00D13E2C">
              <w:t>ommon law principles and various statutes</w:t>
            </w:r>
          </w:p>
        </w:tc>
        <w:tc>
          <w:tcPr>
            <w:tcW w:w="7654" w:type="dxa"/>
          </w:tcPr>
          <w:p w14:paraId="30469D6F" w14:textId="77777777" w:rsidR="00C87277" w:rsidRPr="00D13E2C" w:rsidRDefault="00C87277" w:rsidP="004F0068">
            <w:pPr>
              <w:pStyle w:val="Bullet"/>
              <w:numPr>
                <w:ilvl w:val="0"/>
                <w:numId w:val="0"/>
              </w:numPr>
              <w:spacing w:after="0"/>
              <w:rPr>
                <w:szCs w:val="18"/>
              </w:rPr>
            </w:pPr>
            <w:r w:rsidRPr="00F846F3">
              <w:t>Singapore does not have a single comprehensive product liability regime. Instead, consumers must rely on common law principles and various statutes, including the protections in the CPFTA and consumer guarantees (where applicable). Where claims for damages exceed S$30,000, consumers must rely on negligence or other tortious causes of action</w:t>
            </w:r>
          </w:p>
        </w:tc>
      </w:tr>
    </w:tbl>
    <w:p w14:paraId="0040DCCE" w14:textId="77777777" w:rsidR="00993F58" w:rsidRPr="00F12E96" w:rsidRDefault="00993F58" w:rsidP="0037669B"/>
    <w:sectPr w:rsidR="00993F58" w:rsidRPr="00F12E96" w:rsidSect="00AC46F7">
      <w:footerReference w:type="even" r:id="rId64"/>
      <w:footerReference w:type="default" r:id="rId65"/>
      <w:pgSz w:w="16838" w:h="11906" w:orient="landscape" w:code="9"/>
      <w:pgMar w:top="1418" w:right="1843"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30201B" w14:textId="77777777" w:rsidR="00E80095" w:rsidRDefault="00E80095">
      <w:pPr>
        <w:spacing w:before="0" w:after="0"/>
      </w:pPr>
      <w:r>
        <w:separator/>
      </w:r>
    </w:p>
  </w:endnote>
  <w:endnote w:type="continuationSeparator" w:id="0">
    <w:p w14:paraId="08FBF030" w14:textId="77777777" w:rsidR="00E80095" w:rsidRDefault="00E80095">
      <w:pPr>
        <w:spacing w:before="0" w:after="0"/>
      </w:pPr>
      <w:r>
        <w:continuationSeparator/>
      </w:r>
    </w:p>
  </w:endnote>
  <w:endnote w:type="continuationNotice" w:id="1">
    <w:p w14:paraId="03F07ECB" w14:textId="77777777" w:rsidR="00E80095" w:rsidRDefault="00E8009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17C72" w14:textId="44012356" w:rsidR="00B55B04" w:rsidRDefault="00B55B04" w:rsidP="00EE1447">
    <w:pPr>
      <w:pStyle w:val="FooterEven"/>
    </w:pPr>
    <w:r>
      <w:drawing>
        <wp:anchor distT="0" distB="0" distL="114300" distR="114300" simplePos="0" relativeHeight="251658240" behindDoc="1" locked="0" layoutInCell="1" allowOverlap="0" wp14:anchorId="66DAF9D1" wp14:editId="06D58D56">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154484410" name="Picture 154484410" descr="Treasury logo which states treasury dot gov dot 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84410" name="Picture 154484410" descr="Treasury logo which states treasury dot gov dot au"/>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ptab w:relativeTo="margin" w:alignment="right" w:leader="none"/>
    </w:r>
    <w:r w:rsidR="00837686">
      <w:fldChar w:fldCharType="begin"/>
    </w:r>
    <w:r w:rsidR="00837686">
      <w:instrText xml:space="preserve"> STYLEREF  "Heading 1"  \* MERGEFORMAT </w:instrText>
    </w:r>
    <w:r w:rsidR="00837686">
      <w:fldChar w:fldCharType="end"/>
    </w:r>
    <w:r>
      <w:t xml:space="preserve"> | </w:t>
    </w:r>
    <w:r>
      <w:rPr>
        <w:noProof w:val="0"/>
      </w:rPr>
      <w:fldChar w:fldCharType="begin"/>
    </w:r>
    <w:r>
      <w:instrText xml:space="preserve"> PAGE   \* MERGEFORMAT </w:instrText>
    </w:r>
    <w:r>
      <w:rPr>
        <w:noProof w:val="0"/>
      </w:rPr>
      <w:fldChar w:fldCharType="separate"/>
    </w:r>
    <w:r>
      <w:t>3</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B5040" w14:textId="6C8C6542" w:rsidR="00257DD5" w:rsidRPr="00095D88" w:rsidRDefault="00257DD5" w:rsidP="004677A8">
    <w:pPr>
      <w:pStyle w:val="FooterOdd"/>
      <w:tabs>
        <w:tab w:val="right" w:pos="7938"/>
        <w:tab w:val="right" w:pos="8505"/>
        <w:tab w:val="left" w:pos="9072"/>
      </w:tabs>
      <w:jc w:val="center"/>
    </w:pPr>
    <w:r w:rsidRPr="00103F3C">
      <w:rPr>
        <w:noProof/>
        <w:position w:val="-8"/>
      </w:rPr>
      <w:drawing>
        <wp:inline distT="0" distB="0" distL="0" distR="0" wp14:anchorId="20B27195" wp14:editId="7858B93C">
          <wp:extent cx="1324800" cy="201600"/>
          <wp:effectExtent l="0" t="0" r="0" b="8255"/>
          <wp:docPr id="1662791757" name="Picture 1662791757" descr="Treasury logo which states treasury dot gov dot 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791757" name="Picture 1662791757" descr="Treasury logo which states treasury dot gov dot au"/>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rsidR="004677A8">
      <w:tab/>
    </w:r>
    <w:r w:rsidR="004677A8">
      <w:tab/>
    </w:r>
    <w:fldSimple w:instr="STYLEREF  &quot;Heading 1&quot;  \* MERGEFORMAT">
      <w:r w:rsidR="009F1C91">
        <w:rPr>
          <w:noProof/>
        </w:rPr>
        <w:t>Attachment A – International comparisons to the ACL</w:t>
      </w:r>
    </w:fldSimple>
    <w:r>
      <w:rPr>
        <w:noProof/>
      </w:rPr>
      <w:t xml:space="preserve"> </w:t>
    </w:r>
    <w:r>
      <w:t xml:space="preserve">| </w:t>
    </w:r>
    <w:r>
      <w:fldChar w:fldCharType="begin"/>
    </w:r>
    <w:r>
      <w:instrText xml:space="preserve"> PAGE   \* MERGEFORMAT </w:instrText>
    </w:r>
    <w:r>
      <w:fldChar w:fldCharType="separate"/>
    </w:r>
    <w:r>
      <w:t>iii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9C2C3" w14:textId="7FCCB3B5" w:rsidR="00B55B04" w:rsidRDefault="00B55B04" w:rsidP="00962ACF">
    <w:pPr>
      <w:pStyle w:val="FooterOdd"/>
    </w:pPr>
    <w:r w:rsidRPr="00103F3C">
      <w:rPr>
        <w:noProof/>
        <w:position w:val="-8"/>
      </w:rPr>
      <w:drawing>
        <wp:inline distT="0" distB="0" distL="0" distR="0" wp14:anchorId="3F3164A5" wp14:editId="660B9EFA">
          <wp:extent cx="1324800" cy="201600"/>
          <wp:effectExtent l="0" t="0" r="0" b="8255"/>
          <wp:docPr id="2005606124" name="Picture 2005606124" descr="Treasury logo which states treasury dot gov dot 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606124" name="Picture 2005606124" descr="Treasury logo which states treasury dot gov dot au"/>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rsidR="00103F3C">
      <w:tab/>
    </w:r>
    <w:r w:rsidR="00F56F4C">
      <w:t>Contents</w:t>
    </w:r>
    <w:r w:rsidR="008660CB">
      <w:fldChar w:fldCharType="begin"/>
    </w:r>
    <w:r w:rsidR="008660CB">
      <w:instrText xml:space="preserve"> STYLEREF  "Heading 1"  \* MERGEFORMAT </w:instrText>
    </w:r>
    <w:r w:rsidR="008660CB">
      <w:rPr>
        <w:noProof/>
      </w:rPr>
      <w:fldChar w:fldCharType="end"/>
    </w:r>
    <w:r>
      <w:rPr>
        <w:noProof/>
      </w:rPr>
      <w:t xml:space="preserve"> </w:t>
    </w:r>
    <w:r>
      <w:t xml:space="preserve">| </w:t>
    </w:r>
    <w:r>
      <w:fldChar w:fldCharType="begin"/>
    </w:r>
    <w:r>
      <w:instrText xml:space="preserve"> PAGE   \* MERGEFORMAT </w:instrText>
    </w:r>
    <w:r>
      <w:fldChar w:fldCharType="separate"/>
    </w:r>
    <w: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1B6E1" w14:textId="713302DA" w:rsidR="00672B5D" w:rsidRDefault="00672B5D" w:rsidP="00993F58">
    <w:pPr>
      <w:pStyle w:val="FooterEven"/>
      <w:jc w:val="center"/>
    </w:pPr>
    <w:r>
      <w:rPr>
        <w:noProof w:val="0"/>
      </w:rPr>
      <w:fldChar w:fldCharType="begin"/>
    </w:r>
    <w:r>
      <w:instrText xml:space="preserve"> PAGE   \* MERGEFORMAT </w:instrText>
    </w:r>
    <w:r>
      <w:rPr>
        <w:noProof w:val="0"/>
      </w:rPr>
      <w:fldChar w:fldCharType="separate"/>
    </w:r>
    <w:r>
      <w:rPr>
        <w:noProof w:val="0"/>
      </w:rPr>
      <w:t>2</w:t>
    </w:r>
    <w:r>
      <w:fldChar w:fldCharType="end"/>
    </w:r>
    <w:r>
      <w:t xml:space="preserve"> | </w:t>
    </w:r>
    <w:fldSimple w:instr="STYLEREF  &quot;Heading 1&quot;  \* MERGEFORMAT">
      <w:r w:rsidR="009F1C91">
        <w:t>Executive Summary</w:t>
      </w:r>
    </w:fldSimple>
    <w:r w:rsidR="003E3F66">
      <w:tab/>
    </w:r>
    <w:r w:rsidR="00103F3C" w:rsidRPr="00103F3C">
      <w:rPr>
        <w:position w:val="-8"/>
      </w:rPr>
      <w:drawing>
        <wp:inline distT="0" distB="0" distL="0" distR="0" wp14:anchorId="4EE65EF8" wp14:editId="300382DC">
          <wp:extent cx="1324800" cy="201600"/>
          <wp:effectExtent l="0" t="0" r="0" b="8255"/>
          <wp:docPr id="126710073" name="Picture 126710073" descr="Treasury logo which states treasury dot gov dot 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8313" name="Picture 95728313" descr="Treasury logo which states treasury dot gov dot au"/>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C5431" w14:textId="7DF329DB" w:rsidR="00F56F4C" w:rsidRDefault="00F56F4C">
    <w:pPr>
      <w:pStyle w:val="Footer"/>
    </w:pPr>
    <w:r w:rsidRPr="00103F3C">
      <w:rPr>
        <w:noProof/>
        <w:position w:val="-8"/>
      </w:rPr>
      <w:drawing>
        <wp:inline distT="0" distB="0" distL="0" distR="0" wp14:anchorId="0936AD07" wp14:editId="08FA85A6">
          <wp:extent cx="1324800" cy="201600"/>
          <wp:effectExtent l="0" t="0" r="0" b="8255"/>
          <wp:docPr id="1942259402" name="Picture 194225940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92212" name="Picture 1891292212" descr="Logo"/>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r>
      <w:tab/>
    </w:r>
    <w:fldSimple w:instr="STYLEREF  &quot;Heading 1 Numbered&quot;  \* MERGEFORMAT">
      <w:r w:rsidR="00441C07">
        <w:rPr>
          <w:noProof/>
        </w:rPr>
        <w:t>Introduction</w:t>
      </w:r>
    </w:fldSimple>
    <w:r>
      <w:t xml:space="preserve"> | </w:t>
    </w:r>
    <w:r>
      <w:fldChar w:fldCharType="begin"/>
    </w:r>
    <w:r>
      <w:instrText xml:space="preserve"> PAGE   \* MERGEFORMAT </w:instrText>
    </w:r>
    <w:r>
      <w:fldChar w:fldCharType="separate"/>
    </w:r>
    <w:r>
      <w:t>4</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EE37B" w14:textId="77777777" w:rsidR="00095D88" w:rsidRPr="00095D88" w:rsidRDefault="00095D88" w:rsidP="00095D8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6F72C" w14:textId="580D78DB" w:rsidR="00DC0E38" w:rsidRDefault="00DC0E38" w:rsidP="00993F58">
    <w:pPr>
      <w:pStyle w:val="FooterEven"/>
      <w:jc w:val="center"/>
    </w:pPr>
    <w:r>
      <w:rPr>
        <w:noProof w:val="0"/>
      </w:rPr>
      <w:fldChar w:fldCharType="begin"/>
    </w:r>
    <w:r>
      <w:instrText xml:space="preserve"> PAGE   \* MERGEFORMAT </w:instrText>
    </w:r>
    <w:r>
      <w:rPr>
        <w:noProof w:val="0"/>
      </w:rPr>
      <w:fldChar w:fldCharType="separate"/>
    </w:r>
    <w:r>
      <w:rPr>
        <w:noProof w:val="0"/>
      </w:rPr>
      <w:t>2</w:t>
    </w:r>
    <w:r>
      <w:fldChar w:fldCharType="end"/>
    </w:r>
    <w:r>
      <w:t xml:space="preserve"> | </w:t>
    </w:r>
    <w:fldSimple w:instr="STYLEREF  &quot;Heading 1 Numbered&quot;  \* MERGEFORMAT">
      <w:r w:rsidR="009F1C91">
        <w:t>Managing risks to realise benefits</w:t>
      </w:r>
    </w:fldSimple>
    <w:r>
      <w:tab/>
    </w:r>
    <w:r w:rsidRPr="00103F3C">
      <w:rPr>
        <w:position w:val="-8"/>
      </w:rPr>
      <w:drawing>
        <wp:inline distT="0" distB="0" distL="0" distR="0" wp14:anchorId="4884F7C6" wp14:editId="068D6B74">
          <wp:extent cx="1324800" cy="201600"/>
          <wp:effectExtent l="0" t="0" r="0" b="8255"/>
          <wp:docPr id="828851031" name="Picture 828851031" descr="Treasury logo which states treasury dot gov dot au">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51031" name="Picture 828851031" descr="Treasury logo which states treasury dot gov dot au">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E9F52" w14:textId="0FFEAF27" w:rsidR="0014162F" w:rsidRDefault="0014162F">
    <w:pPr>
      <w:pStyle w:val="Footer"/>
    </w:pPr>
    <w:r w:rsidRPr="00103F3C">
      <w:rPr>
        <w:noProof/>
        <w:position w:val="-8"/>
      </w:rPr>
      <w:drawing>
        <wp:inline distT="0" distB="0" distL="0" distR="0" wp14:anchorId="5E2312C2" wp14:editId="20DD59D4">
          <wp:extent cx="1324800" cy="201600"/>
          <wp:effectExtent l="0" t="0" r="0" b="8255"/>
          <wp:docPr id="1983998936" name="Picture 1983998936" descr="Treasury logo that says treasury dot gov dot au">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98936" name="Picture 1983998936" descr="Treasury logo that says treasury dot gov dot au">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r>
      <w:tab/>
    </w:r>
    <w:fldSimple w:instr="STYLEREF  &quot;Heading 1 Numbered&quot;  \* MERGEFORMAT">
      <w:r w:rsidR="009F1C91">
        <w:rPr>
          <w:noProof/>
        </w:rPr>
        <w:t>Managing risks to realise benefits</w:t>
      </w:r>
    </w:fldSimple>
    <w:r>
      <w:t xml:space="preserve"> | </w:t>
    </w:r>
    <w:r>
      <w:fldChar w:fldCharType="begin"/>
    </w:r>
    <w:r>
      <w:instrText xml:space="preserve"> PAGE   \* MERGEFORMAT </w:instrText>
    </w:r>
    <w:r>
      <w:fldChar w:fldCharType="separate"/>
    </w:r>
    <w:r>
      <w:t>4</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FD52E" w14:textId="0F7C9168" w:rsidR="00BC129F" w:rsidRDefault="00BC129F" w:rsidP="00993F58">
    <w:pPr>
      <w:pStyle w:val="FooterEven"/>
      <w:jc w:val="center"/>
    </w:pPr>
    <w:r>
      <w:rPr>
        <w:noProof w:val="0"/>
      </w:rPr>
      <w:fldChar w:fldCharType="begin"/>
    </w:r>
    <w:r>
      <w:instrText xml:space="preserve"> PAGE   \* MERGEFORMAT </w:instrText>
    </w:r>
    <w:r>
      <w:rPr>
        <w:noProof w:val="0"/>
      </w:rPr>
      <w:fldChar w:fldCharType="separate"/>
    </w:r>
    <w:r>
      <w:rPr>
        <w:noProof w:val="0"/>
      </w:rPr>
      <w:t>2</w:t>
    </w:r>
    <w:r>
      <w:fldChar w:fldCharType="end"/>
    </w:r>
    <w:r>
      <w:t xml:space="preserve"> | </w:t>
    </w:r>
    <w:fldSimple w:instr="STYLEREF  &quot;Heading 1&quot;  \* MERGEFORMAT">
      <w:r w:rsidR="00441C07">
        <w:t>Executive Summary</w:t>
      </w:r>
    </w:fldSimple>
    <w:r>
      <w:tab/>
    </w:r>
    <w:r w:rsidRPr="00103F3C">
      <w:rPr>
        <w:position w:val="-8"/>
      </w:rPr>
      <w:drawing>
        <wp:inline distT="0" distB="0" distL="0" distR="0" wp14:anchorId="14521CDB" wp14:editId="019E82C4">
          <wp:extent cx="1324800" cy="201600"/>
          <wp:effectExtent l="0" t="0" r="0" b="8255"/>
          <wp:docPr id="2501760" name="Picture 250176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760" name="Picture 2501760" descr="Logo"/>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44F7C" w14:textId="777DB5AE" w:rsidR="0099628E" w:rsidRDefault="0099628E" w:rsidP="00993F58">
    <w:pPr>
      <w:pStyle w:val="FooterEven"/>
      <w:jc w:val="center"/>
    </w:pPr>
    <w:r>
      <w:rPr>
        <w:noProof w:val="0"/>
      </w:rPr>
      <w:fldChar w:fldCharType="begin"/>
    </w:r>
    <w:r>
      <w:instrText xml:space="preserve"> PAGE   \* MERGEFORMAT </w:instrText>
    </w:r>
    <w:r>
      <w:rPr>
        <w:noProof w:val="0"/>
      </w:rPr>
      <w:fldChar w:fldCharType="separate"/>
    </w:r>
    <w:r>
      <w:rPr>
        <w:noProof w:val="0"/>
      </w:rPr>
      <w:t>2</w:t>
    </w:r>
    <w:r>
      <w:fldChar w:fldCharType="end"/>
    </w:r>
    <w:r>
      <w:t xml:space="preserve"> | </w:t>
    </w:r>
    <w:fldSimple w:instr="STYLEREF  &quot;Heading 1&quot;  \* MERGEFORMAT">
      <w:r w:rsidR="009F1C91">
        <w:t>Attachment A – International comparisons to the ACL</w:t>
      </w:r>
    </w:fldSimple>
    <w:r>
      <w:tab/>
    </w:r>
    <w:r>
      <w:tab/>
    </w:r>
    <w:r>
      <w:tab/>
    </w:r>
    <w:r>
      <w:tab/>
    </w:r>
    <w:r w:rsidRPr="00103F3C">
      <w:rPr>
        <w:position w:val="-8"/>
      </w:rPr>
      <w:drawing>
        <wp:inline distT="0" distB="0" distL="0" distR="0" wp14:anchorId="3D9A203D" wp14:editId="4C6BD061">
          <wp:extent cx="1324800" cy="201600"/>
          <wp:effectExtent l="0" t="0" r="0" b="8255"/>
          <wp:docPr id="1371213193" name="Picture 1371213193" descr="Treasury logo which states treasury dot gov dot 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13193" name="Picture 1371213193" descr="Treasury logo which states treasury dot gov dot au"/>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9E67A" w14:textId="77777777" w:rsidR="00E80095" w:rsidRPr="00ED5A20" w:rsidRDefault="00E80095" w:rsidP="000F6233">
      <w:pPr>
        <w:rPr>
          <w:color w:val="4D7861" w:themeColor="accent2"/>
        </w:rPr>
      </w:pPr>
      <w:r w:rsidRPr="00ED5A20">
        <w:rPr>
          <w:color w:val="4D7861" w:themeColor="accent2"/>
        </w:rPr>
        <w:separator/>
      </w:r>
    </w:p>
  </w:footnote>
  <w:footnote w:type="continuationSeparator" w:id="0">
    <w:p w14:paraId="33BC5193" w14:textId="77777777" w:rsidR="00E80095" w:rsidRPr="00B737EB" w:rsidRDefault="00E80095">
      <w:pPr>
        <w:spacing w:before="0" w:after="0"/>
        <w:rPr>
          <w:color w:val="2C384A" w:themeColor="accent1"/>
        </w:rPr>
      </w:pPr>
      <w:r w:rsidRPr="00B737EB">
        <w:rPr>
          <w:color w:val="2C384A" w:themeColor="accent1"/>
        </w:rPr>
        <w:continuationSeparator/>
      </w:r>
    </w:p>
  </w:footnote>
  <w:footnote w:type="continuationNotice" w:id="1">
    <w:p w14:paraId="361EBCBF" w14:textId="77777777" w:rsidR="00E80095" w:rsidRDefault="00E80095">
      <w:pPr>
        <w:spacing w:before="0" w:after="0"/>
      </w:pPr>
    </w:p>
  </w:footnote>
  <w:footnote w:id="2">
    <w:p w14:paraId="35CD2FFC" w14:textId="5ADDFC47" w:rsidR="001676D8" w:rsidRPr="00A26C3C" w:rsidRDefault="001676D8">
      <w:pPr>
        <w:pStyle w:val="FootnoteText"/>
      </w:pPr>
      <w:r w:rsidRPr="00ED7EBF">
        <w:rPr>
          <w:rStyle w:val="FootnoteReference"/>
        </w:rPr>
        <w:footnoteRef/>
      </w:r>
      <w:r w:rsidRPr="00ED7EBF">
        <w:t xml:space="preserve"> </w:t>
      </w:r>
      <w:r w:rsidRPr="00ED7EBF">
        <w:tab/>
      </w:r>
      <w:r w:rsidR="00E962B8" w:rsidRPr="00A26C3C">
        <w:t xml:space="preserve">DISR, Safe and responsible AI in Australia, </w:t>
      </w:r>
      <w:hyperlink r:id="rId1" w:history="1">
        <w:r w:rsidR="00E962B8" w:rsidRPr="00A26C3C">
          <w:rPr>
            <w:rStyle w:val="Hyperlink"/>
          </w:rPr>
          <w:t>Discussion paper</w:t>
        </w:r>
      </w:hyperlink>
      <w:r w:rsidR="00E962B8" w:rsidRPr="00A26C3C">
        <w:t xml:space="preserve">, June 2023. </w:t>
      </w:r>
    </w:p>
  </w:footnote>
  <w:footnote w:id="3">
    <w:p w14:paraId="32702B59" w14:textId="30E74FBA" w:rsidR="001B2BA9" w:rsidRDefault="001B2BA9" w:rsidP="001B2BA9">
      <w:pPr>
        <w:pStyle w:val="FootnoteText"/>
      </w:pPr>
      <w:r w:rsidRPr="00A26C3C">
        <w:rPr>
          <w:rStyle w:val="FootnoteReference"/>
        </w:rPr>
        <w:footnoteRef/>
      </w:r>
      <w:r w:rsidRPr="00A26C3C">
        <w:tab/>
        <w:t xml:space="preserve">DISR, Safe and responsible AI in Australia, </w:t>
      </w:r>
      <w:hyperlink r:id="rId2" w:history="1">
        <w:r w:rsidRPr="00A26C3C">
          <w:rPr>
            <w:rStyle w:val="Hyperlink"/>
          </w:rPr>
          <w:t>Proposals paper for introducing mandatory guardrails for AI in high-risk settings</w:t>
        </w:r>
      </w:hyperlink>
      <w:r w:rsidRPr="00A26C3C">
        <w:t>, September 2024.</w:t>
      </w:r>
      <w:r w:rsidR="001676D8">
        <w:t xml:space="preserve"> </w:t>
      </w:r>
    </w:p>
  </w:footnote>
  <w:footnote w:id="4">
    <w:p w14:paraId="0139FB4F" w14:textId="1AAB643A" w:rsidR="000B4969" w:rsidRPr="00D13E2C" w:rsidRDefault="000B4969" w:rsidP="000B4969">
      <w:pPr>
        <w:pStyle w:val="FootnoteText"/>
      </w:pPr>
      <w:r w:rsidRPr="00D13E2C">
        <w:rPr>
          <w:rStyle w:val="FootnoteReference"/>
        </w:rPr>
        <w:footnoteRef/>
      </w:r>
      <w:r w:rsidR="00511B56">
        <w:tab/>
      </w:r>
      <w:r w:rsidR="00402E11">
        <w:t xml:space="preserve">The Hon Stephen Jones MP, </w:t>
      </w:r>
      <w:hyperlink r:id="rId3" w:history="1">
        <w:r w:rsidR="00B607E0" w:rsidDel="00E907FA">
          <w:rPr>
            <w:rStyle w:val="Hyperlink"/>
          </w:rPr>
          <w:t xml:space="preserve">Consumer Affairs Ministers </w:t>
        </w:r>
        <w:r w:rsidR="00E907FA">
          <w:rPr>
            <w:rStyle w:val="Hyperlink"/>
          </w:rPr>
          <w:t>renew commitment to protecting consumers, with an ambitious agenda for 2025</w:t>
        </w:r>
      </w:hyperlink>
      <w:r w:rsidR="00402E11">
        <w:t xml:space="preserve">, December </w:t>
      </w:r>
      <w:r w:rsidR="00895033">
        <w:t>2024</w:t>
      </w:r>
      <w:r w:rsidR="008803F6">
        <w:rPr>
          <w:rStyle w:val="Hyperlink"/>
        </w:rPr>
        <w:t>.</w:t>
      </w:r>
    </w:p>
  </w:footnote>
  <w:footnote w:id="5">
    <w:p w14:paraId="3AE10852" w14:textId="3DBC5E13" w:rsidR="009269E3" w:rsidRDefault="009269E3" w:rsidP="009269E3">
      <w:pPr>
        <w:pStyle w:val="FootnoteText"/>
      </w:pPr>
      <w:r>
        <w:rPr>
          <w:rStyle w:val="FootnoteReference"/>
        </w:rPr>
        <w:footnoteRef/>
      </w:r>
      <w:r>
        <w:t xml:space="preserve"> </w:t>
      </w:r>
      <w:r w:rsidR="00511B56">
        <w:tab/>
      </w:r>
      <w:r>
        <w:t xml:space="preserve">Treasury, </w:t>
      </w:r>
      <w:r w:rsidRPr="00B432BB">
        <w:t xml:space="preserve">Review of AI and the Australian Consumer Law, </w:t>
      </w:r>
      <w:hyperlink r:id="rId4" w:history="1">
        <w:r w:rsidRPr="0062455F">
          <w:rPr>
            <w:rStyle w:val="Hyperlink"/>
          </w:rPr>
          <w:t>Discussion paper</w:t>
        </w:r>
      </w:hyperlink>
      <w:r>
        <w:t>, October 2024</w:t>
      </w:r>
    </w:p>
  </w:footnote>
  <w:footnote w:id="6">
    <w:p w14:paraId="464B80A6" w14:textId="77777777" w:rsidR="001A1B4F" w:rsidRPr="006F0DCD" w:rsidRDefault="001A1B4F" w:rsidP="001A1B4F">
      <w:pPr>
        <w:pStyle w:val="FootnoteText"/>
      </w:pPr>
      <w:r>
        <w:rPr>
          <w:rStyle w:val="FootnoteReference"/>
        </w:rPr>
        <w:footnoteRef/>
      </w:r>
      <w:r>
        <w:t xml:space="preserve"> </w:t>
      </w:r>
      <w:r>
        <w:tab/>
      </w:r>
      <w:r w:rsidRPr="006F0DCD">
        <w:t xml:space="preserve">For example, goods which meet the definition of a medical device can be covered by both the ACL and the </w:t>
      </w:r>
      <w:r w:rsidRPr="006F0DCD">
        <w:rPr>
          <w:i/>
        </w:rPr>
        <w:t>Therapeutic Goods Act 1989</w:t>
      </w:r>
      <w:r w:rsidRPr="006F0DCD">
        <w:t>.</w:t>
      </w:r>
    </w:p>
  </w:footnote>
  <w:footnote w:id="7">
    <w:p w14:paraId="791F6725" w14:textId="4988DB51" w:rsidR="009269E3" w:rsidRPr="0050203D" w:rsidRDefault="009269E3" w:rsidP="009269E3">
      <w:pPr>
        <w:pStyle w:val="FootnoteText"/>
        <w:rPr>
          <w:highlight w:val="yellow"/>
        </w:rPr>
      </w:pPr>
      <w:r w:rsidRPr="00BC44E7">
        <w:rPr>
          <w:rStyle w:val="FootnoteReference"/>
        </w:rPr>
        <w:footnoteRef/>
      </w:r>
      <w:r w:rsidRPr="00BC44E7">
        <w:t xml:space="preserve"> </w:t>
      </w:r>
      <w:r w:rsidR="002B65A4">
        <w:tab/>
      </w:r>
      <w:r w:rsidRPr="00BC44E7">
        <w:t xml:space="preserve">Treasury, </w:t>
      </w:r>
      <w:hyperlink r:id="rId5" w:history="1">
        <w:r w:rsidRPr="00B7598E">
          <w:rPr>
            <w:rStyle w:val="Hyperlink"/>
          </w:rPr>
          <w:t>Unfair trading practices, Consultation paper</w:t>
        </w:r>
      </w:hyperlink>
      <w:r w:rsidRPr="00BC44E7">
        <w:t>, November 2024; Treasury</w:t>
      </w:r>
      <w:r w:rsidR="0000305B">
        <w:t>;</w:t>
      </w:r>
      <w:r w:rsidRPr="00BC44E7">
        <w:t xml:space="preserve"> </w:t>
      </w:r>
      <w:hyperlink r:id="rId6" w:history="1">
        <w:r w:rsidRPr="00DD5D3D">
          <w:rPr>
            <w:rStyle w:val="Hyperlink"/>
          </w:rPr>
          <w:t xml:space="preserve">Consumer guarantees and supplier indemnification under the ACL, </w:t>
        </w:r>
        <w:r w:rsidR="00E6699F" w:rsidRPr="00DD5D3D">
          <w:rPr>
            <w:rStyle w:val="Hyperlink"/>
          </w:rPr>
          <w:t>Consultation paper</w:t>
        </w:r>
      </w:hyperlink>
      <w:r w:rsidRPr="00BC44E7">
        <w:t>, October 2024.</w:t>
      </w:r>
    </w:p>
  </w:footnote>
  <w:footnote w:id="8">
    <w:p w14:paraId="1FE4D74D" w14:textId="39C9131C" w:rsidR="009269E3" w:rsidRPr="0050203D" w:rsidRDefault="009269E3" w:rsidP="009269E3">
      <w:pPr>
        <w:pStyle w:val="FootnoteText"/>
        <w:rPr>
          <w:highlight w:val="yellow"/>
        </w:rPr>
      </w:pPr>
      <w:r w:rsidRPr="009F0B28">
        <w:rPr>
          <w:rStyle w:val="FootnoteReference"/>
        </w:rPr>
        <w:footnoteRef/>
      </w:r>
      <w:r w:rsidRPr="009F0B28">
        <w:t xml:space="preserve"> </w:t>
      </w:r>
      <w:r w:rsidR="00511B56">
        <w:tab/>
      </w:r>
      <w:r w:rsidRPr="009F0B28">
        <w:t xml:space="preserve">Department of Home Affairs, </w:t>
      </w:r>
      <w:hyperlink r:id="rId7" w:history="1">
        <w:r w:rsidRPr="009F0B28">
          <w:rPr>
            <w:rStyle w:val="Hyperlink"/>
          </w:rPr>
          <w:t>2023-2030 Australian Cyber Security Strategy</w:t>
        </w:r>
      </w:hyperlink>
      <w:r w:rsidRPr="009F0B28">
        <w:t>, November 2023.</w:t>
      </w:r>
    </w:p>
  </w:footnote>
  <w:footnote w:id="9">
    <w:p w14:paraId="20D4785B" w14:textId="38707BA3" w:rsidR="00F67547" w:rsidRDefault="00F67547" w:rsidP="00F67547">
      <w:pPr>
        <w:pStyle w:val="FootnoteText"/>
      </w:pPr>
      <w:r w:rsidRPr="00934AB9">
        <w:rPr>
          <w:rStyle w:val="FootnoteReference"/>
        </w:rPr>
        <w:footnoteRef/>
      </w:r>
      <w:r w:rsidR="009E67C1">
        <w:t xml:space="preserve"> </w:t>
      </w:r>
      <w:r w:rsidR="00265229">
        <w:tab/>
      </w:r>
      <w:r w:rsidRPr="00934AB9">
        <w:t>Attorney</w:t>
      </w:r>
      <w:r>
        <w:t xml:space="preserve">-General’s Department, </w:t>
      </w:r>
      <w:hyperlink r:id="rId8" w:history="1">
        <w:r w:rsidRPr="00934AB9">
          <w:rPr>
            <w:rStyle w:val="Hyperlink"/>
          </w:rPr>
          <w:t xml:space="preserve">Government </w:t>
        </w:r>
        <w:r>
          <w:rPr>
            <w:rStyle w:val="Hyperlink"/>
          </w:rPr>
          <w:t>R</w:t>
        </w:r>
        <w:r w:rsidRPr="00934AB9">
          <w:rPr>
            <w:rStyle w:val="Hyperlink"/>
          </w:rPr>
          <w:t>esponse to the Privacy Act Review</w:t>
        </w:r>
      </w:hyperlink>
      <w:r>
        <w:t>, September 2023</w:t>
      </w:r>
      <w:r w:rsidR="006B7018">
        <w:t>.</w:t>
      </w:r>
      <w:r>
        <w:t xml:space="preserve"> </w:t>
      </w:r>
    </w:p>
  </w:footnote>
  <w:footnote w:id="10">
    <w:p w14:paraId="36E5D1C6" w14:textId="7094EB41" w:rsidR="00906809" w:rsidRDefault="00906809">
      <w:pPr>
        <w:pStyle w:val="FootnoteText"/>
      </w:pPr>
      <w:r>
        <w:rPr>
          <w:rStyle w:val="FootnoteReference"/>
        </w:rPr>
        <w:footnoteRef/>
      </w:r>
      <w:r w:rsidR="009E67C1">
        <w:t xml:space="preserve"> </w:t>
      </w:r>
      <w:r>
        <w:tab/>
      </w:r>
      <w:r w:rsidR="005F7FE5">
        <w:t xml:space="preserve">Treasury, </w:t>
      </w:r>
      <w:hyperlink r:id="rId9" w:history="1">
        <w:r w:rsidR="005F7FE5" w:rsidRPr="00AC00EB">
          <w:rPr>
            <w:rStyle w:val="Hyperlink"/>
          </w:rPr>
          <w:t>Scams Prevention Framework</w:t>
        </w:r>
      </w:hyperlink>
      <w:r w:rsidR="005F7FE5">
        <w:t>, February 2025</w:t>
      </w:r>
      <w:r w:rsidR="00E9188B">
        <w:t>.</w:t>
      </w:r>
    </w:p>
  </w:footnote>
  <w:footnote w:id="11">
    <w:p w14:paraId="652FFEC1" w14:textId="77777777" w:rsidR="0086387E" w:rsidRPr="00D13E2C" w:rsidRDefault="0086387E" w:rsidP="0086387E">
      <w:pPr>
        <w:pStyle w:val="FootnoteText"/>
      </w:pPr>
      <w:r w:rsidRPr="00D13E2C">
        <w:rPr>
          <w:rStyle w:val="FootnoteReference"/>
        </w:rPr>
        <w:footnoteRef/>
      </w:r>
      <w:r w:rsidRPr="00D13E2C">
        <w:t xml:space="preserve"> </w:t>
      </w:r>
      <w:r>
        <w:tab/>
      </w:r>
      <w:r w:rsidRPr="0054335D">
        <w:rPr>
          <w:i/>
          <w:iCs/>
        </w:rPr>
        <w:t>ACL</w:t>
      </w:r>
      <w:r>
        <w:t xml:space="preserve"> s 138-139</w:t>
      </w:r>
      <w:r w:rsidRPr="00D13E2C">
        <w:t>.</w:t>
      </w:r>
    </w:p>
  </w:footnote>
  <w:footnote w:id="12">
    <w:p w14:paraId="7D4D2DD1" w14:textId="165A1565" w:rsidR="0086387E" w:rsidRDefault="0086387E" w:rsidP="0086387E">
      <w:pPr>
        <w:pStyle w:val="FootnoteText"/>
      </w:pPr>
      <w:r>
        <w:rPr>
          <w:rStyle w:val="FootnoteReference"/>
        </w:rPr>
        <w:footnoteRef/>
      </w:r>
      <w:r>
        <w:t xml:space="preserve"> </w:t>
      </w:r>
      <w:r>
        <w:tab/>
      </w:r>
      <w:r w:rsidR="00344304">
        <w:rPr>
          <w:i/>
          <w:iCs/>
        </w:rPr>
        <w:t>Competition and Consumer Act 2010</w:t>
      </w:r>
      <w:r w:rsidR="00344304">
        <w:t xml:space="preserve"> </w:t>
      </w:r>
      <w:r>
        <w:t>s 4.</w:t>
      </w:r>
    </w:p>
  </w:footnote>
  <w:footnote w:id="13">
    <w:p w14:paraId="14E3A6DC" w14:textId="77777777" w:rsidR="0086387E" w:rsidRPr="007C6E35" w:rsidRDefault="0086387E" w:rsidP="0086387E">
      <w:pPr>
        <w:pStyle w:val="FootnoteText"/>
      </w:pPr>
      <w:r>
        <w:rPr>
          <w:rStyle w:val="FootnoteReference"/>
        </w:rPr>
        <w:footnoteRef/>
      </w:r>
      <w:r>
        <w:t xml:space="preserve"> </w:t>
      </w:r>
      <w:r>
        <w:tab/>
      </w:r>
      <w:r>
        <w:rPr>
          <w:i/>
          <w:iCs/>
        </w:rPr>
        <w:t xml:space="preserve">ACL </w:t>
      </w:r>
      <w:r>
        <w:t>s 9(1).</w:t>
      </w:r>
    </w:p>
  </w:footnote>
  <w:footnote w:id="14">
    <w:p w14:paraId="7C850A2E" w14:textId="77777777" w:rsidR="0086387E" w:rsidRPr="006F5DC0" w:rsidRDefault="0086387E" w:rsidP="0086387E">
      <w:pPr>
        <w:pStyle w:val="FootnoteText"/>
      </w:pPr>
      <w:r>
        <w:rPr>
          <w:rStyle w:val="FootnoteReference"/>
        </w:rPr>
        <w:footnoteRef/>
      </w:r>
      <w:r>
        <w:t xml:space="preserve"> </w:t>
      </w:r>
      <w:r>
        <w:tab/>
      </w:r>
      <w:r>
        <w:rPr>
          <w:i/>
          <w:iCs/>
        </w:rPr>
        <w:t xml:space="preserve">ACL </w:t>
      </w:r>
      <w:r>
        <w:t>ss 138-9.</w:t>
      </w:r>
    </w:p>
  </w:footnote>
  <w:footnote w:id="15">
    <w:p w14:paraId="16E472C3" w14:textId="77777777" w:rsidR="0086387E" w:rsidRPr="00647ABE" w:rsidRDefault="0086387E" w:rsidP="0086387E">
      <w:pPr>
        <w:pStyle w:val="FootnoteText"/>
      </w:pPr>
      <w:r>
        <w:rPr>
          <w:rStyle w:val="FootnoteReference"/>
        </w:rPr>
        <w:footnoteRef/>
      </w:r>
      <w:r>
        <w:t xml:space="preserve"> </w:t>
      </w:r>
      <w:r>
        <w:tab/>
      </w:r>
      <w:r>
        <w:rPr>
          <w:i/>
          <w:iCs/>
        </w:rPr>
        <w:t xml:space="preserve">Marks v Gio Australia Holdings Ltd </w:t>
      </w:r>
      <w:r>
        <w:t>(1998) 196 CLR 494</w:t>
      </w:r>
    </w:p>
  </w:footnote>
  <w:footnote w:id="16">
    <w:p w14:paraId="5513539E" w14:textId="77777777" w:rsidR="0086387E" w:rsidRPr="00EE3A3F" w:rsidRDefault="0086387E" w:rsidP="0086387E">
      <w:pPr>
        <w:pStyle w:val="FootnoteText"/>
      </w:pPr>
      <w:r>
        <w:rPr>
          <w:rStyle w:val="FootnoteReference"/>
        </w:rPr>
        <w:footnoteRef/>
      </w:r>
      <w:r>
        <w:t xml:space="preserve"> </w:t>
      </w:r>
      <w:r>
        <w:tab/>
        <w:t xml:space="preserve">Michael Guihot, ‘Putting the ‘personal’ back into injuries: An interpretation of Pt 3-5 of the Australian Consumer Law’ (2014) 21(3) </w:t>
      </w:r>
      <w:r>
        <w:rPr>
          <w:i/>
          <w:iCs/>
        </w:rPr>
        <w:t xml:space="preserve">Competition and Consumer Law Journal </w:t>
      </w:r>
      <w:r>
        <w:t xml:space="preserve">232. Damages may also be available to consumers of AI-enabled goods and services as a result of disappointment and distress arising from a failure to meet consumer guarantees in </w:t>
      </w:r>
      <w:r w:rsidRPr="000074BD">
        <w:t>specific</w:t>
      </w:r>
      <w:r>
        <w:t xml:space="preserve"> circumstances: </w:t>
      </w:r>
      <w:r>
        <w:rPr>
          <w:i/>
        </w:rPr>
        <w:t>Moore v Scenic Tours Pty Ltd</w:t>
      </w:r>
      <w:r>
        <w:rPr>
          <w:i/>
          <w:iCs/>
        </w:rPr>
        <w:t xml:space="preserve"> </w:t>
      </w:r>
      <w:r>
        <w:t>(2020) 268 CLR 326.</w:t>
      </w:r>
    </w:p>
  </w:footnote>
  <w:footnote w:id="17">
    <w:p w14:paraId="617BB7C0" w14:textId="77777777" w:rsidR="0086387E" w:rsidRDefault="0086387E" w:rsidP="0086387E">
      <w:pPr>
        <w:pStyle w:val="FootnoteText"/>
      </w:pPr>
      <w:r>
        <w:rPr>
          <w:rStyle w:val="FootnoteReference"/>
        </w:rPr>
        <w:footnoteRef/>
      </w:r>
      <w:r>
        <w:t xml:space="preserve"> </w:t>
      </w:r>
      <w:r>
        <w:tab/>
        <w:t>The Hon Michelle Rowland MP</w:t>
      </w:r>
      <w:r w:rsidRPr="009D304B">
        <w:t xml:space="preserve">, </w:t>
      </w:r>
      <w:hyperlink r:id="rId10" w:anchor=":~:text=The%20Digital%20Duty%20of%20Care,by%20Ms%20Delia%20Rickard%20PSM." w:history="1">
        <w:r w:rsidRPr="0080201A">
          <w:rPr>
            <w:rStyle w:val="Hyperlink"/>
          </w:rPr>
          <w:t>New Duty of Care obligations on platforms will keep Australians safer online</w:t>
        </w:r>
      </w:hyperlink>
      <w:r>
        <w:rPr>
          <w:i/>
          <w:iCs/>
        </w:rPr>
        <w:t xml:space="preserve">, </w:t>
      </w:r>
      <w:r>
        <w:t>November 2024.</w:t>
      </w:r>
    </w:p>
  </w:footnote>
  <w:footnote w:id="18">
    <w:p w14:paraId="62453B68" w14:textId="77777777" w:rsidR="0086387E" w:rsidRPr="00D13E2C" w:rsidRDefault="0086387E" w:rsidP="0086387E">
      <w:pPr>
        <w:pStyle w:val="FootnoteText"/>
      </w:pPr>
      <w:r w:rsidRPr="00362073">
        <w:rPr>
          <w:rStyle w:val="FootnoteReference"/>
        </w:rPr>
        <w:footnoteRef/>
      </w:r>
      <w:r w:rsidRPr="00362073">
        <w:t xml:space="preserve"> </w:t>
      </w:r>
      <w:r>
        <w:tab/>
      </w:r>
      <w:r>
        <w:rPr>
          <w:i/>
          <w:iCs/>
        </w:rPr>
        <w:t xml:space="preserve">ACL </w:t>
      </w:r>
      <w:r>
        <w:t>s 128.</w:t>
      </w:r>
    </w:p>
  </w:footnote>
  <w:footnote w:id="19">
    <w:p w14:paraId="1504EBE3" w14:textId="77777777" w:rsidR="0086387E" w:rsidRPr="00D13E2C" w:rsidRDefault="0086387E" w:rsidP="0086387E">
      <w:pPr>
        <w:pStyle w:val="FootnoteText"/>
      </w:pPr>
      <w:r w:rsidRPr="00D13E2C">
        <w:rPr>
          <w:rStyle w:val="FootnoteReference"/>
        </w:rPr>
        <w:footnoteRef/>
      </w:r>
      <w:r w:rsidRPr="00D13E2C">
        <w:t xml:space="preserve"> </w:t>
      </w:r>
      <w:r>
        <w:tab/>
      </w:r>
      <w:r>
        <w:rPr>
          <w:i/>
          <w:iCs/>
        </w:rPr>
        <w:t xml:space="preserve">ACL </w:t>
      </w:r>
      <w:r>
        <w:t>s 122.</w:t>
      </w:r>
    </w:p>
  </w:footnote>
  <w:footnote w:id="20">
    <w:p w14:paraId="78DA148A" w14:textId="77777777" w:rsidR="0086387E" w:rsidRDefault="0086387E" w:rsidP="0086387E">
      <w:pPr>
        <w:pStyle w:val="FootnoteText"/>
      </w:pPr>
      <w:r>
        <w:rPr>
          <w:rStyle w:val="FootnoteReference"/>
        </w:rPr>
        <w:footnoteRef/>
      </w:r>
      <w:r>
        <w:t xml:space="preserve"> </w:t>
      </w:r>
      <w:r>
        <w:tab/>
        <w:t xml:space="preserve">ACCC, </w:t>
      </w:r>
      <w:hyperlink r:id="rId11" w:history="1">
        <w:r w:rsidRPr="00861272">
          <w:rPr>
            <w:rStyle w:val="Hyperlink"/>
          </w:rPr>
          <w:t>Product Safety Pledge</w:t>
        </w:r>
      </w:hyperlink>
      <w:r>
        <w:t xml:space="preserve">, April 2021. </w:t>
      </w:r>
      <w:r w:rsidRPr="00BC4B16">
        <w:t>As at February 2025, signatories to the pledge are AliExpress, Amazon Australia, Catch.com.au, eBay Australia, MyDeal.com.au.</w:t>
      </w:r>
      <w:r>
        <w:t xml:space="preserve"> </w:t>
      </w:r>
    </w:p>
  </w:footnote>
  <w:footnote w:id="21">
    <w:p w14:paraId="6152F15C" w14:textId="77777777" w:rsidR="0086387E" w:rsidRDefault="0086387E" w:rsidP="0086387E">
      <w:pPr>
        <w:pStyle w:val="FootnoteText"/>
      </w:pPr>
      <w:r w:rsidRPr="00585715">
        <w:rPr>
          <w:rStyle w:val="FootnoteReference"/>
        </w:rPr>
        <w:footnoteRef/>
      </w:r>
      <w:r>
        <w:rPr>
          <w:i/>
          <w:iCs/>
        </w:rPr>
        <w:t xml:space="preserve"> </w:t>
      </w:r>
      <w:r>
        <w:rPr>
          <w:i/>
          <w:iCs/>
        </w:rPr>
        <w:tab/>
      </w:r>
      <w:r w:rsidRPr="00585715">
        <w:rPr>
          <w:i/>
          <w:iCs/>
        </w:rPr>
        <w:t xml:space="preserve">ACL </w:t>
      </w:r>
      <w:r w:rsidRPr="00585715">
        <w:t>s 232.</w:t>
      </w:r>
      <w:r>
        <w:t xml:space="preserve"> </w:t>
      </w:r>
    </w:p>
  </w:footnote>
  <w:footnote w:id="22">
    <w:p w14:paraId="4FAD2156" w14:textId="31DBF936" w:rsidR="00014603" w:rsidRDefault="00014603" w:rsidP="00014603">
      <w:pPr>
        <w:pStyle w:val="FootnoteText"/>
      </w:pPr>
      <w:r>
        <w:rPr>
          <w:rStyle w:val="FootnoteReference"/>
        </w:rPr>
        <w:footnoteRef/>
      </w:r>
      <w:r>
        <w:t xml:space="preserve"> </w:t>
      </w:r>
      <w:r>
        <w:tab/>
      </w:r>
      <w:r w:rsidR="007A1F1A">
        <w:t xml:space="preserve">DISR, </w:t>
      </w:r>
      <w:hyperlink r:id="rId12" w:history="1">
        <w:r w:rsidR="00285A19" w:rsidRPr="00791E33">
          <w:rPr>
            <w:rStyle w:val="Hyperlink"/>
          </w:rPr>
          <w:t>Voluntary AI Safety Standard</w:t>
        </w:r>
      </w:hyperlink>
      <w:r w:rsidR="00791E33">
        <w:t>, September 2024</w:t>
      </w:r>
    </w:p>
  </w:footnote>
  <w:footnote w:id="23">
    <w:p w14:paraId="4563D743" w14:textId="51A80076" w:rsidR="0048576F" w:rsidRDefault="0048576F">
      <w:pPr>
        <w:pStyle w:val="FootnoteText"/>
      </w:pPr>
      <w:r>
        <w:rPr>
          <w:rStyle w:val="FootnoteReference"/>
        </w:rPr>
        <w:footnoteRef/>
      </w:r>
      <w:r>
        <w:t xml:space="preserve"> </w:t>
      </w:r>
      <w:r w:rsidR="00C40EF7">
        <w:tab/>
      </w:r>
      <w:r w:rsidR="00C40EF7">
        <w:rPr>
          <w:i/>
          <w:iCs/>
        </w:rPr>
        <w:t xml:space="preserve">ACL </w:t>
      </w:r>
      <w:r w:rsidR="00AA55FC">
        <w:t>ss 104</w:t>
      </w:r>
      <w:r w:rsidR="00D64B10">
        <w:t>.</w:t>
      </w:r>
      <w:r w:rsidR="00AA55FC">
        <w:t xml:space="preserve"> </w:t>
      </w:r>
    </w:p>
  </w:footnote>
  <w:footnote w:id="24">
    <w:p w14:paraId="7FB2146C" w14:textId="23755B01" w:rsidR="00D64B10" w:rsidRDefault="00D64B10">
      <w:pPr>
        <w:pStyle w:val="FootnoteText"/>
      </w:pPr>
      <w:r>
        <w:rPr>
          <w:rStyle w:val="FootnoteReference"/>
        </w:rPr>
        <w:footnoteRef/>
      </w:r>
      <w:r>
        <w:t xml:space="preserve"> </w:t>
      </w:r>
      <w:r w:rsidR="00BC6353">
        <w:tab/>
      </w:r>
      <w:r w:rsidR="00BC6353">
        <w:rPr>
          <w:i/>
          <w:iCs/>
        </w:rPr>
        <w:t xml:space="preserve">ACL </w:t>
      </w:r>
      <w:r w:rsidR="00BC6353">
        <w:t>s 2.</w:t>
      </w:r>
    </w:p>
  </w:footnote>
  <w:footnote w:id="25">
    <w:p w14:paraId="6EB09A92" w14:textId="5401972D" w:rsidR="00D64B10" w:rsidRDefault="00D64B10">
      <w:pPr>
        <w:pStyle w:val="FootnoteText"/>
      </w:pPr>
      <w:r>
        <w:rPr>
          <w:rStyle w:val="FootnoteReference"/>
        </w:rPr>
        <w:footnoteRef/>
      </w:r>
      <w:r>
        <w:t xml:space="preserve"> </w:t>
      </w:r>
      <w:r w:rsidR="00BC6353">
        <w:tab/>
      </w:r>
      <w:r w:rsidR="00BC6353">
        <w:rPr>
          <w:i/>
          <w:iCs/>
        </w:rPr>
        <w:t xml:space="preserve">ACL </w:t>
      </w:r>
      <w:r w:rsidR="00BC6353">
        <w:t>s 2.</w:t>
      </w:r>
    </w:p>
  </w:footnote>
  <w:footnote w:id="26">
    <w:p w14:paraId="41B98791" w14:textId="7CD0464A" w:rsidR="009F6A82" w:rsidRDefault="009F6A82">
      <w:pPr>
        <w:pStyle w:val="FootnoteText"/>
      </w:pPr>
      <w:r>
        <w:rPr>
          <w:rStyle w:val="FootnoteReference"/>
        </w:rPr>
        <w:footnoteRef/>
      </w:r>
      <w:r>
        <w:t xml:space="preserve"> </w:t>
      </w:r>
      <w:r w:rsidR="00E21175">
        <w:tab/>
      </w:r>
      <w:r w:rsidR="00E21175">
        <w:rPr>
          <w:i/>
          <w:iCs/>
        </w:rPr>
        <w:t xml:space="preserve">ACL </w:t>
      </w:r>
      <w:r w:rsidR="00E21175">
        <w:t>s 104(2).</w:t>
      </w:r>
    </w:p>
  </w:footnote>
  <w:footnote w:id="27">
    <w:p w14:paraId="099C96C3" w14:textId="4480DF31" w:rsidR="00AF51A8" w:rsidRPr="00AF51A8" w:rsidRDefault="00AF51A8">
      <w:pPr>
        <w:pStyle w:val="FootnoteText"/>
      </w:pPr>
      <w:r>
        <w:rPr>
          <w:rStyle w:val="FootnoteReference"/>
        </w:rPr>
        <w:footnoteRef/>
      </w:r>
      <w:r>
        <w:t xml:space="preserve"> </w:t>
      </w:r>
      <w:r>
        <w:tab/>
      </w:r>
      <w:r>
        <w:rPr>
          <w:i/>
          <w:iCs/>
        </w:rPr>
        <w:t>Treasury Laws Amendment (Fairer for Families and Farmers and Other Measures) Act 2024</w:t>
      </w:r>
      <w:r>
        <w:t xml:space="preserve">. </w:t>
      </w:r>
      <w:r>
        <w:rPr>
          <w:i/>
          <w:iCs/>
        </w:rPr>
        <w:t xml:space="preserve"> </w:t>
      </w:r>
    </w:p>
  </w:footnote>
  <w:footnote w:id="28">
    <w:p w14:paraId="699EE95B" w14:textId="3C464250" w:rsidR="00ED7FEC" w:rsidRPr="00D13E2C" w:rsidRDefault="00ED7FEC" w:rsidP="00ED7FEC">
      <w:pPr>
        <w:pStyle w:val="FootnoteText"/>
      </w:pPr>
      <w:r w:rsidRPr="00CD2A3D">
        <w:rPr>
          <w:rStyle w:val="FootnoteReference"/>
        </w:rPr>
        <w:footnoteRef/>
      </w:r>
      <w:r w:rsidRPr="00CD2A3D">
        <w:t xml:space="preserve"> </w:t>
      </w:r>
      <w:r w:rsidR="00511B56">
        <w:tab/>
      </w:r>
      <w:r w:rsidRPr="00CD2A3D">
        <w:rPr>
          <w:i/>
        </w:rPr>
        <w:t>Australian Consumer Law</w:t>
      </w:r>
      <w:r>
        <w:t xml:space="preserve"> (ACL) ss 18, 20-1, 29. </w:t>
      </w:r>
    </w:p>
  </w:footnote>
  <w:footnote w:id="29">
    <w:p w14:paraId="106B25CC" w14:textId="457E5D75" w:rsidR="00ED7FEC" w:rsidRPr="00D13E2C" w:rsidRDefault="00ED7FEC" w:rsidP="00ED7FEC">
      <w:pPr>
        <w:pStyle w:val="FootnoteText"/>
      </w:pPr>
      <w:r w:rsidRPr="00D13E2C">
        <w:rPr>
          <w:rStyle w:val="FootnoteReference"/>
        </w:rPr>
        <w:footnoteRef/>
      </w:r>
      <w:r w:rsidRPr="00D13E2C">
        <w:t xml:space="preserve"> </w:t>
      </w:r>
      <w:r w:rsidR="00511B56">
        <w:tab/>
      </w:r>
      <w:r w:rsidRPr="00D13E2C">
        <w:t>Evaluative errors are errors in judgement that are brought about by conduct that influence</w:t>
      </w:r>
      <w:r>
        <w:t>s</w:t>
      </w:r>
      <w:r w:rsidRPr="00D13E2C">
        <w:t xml:space="preserve"> decision</w:t>
      </w:r>
      <w:r w:rsidRPr="00D13E2C">
        <w:noBreakHyphen/>
        <w:t xml:space="preserve">making processes or fundamental attitudes towards a brand. </w:t>
      </w:r>
    </w:p>
  </w:footnote>
  <w:footnote w:id="30">
    <w:p w14:paraId="7995BF80" w14:textId="3CB87CB0" w:rsidR="00ED7FEC" w:rsidRDefault="00ED7FEC" w:rsidP="00ED7FEC">
      <w:pPr>
        <w:pStyle w:val="FootnoteText"/>
      </w:pPr>
      <w:r w:rsidRPr="00CD2A3D">
        <w:rPr>
          <w:rStyle w:val="FootnoteReference"/>
        </w:rPr>
        <w:footnoteRef/>
      </w:r>
      <w:r w:rsidRPr="00CD2A3D">
        <w:t xml:space="preserve"> </w:t>
      </w:r>
      <w:r w:rsidR="00511B56">
        <w:tab/>
      </w:r>
      <w:r w:rsidRPr="00BE79A6">
        <w:t xml:space="preserve">See, e.g., </w:t>
      </w:r>
      <w:r w:rsidRPr="00BE79A6">
        <w:rPr>
          <w:i/>
          <w:iCs/>
        </w:rPr>
        <w:t>Miller &amp; Associates</w:t>
      </w:r>
      <w:r>
        <w:rPr>
          <w:i/>
          <w:iCs/>
        </w:rPr>
        <w:t xml:space="preserve"> Insurance Broking Pty Ltd v BMW Australia Finance Ltd </w:t>
      </w:r>
      <w:r>
        <w:t>(2010) 241 CLR 357.</w:t>
      </w:r>
    </w:p>
  </w:footnote>
  <w:footnote w:id="31">
    <w:p w14:paraId="71E1C7A7" w14:textId="6F47F90A" w:rsidR="00BA2D12" w:rsidRPr="00D13E2C" w:rsidRDefault="00BA2D12" w:rsidP="00BA2D12">
      <w:pPr>
        <w:pStyle w:val="FootnoteText"/>
      </w:pPr>
      <w:r w:rsidRPr="00D13E2C">
        <w:rPr>
          <w:rStyle w:val="FootnoteReference"/>
        </w:rPr>
        <w:footnoteRef/>
      </w:r>
      <w:r w:rsidRPr="00D13E2C">
        <w:t xml:space="preserve"> </w:t>
      </w:r>
      <w:r w:rsidR="00D33C03">
        <w:tab/>
      </w:r>
      <w:r w:rsidRPr="00CD2A3D">
        <w:rPr>
          <w:i/>
        </w:rPr>
        <w:t>ACCC v Trivago N.V.</w:t>
      </w:r>
      <w:r>
        <w:t xml:space="preserve"> [2020] FCA 16.</w:t>
      </w:r>
    </w:p>
  </w:footnote>
  <w:footnote w:id="32">
    <w:p w14:paraId="3ED2DFB6" w14:textId="4FC3A300" w:rsidR="00ED7FEC" w:rsidRPr="00D13E2C" w:rsidRDefault="00ED7FEC" w:rsidP="00ED7FEC">
      <w:pPr>
        <w:pStyle w:val="FootnoteText"/>
      </w:pPr>
      <w:r w:rsidRPr="00D13E2C">
        <w:rPr>
          <w:rStyle w:val="FootnoteReference"/>
        </w:rPr>
        <w:footnoteRef/>
      </w:r>
      <w:r w:rsidRPr="00D13E2C">
        <w:t xml:space="preserve"> </w:t>
      </w:r>
      <w:r w:rsidR="00511B56">
        <w:tab/>
      </w:r>
      <w:r>
        <w:t xml:space="preserve">ACCC, </w:t>
      </w:r>
      <w:hyperlink r:id="rId13" w:history="1">
        <w:r w:rsidRPr="00DD531F">
          <w:rPr>
            <w:rStyle w:val="Hyperlink"/>
          </w:rPr>
          <w:t>Compliance and enforcement priorities</w:t>
        </w:r>
      </w:hyperlink>
      <w:r>
        <w:t>,</w:t>
      </w:r>
      <w:r w:rsidRPr="00D13E2C">
        <w:t xml:space="preserve"> </w:t>
      </w:r>
      <w:r w:rsidR="00C00FF5">
        <w:t>February</w:t>
      </w:r>
      <w:r>
        <w:t xml:space="preserve"> 202</w:t>
      </w:r>
      <w:r w:rsidR="00C00FF5">
        <w:t>5</w:t>
      </w:r>
      <w:r>
        <w:t xml:space="preserve">. </w:t>
      </w:r>
      <w:hyperlink r:id="rId14" w:anchor="toc-this-year-s-priorities" w:history="1">
        <w:r>
          <w:rPr>
            <w:rStyle w:val="Hyperlink"/>
          </w:rPr>
          <w:t>https://www.accc.gov.au/about-us/accc-priorities/compliance-and-enforcement-priorities</w:t>
        </w:r>
      </w:hyperlink>
    </w:p>
  </w:footnote>
  <w:footnote w:id="33">
    <w:p w14:paraId="3ADD2488" w14:textId="591CD212" w:rsidR="00ED7FEC" w:rsidRPr="00D13E2C" w:rsidRDefault="00ED7FEC" w:rsidP="00ED7FEC">
      <w:pPr>
        <w:pStyle w:val="FootnoteText"/>
      </w:pPr>
      <w:r w:rsidRPr="00D13E2C">
        <w:rPr>
          <w:rStyle w:val="FootnoteReference"/>
        </w:rPr>
        <w:footnoteRef/>
      </w:r>
      <w:r w:rsidRPr="00D13E2C">
        <w:t xml:space="preserve"> </w:t>
      </w:r>
      <w:r w:rsidR="00511B56">
        <w:tab/>
      </w:r>
      <w:r>
        <w:t xml:space="preserve">The Hon Anthony Albanese MP, </w:t>
      </w:r>
      <w:hyperlink r:id="rId15" w:history="1">
        <w:r w:rsidRPr="0048097C">
          <w:rPr>
            <w:rStyle w:val="Hyperlink"/>
          </w:rPr>
          <w:t>Albanese Government to stop the rip offs from unfair trading practices</w:t>
        </w:r>
      </w:hyperlink>
      <w:r>
        <w:t xml:space="preserve">, October 2024. </w:t>
      </w:r>
    </w:p>
  </w:footnote>
  <w:footnote w:id="34">
    <w:p w14:paraId="3B8D5C28" w14:textId="0D2A2E63" w:rsidR="00ED7FEC" w:rsidRDefault="00ED7FEC" w:rsidP="00ED7FEC">
      <w:pPr>
        <w:pStyle w:val="FootnoteText"/>
      </w:pPr>
      <w:r w:rsidRPr="00CD2A3D">
        <w:rPr>
          <w:rStyle w:val="FootnoteReference"/>
        </w:rPr>
        <w:footnoteRef/>
      </w:r>
      <w:r w:rsidRPr="00CD2A3D">
        <w:t xml:space="preserve"> </w:t>
      </w:r>
      <w:r w:rsidR="00511B56">
        <w:tab/>
      </w:r>
      <w:r>
        <w:rPr>
          <w:i/>
          <w:iCs/>
        </w:rPr>
        <w:t xml:space="preserve">ACL </w:t>
      </w:r>
      <w:r>
        <w:t xml:space="preserve">s </w:t>
      </w:r>
      <w:r w:rsidRPr="00CF7EDE">
        <w:t>18.</w:t>
      </w:r>
    </w:p>
  </w:footnote>
  <w:footnote w:id="35">
    <w:p w14:paraId="39152FEA" w14:textId="5468393B" w:rsidR="00ED7FEC" w:rsidRPr="00907365" w:rsidRDefault="00ED7FEC" w:rsidP="00ED7FEC">
      <w:pPr>
        <w:pStyle w:val="FootnoteText"/>
      </w:pPr>
      <w:r>
        <w:rPr>
          <w:rStyle w:val="FootnoteReference"/>
        </w:rPr>
        <w:footnoteRef/>
      </w:r>
      <w:r>
        <w:t xml:space="preserve"> </w:t>
      </w:r>
      <w:r w:rsidR="00511B56">
        <w:tab/>
      </w:r>
      <w:r>
        <w:rPr>
          <w:i/>
          <w:iCs/>
        </w:rPr>
        <w:t xml:space="preserve">Butcher v Lachlan Elder Realty Pty Ltd </w:t>
      </w:r>
      <w:r>
        <w:t xml:space="preserve">(2004) 218 CLR 592, 634 [139]. </w:t>
      </w:r>
    </w:p>
  </w:footnote>
  <w:footnote w:id="36">
    <w:p w14:paraId="7CDC057C" w14:textId="5F985D89" w:rsidR="00ED7FEC" w:rsidRPr="00224758" w:rsidRDefault="00ED7FEC" w:rsidP="00ED7FEC">
      <w:pPr>
        <w:pStyle w:val="FootnoteText"/>
        <w:rPr>
          <w:highlight w:val="yellow"/>
        </w:rPr>
      </w:pPr>
      <w:r w:rsidRPr="00CD2A3D">
        <w:rPr>
          <w:rStyle w:val="FootnoteReference"/>
        </w:rPr>
        <w:footnoteRef/>
      </w:r>
      <w:r w:rsidR="003A12B6">
        <w:t xml:space="preserve"> </w:t>
      </w:r>
      <w:r w:rsidR="00511B56">
        <w:tab/>
      </w:r>
      <w:r w:rsidRPr="00E6699F">
        <w:rPr>
          <w:i/>
          <w:iCs/>
        </w:rPr>
        <w:t>Competition and Consumer Regulations 2010</w:t>
      </w:r>
      <w:r w:rsidRPr="00CD2A3D">
        <w:t xml:space="preserve"> reg 77A. </w:t>
      </w:r>
    </w:p>
  </w:footnote>
  <w:footnote w:id="37">
    <w:p w14:paraId="4AF4016C" w14:textId="07028C31" w:rsidR="00AF0CDF" w:rsidRPr="00D13E2C" w:rsidRDefault="00AF0CDF" w:rsidP="00693716">
      <w:pPr>
        <w:pStyle w:val="FootnoteText"/>
      </w:pPr>
      <w:r w:rsidRPr="00D60F8A">
        <w:rPr>
          <w:rStyle w:val="FootnoteReference"/>
        </w:rPr>
        <w:footnoteRef/>
      </w:r>
      <w:r w:rsidR="003A12B6">
        <w:t xml:space="preserve"> </w:t>
      </w:r>
      <w:r w:rsidR="00693716">
        <w:tab/>
      </w:r>
      <w:r>
        <w:rPr>
          <w:i/>
          <w:iCs/>
        </w:rPr>
        <w:t xml:space="preserve">ACL </w:t>
      </w:r>
      <w:r>
        <w:t xml:space="preserve">ss 23-4. </w:t>
      </w:r>
    </w:p>
  </w:footnote>
  <w:footnote w:id="38">
    <w:p w14:paraId="3395695D" w14:textId="7BE4F775" w:rsidR="00245042" w:rsidRDefault="00245042">
      <w:pPr>
        <w:pStyle w:val="FootnoteText"/>
      </w:pPr>
      <w:r>
        <w:rPr>
          <w:rStyle w:val="FootnoteReference"/>
        </w:rPr>
        <w:footnoteRef/>
      </w:r>
      <w:r>
        <w:t xml:space="preserve"> </w:t>
      </w:r>
      <w:r w:rsidR="00440081">
        <w:tab/>
      </w:r>
      <w:r w:rsidR="00440081" w:rsidRPr="00031661">
        <w:rPr>
          <w:i/>
        </w:rPr>
        <w:t xml:space="preserve">Treasury </w:t>
      </w:r>
      <w:r w:rsidR="0034258C" w:rsidRPr="00031661">
        <w:rPr>
          <w:i/>
        </w:rPr>
        <w:t>L</w:t>
      </w:r>
      <w:r w:rsidR="00440081" w:rsidRPr="00031661">
        <w:rPr>
          <w:i/>
        </w:rPr>
        <w:t xml:space="preserve">aws </w:t>
      </w:r>
      <w:r w:rsidR="0034258C" w:rsidRPr="00031661">
        <w:rPr>
          <w:i/>
        </w:rPr>
        <w:t>A</w:t>
      </w:r>
      <w:r w:rsidR="00440081" w:rsidRPr="00031661">
        <w:rPr>
          <w:i/>
        </w:rPr>
        <w:t>mendment (</w:t>
      </w:r>
      <w:r w:rsidR="0034258C" w:rsidRPr="00031661">
        <w:rPr>
          <w:i/>
        </w:rPr>
        <w:t>M</w:t>
      </w:r>
      <w:r w:rsidR="00440081" w:rsidRPr="00031661">
        <w:rPr>
          <w:i/>
        </w:rPr>
        <w:t xml:space="preserve">ore </w:t>
      </w:r>
      <w:r w:rsidR="00F15403" w:rsidRPr="00031661">
        <w:rPr>
          <w:i/>
        </w:rPr>
        <w:t>C</w:t>
      </w:r>
      <w:r w:rsidR="00440081" w:rsidRPr="00031661">
        <w:rPr>
          <w:i/>
        </w:rPr>
        <w:t xml:space="preserve">ompetition, </w:t>
      </w:r>
      <w:r w:rsidR="00326794" w:rsidRPr="00031661">
        <w:rPr>
          <w:i/>
        </w:rPr>
        <w:t>B</w:t>
      </w:r>
      <w:r w:rsidR="00440081" w:rsidRPr="00031661">
        <w:rPr>
          <w:i/>
        </w:rPr>
        <w:t xml:space="preserve">etter </w:t>
      </w:r>
      <w:r w:rsidR="00326794" w:rsidRPr="00031661">
        <w:rPr>
          <w:i/>
        </w:rPr>
        <w:t>P</w:t>
      </w:r>
      <w:r w:rsidR="00440081" w:rsidRPr="00031661">
        <w:rPr>
          <w:i/>
        </w:rPr>
        <w:t xml:space="preserve">rices) </w:t>
      </w:r>
      <w:r w:rsidR="00F076D8" w:rsidRPr="00031661">
        <w:rPr>
          <w:i/>
        </w:rPr>
        <w:t>Act</w:t>
      </w:r>
      <w:r w:rsidR="00F076D8" w:rsidRPr="00031661">
        <w:t xml:space="preserve"> </w:t>
      </w:r>
      <w:r w:rsidR="00440081" w:rsidRPr="00031661">
        <w:rPr>
          <w:i/>
        </w:rPr>
        <w:t>2022</w:t>
      </w:r>
      <w:r w:rsidR="00D80792">
        <w:rPr>
          <w:i/>
          <w:iCs/>
        </w:rPr>
        <w:t>.</w:t>
      </w:r>
      <w:r w:rsidR="00440081">
        <w:t xml:space="preserve"> </w:t>
      </w:r>
    </w:p>
  </w:footnote>
  <w:footnote w:id="39">
    <w:p w14:paraId="33F722FB" w14:textId="57054FC6" w:rsidR="000774FC" w:rsidRDefault="000774FC">
      <w:pPr>
        <w:pStyle w:val="FootnoteText"/>
      </w:pPr>
      <w:r>
        <w:rPr>
          <w:rStyle w:val="FootnoteReference"/>
        </w:rPr>
        <w:footnoteRef/>
      </w:r>
      <w:r>
        <w:t xml:space="preserve"> </w:t>
      </w:r>
      <w:r>
        <w:tab/>
      </w:r>
      <w:r w:rsidR="00734E72" w:rsidRPr="00031661">
        <w:t>Subject to certain exceptions, goods and services acquired for business use are covered by consumer guarantees where either (i) they cost less than $100,000, (ii) if they cost over $100,000, are commonly bought for personal, domestic or household use or (iii) the good is a vehicle or trailer that is used mainly to transport goods on public roads.</w:t>
      </w:r>
    </w:p>
  </w:footnote>
  <w:footnote w:id="40">
    <w:p w14:paraId="17AD4581" w14:textId="3723DB47" w:rsidR="00765407" w:rsidRDefault="00765407">
      <w:pPr>
        <w:pStyle w:val="FootnoteText"/>
      </w:pPr>
      <w:r>
        <w:rPr>
          <w:rStyle w:val="FootnoteReference"/>
        </w:rPr>
        <w:footnoteRef/>
      </w:r>
      <w:r>
        <w:t xml:space="preserve"> </w:t>
      </w:r>
      <w:r>
        <w:tab/>
      </w:r>
      <w:r w:rsidR="0037124D" w:rsidRPr="00BC44E7">
        <w:t xml:space="preserve">Treasury, </w:t>
      </w:r>
      <w:hyperlink r:id="rId16" w:history="1">
        <w:r w:rsidR="0037124D" w:rsidRPr="00C543B3">
          <w:rPr>
            <w:rStyle w:val="Hyperlink"/>
          </w:rPr>
          <w:t>Unfair trading practices, Consultation paper</w:t>
        </w:r>
      </w:hyperlink>
      <w:r w:rsidR="0037124D" w:rsidRPr="00BC44E7">
        <w:t>, November 2024</w:t>
      </w:r>
      <w:r w:rsidR="0037124D">
        <w:t>; The Hon Michelle Rowland MP</w:t>
      </w:r>
      <w:r w:rsidR="0037124D" w:rsidRPr="009D304B">
        <w:t xml:space="preserve">, </w:t>
      </w:r>
      <w:hyperlink r:id="rId17" w:anchor=":~:text=The%20Digital%20Duty%20of%20Care,by%20Ms%20Delia%20Rickard%20PSM." w:history="1">
        <w:r w:rsidR="0037124D" w:rsidRPr="0080201A">
          <w:rPr>
            <w:rStyle w:val="Hyperlink"/>
          </w:rPr>
          <w:t>New Duty of Care obligations on platforms will keep Australians safer online</w:t>
        </w:r>
      </w:hyperlink>
      <w:r w:rsidR="0037124D">
        <w:rPr>
          <w:i/>
          <w:iCs/>
        </w:rPr>
        <w:t xml:space="preserve">, </w:t>
      </w:r>
      <w:r w:rsidR="0037124D">
        <w:t>November 2024.</w:t>
      </w:r>
    </w:p>
  </w:footnote>
  <w:footnote w:id="41">
    <w:p w14:paraId="1159454B" w14:textId="77777777" w:rsidR="00116E0F" w:rsidRDefault="00116E0F" w:rsidP="00116E0F">
      <w:pPr>
        <w:pStyle w:val="FootnoteText"/>
      </w:pPr>
      <w:r>
        <w:rPr>
          <w:rStyle w:val="FootnoteReference"/>
        </w:rPr>
        <w:footnoteRef/>
      </w:r>
      <w:r>
        <w:t xml:space="preserve"> </w:t>
      </w:r>
      <w:r>
        <w:tab/>
        <w:t>The descriptions of the various guarantees above synthesise relevant provisions but are not intended as legally accurate statements of law.</w:t>
      </w:r>
    </w:p>
  </w:footnote>
  <w:footnote w:id="42">
    <w:p w14:paraId="3BE31D6C" w14:textId="0E07B810" w:rsidR="00BB117A" w:rsidRPr="00D8595F" w:rsidRDefault="00BB117A" w:rsidP="00BB117A">
      <w:pPr>
        <w:pStyle w:val="FootnoteText"/>
      </w:pPr>
      <w:r w:rsidRPr="00D8595F">
        <w:rPr>
          <w:rStyle w:val="FootnoteReference"/>
        </w:rPr>
        <w:footnoteRef/>
      </w:r>
      <w:r w:rsidRPr="00D8595F">
        <w:t xml:space="preserve"> </w:t>
      </w:r>
      <w:r w:rsidR="00511B56">
        <w:tab/>
      </w:r>
      <w:r w:rsidRPr="00D8595F">
        <w:rPr>
          <w:i/>
        </w:rPr>
        <w:t xml:space="preserve">ACL </w:t>
      </w:r>
      <w:r w:rsidRPr="00D8595F">
        <w:t xml:space="preserve">s 2. </w:t>
      </w:r>
    </w:p>
  </w:footnote>
  <w:footnote w:id="43">
    <w:p w14:paraId="12EC8C88" w14:textId="787EBA65" w:rsidR="00BB117A" w:rsidRDefault="00BB117A" w:rsidP="00BB117A">
      <w:pPr>
        <w:pStyle w:val="FootnoteText"/>
      </w:pPr>
      <w:r w:rsidRPr="00D8595F">
        <w:rPr>
          <w:rStyle w:val="FootnoteReference"/>
        </w:rPr>
        <w:footnoteRef/>
      </w:r>
      <w:r w:rsidRPr="00D8595F">
        <w:t xml:space="preserve"> </w:t>
      </w:r>
      <w:r w:rsidR="00511B56">
        <w:tab/>
      </w:r>
      <w:r w:rsidRPr="00D8595F">
        <w:rPr>
          <w:i/>
          <w:iCs/>
        </w:rPr>
        <w:t xml:space="preserve">ACL </w:t>
      </w:r>
      <w:r w:rsidRPr="00D8595F">
        <w:t>s 2.</w:t>
      </w:r>
      <w:r>
        <w:t xml:space="preserve"> </w:t>
      </w:r>
    </w:p>
  </w:footnote>
  <w:footnote w:id="44">
    <w:p w14:paraId="17D7FE26" w14:textId="23D7E29D" w:rsidR="00BB117A" w:rsidRPr="00D13E2C" w:rsidRDefault="00BB117A" w:rsidP="00BB117A">
      <w:pPr>
        <w:pStyle w:val="FootnoteText"/>
      </w:pPr>
      <w:r w:rsidRPr="00D13E2C">
        <w:rPr>
          <w:rStyle w:val="FootnoteReference"/>
        </w:rPr>
        <w:footnoteRef/>
      </w:r>
      <w:r w:rsidRPr="00D13E2C">
        <w:t xml:space="preserve"> </w:t>
      </w:r>
      <w:r w:rsidR="00511B56">
        <w:tab/>
      </w:r>
      <w:r w:rsidRPr="00D13E2C">
        <w:t xml:space="preserve">See, e.g., </w:t>
      </w:r>
      <w:r w:rsidRPr="00D13E2C">
        <w:rPr>
          <w:i/>
          <w:iCs/>
        </w:rPr>
        <w:t xml:space="preserve">Zhang v United Auctions </w:t>
      </w:r>
      <w:r w:rsidRPr="00D13E2C">
        <w:t xml:space="preserve">[2013] NSWCTTT 6. </w:t>
      </w:r>
    </w:p>
  </w:footnote>
  <w:footnote w:id="45">
    <w:p w14:paraId="543DA8E2" w14:textId="28C19306" w:rsidR="00BB117A" w:rsidRPr="00D13E2C" w:rsidRDefault="00BB117A" w:rsidP="00BB117A">
      <w:pPr>
        <w:pStyle w:val="FootnoteText"/>
      </w:pPr>
      <w:r w:rsidRPr="00D13E2C">
        <w:rPr>
          <w:rStyle w:val="FootnoteReference"/>
        </w:rPr>
        <w:footnoteRef/>
      </w:r>
      <w:r w:rsidRPr="00D13E2C">
        <w:t xml:space="preserve"> </w:t>
      </w:r>
      <w:r w:rsidR="00511B56">
        <w:tab/>
      </w:r>
      <w:r w:rsidRPr="00D13E2C">
        <w:rPr>
          <w:i/>
        </w:rPr>
        <w:t>A</w:t>
      </w:r>
      <w:r>
        <w:rPr>
          <w:i/>
        </w:rPr>
        <w:t>CCC</w:t>
      </w:r>
      <w:r w:rsidRPr="00D13E2C">
        <w:rPr>
          <w:i/>
        </w:rPr>
        <w:t xml:space="preserve"> v Valve Corporation (No 3)</w:t>
      </w:r>
      <w:r w:rsidRPr="00D13E2C">
        <w:t xml:space="preserve"> [2016] FCA 196</w:t>
      </w:r>
      <w:r>
        <w:t>.</w:t>
      </w:r>
    </w:p>
  </w:footnote>
  <w:footnote w:id="46">
    <w:p w14:paraId="5C84BEF7" w14:textId="0F64DEDA" w:rsidR="00BB117A" w:rsidRPr="00D13E2C" w:rsidRDefault="00BB117A" w:rsidP="00BB117A">
      <w:pPr>
        <w:pStyle w:val="FootnoteText"/>
      </w:pPr>
      <w:r w:rsidRPr="00D13E2C">
        <w:rPr>
          <w:rStyle w:val="FootnoteReference"/>
        </w:rPr>
        <w:footnoteRef/>
      </w:r>
      <w:r w:rsidRPr="00D13E2C">
        <w:t xml:space="preserve"> </w:t>
      </w:r>
      <w:r w:rsidR="00511B56">
        <w:tab/>
      </w:r>
      <w:hyperlink r:id="rId18" w:history="1">
        <w:r w:rsidR="00E6699F">
          <w:rPr>
            <w:rStyle w:val="Hyperlink"/>
            <w:i/>
          </w:rPr>
          <w:t xml:space="preserve">Explanatory notes to the Consumer Rights Act 2015 </w:t>
        </w:r>
      </w:hyperlink>
      <w:r w:rsidRPr="00D13E2C">
        <w:t xml:space="preserve">(UK) </w:t>
      </w:r>
      <w:r>
        <w:t xml:space="preserve">ch 3. </w:t>
      </w:r>
    </w:p>
  </w:footnote>
  <w:footnote w:id="47">
    <w:p w14:paraId="6B9EF3E7" w14:textId="49AFADE6" w:rsidR="00BB117A" w:rsidRPr="00D13E2C" w:rsidRDefault="00BB117A" w:rsidP="00BB117A">
      <w:pPr>
        <w:pStyle w:val="FootnoteText"/>
      </w:pPr>
      <w:r w:rsidRPr="00D13E2C">
        <w:rPr>
          <w:rStyle w:val="FootnoteReference"/>
        </w:rPr>
        <w:footnoteRef/>
      </w:r>
      <w:r w:rsidRPr="00D13E2C">
        <w:t xml:space="preserve"> </w:t>
      </w:r>
      <w:r w:rsidR="00511B56">
        <w:tab/>
      </w:r>
      <w:r>
        <w:t>David Lindsay, Genevieve Wilkinson and Evana Wright</w:t>
      </w:r>
      <w:r w:rsidRPr="00D13E2C">
        <w:t xml:space="preserve">, ‘Responding to the challenges of </w:t>
      </w:r>
      <w:r w:rsidR="00E6699F">
        <w:t>c</w:t>
      </w:r>
      <w:r w:rsidRPr="00D13E2C">
        <w:t xml:space="preserve">onsumer </w:t>
      </w:r>
      <w:r w:rsidR="00E6699F">
        <w:t>i</w:t>
      </w:r>
      <w:r w:rsidRPr="00D13E2C">
        <w:t xml:space="preserve">nternet of </w:t>
      </w:r>
      <w:r w:rsidR="00E6699F">
        <w:t>t</w:t>
      </w:r>
      <w:r w:rsidRPr="00D13E2C">
        <w:t>hings devices: The case of reforming the Australian consumer guarantees’</w:t>
      </w:r>
      <w:r>
        <w:t xml:space="preserve"> (</w:t>
      </w:r>
      <w:r w:rsidRPr="00D13E2C">
        <w:t>2022</w:t>
      </w:r>
      <w:r>
        <w:t>)</w:t>
      </w:r>
      <w:r w:rsidRPr="00D13E2C">
        <w:t xml:space="preserve"> 29(3)</w:t>
      </w:r>
      <w:r>
        <w:t>1</w:t>
      </w:r>
      <w:r w:rsidRPr="00D13E2C">
        <w:rPr>
          <w:i/>
          <w:iCs/>
        </w:rPr>
        <w:t xml:space="preserve"> Competition and Consumer Law Journal</w:t>
      </w:r>
      <w:r>
        <w:t xml:space="preserve"> 226. </w:t>
      </w:r>
    </w:p>
  </w:footnote>
  <w:footnote w:id="48">
    <w:p w14:paraId="4BFFCD84" w14:textId="66F45EEE" w:rsidR="00BB117A" w:rsidRDefault="00BB117A" w:rsidP="00BB117A">
      <w:pPr>
        <w:pStyle w:val="FootnoteText"/>
      </w:pPr>
      <w:r w:rsidRPr="00A94D94">
        <w:rPr>
          <w:rStyle w:val="FootnoteReference"/>
        </w:rPr>
        <w:footnoteRef/>
      </w:r>
      <w:r w:rsidRPr="00A94D94">
        <w:t xml:space="preserve"> </w:t>
      </w:r>
      <w:r w:rsidR="00511B56">
        <w:tab/>
      </w:r>
      <w:r w:rsidRPr="00A94D94">
        <w:rPr>
          <w:i/>
          <w:iCs/>
        </w:rPr>
        <w:t xml:space="preserve">ACL </w:t>
      </w:r>
      <w:r w:rsidRPr="00A94D94">
        <w:t>s 2.</w:t>
      </w:r>
      <w:r>
        <w:t xml:space="preserve"> </w:t>
      </w:r>
    </w:p>
  </w:footnote>
  <w:footnote w:id="49">
    <w:p w14:paraId="2F7C30AC" w14:textId="7657D591" w:rsidR="00BB117A" w:rsidRPr="00D13E2C" w:rsidRDefault="00BB117A" w:rsidP="00BB117A">
      <w:pPr>
        <w:pStyle w:val="FootnoteText"/>
      </w:pPr>
      <w:r w:rsidRPr="00D13E2C">
        <w:rPr>
          <w:rStyle w:val="FootnoteReference"/>
        </w:rPr>
        <w:footnoteRef/>
      </w:r>
      <w:r>
        <w:t xml:space="preserve"> </w:t>
      </w:r>
      <w:r w:rsidR="00511B56">
        <w:tab/>
      </w:r>
      <w:r>
        <w:t xml:space="preserve">ACCC, </w:t>
      </w:r>
      <w:hyperlink r:id="rId19" w:history="1">
        <w:r w:rsidRPr="003D3408">
          <w:rPr>
            <w:rStyle w:val="Hyperlink"/>
          </w:rPr>
          <w:t>Improving consumer guarantees and supplier indemnification provisions under the ACL, Submission</w:t>
        </w:r>
        <w:r w:rsidR="00345DB6" w:rsidRPr="003D3408">
          <w:rPr>
            <w:rStyle w:val="Hyperlink"/>
          </w:rPr>
          <w:t xml:space="preserve"> [</w:t>
        </w:r>
        <w:r w:rsidR="008A621D">
          <w:rPr>
            <w:rStyle w:val="Hyperlink"/>
          </w:rPr>
          <w:t xml:space="preserve">PDF </w:t>
        </w:r>
        <w:r w:rsidR="003D3408" w:rsidRPr="003D3408">
          <w:rPr>
            <w:rStyle w:val="Hyperlink"/>
          </w:rPr>
          <w:t>461 KB]</w:t>
        </w:r>
      </w:hyperlink>
      <w:r>
        <w:t xml:space="preserve">, February 2022. </w:t>
      </w:r>
      <w:r w:rsidRPr="00D13E2C">
        <w:t xml:space="preserve"> </w:t>
      </w:r>
    </w:p>
  </w:footnote>
  <w:footnote w:id="50">
    <w:p w14:paraId="4A6409A8" w14:textId="5542F0F8" w:rsidR="00BB117A" w:rsidRPr="00D13E2C" w:rsidRDefault="00BB117A" w:rsidP="00BB117A">
      <w:pPr>
        <w:pStyle w:val="FootnoteText"/>
      </w:pPr>
      <w:r w:rsidRPr="00D13E2C">
        <w:rPr>
          <w:rStyle w:val="FootnoteReference"/>
        </w:rPr>
        <w:footnoteRef/>
      </w:r>
      <w:r>
        <w:t xml:space="preserve"> </w:t>
      </w:r>
      <w:r w:rsidR="00511B56">
        <w:tab/>
      </w:r>
      <w:r>
        <w:t xml:space="preserve">ACMA, </w:t>
      </w:r>
      <w:hyperlink r:id="rId20" w:history="1">
        <w:r w:rsidRPr="009607C3">
          <w:rPr>
            <w:rStyle w:val="Hyperlink"/>
          </w:rPr>
          <w:t>Communications and media in Australia series – How we use the internet: Executive summary and key findings</w:t>
        </w:r>
        <w:r w:rsidR="00FC3CCD" w:rsidRPr="009607C3">
          <w:rPr>
            <w:rStyle w:val="Hyperlink"/>
          </w:rPr>
          <w:t xml:space="preserve"> [</w:t>
        </w:r>
        <w:r w:rsidR="008A621D">
          <w:rPr>
            <w:rStyle w:val="Hyperlink"/>
          </w:rPr>
          <w:t xml:space="preserve">PDF </w:t>
        </w:r>
        <w:r w:rsidR="00FC3CCD" w:rsidRPr="009607C3">
          <w:rPr>
            <w:rStyle w:val="Hyperlink"/>
          </w:rPr>
          <w:t>231 KB</w:t>
        </w:r>
        <w:r w:rsidR="009607C3" w:rsidRPr="009607C3">
          <w:rPr>
            <w:rStyle w:val="Hyperlink"/>
          </w:rPr>
          <w:t>]</w:t>
        </w:r>
      </w:hyperlink>
      <w:r>
        <w:t>, December 2022, p 4.</w:t>
      </w:r>
    </w:p>
  </w:footnote>
  <w:footnote w:id="51">
    <w:p w14:paraId="50806C00" w14:textId="766496FE" w:rsidR="003F1419" w:rsidRDefault="003F1419" w:rsidP="003F1419">
      <w:pPr>
        <w:pStyle w:val="FootnoteText"/>
      </w:pPr>
      <w:r>
        <w:rPr>
          <w:rStyle w:val="FootnoteReference"/>
        </w:rPr>
        <w:footnoteRef/>
      </w:r>
      <w:r>
        <w:t xml:space="preserve"> </w:t>
      </w:r>
      <w:r w:rsidR="00511B56">
        <w:tab/>
      </w:r>
      <w:r>
        <w:rPr>
          <w:i/>
          <w:iCs/>
        </w:rPr>
        <w:t xml:space="preserve">ACL </w:t>
      </w:r>
      <w:r>
        <w:t>Ch 5, Pt 5-4.</w:t>
      </w:r>
    </w:p>
  </w:footnote>
  <w:footnote w:id="52">
    <w:p w14:paraId="31397E6A" w14:textId="77777777" w:rsidR="00D74220" w:rsidRPr="007718DD" w:rsidRDefault="00D74220" w:rsidP="00D74220">
      <w:pPr>
        <w:pStyle w:val="FootnoteText"/>
        <w:rPr>
          <w:rFonts w:cs="Calibri Light"/>
        </w:rPr>
      </w:pPr>
      <w:r w:rsidRPr="00D13E2C">
        <w:rPr>
          <w:rStyle w:val="FootnoteReference"/>
        </w:rPr>
        <w:footnoteRef/>
      </w:r>
      <w:r>
        <w:rPr>
          <w:rFonts w:cs="Calibri Light"/>
        </w:rPr>
        <w:t xml:space="preserve"> </w:t>
      </w:r>
      <w:r>
        <w:rPr>
          <w:rFonts w:cs="Calibri Light"/>
        </w:rPr>
        <w:tab/>
      </w:r>
      <w:r w:rsidRPr="00D13E2C">
        <w:rPr>
          <w:rFonts w:cs="Calibri Light"/>
        </w:rPr>
        <w:t>There is a major failure if a good or service has a major failure as described above, or 2 or more failures that are not major failures individually but, when taken as a whole, would have stopped a reasonable consumer fully acquainted with the nature and extent of the problems from buying the good or service</w:t>
      </w:r>
      <w:r>
        <w:rPr>
          <w:rFonts w:cs="Calibri Light"/>
        </w:rPr>
        <w:t xml:space="preserve">: </w:t>
      </w:r>
      <w:r>
        <w:rPr>
          <w:rFonts w:cs="Calibri Light"/>
          <w:i/>
          <w:iCs/>
        </w:rPr>
        <w:t xml:space="preserve">ACL </w:t>
      </w:r>
      <w:r>
        <w:rPr>
          <w:rFonts w:cs="Calibri Light"/>
        </w:rPr>
        <w:t>ss 260, 268.</w:t>
      </w:r>
    </w:p>
  </w:footnote>
  <w:footnote w:id="53">
    <w:p w14:paraId="526B9663" w14:textId="19D01290" w:rsidR="003F1419" w:rsidRPr="00D13E2C" w:rsidRDefault="003F1419" w:rsidP="003F1419">
      <w:pPr>
        <w:pStyle w:val="FootnoteText"/>
      </w:pPr>
      <w:r w:rsidRPr="00D13E2C">
        <w:rPr>
          <w:rStyle w:val="FootnoteReference"/>
        </w:rPr>
        <w:footnoteRef/>
      </w:r>
      <w:r w:rsidR="00511B56">
        <w:t xml:space="preserve"> </w:t>
      </w:r>
      <w:r w:rsidR="00511B56">
        <w:tab/>
      </w:r>
      <w:r w:rsidRPr="00D13E2C">
        <w:t>Kantar Public</w:t>
      </w:r>
      <w:r>
        <w:t xml:space="preserve">, Australian Consumer Law Survey, </w:t>
      </w:r>
      <w:r w:rsidR="00E6699F" w:rsidRPr="00E37646">
        <w:t>Final report</w:t>
      </w:r>
      <w:r>
        <w:t xml:space="preserve">, December </w:t>
      </w:r>
      <w:r w:rsidRPr="00D13E2C">
        <w:t xml:space="preserve">2023, </w:t>
      </w:r>
      <w:hyperlink r:id="rId21" w:history="1">
        <w:r w:rsidRPr="00D13E2C">
          <w:rPr>
            <w:rStyle w:val="Hyperlink"/>
            <w:i/>
            <w:iCs/>
          </w:rPr>
          <w:t>Australian Consumer Survey 2023 Final Report</w:t>
        </w:r>
      </w:hyperlink>
      <w:r w:rsidRPr="00D13E2C">
        <w:t>, p 71, Australian Consumer Law website.</w:t>
      </w:r>
    </w:p>
  </w:footnote>
  <w:footnote w:id="54">
    <w:p w14:paraId="04754230" w14:textId="06AA4690" w:rsidR="003F1419" w:rsidRPr="00D13E2C" w:rsidRDefault="003F1419" w:rsidP="003F1419">
      <w:pPr>
        <w:pStyle w:val="FootnoteText"/>
      </w:pPr>
      <w:r w:rsidRPr="00D13E2C">
        <w:rPr>
          <w:rStyle w:val="FootnoteReference"/>
        </w:rPr>
        <w:footnoteRef/>
      </w:r>
      <w:r w:rsidR="00511B56">
        <w:t xml:space="preserve"> </w:t>
      </w:r>
      <w:r w:rsidR="00511B56">
        <w:tab/>
      </w:r>
      <w:r w:rsidRPr="00D13E2C">
        <w:t>See</w:t>
      </w:r>
      <w:r>
        <w:t>, e.g.,</w:t>
      </w:r>
      <w:r w:rsidRPr="00D13E2C">
        <w:t xml:space="preserve"> </w:t>
      </w:r>
      <w:r w:rsidRPr="00DC55C2">
        <w:rPr>
          <w:i/>
        </w:rPr>
        <w:t>Capic v Ford Motor Company</w:t>
      </w:r>
      <w:r w:rsidRPr="003D6863">
        <w:rPr>
          <w:i/>
        </w:rPr>
        <w:t xml:space="preserve"> (No 3) </w:t>
      </w:r>
      <w:r w:rsidRPr="00D13E2C">
        <w:t>[2017] FCA 221.</w:t>
      </w:r>
    </w:p>
  </w:footnote>
  <w:footnote w:id="55">
    <w:p w14:paraId="21D9C2F7" w14:textId="1FCA8508" w:rsidR="0020121F" w:rsidRDefault="0020121F">
      <w:pPr>
        <w:pStyle w:val="FootnoteText"/>
      </w:pPr>
      <w:r>
        <w:rPr>
          <w:rStyle w:val="FootnoteReference"/>
        </w:rPr>
        <w:footnoteRef/>
      </w:r>
      <w:r>
        <w:t xml:space="preserve"> </w:t>
      </w:r>
      <w:r w:rsidR="00677B49">
        <w:tab/>
      </w:r>
      <w:hyperlink r:id="rId22" w:history="1">
        <w:r w:rsidR="00677B49" w:rsidRPr="00972125">
          <w:rPr>
            <w:rStyle w:val="Hyperlink"/>
          </w:rPr>
          <w:t>Proposal for a Directive of the European Parliament and of Council on adapting non-contractual civil liability rules to artificial intelligence (AI Liability Directive) (Explanatory Memorandum, No COM(2022)496 final, 28 September 2022)</w:t>
        </w:r>
        <w:r w:rsidR="00CF56CF" w:rsidRPr="00972125">
          <w:rPr>
            <w:rStyle w:val="Hyperlink"/>
          </w:rPr>
          <w:t>.</w:t>
        </w:r>
      </w:hyperlink>
    </w:p>
  </w:footnote>
  <w:footnote w:id="56">
    <w:p w14:paraId="2178E655" w14:textId="59AAB7AA" w:rsidR="003F1419" w:rsidRPr="00D13E2C" w:rsidRDefault="003F1419" w:rsidP="003F1419">
      <w:pPr>
        <w:pStyle w:val="FootnoteText"/>
      </w:pPr>
      <w:r w:rsidRPr="00D13E2C">
        <w:rPr>
          <w:rStyle w:val="FootnoteReference"/>
        </w:rPr>
        <w:footnoteRef/>
      </w:r>
      <w:r w:rsidR="00511B56">
        <w:t xml:space="preserve"> </w:t>
      </w:r>
      <w:r w:rsidR="00511B56">
        <w:tab/>
      </w:r>
      <w:r w:rsidRPr="00D13E2C">
        <w:t>Where the manufacturer of a good does not have a place of business in Australia, the ACL defines the term ‘manufacturer’ to include a person who imports goods into Australia</w:t>
      </w:r>
      <w:r>
        <w:t xml:space="preserve">: </w:t>
      </w:r>
      <w:r>
        <w:rPr>
          <w:i/>
          <w:iCs/>
        </w:rPr>
        <w:t xml:space="preserve">ACL </w:t>
      </w:r>
      <w:r>
        <w:t>s 7</w:t>
      </w:r>
      <w:r w:rsidRPr="00D13E2C">
        <w:t xml:space="preserve">. A reference to </w:t>
      </w:r>
      <w:r>
        <w:t>‘</w:t>
      </w:r>
      <w:r w:rsidRPr="00D13E2C">
        <w:t>manufacturer</w:t>
      </w:r>
      <w:r>
        <w:t>’</w:t>
      </w:r>
      <w:r w:rsidRPr="00D13E2C">
        <w:t xml:space="preserve"> in this report should be read as including </w:t>
      </w:r>
      <w:r>
        <w:t>‘</w:t>
      </w:r>
      <w:r w:rsidRPr="00D13E2C">
        <w:t>importer</w:t>
      </w:r>
      <w:r>
        <w:t>’</w:t>
      </w:r>
      <w:r w:rsidRPr="00D13E2C">
        <w:t>.</w:t>
      </w:r>
    </w:p>
  </w:footnote>
  <w:footnote w:id="57">
    <w:p w14:paraId="36291BE1" w14:textId="363F72A9" w:rsidR="003F1419" w:rsidRPr="00D13E2C" w:rsidRDefault="003F1419" w:rsidP="003F1419">
      <w:pPr>
        <w:pStyle w:val="FootnoteText"/>
      </w:pPr>
      <w:r w:rsidRPr="00D13E2C">
        <w:rPr>
          <w:rStyle w:val="FootnoteReference"/>
        </w:rPr>
        <w:footnoteRef/>
      </w:r>
      <w:r w:rsidR="00511B56">
        <w:t xml:space="preserve"> </w:t>
      </w:r>
      <w:r w:rsidR="00511B56">
        <w:tab/>
      </w:r>
      <w:r w:rsidRPr="00D13E2C">
        <w:t>Manufacturers may, however, limit their liability in relation to goods which are not ordinarily acquired for personal, domestic, or household use (i.e. certain commercial goods)</w:t>
      </w:r>
      <w:r>
        <w:t xml:space="preserve">: </w:t>
      </w:r>
      <w:r>
        <w:rPr>
          <w:i/>
          <w:iCs/>
        </w:rPr>
        <w:t xml:space="preserve">ACL </w:t>
      </w:r>
      <w:r>
        <w:t xml:space="preserve">s 276A. </w:t>
      </w:r>
    </w:p>
  </w:footnote>
  <w:footnote w:id="58">
    <w:p w14:paraId="621F47C6" w14:textId="3420AA1D" w:rsidR="003F1419" w:rsidRPr="00D13E2C" w:rsidRDefault="003F1419" w:rsidP="003F1419">
      <w:pPr>
        <w:pStyle w:val="FootnoteText"/>
      </w:pPr>
      <w:r w:rsidRPr="00D13E2C">
        <w:rPr>
          <w:rStyle w:val="FootnoteReference"/>
        </w:rPr>
        <w:footnoteRef/>
      </w:r>
      <w:r w:rsidR="00511B56">
        <w:rPr>
          <w:i/>
          <w:iCs/>
        </w:rPr>
        <w:t xml:space="preserve"> </w:t>
      </w:r>
      <w:r w:rsidR="00511B56">
        <w:rPr>
          <w:i/>
          <w:iCs/>
        </w:rPr>
        <w:tab/>
      </w:r>
      <w:r>
        <w:rPr>
          <w:i/>
          <w:iCs/>
        </w:rPr>
        <w:t xml:space="preserve">ACL </w:t>
      </w:r>
      <w:r>
        <w:t xml:space="preserve">s 147. </w:t>
      </w:r>
    </w:p>
  </w:footnote>
  <w:footnote w:id="59">
    <w:p w14:paraId="65116A3E" w14:textId="770C4846" w:rsidR="003F1419" w:rsidRPr="00D13E2C" w:rsidRDefault="003F1419" w:rsidP="003F1419">
      <w:pPr>
        <w:pStyle w:val="FootnoteText"/>
      </w:pPr>
      <w:r w:rsidRPr="00D13E2C">
        <w:rPr>
          <w:rStyle w:val="FootnoteReference"/>
        </w:rPr>
        <w:footnoteRef/>
      </w:r>
      <w:r w:rsidRPr="00D13E2C">
        <w:t xml:space="preserve"> </w:t>
      </w:r>
      <w:r w:rsidR="00511B56">
        <w:tab/>
      </w:r>
      <w:r w:rsidRPr="00C14307">
        <w:rPr>
          <w:i/>
        </w:rPr>
        <w:t>Competition and Consumer Act 2010</w:t>
      </w:r>
      <w:r w:rsidRPr="00D13E2C">
        <w:t xml:space="preserve"> s 139B.</w:t>
      </w:r>
    </w:p>
  </w:footnote>
  <w:footnote w:id="60">
    <w:p w14:paraId="6825BB44" w14:textId="5DCBD48F" w:rsidR="003F1419" w:rsidRPr="00D13E2C" w:rsidRDefault="003F1419" w:rsidP="003F1419">
      <w:pPr>
        <w:pStyle w:val="FootnoteText"/>
      </w:pPr>
      <w:r w:rsidRPr="00D13E2C">
        <w:rPr>
          <w:rStyle w:val="FootnoteReference"/>
        </w:rPr>
        <w:footnoteRef/>
      </w:r>
      <w:r w:rsidRPr="00D13E2C">
        <w:t xml:space="preserve"> </w:t>
      </w:r>
      <w:r w:rsidR="00511B56">
        <w:tab/>
      </w:r>
      <w:r>
        <w:t xml:space="preserve">ALRC, Corporate </w:t>
      </w:r>
      <w:r w:rsidR="00174F53">
        <w:t>c</w:t>
      </w:r>
      <w:r>
        <w:t xml:space="preserve">riminal </w:t>
      </w:r>
      <w:r w:rsidR="00174F53">
        <w:t>r</w:t>
      </w:r>
      <w:r>
        <w:t xml:space="preserve">esponsibility, </w:t>
      </w:r>
      <w:hyperlink r:id="rId23" w:history="1">
        <w:r w:rsidR="00174F53">
          <w:rPr>
            <w:rStyle w:val="Hyperlink"/>
          </w:rPr>
          <w:t>Discussion paper 87</w:t>
        </w:r>
      </w:hyperlink>
      <w:r w:rsidRPr="00D13E2C">
        <w:t>,</w:t>
      </w:r>
      <w:r>
        <w:t xml:space="preserve"> November 2019. </w:t>
      </w:r>
      <w:r w:rsidRPr="00D13E2C">
        <w:t xml:space="preserve"> </w:t>
      </w:r>
    </w:p>
  </w:footnote>
  <w:footnote w:id="61">
    <w:p w14:paraId="0A8E0B61" w14:textId="05A0534A" w:rsidR="003F1419" w:rsidRPr="00D13E2C" w:rsidRDefault="003F1419" w:rsidP="003F1419">
      <w:pPr>
        <w:pStyle w:val="FootnoteText"/>
      </w:pPr>
      <w:r w:rsidRPr="00D13E2C">
        <w:rPr>
          <w:rStyle w:val="FootnoteReference"/>
        </w:rPr>
        <w:footnoteRef/>
      </w:r>
      <w:r w:rsidRPr="00D13E2C">
        <w:t xml:space="preserve"> </w:t>
      </w:r>
      <w:r w:rsidR="00511B56">
        <w:tab/>
      </w:r>
      <w:r>
        <w:t xml:space="preserve">ALRC, Corporate </w:t>
      </w:r>
      <w:r w:rsidR="00174F53">
        <w:t>c</w:t>
      </w:r>
      <w:r>
        <w:t xml:space="preserve">riminal </w:t>
      </w:r>
      <w:r w:rsidR="00174F53">
        <w:t>r</w:t>
      </w:r>
      <w:r>
        <w:t xml:space="preserve">esponsibility, </w:t>
      </w:r>
      <w:hyperlink r:id="rId24" w:history="1">
        <w:r w:rsidR="00174F53">
          <w:rPr>
            <w:rStyle w:val="Hyperlink"/>
          </w:rPr>
          <w:t>ALRC report 136</w:t>
        </w:r>
      </w:hyperlink>
      <w:r>
        <w:t xml:space="preserve">, August 2020. </w:t>
      </w:r>
    </w:p>
  </w:footnote>
  <w:footnote w:id="62">
    <w:p w14:paraId="06573C64" w14:textId="1738DE57" w:rsidR="003F1419" w:rsidRPr="00981B90" w:rsidRDefault="003F1419" w:rsidP="003F1419">
      <w:pPr>
        <w:pStyle w:val="FootnoteText"/>
      </w:pPr>
      <w:r>
        <w:rPr>
          <w:rStyle w:val="FootnoteReference"/>
        </w:rPr>
        <w:footnoteRef/>
      </w:r>
      <w:r>
        <w:t xml:space="preserve"> </w:t>
      </w:r>
      <w:r w:rsidR="00511B56">
        <w:tab/>
      </w:r>
      <w:r>
        <w:rPr>
          <w:i/>
          <w:iCs/>
        </w:rPr>
        <w:t xml:space="preserve">ACL </w:t>
      </w:r>
      <w:r>
        <w:t>s 9.</w:t>
      </w:r>
    </w:p>
  </w:footnote>
  <w:footnote w:id="63">
    <w:p w14:paraId="5BB48BFD" w14:textId="12367008" w:rsidR="003F1419" w:rsidRPr="00D13E2C" w:rsidRDefault="003F1419" w:rsidP="003F1419">
      <w:pPr>
        <w:pStyle w:val="FootnoteText"/>
      </w:pPr>
      <w:r w:rsidRPr="00D13E2C">
        <w:rPr>
          <w:rStyle w:val="FootnoteReference"/>
        </w:rPr>
        <w:footnoteRef/>
      </w:r>
      <w:r w:rsidRPr="00D13E2C">
        <w:t xml:space="preserve"> </w:t>
      </w:r>
      <w:r w:rsidR="00511B56">
        <w:tab/>
      </w:r>
      <w:r w:rsidRPr="00D13E2C">
        <w:t xml:space="preserve">The concept of control is already reflected elsewhere in the ACL: see ss 259, 271. </w:t>
      </w:r>
    </w:p>
  </w:footnote>
  <w:footnote w:id="64">
    <w:p w14:paraId="551876C2" w14:textId="69B8EB73" w:rsidR="00232EB0" w:rsidRDefault="00232EB0" w:rsidP="00232EB0">
      <w:pPr>
        <w:pStyle w:val="FootnoteText"/>
      </w:pPr>
      <w:r>
        <w:rPr>
          <w:rStyle w:val="FootnoteReference"/>
        </w:rPr>
        <w:footnoteRef/>
      </w:r>
      <w:r>
        <w:t xml:space="preserve"> </w:t>
      </w:r>
      <w:r w:rsidR="00511B56">
        <w:tab/>
      </w:r>
      <w:r>
        <w:rPr>
          <w:i/>
          <w:iCs/>
        </w:rPr>
        <w:t xml:space="preserve">ACL </w:t>
      </w:r>
      <w:r>
        <w:t xml:space="preserve">ch 5. </w:t>
      </w:r>
    </w:p>
  </w:footnote>
  <w:footnote w:id="65">
    <w:p w14:paraId="2690D721" w14:textId="4790DB1F" w:rsidR="00232EB0" w:rsidRPr="00D13E2C" w:rsidRDefault="00232EB0" w:rsidP="00232EB0">
      <w:pPr>
        <w:pStyle w:val="FootnoteText"/>
      </w:pPr>
      <w:r w:rsidRPr="00D13E2C">
        <w:rPr>
          <w:rStyle w:val="FootnoteReference"/>
        </w:rPr>
        <w:footnoteRef/>
      </w:r>
      <w:r w:rsidRPr="00D13E2C">
        <w:t xml:space="preserve"> </w:t>
      </w:r>
      <w:r w:rsidR="00511B56">
        <w:tab/>
      </w:r>
      <w:r w:rsidRPr="004774FE">
        <w:rPr>
          <w:i/>
        </w:rPr>
        <w:t>ACL</w:t>
      </w:r>
      <w:r w:rsidRPr="00D13E2C">
        <w:t xml:space="preserve"> </w:t>
      </w:r>
      <w:r>
        <w:t>ss</w:t>
      </w:r>
      <w:r w:rsidRPr="00D13E2C">
        <w:t xml:space="preserve"> 223</w:t>
      </w:r>
      <w:r>
        <w:t>,</w:t>
      </w:r>
      <w:r w:rsidRPr="00D13E2C">
        <w:t xml:space="preserve"> 232</w:t>
      </w:r>
      <w:r>
        <w:t xml:space="preserve">. </w:t>
      </w:r>
    </w:p>
  </w:footnote>
  <w:footnote w:id="66">
    <w:p w14:paraId="1D99E0FC" w14:textId="22F295F6" w:rsidR="00232EB0" w:rsidRPr="00D13E2C" w:rsidRDefault="00232EB0" w:rsidP="00232EB0">
      <w:pPr>
        <w:pStyle w:val="FootnoteText"/>
      </w:pPr>
      <w:r w:rsidRPr="00D13E2C">
        <w:rPr>
          <w:rStyle w:val="FootnoteReference"/>
        </w:rPr>
        <w:footnoteRef/>
      </w:r>
      <w:r>
        <w:t xml:space="preserve"> </w:t>
      </w:r>
      <w:r w:rsidR="00511B56">
        <w:tab/>
      </w:r>
      <w:r w:rsidRPr="004774FE">
        <w:rPr>
          <w:i/>
        </w:rPr>
        <w:t xml:space="preserve">Treasury Laws Amendment (Energy Price Relief Plan) </w:t>
      </w:r>
      <w:r w:rsidRPr="004774FE">
        <w:rPr>
          <w:i/>
          <w:iCs/>
        </w:rPr>
        <w:t>Act</w:t>
      </w:r>
      <w:r w:rsidRPr="004774FE">
        <w:rPr>
          <w:i/>
        </w:rPr>
        <w:t xml:space="preserve"> 2022</w:t>
      </w:r>
      <w:r w:rsidRPr="00D13E2C">
        <w:t>.</w:t>
      </w:r>
    </w:p>
  </w:footnote>
  <w:footnote w:id="67">
    <w:p w14:paraId="0C39B0AF" w14:textId="2D1A7710" w:rsidR="00A07547" w:rsidRPr="00D13E2C" w:rsidRDefault="00A07547" w:rsidP="00A07547">
      <w:pPr>
        <w:pStyle w:val="FootnoteText"/>
      </w:pPr>
      <w:r w:rsidRPr="00D13E2C">
        <w:rPr>
          <w:rStyle w:val="FootnoteReference"/>
        </w:rPr>
        <w:footnoteRef/>
      </w:r>
      <w:r w:rsidRPr="00D13E2C">
        <w:t xml:space="preserve"> </w:t>
      </w:r>
      <w:r w:rsidR="00511B56">
        <w:tab/>
      </w:r>
      <w:hyperlink r:id="rId25" w:history="1">
        <w:r w:rsidRPr="00DA4AFE">
          <w:rPr>
            <w:rStyle w:val="Hyperlink"/>
          </w:rPr>
          <w:t>Regulation (EU) 2023/2854 of the European Parliament and of the Council of 13 December 2023 on harmonised rules on fair access to and use of data</w:t>
        </w:r>
      </w:hyperlink>
      <w:r w:rsidRPr="00D13E2C">
        <w:t>.</w:t>
      </w:r>
    </w:p>
  </w:footnote>
  <w:footnote w:id="68">
    <w:p w14:paraId="1C3BE1FF" w14:textId="01E69A9E" w:rsidR="00A07547" w:rsidRPr="00D13E2C" w:rsidRDefault="00A07547" w:rsidP="00A07547">
      <w:pPr>
        <w:pStyle w:val="FootnoteText"/>
      </w:pPr>
      <w:r w:rsidRPr="00D13E2C">
        <w:rPr>
          <w:rStyle w:val="FootnoteReference"/>
        </w:rPr>
        <w:footnoteRef/>
      </w:r>
      <w:r w:rsidRPr="00D13E2C">
        <w:t xml:space="preserve"> </w:t>
      </w:r>
      <w:r w:rsidR="00511B56">
        <w:tab/>
      </w:r>
      <w:hyperlink r:id="rId26" w:history="1">
        <w:r w:rsidRPr="00A0763E">
          <w:rPr>
            <w:rStyle w:val="Hyperlink"/>
          </w:rPr>
          <w:t>Regulation (EU) 2024/1689 of the European Parliament and of the Council of 13 June 2024 laying down harmonised rules on artificial intelligence</w:t>
        </w:r>
      </w:hyperlink>
      <w:r w:rsidRPr="00D13E2C">
        <w:t>.</w:t>
      </w:r>
    </w:p>
  </w:footnote>
  <w:footnote w:id="69">
    <w:p w14:paraId="4059C4DC" w14:textId="7102EE26" w:rsidR="00A07547" w:rsidRPr="00D13E2C" w:rsidRDefault="00A07547" w:rsidP="00A07547">
      <w:pPr>
        <w:pStyle w:val="FootnoteText"/>
      </w:pPr>
      <w:r w:rsidRPr="00D13E2C">
        <w:rPr>
          <w:rStyle w:val="FootnoteReference"/>
        </w:rPr>
        <w:footnoteRef/>
      </w:r>
      <w:r w:rsidRPr="00D13E2C">
        <w:t xml:space="preserve"> </w:t>
      </w:r>
      <w:r w:rsidR="00511B56">
        <w:tab/>
      </w:r>
      <w:hyperlink r:id="rId27" w:history="1">
        <w:r w:rsidRPr="00A77B1E">
          <w:rPr>
            <w:rStyle w:val="Hyperlink"/>
          </w:rPr>
          <w:t>European Parliament and Council Regulation 2022/2065 of 19 October 2022 on a single market for digital services</w:t>
        </w:r>
      </w:hyperlink>
      <w:r w:rsidRPr="00D13E2C">
        <w:t>.</w:t>
      </w:r>
    </w:p>
  </w:footnote>
  <w:footnote w:id="70">
    <w:p w14:paraId="4EE201DD" w14:textId="1DFB3AD7" w:rsidR="00A07547" w:rsidRPr="00D13E2C" w:rsidRDefault="00A07547" w:rsidP="00A07547">
      <w:pPr>
        <w:pStyle w:val="FootnoteText"/>
      </w:pPr>
      <w:r w:rsidRPr="00D13E2C">
        <w:rPr>
          <w:rStyle w:val="FootnoteReference"/>
        </w:rPr>
        <w:footnoteRef/>
      </w:r>
      <w:r w:rsidRPr="00D13E2C">
        <w:t xml:space="preserve"> </w:t>
      </w:r>
      <w:r w:rsidR="00511B56">
        <w:tab/>
      </w:r>
      <w:hyperlink r:id="rId28" w:history="1">
        <w:r w:rsidRPr="00D60736">
          <w:rPr>
            <w:rStyle w:val="Hyperlink"/>
          </w:rPr>
          <w:t>European Parliament and Council Regulation 2022/1925/EU of 14 September 2022 on contestable and fair markets in the digital sector</w:t>
        </w:r>
      </w:hyperlink>
      <w:r w:rsidRPr="00D13E2C">
        <w:t>.</w:t>
      </w:r>
    </w:p>
  </w:footnote>
  <w:footnote w:id="71">
    <w:p w14:paraId="7D0B2AC0" w14:textId="5D35F28A" w:rsidR="002A0831" w:rsidRDefault="002A0831" w:rsidP="002A0831">
      <w:pPr>
        <w:pStyle w:val="FootnoteText"/>
      </w:pPr>
      <w:r>
        <w:rPr>
          <w:rStyle w:val="FootnoteReference"/>
        </w:rPr>
        <w:footnoteRef/>
      </w:r>
      <w:r>
        <w:t xml:space="preserve"> </w:t>
      </w:r>
      <w:r>
        <w:tab/>
      </w:r>
      <w:r w:rsidR="004C7FDE">
        <w:t xml:space="preserve">ACCC, </w:t>
      </w:r>
      <w:hyperlink r:id="rId29" w:history="1">
        <w:r w:rsidR="004C7FDE" w:rsidRPr="00425D18">
          <w:rPr>
            <w:rStyle w:val="Hyperlink"/>
          </w:rPr>
          <w:t>Digital platform services inquiry 2020-25</w:t>
        </w:r>
      </w:hyperlink>
      <w:r w:rsidR="00425D18">
        <w:t>.</w:t>
      </w:r>
    </w:p>
  </w:footnote>
  <w:footnote w:id="72">
    <w:p w14:paraId="4F6E623C" w14:textId="4680DDDE" w:rsidR="00A07547" w:rsidRDefault="00A07547" w:rsidP="00A07547">
      <w:pPr>
        <w:pStyle w:val="FootnoteText"/>
      </w:pPr>
      <w:r w:rsidRPr="00E06735">
        <w:rPr>
          <w:rStyle w:val="FootnoteReference"/>
        </w:rPr>
        <w:footnoteRef/>
      </w:r>
      <w:r w:rsidRPr="00E06735">
        <w:t xml:space="preserve"> </w:t>
      </w:r>
      <w:r w:rsidR="00511B56">
        <w:tab/>
      </w:r>
      <w:r w:rsidR="00956680">
        <w:t xml:space="preserve">Competition </w:t>
      </w:r>
      <w:r w:rsidR="00ED430B">
        <w:t xml:space="preserve">and </w:t>
      </w:r>
      <w:r w:rsidR="00372B67">
        <w:t>M</w:t>
      </w:r>
      <w:r w:rsidR="00ED430B">
        <w:t xml:space="preserve">arkets </w:t>
      </w:r>
      <w:r w:rsidR="00372B67">
        <w:t>A</w:t>
      </w:r>
      <w:r w:rsidR="00ED430B">
        <w:t xml:space="preserve">uthority, </w:t>
      </w:r>
      <w:hyperlink r:id="rId30" w:history="1">
        <w:r w:rsidR="00E03573">
          <w:rPr>
            <w:rStyle w:val="Hyperlink"/>
          </w:rPr>
          <w:t>CMA AI strategic update</w:t>
        </w:r>
      </w:hyperlink>
      <w:r w:rsidR="00483C48">
        <w:t>, 29 April 2024.</w:t>
      </w:r>
    </w:p>
  </w:footnote>
  <w:footnote w:id="73">
    <w:p w14:paraId="58BB87AA" w14:textId="15946AF5" w:rsidR="00A07547" w:rsidRDefault="00A07547" w:rsidP="00A07547">
      <w:pPr>
        <w:pStyle w:val="FootnoteText"/>
      </w:pPr>
      <w:r>
        <w:rPr>
          <w:rStyle w:val="FootnoteReference"/>
        </w:rPr>
        <w:footnoteRef/>
      </w:r>
      <w:r w:rsidRPr="00E06735">
        <w:t xml:space="preserve"> </w:t>
      </w:r>
      <w:r w:rsidR="00511B56">
        <w:tab/>
      </w:r>
      <w:r w:rsidR="00B43D58">
        <w:t>UK Parliament</w:t>
      </w:r>
      <w:r w:rsidR="00C434D6">
        <w:t xml:space="preserve"> Hansard</w:t>
      </w:r>
      <w:r w:rsidR="00B43D58">
        <w:t xml:space="preserve">, </w:t>
      </w:r>
      <w:hyperlink r:id="rId31" w:history="1">
        <w:r w:rsidR="00C434D6" w:rsidRPr="00372B67">
          <w:rPr>
            <w:rStyle w:val="Hyperlink"/>
          </w:rPr>
          <w:t>King’s Speech</w:t>
        </w:r>
      </w:hyperlink>
      <w:r w:rsidR="00C434D6">
        <w:t>, 17 July 2024</w:t>
      </w:r>
      <w:r>
        <w:t xml:space="preserve">. </w:t>
      </w:r>
    </w:p>
  </w:footnote>
  <w:footnote w:id="74">
    <w:p w14:paraId="2D5065DE" w14:textId="23969142" w:rsidR="00A07547" w:rsidRPr="000E4CE1" w:rsidRDefault="00A07547" w:rsidP="00A07547">
      <w:pPr>
        <w:pStyle w:val="FootnoteText"/>
      </w:pPr>
      <w:r w:rsidRPr="000E4CE1">
        <w:rPr>
          <w:rStyle w:val="FootnoteReference"/>
        </w:rPr>
        <w:footnoteRef/>
      </w:r>
      <w:r w:rsidRPr="000E4CE1">
        <w:t xml:space="preserve"> </w:t>
      </w:r>
      <w:r w:rsidR="00511B56">
        <w:tab/>
      </w:r>
      <w:r w:rsidR="00BE28BE">
        <w:t xml:space="preserve">AI Verify Foundation and Infocomm Media Development Authority, </w:t>
      </w:r>
      <w:hyperlink r:id="rId32" w:history="1">
        <w:r w:rsidR="00BE28BE" w:rsidRPr="00B049C7">
          <w:rPr>
            <w:rStyle w:val="Hyperlink"/>
          </w:rPr>
          <w:t>Model governance framework for generative AI</w:t>
        </w:r>
        <w:r w:rsidR="00B049C7" w:rsidRPr="00B049C7">
          <w:rPr>
            <w:rStyle w:val="Hyperlink"/>
          </w:rPr>
          <w:t xml:space="preserve"> [</w:t>
        </w:r>
        <w:r w:rsidR="00763408">
          <w:rPr>
            <w:rStyle w:val="Hyperlink"/>
          </w:rPr>
          <w:t xml:space="preserve">PDF </w:t>
        </w:r>
        <w:r w:rsidR="00B049C7" w:rsidRPr="00B049C7">
          <w:rPr>
            <w:rStyle w:val="Hyperlink"/>
          </w:rPr>
          <w:t>3.6 MB]</w:t>
        </w:r>
      </w:hyperlink>
      <w:r w:rsidR="00BE28BE" w:rsidRPr="00BE28BE">
        <w:t xml:space="preserve">, </w:t>
      </w:r>
      <w:r w:rsidR="00BE28BE">
        <w:t xml:space="preserve">30 </w:t>
      </w:r>
      <w:r w:rsidR="002F7F29">
        <w:t>M</w:t>
      </w:r>
      <w:r w:rsidR="00BE28BE">
        <w:t>ay 2024.</w:t>
      </w:r>
    </w:p>
  </w:footnote>
  <w:footnote w:id="75">
    <w:p w14:paraId="0060B8B7" w14:textId="63279E92" w:rsidR="00A07547" w:rsidRDefault="00A07547" w:rsidP="00A07547">
      <w:pPr>
        <w:pStyle w:val="FootnoteText"/>
      </w:pPr>
      <w:r w:rsidRPr="000E4CE1">
        <w:rPr>
          <w:rStyle w:val="FootnoteReference"/>
        </w:rPr>
        <w:footnoteRef/>
      </w:r>
      <w:r w:rsidRPr="000E4CE1">
        <w:t xml:space="preserve"> </w:t>
      </w:r>
      <w:r w:rsidR="00511B56">
        <w:tab/>
      </w:r>
      <w:r w:rsidR="0016781D">
        <w:t>Personal Data Protection Commission Singapore</w:t>
      </w:r>
      <w:r w:rsidR="00364BBB">
        <w:t xml:space="preserve">, </w:t>
      </w:r>
      <w:hyperlink r:id="rId33" w:history="1">
        <w:r w:rsidR="00364BBB" w:rsidRPr="00364BBB">
          <w:rPr>
            <w:rStyle w:val="Hyperlink"/>
          </w:rPr>
          <w:t>Advisory guidelines on use of personal data in AI recommendation and decision systems</w:t>
        </w:r>
      </w:hyperlink>
      <w:r w:rsidR="00364BBB">
        <w:t xml:space="preserve">, 1 March 2024. </w:t>
      </w:r>
    </w:p>
  </w:footnote>
  <w:footnote w:id="76">
    <w:p w14:paraId="199AE766" w14:textId="0D8B98D9" w:rsidR="00A07547" w:rsidRDefault="00A07547" w:rsidP="00A07547">
      <w:pPr>
        <w:pStyle w:val="FootnoteText"/>
      </w:pPr>
      <w:r>
        <w:rPr>
          <w:rStyle w:val="FootnoteReference"/>
        </w:rPr>
        <w:footnoteRef/>
      </w:r>
      <w:r>
        <w:t xml:space="preserve"> </w:t>
      </w:r>
      <w:r w:rsidR="00511B56">
        <w:tab/>
      </w:r>
      <w:hyperlink r:id="rId34" w:history="1">
        <w:r w:rsidRPr="00BF08AC">
          <w:rPr>
            <w:rStyle w:val="Hyperlink"/>
          </w:rPr>
          <w:t>Directive (EU) 2019/770 of the European Parliament and of the Council of 20 May 2019 on certain aspects concerning contracts for the supply of digital content and digital services</w:t>
        </w:r>
      </w:hyperlink>
      <w:r w:rsidR="00AC1A51">
        <w:t>.</w:t>
      </w:r>
    </w:p>
  </w:footnote>
  <w:footnote w:id="77">
    <w:p w14:paraId="66AC0042" w14:textId="52F7DB83" w:rsidR="00A07547" w:rsidRDefault="00A07547" w:rsidP="00A07547">
      <w:pPr>
        <w:pStyle w:val="FootnoteText"/>
      </w:pPr>
      <w:r>
        <w:rPr>
          <w:rStyle w:val="FootnoteReference"/>
        </w:rPr>
        <w:footnoteRef/>
      </w:r>
      <w:r>
        <w:t xml:space="preserve"> </w:t>
      </w:r>
      <w:r w:rsidR="00511B56">
        <w:tab/>
      </w:r>
      <w:hyperlink r:id="rId35" w:history="1">
        <w:r w:rsidRPr="00312857">
          <w:rPr>
            <w:rStyle w:val="Hyperlink"/>
          </w:rPr>
          <w:t>Directive (EU) 2019/771 of the European Parliament and of the Council of 20 May 2019 on certain aspects concerning contracts for the sale of goods</w:t>
        </w:r>
      </w:hyperlink>
      <w:r w:rsidR="00AC1A51">
        <w:t>.</w:t>
      </w:r>
    </w:p>
  </w:footnote>
  <w:footnote w:id="78">
    <w:p w14:paraId="6F92C1C4" w14:textId="1B6557E2" w:rsidR="00A07547" w:rsidRDefault="00A07547" w:rsidP="00A07547">
      <w:pPr>
        <w:pStyle w:val="FootnoteText"/>
      </w:pPr>
      <w:r>
        <w:rPr>
          <w:rStyle w:val="FootnoteReference"/>
        </w:rPr>
        <w:footnoteRef/>
      </w:r>
      <w:r>
        <w:t xml:space="preserve"> </w:t>
      </w:r>
      <w:r w:rsidR="00511B56">
        <w:tab/>
      </w:r>
      <w:hyperlink r:id="rId36" w:history="1">
        <w:r w:rsidRPr="00AA26DD">
          <w:rPr>
            <w:rStyle w:val="Hyperlink"/>
          </w:rPr>
          <w:t>Directive (EU) 2024/2853 of the European Parliament and of the Council of 23 October 2024 on liability for defective products</w:t>
        </w:r>
      </w:hyperlink>
      <w:r w:rsidR="00AC1A51">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55EA1" w14:textId="77777777" w:rsidR="00095D88" w:rsidRPr="00095D88" w:rsidRDefault="00095D88" w:rsidP="00095D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851F1" w14:textId="0A18B75B" w:rsidR="00095D88" w:rsidRPr="00095D88" w:rsidRDefault="00095D88" w:rsidP="00095D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F02A0" w14:textId="77777777" w:rsidR="00095D88" w:rsidRPr="00095D88" w:rsidRDefault="00095D88" w:rsidP="00095D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A7728" w14:textId="5AC3355D" w:rsidR="00672B5D" w:rsidRPr="00AC75E2" w:rsidRDefault="00AC75E2" w:rsidP="00AC75E2">
    <w:pPr>
      <w:pStyle w:val="HeaderEven"/>
    </w:pPr>
    <w:r>
      <w:rPr>
        <w:noProof/>
      </w:rPr>
      <w:drawing>
        <wp:anchor distT="0" distB="0" distL="114300" distR="114300" simplePos="0" relativeHeight="251657728" behindDoc="1" locked="1" layoutInCell="1" allowOverlap="1" wp14:anchorId="45D0DD2F" wp14:editId="7154B63A">
          <wp:simplePos x="0" y="0"/>
          <wp:positionH relativeFrom="page">
            <wp:posOffset>-635</wp:posOffset>
          </wp:positionH>
          <wp:positionV relativeFrom="page">
            <wp:align>top</wp:align>
          </wp:positionV>
          <wp:extent cx="7570800" cy="1044000"/>
          <wp:effectExtent l="0" t="0" r="0" b="3810"/>
          <wp:wrapNone/>
          <wp:docPr id="1504655128" name="Picture 1504655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24073" name="Picture 99742407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570800" cy="1044000"/>
                  </a:xfrm>
                  <a:prstGeom prst="rect">
                    <a:avLst/>
                  </a:prstGeom>
                </pic:spPr>
              </pic:pic>
            </a:graphicData>
          </a:graphic>
          <wp14:sizeRelH relativeFrom="margin">
            <wp14:pctWidth>0</wp14:pctWidth>
          </wp14:sizeRelH>
          <wp14:sizeRelV relativeFrom="margin">
            <wp14:pctHeight>0</wp14:pctHeight>
          </wp14:sizeRelV>
        </wp:anchor>
      </w:drawing>
    </w:r>
    <w:r w:rsidR="008E24D2">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FAD74" w14:textId="77777777" w:rsidR="00095D88" w:rsidRPr="00095D88" w:rsidRDefault="00095D88" w:rsidP="00095D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A32DB"/>
    <w:multiLevelType w:val="hybridMultilevel"/>
    <w:tmpl w:val="96629322"/>
    <w:lvl w:ilvl="0" w:tplc="094ACD34">
      <w:start w:val="1"/>
      <w:numFmt w:val="bullet"/>
      <w:lvlText w:val=""/>
      <w:lvlJc w:val="left"/>
      <w:pPr>
        <w:ind w:left="720" w:hanging="360"/>
      </w:pPr>
      <w:rPr>
        <w:rFonts w:ascii="Symbol" w:hAnsi="Symbol"/>
      </w:rPr>
    </w:lvl>
    <w:lvl w:ilvl="1" w:tplc="C6B237C8">
      <w:start w:val="1"/>
      <w:numFmt w:val="bullet"/>
      <w:lvlText w:val=""/>
      <w:lvlJc w:val="left"/>
      <w:pPr>
        <w:ind w:left="720" w:hanging="360"/>
      </w:pPr>
      <w:rPr>
        <w:rFonts w:ascii="Symbol" w:hAnsi="Symbol"/>
      </w:rPr>
    </w:lvl>
    <w:lvl w:ilvl="2" w:tplc="57AA8C84">
      <w:start w:val="1"/>
      <w:numFmt w:val="bullet"/>
      <w:lvlText w:val=""/>
      <w:lvlJc w:val="left"/>
      <w:pPr>
        <w:ind w:left="720" w:hanging="360"/>
      </w:pPr>
      <w:rPr>
        <w:rFonts w:ascii="Symbol" w:hAnsi="Symbol"/>
      </w:rPr>
    </w:lvl>
    <w:lvl w:ilvl="3" w:tplc="2B8E442E">
      <w:start w:val="1"/>
      <w:numFmt w:val="bullet"/>
      <w:lvlText w:val=""/>
      <w:lvlJc w:val="left"/>
      <w:pPr>
        <w:ind w:left="720" w:hanging="360"/>
      </w:pPr>
      <w:rPr>
        <w:rFonts w:ascii="Symbol" w:hAnsi="Symbol"/>
      </w:rPr>
    </w:lvl>
    <w:lvl w:ilvl="4" w:tplc="099A9954">
      <w:start w:val="1"/>
      <w:numFmt w:val="bullet"/>
      <w:lvlText w:val=""/>
      <w:lvlJc w:val="left"/>
      <w:pPr>
        <w:ind w:left="720" w:hanging="360"/>
      </w:pPr>
      <w:rPr>
        <w:rFonts w:ascii="Symbol" w:hAnsi="Symbol"/>
      </w:rPr>
    </w:lvl>
    <w:lvl w:ilvl="5" w:tplc="92DA18FA">
      <w:start w:val="1"/>
      <w:numFmt w:val="bullet"/>
      <w:lvlText w:val=""/>
      <w:lvlJc w:val="left"/>
      <w:pPr>
        <w:ind w:left="720" w:hanging="360"/>
      </w:pPr>
      <w:rPr>
        <w:rFonts w:ascii="Symbol" w:hAnsi="Symbol"/>
      </w:rPr>
    </w:lvl>
    <w:lvl w:ilvl="6" w:tplc="8A5691C4">
      <w:start w:val="1"/>
      <w:numFmt w:val="bullet"/>
      <w:lvlText w:val=""/>
      <w:lvlJc w:val="left"/>
      <w:pPr>
        <w:ind w:left="720" w:hanging="360"/>
      </w:pPr>
      <w:rPr>
        <w:rFonts w:ascii="Symbol" w:hAnsi="Symbol"/>
      </w:rPr>
    </w:lvl>
    <w:lvl w:ilvl="7" w:tplc="7C00AA06">
      <w:start w:val="1"/>
      <w:numFmt w:val="bullet"/>
      <w:lvlText w:val=""/>
      <w:lvlJc w:val="left"/>
      <w:pPr>
        <w:ind w:left="720" w:hanging="360"/>
      </w:pPr>
      <w:rPr>
        <w:rFonts w:ascii="Symbol" w:hAnsi="Symbol"/>
      </w:rPr>
    </w:lvl>
    <w:lvl w:ilvl="8" w:tplc="4B928CF6">
      <w:start w:val="1"/>
      <w:numFmt w:val="bullet"/>
      <w:lvlText w:val=""/>
      <w:lvlJc w:val="left"/>
      <w:pPr>
        <w:ind w:left="720" w:hanging="360"/>
      </w:pPr>
      <w:rPr>
        <w:rFonts w:ascii="Symbol" w:hAnsi="Symbol"/>
      </w:rPr>
    </w:lvl>
  </w:abstractNum>
  <w:abstractNum w:abstractNumId="1"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080D7A44"/>
    <w:multiLevelType w:val="hybridMultilevel"/>
    <w:tmpl w:val="4F3C1D6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4564F9D"/>
    <w:multiLevelType w:val="multilevel"/>
    <w:tmpl w:val="B0402706"/>
    <w:lvl w:ilvl="0">
      <w:start w:val="1"/>
      <w:numFmt w:val="bullet"/>
      <w:lvlRestart w:val="0"/>
      <w:pStyle w:val="Boxbullet"/>
      <w:lvlText w:val="•"/>
      <w:lvlJc w:val="left"/>
      <w:pPr>
        <w:tabs>
          <w:tab w:val="num" w:pos="283"/>
        </w:tabs>
        <w:ind w:left="284" w:hanging="284"/>
      </w:pPr>
      <w:rPr>
        <w:rFonts w:ascii="Times New Roman" w:hAnsi="Times New Roman" w:cs="Times New Roman" w:hint="default"/>
        <w:b w:val="0"/>
        <w:i w:val="0"/>
      </w:rPr>
    </w:lvl>
    <w:lvl w:ilvl="1">
      <w:start w:val="1"/>
      <w:numFmt w:val="bullet"/>
      <w:pStyle w:val="Boxdash"/>
      <w:lvlText w:val="–"/>
      <w:lvlJc w:val="left"/>
      <w:pPr>
        <w:tabs>
          <w:tab w:val="num" w:pos="567"/>
        </w:tabs>
        <w:ind w:left="568" w:hanging="284"/>
      </w:pPr>
      <w:rPr>
        <w:rFonts w:ascii="Times New Roman" w:hAnsi="Times New Roman" w:cs="Times New Roman" w:hint="default"/>
        <w:b w:val="0"/>
        <w:i w:val="0"/>
      </w:rPr>
    </w:lvl>
    <w:lvl w:ilvl="2">
      <w:start w:val="1"/>
      <w:numFmt w:val="bullet"/>
      <w:pStyle w:val="Boxdoubledo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6" w15:restartNumberingAfterBreak="0">
    <w:nsid w:val="15E77DC5"/>
    <w:multiLevelType w:val="multilevel"/>
    <w:tmpl w:val="97FAF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CC4E5D"/>
    <w:multiLevelType w:val="multilevel"/>
    <w:tmpl w:val="D10E9CF6"/>
    <w:numStyleLink w:val="OneLevelList"/>
  </w:abstractNum>
  <w:abstractNum w:abstractNumId="8" w15:restartNumberingAfterBreak="0">
    <w:nsid w:val="17DF7717"/>
    <w:multiLevelType w:val="multilevel"/>
    <w:tmpl w:val="6854D508"/>
    <w:lvl w:ilvl="0">
      <w:start w:val="1"/>
      <w:numFmt w:val="decimal"/>
      <w:pStyle w:val="Heading1Numbered"/>
      <w:lvlText w:val="%1 "/>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E607BA5"/>
    <w:multiLevelType w:val="hybridMultilevel"/>
    <w:tmpl w:val="536CACBA"/>
    <w:lvl w:ilvl="0" w:tplc="E2184EA0">
      <w:start w:val="1"/>
      <w:numFmt w:val="bullet"/>
      <w:lvlText w:val=""/>
      <w:lvlJc w:val="left"/>
      <w:pPr>
        <w:ind w:left="720" w:hanging="360"/>
      </w:pPr>
      <w:rPr>
        <w:rFonts w:ascii="Symbol" w:hAnsi="Symbol"/>
      </w:rPr>
    </w:lvl>
    <w:lvl w:ilvl="1" w:tplc="D6EA8016">
      <w:start w:val="1"/>
      <w:numFmt w:val="bullet"/>
      <w:lvlText w:val=""/>
      <w:lvlJc w:val="left"/>
      <w:pPr>
        <w:ind w:left="720" w:hanging="360"/>
      </w:pPr>
      <w:rPr>
        <w:rFonts w:ascii="Symbol" w:hAnsi="Symbol"/>
      </w:rPr>
    </w:lvl>
    <w:lvl w:ilvl="2" w:tplc="29BEA3BE">
      <w:start w:val="1"/>
      <w:numFmt w:val="bullet"/>
      <w:lvlText w:val=""/>
      <w:lvlJc w:val="left"/>
      <w:pPr>
        <w:ind w:left="720" w:hanging="360"/>
      </w:pPr>
      <w:rPr>
        <w:rFonts w:ascii="Symbol" w:hAnsi="Symbol"/>
      </w:rPr>
    </w:lvl>
    <w:lvl w:ilvl="3" w:tplc="4C8E735C">
      <w:start w:val="1"/>
      <w:numFmt w:val="bullet"/>
      <w:lvlText w:val=""/>
      <w:lvlJc w:val="left"/>
      <w:pPr>
        <w:ind w:left="720" w:hanging="360"/>
      </w:pPr>
      <w:rPr>
        <w:rFonts w:ascii="Symbol" w:hAnsi="Symbol"/>
      </w:rPr>
    </w:lvl>
    <w:lvl w:ilvl="4" w:tplc="2BDE2BB0">
      <w:start w:val="1"/>
      <w:numFmt w:val="bullet"/>
      <w:lvlText w:val=""/>
      <w:lvlJc w:val="left"/>
      <w:pPr>
        <w:ind w:left="720" w:hanging="360"/>
      </w:pPr>
      <w:rPr>
        <w:rFonts w:ascii="Symbol" w:hAnsi="Symbol"/>
      </w:rPr>
    </w:lvl>
    <w:lvl w:ilvl="5" w:tplc="62EA466A">
      <w:start w:val="1"/>
      <w:numFmt w:val="bullet"/>
      <w:lvlText w:val=""/>
      <w:lvlJc w:val="left"/>
      <w:pPr>
        <w:ind w:left="720" w:hanging="360"/>
      </w:pPr>
      <w:rPr>
        <w:rFonts w:ascii="Symbol" w:hAnsi="Symbol"/>
      </w:rPr>
    </w:lvl>
    <w:lvl w:ilvl="6" w:tplc="D658811E">
      <w:start w:val="1"/>
      <w:numFmt w:val="bullet"/>
      <w:lvlText w:val=""/>
      <w:lvlJc w:val="left"/>
      <w:pPr>
        <w:ind w:left="720" w:hanging="360"/>
      </w:pPr>
      <w:rPr>
        <w:rFonts w:ascii="Symbol" w:hAnsi="Symbol"/>
      </w:rPr>
    </w:lvl>
    <w:lvl w:ilvl="7" w:tplc="B93CC8E8">
      <w:start w:val="1"/>
      <w:numFmt w:val="bullet"/>
      <w:lvlText w:val=""/>
      <w:lvlJc w:val="left"/>
      <w:pPr>
        <w:ind w:left="720" w:hanging="360"/>
      </w:pPr>
      <w:rPr>
        <w:rFonts w:ascii="Symbol" w:hAnsi="Symbol"/>
      </w:rPr>
    </w:lvl>
    <w:lvl w:ilvl="8" w:tplc="15CEF9D2">
      <w:start w:val="1"/>
      <w:numFmt w:val="bullet"/>
      <w:lvlText w:val=""/>
      <w:lvlJc w:val="left"/>
      <w:pPr>
        <w:ind w:left="720" w:hanging="360"/>
      </w:pPr>
      <w:rPr>
        <w:rFonts w:ascii="Symbol" w:hAnsi="Symbol"/>
      </w:rPr>
    </w:lvl>
  </w:abstractNum>
  <w:abstractNum w:abstractNumId="10" w15:restartNumberingAfterBreak="0">
    <w:nsid w:val="21847491"/>
    <w:multiLevelType w:val="multilevel"/>
    <w:tmpl w:val="6F92BA82"/>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1"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2"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4" w15:restartNumberingAfterBreak="0">
    <w:nsid w:val="31EF577D"/>
    <w:multiLevelType w:val="hybridMultilevel"/>
    <w:tmpl w:val="49CA1762"/>
    <w:lvl w:ilvl="0" w:tplc="73E6BD10">
      <w:start w:val="1"/>
      <w:numFmt w:val="bullet"/>
      <w:lvlText w:val=""/>
      <w:lvlJc w:val="left"/>
      <w:pPr>
        <w:tabs>
          <w:tab w:val="num" w:pos="720"/>
        </w:tabs>
        <w:ind w:left="720" w:hanging="360"/>
      </w:pPr>
      <w:rPr>
        <w:rFonts w:ascii="Symbol" w:hAnsi="Symbol" w:hint="default"/>
      </w:rPr>
    </w:lvl>
    <w:lvl w:ilvl="1" w:tplc="9470300E" w:tentative="1">
      <w:start w:val="1"/>
      <w:numFmt w:val="bullet"/>
      <w:lvlText w:val=""/>
      <w:lvlJc w:val="left"/>
      <w:pPr>
        <w:tabs>
          <w:tab w:val="num" w:pos="1440"/>
        </w:tabs>
        <w:ind w:left="1440" w:hanging="360"/>
      </w:pPr>
      <w:rPr>
        <w:rFonts w:ascii="Symbol" w:hAnsi="Symbol" w:hint="default"/>
      </w:rPr>
    </w:lvl>
    <w:lvl w:ilvl="2" w:tplc="E56C24D0" w:tentative="1">
      <w:start w:val="1"/>
      <w:numFmt w:val="bullet"/>
      <w:lvlText w:val=""/>
      <w:lvlJc w:val="left"/>
      <w:pPr>
        <w:tabs>
          <w:tab w:val="num" w:pos="2160"/>
        </w:tabs>
        <w:ind w:left="2160" w:hanging="360"/>
      </w:pPr>
      <w:rPr>
        <w:rFonts w:ascii="Symbol" w:hAnsi="Symbol" w:hint="default"/>
      </w:rPr>
    </w:lvl>
    <w:lvl w:ilvl="3" w:tplc="9354613A" w:tentative="1">
      <w:start w:val="1"/>
      <w:numFmt w:val="bullet"/>
      <w:lvlText w:val=""/>
      <w:lvlJc w:val="left"/>
      <w:pPr>
        <w:tabs>
          <w:tab w:val="num" w:pos="2880"/>
        </w:tabs>
        <w:ind w:left="2880" w:hanging="360"/>
      </w:pPr>
      <w:rPr>
        <w:rFonts w:ascii="Symbol" w:hAnsi="Symbol" w:hint="default"/>
      </w:rPr>
    </w:lvl>
    <w:lvl w:ilvl="4" w:tplc="49326306" w:tentative="1">
      <w:start w:val="1"/>
      <w:numFmt w:val="bullet"/>
      <w:lvlText w:val=""/>
      <w:lvlJc w:val="left"/>
      <w:pPr>
        <w:tabs>
          <w:tab w:val="num" w:pos="3600"/>
        </w:tabs>
        <w:ind w:left="3600" w:hanging="360"/>
      </w:pPr>
      <w:rPr>
        <w:rFonts w:ascii="Symbol" w:hAnsi="Symbol" w:hint="default"/>
      </w:rPr>
    </w:lvl>
    <w:lvl w:ilvl="5" w:tplc="34667A02" w:tentative="1">
      <w:start w:val="1"/>
      <w:numFmt w:val="bullet"/>
      <w:lvlText w:val=""/>
      <w:lvlJc w:val="left"/>
      <w:pPr>
        <w:tabs>
          <w:tab w:val="num" w:pos="4320"/>
        </w:tabs>
        <w:ind w:left="4320" w:hanging="360"/>
      </w:pPr>
      <w:rPr>
        <w:rFonts w:ascii="Symbol" w:hAnsi="Symbol" w:hint="default"/>
      </w:rPr>
    </w:lvl>
    <w:lvl w:ilvl="6" w:tplc="03369734" w:tentative="1">
      <w:start w:val="1"/>
      <w:numFmt w:val="bullet"/>
      <w:lvlText w:val=""/>
      <w:lvlJc w:val="left"/>
      <w:pPr>
        <w:tabs>
          <w:tab w:val="num" w:pos="5040"/>
        </w:tabs>
        <w:ind w:left="5040" w:hanging="360"/>
      </w:pPr>
      <w:rPr>
        <w:rFonts w:ascii="Symbol" w:hAnsi="Symbol" w:hint="default"/>
      </w:rPr>
    </w:lvl>
    <w:lvl w:ilvl="7" w:tplc="282A4DD4" w:tentative="1">
      <w:start w:val="1"/>
      <w:numFmt w:val="bullet"/>
      <w:lvlText w:val=""/>
      <w:lvlJc w:val="left"/>
      <w:pPr>
        <w:tabs>
          <w:tab w:val="num" w:pos="5760"/>
        </w:tabs>
        <w:ind w:left="5760" w:hanging="360"/>
      </w:pPr>
      <w:rPr>
        <w:rFonts w:ascii="Symbol" w:hAnsi="Symbol" w:hint="default"/>
      </w:rPr>
    </w:lvl>
    <w:lvl w:ilvl="8" w:tplc="4D565DBE"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6C01BF3"/>
    <w:multiLevelType w:val="hybridMultilevel"/>
    <w:tmpl w:val="BA4C75A8"/>
    <w:lvl w:ilvl="0" w:tplc="2954CF30">
      <w:start w:val="1"/>
      <w:numFmt w:val="bullet"/>
      <w:lvlText w:val="•"/>
      <w:lvlJc w:val="left"/>
      <w:pPr>
        <w:tabs>
          <w:tab w:val="num" w:pos="720"/>
        </w:tabs>
        <w:ind w:left="720" w:hanging="360"/>
      </w:pPr>
      <w:rPr>
        <w:rFonts w:ascii="Arial" w:hAnsi="Arial" w:hint="default"/>
      </w:rPr>
    </w:lvl>
    <w:lvl w:ilvl="1" w:tplc="252C507E" w:tentative="1">
      <w:start w:val="1"/>
      <w:numFmt w:val="bullet"/>
      <w:lvlText w:val="•"/>
      <w:lvlJc w:val="left"/>
      <w:pPr>
        <w:tabs>
          <w:tab w:val="num" w:pos="1440"/>
        </w:tabs>
        <w:ind w:left="1440" w:hanging="360"/>
      </w:pPr>
      <w:rPr>
        <w:rFonts w:ascii="Arial" w:hAnsi="Arial" w:hint="default"/>
      </w:rPr>
    </w:lvl>
    <w:lvl w:ilvl="2" w:tplc="82BABD1A" w:tentative="1">
      <w:start w:val="1"/>
      <w:numFmt w:val="bullet"/>
      <w:lvlText w:val="•"/>
      <w:lvlJc w:val="left"/>
      <w:pPr>
        <w:tabs>
          <w:tab w:val="num" w:pos="2160"/>
        </w:tabs>
        <w:ind w:left="2160" w:hanging="360"/>
      </w:pPr>
      <w:rPr>
        <w:rFonts w:ascii="Arial" w:hAnsi="Arial" w:hint="default"/>
      </w:rPr>
    </w:lvl>
    <w:lvl w:ilvl="3" w:tplc="15388100" w:tentative="1">
      <w:start w:val="1"/>
      <w:numFmt w:val="bullet"/>
      <w:lvlText w:val="•"/>
      <w:lvlJc w:val="left"/>
      <w:pPr>
        <w:tabs>
          <w:tab w:val="num" w:pos="2880"/>
        </w:tabs>
        <w:ind w:left="2880" w:hanging="360"/>
      </w:pPr>
      <w:rPr>
        <w:rFonts w:ascii="Arial" w:hAnsi="Arial" w:hint="default"/>
      </w:rPr>
    </w:lvl>
    <w:lvl w:ilvl="4" w:tplc="468A8F2C" w:tentative="1">
      <w:start w:val="1"/>
      <w:numFmt w:val="bullet"/>
      <w:lvlText w:val="•"/>
      <w:lvlJc w:val="left"/>
      <w:pPr>
        <w:tabs>
          <w:tab w:val="num" w:pos="3600"/>
        </w:tabs>
        <w:ind w:left="3600" w:hanging="360"/>
      </w:pPr>
      <w:rPr>
        <w:rFonts w:ascii="Arial" w:hAnsi="Arial" w:hint="default"/>
      </w:rPr>
    </w:lvl>
    <w:lvl w:ilvl="5" w:tplc="23F6DDA6" w:tentative="1">
      <w:start w:val="1"/>
      <w:numFmt w:val="bullet"/>
      <w:lvlText w:val="•"/>
      <w:lvlJc w:val="left"/>
      <w:pPr>
        <w:tabs>
          <w:tab w:val="num" w:pos="4320"/>
        </w:tabs>
        <w:ind w:left="4320" w:hanging="360"/>
      </w:pPr>
      <w:rPr>
        <w:rFonts w:ascii="Arial" w:hAnsi="Arial" w:hint="default"/>
      </w:rPr>
    </w:lvl>
    <w:lvl w:ilvl="6" w:tplc="E4788644" w:tentative="1">
      <w:start w:val="1"/>
      <w:numFmt w:val="bullet"/>
      <w:lvlText w:val="•"/>
      <w:lvlJc w:val="left"/>
      <w:pPr>
        <w:tabs>
          <w:tab w:val="num" w:pos="5040"/>
        </w:tabs>
        <w:ind w:left="5040" w:hanging="360"/>
      </w:pPr>
      <w:rPr>
        <w:rFonts w:ascii="Arial" w:hAnsi="Arial" w:hint="default"/>
      </w:rPr>
    </w:lvl>
    <w:lvl w:ilvl="7" w:tplc="66C88E62" w:tentative="1">
      <w:start w:val="1"/>
      <w:numFmt w:val="bullet"/>
      <w:lvlText w:val="•"/>
      <w:lvlJc w:val="left"/>
      <w:pPr>
        <w:tabs>
          <w:tab w:val="num" w:pos="5760"/>
        </w:tabs>
        <w:ind w:left="5760" w:hanging="360"/>
      </w:pPr>
      <w:rPr>
        <w:rFonts w:ascii="Arial" w:hAnsi="Arial" w:hint="default"/>
      </w:rPr>
    </w:lvl>
    <w:lvl w:ilvl="8" w:tplc="E7B222E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A654330"/>
    <w:multiLevelType w:val="multilevel"/>
    <w:tmpl w:val="90405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20" w15:restartNumberingAfterBreak="0">
    <w:nsid w:val="510D2021"/>
    <w:multiLevelType w:val="multilevel"/>
    <w:tmpl w:val="72F8140E"/>
    <w:numStyleLink w:val="OutlineList"/>
  </w:abstractNum>
  <w:abstractNum w:abstractNumId="21" w15:restartNumberingAfterBreak="0">
    <w:nsid w:val="524F7347"/>
    <w:multiLevelType w:val="hybridMultilevel"/>
    <w:tmpl w:val="53CE8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C181079"/>
    <w:multiLevelType w:val="multilevel"/>
    <w:tmpl w:val="6F92BA82"/>
    <w:lvl w:ilvl="0">
      <w:start w:val="1"/>
      <w:numFmt w:val="bullet"/>
      <w:pStyle w:val="Bullet"/>
      <w:lvlText w:val="•"/>
      <w:lvlJc w:val="left"/>
      <w:pPr>
        <w:ind w:left="284" w:hanging="284"/>
      </w:pPr>
      <w:rPr>
        <w:rFonts w:ascii="Times New Roman" w:hAnsi="Times New Roman" w:cs="Times New Roman" w:hint="default"/>
      </w:rPr>
    </w:lvl>
    <w:lvl w:ilvl="1">
      <w:start w:val="1"/>
      <w:numFmt w:val="bullet"/>
      <w:pStyle w:val="Dash"/>
      <w:lvlText w:val="–"/>
      <w:lvlJc w:val="left"/>
      <w:pPr>
        <w:ind w:left="568" w:hanging="284"/>
      </w:pPr>
      <w:rPr>
        <w:rFonts w:ascii="Times New Roman" w:hAnsi="Times New Roman" w:cs="Times New Roman" w:hint="default"/>
      </w:rPr>
    </w:lvl>
    <w:lvl w:ilvl="2">
      <w:start w:val="1"/>
      <w:numFmt w:val="bullet"/>
      <w:pStyle w:val="DoubleDo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24"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7C910E15"/>
    <w:multiLevelType w:val="hybridMultilevel"/>
    <w:tmpl w:val="C1C2BA2A"/>
    <w:lvl w:ilvl="0" w:tplc="90E08F60">
      <w:start w:val="1"/>
      <w:numFmt w:val="bullet"/>
      <w:lvlText w:val="•"/>
      <w:lvlJc w:val="left"/>
      <w:pPr>
        <w:tabs>
          <w:tab w:val="num" w:pos="720"/>
        </w:tabs>
        <w:ind w:left="720" w:hanging="360"/>
      </w:pPr>
      <w:rPr>
        <w:rFonts w:ascii="Arial" w:hAnsi="Arial" w:hint="default"/>
      </w:rPr>
    </w:lvl>
    <w:lvl w:ilvl="1" w:tplc="F19C8B72" w:tentative="1">
      <w:start w:val="1"/>
      <w:numFmt w:val="bullet"/>
      <w:lvlText w:val="•"/>
      <w:lvlJc w:val="left"/>
      <w:pPr>
        <w:tabs>
          <w:tab w:val="num" w:pos="1440"/>
        </w:tabs>
        <w:ind w:left="1440" w:hanging="360"/>
      </w:pPr>
      <w:rPr>
        <w:rFonts w:ascii="Arial" w:hAnsi="Arial" w:hint="default"/>
      </w:rPr>
    </w:lvl>
    <w:lvl w:ilvl="2" w:tplc="08785DBC" w:tentative="1">
      <w:start w:val="1"/>
      <w:numFmt w:val="bullet"/>
      <w:lvlText w:val="•"/>
      <w:lvlJc w:val="left"/>
      <w:pPr>
        <w:tabs>
          <w:tab w:val="num" w:pos="2160"/>
        </w:tabs>
        <w:ind w:left="2160" w:hanging="360"/>
      </w:pPr>
      <w:rPr>
        <w:rFonts w:ascii="Arial" w:hAnsi="Arial" w:hint="default"/>
      </w:rPr>
    </w:lvl>
    <w:lvl w:ilvl="3" w:tplc="4D1A773C" w:tentative="1">
      <w:start w:val="1"/>
      <w:numFmt w:val="bullet"/>
      <w:lvlText w:val="•"/>
      <w:lvlJc w:val="left"/>
      <w:pPr>
        <w:tabs>
          <w:tab w:val="num" w:pos="2880"/>
        </w:tabs>
        <w:ind w:left="2880" w:hanging="360"/>
      </w:pPr>
      <w:rPr>
        <w:rFonts w:ascii="Arial" w:hAnsi="Arial" w:hint="default"/>
      </w:rPr>
    </w:lvl>
    <w:lvl w:ilvl="4" w:tplc="A48405CE" w:tentative="1">
      <w:start w:val="1"/>
      <w:numFmt w:val="bullet"/>
      <w:lvlText w:val="•"/>
      <w:lvlJc w:val="left"/>
      <w:pPr>
        <w:tabs>
          <w:tab w:val="num" w:pos="3600"/>
        </w:tabs>
        <w:ind w:left="3600" w:hanging="360"/>
      </w:pPr>
      <w:rPr>
        <w:rFonts w:ascii="Arial" w:hAnsi="Arial" w:hint="default"/>
      </w:rPr>
    </w:lvl>
    <w:lvl w:ilvl="5" w:tplc="0C8841FC" w:tentative="1">
      <w:start w:val="1"/>
      <w:numFmt w:val="bullet"/>
      <w:lvlText w:val="•"/>
      <w:lvlJc w:val="left"/>
      <w:pPr>
        <w:tabs>
          <w:tab w:val="num" w:pos="4320"/>
        </w:tabs>
        <w:ind w:left="4320" w:hanging="360"/>
      </w:pPr>
      <w:rPr>
        <w:rFonts w:ascii="Arial" w:hAnsi="Arial" w:hint="default"/>
      </w:rPr>
    </w:lvl>
    <w:lvl w:ilvl="6" w:tplc="F1364774" w:tentative="1">
      <w:start w:val="1"/>
      <w:numFmt w:val="bullet"/>
      <w:lvlText w:val="•"/>
      <w:lvlJc w:val="left"/>
      <w:pPr>
        <w:tabs>
          <w:tab w:val="num" w:pos="5040"/>
        </w:tabs>
        <w:ind w:left="5040" w:hanging="360"/>
      </w:pPr>
      <w:rPr>
        <w:rFonts w:ascii="Arial" w:hAnsi="Arial" w:hint="default"/>
      </w:rPr>
    </w:lvl>
    <w:lvl w:ilvl="7" w:tplc="BEE4CD6A" w:tentative="1">
      <w:start w:val="1"/>
      <w:numFmt w:val="bullet"/>
      <w:lvlText w:val="•"/>
      <w:lvlJc w:val="left"/>
      <w:pPr>
        <w:tabs>
          <w:tab w:val="num" w:pos="5760"/>
        </w:tabs>
        <w:ind w:left="5760" w:hanging="360"/>
      </w:pPr>
      <w:rPr>
        <w:rFonts w:ascii="Arial" w:hAnsi="Arial" w:hint="default"/>
      </w:rPr>
    </w:lvl>
    <w:lvl w:ilvl="8" w:tplc="EA508C4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D6B5224"/>
    <w:multiLevelType w:val="multilevel"/>
    <w:tmpl w:val="91FE60A6"/>
    <w:name w:val="StandardBulletedList"/>
    <w:lvl w:ilvl="0">
      <w:start w:val="1"/>
      <w:numFmt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8"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1509446909">
    <w:abstractNumId w:val="13"/>
  </w:num>
  <w:num w:numId="2" w16cid:durableId="230386874">
    <w:abstractNumId w:val="1"/>
  </w:num>
  <w:num w:numId="3" w16cid:durableId="1716855291">
    <w:abstractNumId w:val="16"/>
  </w:num>
  <w:num w:numId="4" w16cid:durableId="797724066">
    <w:abstractNumId w:val="4"/>
  </w:num>
  <w:num w:numId="5" w16cid:durableId="709110180">
    <w:abstractNumId w:val="7"/>
  </w:num>
  <w:num w:numId="6" w16cid:durableId="306596971">
    <w:abstractNumId w:val="20"/>
  </w:num>
  <w:num w:numId="7" w16cid:durableId="1739129519">
    <w:abstractNumId w:val="15"/>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16cid:durableId="1043020558">
    <w:abstractNumId w:val="8"/>
  </w:num>
  <w:num w:numId="9" w16cid:durableId="1591279926">
    <w:abstractNumId w:val="3"/>
  </w:num>
  <w:num w:numId="10" w16cid:durableId="832991063">
    <w:abstractNumId w:val="12"/>
  </w:num>
  <w:num w:numId="11" w16cid:durableId="215508863">
    <w:abstractNumId w:val="27"/>
  </w:num>
  <w:num w:numId="12" w16cid:durableId="2019234066">
    <w:abstractNumId w:val="20"/>
  </w:num>
  <w:num w:numId="13" w16cid:durableId="1757362042">
    <w:abstractNumId w:val="28"/>
  </w:num>
  <w:num w:numId="14" w16cid:durableId="353965158">
    <w:abstractNumId w:val="19"/>
  </w:num>
  <w:num w:numId="15" w16cid:durableId="77220001">
    <w:abstractNumId w:val="11"/>
  </w:num>
  <w:num w:numId="16" w16cid:durableId="626086807">
    <w:abstractNumId w:val="22"/>
  </w:num>
  <w:num w:numId="17" w16cid:durableId="143200778">
    <w:abstractNumId w:val="15"/>
  </w:num>
  <w:num w:numId="18" w16cid:durableId="105403934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85910852">
    <w:abstractNumId w:val="2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6955640">
    <w:abstractNumId w:val="14"/>
  </w:num>
  <w:num w:numId="21" w16cid:durableId="525217854">
    <w:abstractNumId w:val="21"/>
  </w:num>
  <w:num w:numId="22" w16cid:durableId="1017973052">
    <w:abstractNumId w:val="5"/>
  </w:num>
  <w:num w:numId="23" w16cid:durableId="17107575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34227257">
    <w:abstractNumId w:val="23"/>
  </w:num>
  <w:num w:numId="25" w16cid:durableId="1198618205">
    <w:abstractNumId w:val="10"/>
  </w:num>
  <w:num w:numId="26" w16cid:durableId="612247570">
    <w:abstractNumId w:val="17"/>
  </w:num>
  <w:num w:numId="27" w16cid:durableId="1600017312">
    <w:abstractNumId w:val="25"/>
  </w:num>
  <w:num w:numId="28" w16cid:durableId="1864780695">
    <w:abstractNumId w:val="8"/>
  </w:num>
  <w:num w:numId="29" w16cid:durableId="1116944999">
    <w:abstractNumId w:val="8"/>
  </w:num>
  <w:num w:numId="30" w16cid:durableId="901409795">
    <w:abstractNumId w:val="8"/>
  </w:num>
  <w:num w:numId="31" w16cid:durableId="206769510">
    <w:abstractNumId w:val="8"/>
  </w:num>
  <w:num w:numId="32" w16cid:durableId="1069575655">
    <w:abstractNumId w:val="8"/>
  </w:num>
  <w:num w:numId="33" w16cid:durableId="1049302568">
    <w:abstractNumId w:val="8"/>
  </w:num>
  <w:num w:numId="34" w16cid:durableId="380130791">
    <w:abstractNumId w:val="0"/>
  </w:num>
  <w:num w:numId="35" w16cid:durableId="928123614">
    <w:abstractNumId w:val="9"/>
  </w:num>
  <w:num w:numId="36" w16cid:durableId="2138644067">
    <w:abstractNumId w:val="6"/>
  </w:num>
  <w:num w:numId="37" w16cid:durableId="1248345005">
    <w:abstractNumId w:val="23"/>
  </w:num>
  <w:num w:numId="38" w16cid:durableId="1805805634">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39" w16cid:durableId="1953975423">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40" w16cid:durableId="1674606996">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41" w16cid:durableId="1499422715">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42" w16cid:durableId="1330602245">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43" w16cid:durableId="20647955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mirrorMargins/>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False"/>
  </w:docVars>
  <w:rsids>
    <w:rsidRoot w:val="000B4969"/>
    <w:rsid w:val="000002E9"/>
    <w:rsid w:val="00001040"/>
    <w:rsid w:val="000014D0"/>
    <w:rsid w:val="00001608"/>
    <w:rsid w:val="000017CF"/>
    <w:rsid w:val="000017EC"/>
    <w:rsid w:val="000019D7"/>
    <w:rsid w:val="000021B9"/>
    <w:rsid w:val="000025A3"/>
    <w:rsid w:val="00002721"/>
    <w:rsid w:val="0000305B"/>
    <w:rsid w:val="0000320C"/>
    <w:rsid w:val="00003253"/>
    <w:rsid w:val="0000375C"/>
    <w:rsid w:val="00003939"/>
    <w:rsid w:val="00003D3A"/>
    <w:rsid w:val="00003FBD"/>
    <w:rsid w:val="00004378"/>
    <w:rsid w:val="00004620"/>
    <w:rsid w:val="000046BA"/>
    <w:rsid w:val="00004897"/>
    <w:rsid w:val="00004C82"/>
    <w:rsid w:val="00004FCE"/>
    <w:rsid w:val="000050F9"/>
    <w:rsid w:val="0000529E"/>
    <w:rsid w:val="0000571E"/>
    <w:rsid w:val="00006176"/>
    <w:rsid w:val="000062B3"/>
    <w:rsid w:val="0000657D"/>
    <w:rsid w:val="000068B3"/>
    <w:rsid w:val="00006B95"/>
    <w:rsid w:val="00006D49"/>
    <w:rsid w:val="00007122"/>
    <w:rsid w:val="0000714F"/>
    <w:rsid w:val="00007306"/>
    <w:rsid w:val="000074BD"/>
    <w:rsid w:val="0000757B"/>
    <w:rsid w:val="000076C4"/>
    <w:rsid w:val="00007B43"/>
    <w:rsid w:val="00007D16"/>
    <w:rsid w:val="000102BD"/>
    <w:rsid w:val="000105AD"/>
    <w:rsid w:val="00010979"/>
    <w:rsid w:val="000110DF"/>
    <w:rsid w:val="000110F7"/>
    <w:rsid w:val="000111A5"/>
    <w:rsid w:val="0001155C"/>
    <w:rsid w:val="00011725"/>
    <w:rsid w:val="00011A86"/>
    <w:rsid w:val="00011AD0"/>
    <w:rsid w:val="00011FA0"/>
    <w:rsid w:val="000122BC"/>
    <w:rsid w:val="000123A0"/>
    <w:rsid w:val="0001245B"/>
    <w:rsid w:val="000124C8"/>
    <w:rsid w:val="00012655"/>
    <w:rsid w:val="0001265E"/>
    <w:rsid w:val="0001268B"/>
    <w:rsid w:val="000127CF"/>
    <w:rsid w:val="00012A63"/>
    <w:rsid w:val="00012C62"/>
    <w:rsid w:val="00012DD2"/>
    <w:rsid w:val="000137DF"/>
    <w:rsid w:val="0001396A"/>
    <w:rsid w:val="00013D64"/>
    <w:rsid w:val="00013E53"/>
    <w:rsid w:val="000140CA"/>
    <w:rsid w:val="0001415E"/>
    <w:rsid w:val="00014171"/>
    <w:rsid w:val="00014242"/>
    <w:rsid w:val="000144D2"/>
    <w:rsid w:val="00014603"/>
    <w:rsid w:val="000148B6"/>
    <w:rsid w:val="000149FC"/>
    <w:rsid w:val="00014A65"/>
    <w:rsid w:val="00014AB2"/>
    <w:rsid w:val="0001521B"/>
    <w:rsid w:val="000155A2"/>
    <w:rsid w:val="000156E5"/>
    <w:rsid w:val="00015C14"/>
    <w:rsid w:val="00015CA8"/>
    <w:rsid w:val="00015CCA"/>
    <w:rsid w:val="00015E34"/>
    <w:rsid w:val="00015E48"/>
    <w:rsid w:val="00015F1E"/>
    <w:rsid w:val="00015F3D"/>
    <w:rsid w:val="000160DA"/>
    <w:rsid w:val="000162E2"/>
    <w:rsid w:val="00016342"/>
    <w:rsid w:val="00016409"/>
    <w:rsid w:val="000165EF"/>
    <w:rsid w:val="00016811"/>
    <w:rsid w:val="00016EE7"/>
    <w:rsid w:val="00016F82"/>
    <w:rsid w:val="000170DD"/>
    <w:rsid w:val="0001720B"/>
    <w:rsid w:val="00017815"/>
    <w:rsid w:val="00017955"/>
    <w:rsid w:val="00017B5A"/>
    <w:rsid w:val="00017E4B"/>
    <w:rsid w:val="00017EC6"/>
    <w:rsid w:val="00020403"/>
    <w:rsid w:val="0002072C"/>
    <w:rsid w:val="00020774"/>
    <w:rsid w:val="0002094E"/>
    <w:rsid w:val="000209E7"/>
    <w:rsid w:val="00020C3C"/>
    <w:rsid w:val="00020CC1"/>
    <w:rsid w:val="00021068"/>
    <w:rsid w:val="00021252"/>
    <w:rsid w:val="000212F4"/>
    <w:rsid w:val="000213B9"/>
    <w:rsid w:val="00021A13"/>
    <w:rsid w:val="00021A85"/>
    <w:rsid w:val="00021BA7"/>
    <w:rsid w:val="00021CC5"/>
    <w:rsid w:val="0002210B"/>
    <w:rsid w:val="00022C37"/>
    <w:rsid w:val="0002348C"/>
    <w:rsid w:val="00023672"/>
    <w:rsid w:val="000237D7"/>
    <w:rsid w:val="00023AC6"/>
    <w:rsid w:val="00024021"/>
    <w:rsid w:val="00024293"/>
    <w:rsid w:val="00024314"/>
    <w:rsid w:val="000243DF"/>
    <w:rsid w:val="000245F9"/>
    <w:rsid w:val="000246F4"/>
    <w:rsid w:val="0002482C"/>
    <w:rsid w:val="00024EF3"/>
    <w:rsid w:val="00024F1B"/>
    <w:rsid w:val="00024F95"/>
    <w:rsid w:val="00025324"/>
    <w:rsid w:val="0002544D"/>
    <w:rsid w:val="0002559C"/>
    <w:rsid w:val="0002578B"/>
    <w:rsid w:val="00025845"/>
    <w:rsid w:val="000258DF"/>
    <w:rsid w:val="00025978"/>
    <w:rsid w:val="000259AE"/>
    <w:rsid w:val="00025A42"/>
    <w:rsid w:val="00025B07"/>
    <w:rsid w:val="00025D50"/>
    <w:rsid w:val="0002602C"/>
    <w:rsid w:val="000260C9"/>
    <w:rsid w:val="000260D6"/>
    <w:rsid w:val="000261C8"/>
    <w:rsid w:val="00026351"/>
    <w:rsid w:val="00026582"/>
    <w:rsid w:val="00026733"/>
    <w:rsid w:val="000267EE"/>
    <w:rsid w:val="00026B26"/>
    <w:rsid w:val="00026CF3"/>
    <w:rsid w:val="00026DE7"/>
    <w:rsid w:val="00026F5F"/>
    <w:rsid w:val="00026FBF"/>
    <w:rsid w:val="00027127"/>
    <w:rsid w:val="00027266"/>
    <w:rsid w:val="000275D3"/>
    <w:rsid w:val="0002776B"/>
    <w:rsid w:val="00027CAA"/>
    <w:rsid w:val="00027CC1"/>
    <w:rsid w:val="00027CCA"/>
    <w:rsid w:val="00027D49"/>
    <w:rsid w:val="00027E75"/>
    <w:rsid w:val="00027FD1"/>
    <w:rsid w:val="0003008B"/>
    <w:rsid w:val="00030992"/>
    <w:rsid w:val="00030B98"/>
    <w:rsid w:val="00030BC9"/>
    <w:rsid w:val="00030C2F"/>
    <w:rsid w:val="00030D30"/>
    <w:rsid w:val="00030D4B"/>
    <w:rsid w:val="00030FC7"/>
    <w:rsid w:val="000311A6"/>
    <w:rsid w:val="00031661"/>
    <w:rsid w:val="00031D17"/>
    <w:rsid w:val="000320A9"/>
    <w:rsid w:val="00032911"/>
    <w:rsid w:val="00032A0D"/>
    <w:rsid w:val="00032D90"/>
    <w:rsid w:val="000330E0"/>
    <w:rsid w:val="00033224"/>
    <w:rsid w:val="00033DCA"/>
    <w:rsid w:val="000341C9"/>
    <w:rsid w:val="000341F3"/>
    <w:rsid w:val="000342FE"/>
    <w:rsid w:val="0003494D"/>
    <w:rsid w:val="00034CA9"/>
    <w:rsid w:val="00034D92"/>
    <w:rsid w:val="000354B1"/>
    <w:rsid w:val="00035690"/>
    <w:rsid w:val="000357E8"/>
    <w:rsid w:val="00035C48"/>
    <w:rsid w:val="000360D0"/>
    <w:rsid w:val="000361B7"/>
    <w:rsid w:val="00036219"/>
    <w:rsid w:val="00036385"/>
    <w:rsid w:val="0003681A"/>
    <w:rsid w:val="00037298"/>
    <w:rsid w:val="00037620"/>
    <w:rsid w:val="0003776B"/>
    <w:rsid w:val="00037B2F"/>
    <w:rsid w:val="00037CAF"/>
    <w:rsid w:val="00037D26"/>
    <w:rsid w:val="00037F52"/>
    <w:rsid w:val="00037FA7"/>
    <w:rsid w:val="00037FE5"/>
    <w:rsid w:val="00040483"/>
    <w:rsid w:val="0004062C"/>
    <w:rsid w:val="00040879"/>
    <w:rsid w:val="00040A99"/>
    <w:rsid w:val="00040ACB"/>
    <w:rsid w:val="00040CC5"/>
    <w:rsid w:val="00040E24"/>
    <w:rsid w:val="00040FF5"/>
    <w:rsid w:val="00041028"/>
    <w:rsid w:val="00041184"/>
    <w:rsid w:val="000412DA"/>
    <w:rsid w:val="00041364"/>
    <w:rsid w:val="00041DB8"/>
    <w:rsid w:val="00041FE9"/>
    <w:rsid w:val="000423B1"/>
    <w:rsid w:val="00042549"/>
    <w:rsid w:val="0004267B"/>
    <w:rsid w:val="00042685"/>
    <w:rsid w:val="0004274D"/>
    <w:rsid w:val="00042A48"/>
    <w:rsid w:val="00042A4A"/>
    <w:rsid w:val="00042D5D"/>
    <w:rsid w:val="00043348"/>
    <w:rsid w:val="00043527"/>
    <w:rsid w:val="0004359E"/>
    <w:rsid w:val="0004363B"/>
    <w:rsid w:val="00043AB3"/>
    <w:rsid w:val="00043D3E"/>
    <w:rsid w:val="00043F5D"/>
    <w:rsid w:val="0004434D"/>
    <w:rsid w:val="0004438F"/>
    <w:rsid w:val="00044646"/>
    <w:rsid w:val="000446DE"/>
    <w:rsid w:val="0004483F"/>
    <w:rsid w:val="00044A97"/>
    <w:rsid w:val="00044AFB"/>
    <w:rsid w:val="00044BC8"/>
    <w:rsid w:val="00044DB4"/>
    <w:rsid w:val="000450D5"/>
    <w:rsid w:val="00045A98"/>
    <w:rsid w:val="00045B5D"/>
    <w:rsid w:val="00045B85"/>
    <w:rsid w:val="00045BAB"/>
    <w:rsid w:val="00046179"/>
    <w:rsid w:val="0004654A"/>
    <w:rsid w:val="00046652"/>
    <w:rsid w:val="000468B3"/>
    <w:rsid w:val="00046CB4"/>
    <w:rsid w:val="000471F4"/>
    <w:rsid w:val="00047276"/>
    <w:rsid w:val="0004766F"/>
    <w:rsid w:val="000477DC"/>
    <w:rsid w:val="00047E61"/>
    <w:rsid w:val="00050065"/>
    <w:rsid w:val="00050410"/>
    <w:rsid w:val="00050446"/>
    <w:rsid w:val="000505B3"/>
    <w:rsid w:val="00051043"/>
    <w:rsid w:val="00051350"/>
    <w:rsid w:val="0005138B"/>
    <w:rsid w:val="00051442"/>
    <w:rsid w:val="0005166A"/>
    <w:rsid w:val="000516F2"/>
    <w:rsid w:val="000517E1"/>
    <w:rsid w:val="00051A80"/>
    <w:rsid w:val="00051BB4"/>
    <w:rsid w:val="00051CC0"/>
    <w:rsid w:val="00052141"/>
    <w:rsid w:val="000522B7"/>
    <w:rsid w:val="00052698"/>
    <w:rsid w:val="000528FE"/>
    <w:rsid w:val="00052934"/>
    <w:rsid w:val="000529BA"/>
    <w:rsid w:val="00052DA3"/>
    <w:rsid w:val="00053068"/>
    <w:rsid w:val="000534D9"/>
    <w:rsid w:val="00053586"/>
    <w:rsid w:val="00053717"/>
    <w:rsid w:val="00053832"/>
    <w:rsid w:val="00053C8C"/>
    <w:rsid w:val="00053DF9"/>
    <w:rsid w:val="00053E83"/>
    <w:rsid w:val="00053FDB"/>
    <w:rsid w:val="00054046"/>
    <w:rsid w:val="000541E1"/>
    <w:rsid w:val="000543FE"/>
    <w:rsid w:val="00054872"/>
    <w:rsid w:val="00054B66"/>
    <w:rsid w:val="00055283"/>
    <w:rsid w:val="000556B4"/>
    <w:rsid w:val="000558B0"/>
    <w:rsid w:val="00055EE3"/>
    <w:rsid w:val="000560B9"/>
    <w:rsid w:val="0005619F"/>
    <w:rsid w:val="0005671C"/>
    <w:rsid w:val="00056732"/>
    <w:rsid w:val="000567CF"/>
    <w:rsid w:val="00056880"/>
    <w:rsid w:val="00056946"/>
    <w:rsid w:val="0005699C"/>
    <w:rsid w:val="00056BA3"/>
    <w:rsid w:val="00056C27"/>
    <w:rsid w:val="000576A2"/>
    <w:rsid w:val="000576E4"/>
    <w:rsid w:val="0005775D"/>
    <w:rsid w:val="000579F2"/>
    <w:rsid w:val="00057AB5"/>
    <w:rsid w:val="00057DD6"/>
    <w:rsid w:val="00060390"/>
    <w:rsid w:val="0006041F"/>
    <w:rsid w:val="00060486"/>
    <w:rsid w:val="00060577"/>
    <w:rsid w:val="000605EE"/>
    <w:rsid w:val="00061046"/>
    <w:rsid w:val="00061418"/>
    <w:rsid w:val="000616B6"/>
    <w:rsid w:val="00061788"/>
    <w:rsid w:val="0006199D"/>
    <w:rsid w:val="00061D8D"/>
    <w:rsid w:val="00061DAD"/>
    <w:rsid w:val="00062036"/>
    <w:rsid w:val="00062147"/>
    <w:rsid w:val="0006254D"/>
    <w:rsid w:val="00062A0C"/>
    <w:rsid w:val="00063011"/>
    <w:rsid w:val="000631F2"/>
    <w:rsid w:val="0006383A"/>
    <w:rsid w:val="000639B4"/>
    <w:rsid w:val="00063BCD"/>
    <w:rsid w:val="00063BFA"/>
    <w:rsid w:val="0006414F"/>
    <w:rsid w:val="0006481F"/>
    <w:rsid w:val="0006488C"/>
    <w:rsid w:val="00064AE4"/>
    <w:rsid w:val="00064B2C"/>
    <w:rsid w:val="00064C7A"/>
    <w:rsid w:val="00064DD5"/>
    <w:rsid w:val="00064DEC"/>
    <w:rsid w:val="00064F0F"/>
    <w:rsid w:val="000650AE"/>
    <w:rsid w:val="000654D3"/>
    <w:rsid w:val="000655D7"/>
    <w:rsid w:val="000656F4"/>
    <w:rsid w:val="000657EF"/>
    <w:rsid w:val="00065C2C"/>
    <w:rsid w:val="00065E74"/>
    <w:rsid w:val="00065F3A"/>
    <w:rsid w:val="000662A5"/>
    <w:rsid w:val="00066356"/>
    <w:rsid w:val="00066681"/>
    <w:rsid w:val="000667D8"/>
    <w:rsid w:val="000669E5"/>
    <w:rsid w:val="00066A66"/>
    <w:rsid w:val="00066A78"/>
    <w:rsid w:val="00066BF4"/>
    <w:rsid w:val="00066D22"/>
    <w:rsid w:val="00066E2F"/>
    <w:rsid w:val="00066FBE"/>
    <w:rsid w:val="0006739D"/>
    <w:rsid w:val="000675AE"/>
    <w:rsid w:val="000675D1"/>
    <w:rsid w:val="0006762E"/>
    <w:rsid w:val="00067B6B"/>
    <w:rsid w:val="00067C10"/>
    <w:rsid w:val="00067D91"/>
    <w:rsid w:val="00070005"/>
    <w:rsid w:val="00070527"/>
    <w:rsid w:val="00070562"/>
    <w:rsid w:val="0007082D"/>
    <w:rsid w:val="00070983"/>
    <w:rsid w:val="0007098C"/>
    <w:rsid w:val="00070CD1"/>
    <w:rsid w:val="0007106F"/>
    <w:rsid w:val="0007138E"/>
    <w:rsid w:val="00071666"/>
    <w:rsid w:val="00071943"/>
    <w:rsid w:val="000723DD"/>
    <w:rsid w:val="00072617"/>
    <w:rsid w:val="00072919"/>
    <w:rsid w:val="00073051"/>
    <w:rsid w:val="00073521"/>
    <w:rsid w:val="00073E2A"/>
    <w:rsid w:val="00073E56"/>
    <w:rsid w:val="00073FE2"/>
    <w:rsid w:val="000744D8"/>
    <w:rsid w:val="00074AD9"/>
    <w:rsid w:val="00075668"/>
    <w:rsid w:val="0007585F"/>
    <w:rsid w:val="00075889"/>
    <w:rsid w:val="00075A50"/>
    <w:rsid w:val="00075B0F"/>
    <w:rsid w:val="00075F32"/>
    <w:rsid w:val="00076581"/>
    <w:rsid w:val="0007659C"/>
    <w:rsid w:val="0007665A"/>
    <w:rsid w:val="00076754"/>
    <w:rsid w:val="0007679D"/>
    <w:rsid w:val="00076899"/>
    <w:rsid w:val="00076953"/>
    <w:rsid w:val="00076F14"/>
    <w:rsid w:val="000770AB"/>
    <w:rsid w:val="00077103"/>
    <w:rsid w:val="000774FC"/>
    <w:rsid w:val="000775DE"/>
    <w:rsid w:val="0007765D"/>
    <w:rsid w:val="00077B77"/>
    <w:rsid w:val="00077C64"/>
    <w:rsid w:val="000805C2"/>
    <w:rsid w:val="00080998"/>
    <w:rsid w:val="00080B2A"/>
    <w:rsid w:val="000817DB"/>
    <w:rsid w:val="00081814"/>
    <w:rsid w:val="00081A0A"/>
    <w:rsid w:val="00081CAA"/>
    <w:rsid w:val="00081CE7"/>
    <w:rsid w:val="00081F97"/>
    <w:rsid w:val="0008202F"/>
    <w:rsid w:val="0008207A"/>
    <w:rsid w:val="000820CD"/>
    <w:rsid w:val="00082259"/>
    <w:rsid w:val="00082764"/>
    <w:rsid w:val="00082852"/>
    <w:rsid w:val="00082A64"/>
    <w:rsid w:val="00082ABD"/>
    <w:rsid w:val="00082B37"/>
    <w:rsid w:val="0008305E"/>
    <w:rsid w:val="000830D3"/>
    <w:rsid w:val="0008320A"/>
    <w:rsid w:val="000833D2"/>
    <w:rsid w:val="000833F8"/>
    <w:rsid w:val="00083485"/>
    <w:rsid w:val="0008375F"/>
    <w:rsid w:val="00083B3F"/>
    <w:rsid w:val="00083C77"/>
    <w:rsid w:val="00083DE0"/>
    <w:rsid w:val="00083F40"/>
    <w:rsid w:val="0008417D"/>
    <w:rsid w:val="00084F37"/>
    <w:rsid w:val="000850DC"/>
    <w:rsid w:val="0008514B"/>
    <w:rsid w:val="00085150"/>
    <w:rsid w:val="000851D6"/>
    <w:rsid w:val="00085600"/>
    <w:rsid w:val="00085791"/>
    <w:rsid w:val="00085FE6"/>
    <w:rsid w:val="00086293"/>
    <w:rsid w:val="0008661A"/>
    <w:rsid w:val="00086624"/>
    <w:rsid w:val="00086965"/>
    <w:rsid w:val="00086F12"/>
    <w:rsid w:val="00086FFA"/>
    <w:rsid w:val="000870A3"/>
    <w:rsid w:val="00087307"/>
    <w:rsid w:val="0008749B"/>
    <w:rsid w:val="000876D6"/>
    <w:rsid w:val="000879B0"/>
    <w:rsid w:val="00087B9A"/>
    <w:rsid w:val="00087CD6"/>
    <w:rsid w:val="00087EC2"/>
    <w:rsid w:val="00087F2C"/>
    <w:rsid w:val="00087FAF"/>
    <w:rsid w:val="0009000D"/>
    <w:rsid w:val="000900EE"/>
    <w:rsid w:val="00090157"/>
    <w:rsid w:val="0009021F"/>
    <w:rsid w:val="000906CF"/>
    <w:rsid w:val="00090AA9"/>
    <w:rsid w:val="00090DCB"/>
    <w:rsid w:val="000917CE"/>
    <w:rsid w:val="00091974"/>
    <w:rsid w:val="00091EDE"/>
    <w:rsid w:val="000920EC"/>
    <w:rsid w:val="00092210"/>
    <w:rsid w:val="000925A8"/>
    <w:rsid w:val="000926B7"/>
    <w:rsid w:val="00092729"/>
    <w:rsid w:val="000929ED"/>
    <w:rsid w:val="00092D16"/>
    <w:rsid w:val="00092E32"/>
    <w:rsid w:val="00092EC3"/>
    <w:rsid w:val="000931CE"/>
    <w:rsid w:val="0009322E"/>
    <w:rsid w:val="000932EA"/>
    <w:rsid w:val="00093452"/>
    <w:rsid w:val="0009365B"/>
    <w:rsid w:val="0009389E"/>
    <w:rsid w:val="00093AC6"/>
    <w:rsid w:val="0009456D"/>
    <w:rsid w:val="00094700"/>
    <w:rsid w:val="00094A00"/>
    <w:rsid w:val="00094CB0"/>
    <w:rsid w:val="000952B2"/>
    <w:rsid w:val="000955E6"/>
    <w:rsid w:val="0009588B"/>
    <w:rsid w:val="000959AE"/>
    <w:rsid w:val="00095A98"/>
    <w:rsid w:val="00095D88"/>
    <w:rsid w:val="000963DA"/>
    <w:rsid w:val="000963E2"/>
    <w:rsid w:val="0009643B"/>
    <w:rsid w:val="0009679E"/>
    <w:rsid w:val="00096832"/>
    <w:rsid w:val="00096AC9"/>
    <w:rsid w:val="00096BDA"/>
    <w:rsid w:val="00096F67"/>
    <w:rsid w:val="000970D9"/>
    <w:rsid w:val="00097188"/>
    <w:rsid w:val="0009760B"/>
    <w:rsid w:val="00097B78"/>
    <w:rsid w:val="00097C80"/>
    <w:rsid w:val="000A0772"/>
    <w:rsid w:val="000A0849"/>
    <w:rsid w:val="000A1070"/>
    <w:rsid w:val="000A10FA"/>
    <w:rsid w:val="000A1392"/>
    <w:rsid w:val="000A15AC"/>
    <w:rsid w:val="000A1A33"/>
    <w:rsid w:val="000A1E2F"/>
    <w:rsid w:val="000A1E6C"/>
    <w:rsid w:val="000A21D1"/>
    <w:rsid w:val="000A2927"/>
    <w:rsid w:val="000A2B3F"/>
    <w:rsid w:val="000A3112"/>
    <w:rsid w:val="000A35C1"/>
    <w:rsid w:val="000A36DE"/>
    <w:rsid w:val="000A3710"/>
    <w:rsid w:val="000A3804"/>
    <w:rsid w:val="000A3AD8"/>
    <w:rsid w:val="000A3E14"/>
    <w:rsid w:val="000A4061"/>
    <w:rsid w:val="000A406C"/>
    <w:rsid w:val="000A437A"/>
    <w:rsid w:val="000A471B"/>
    <w:rsid w:val="000A5253"/>
    <w:rsid w:val="000A5331"/>
    <w:rsid w:val="000A5497"/>
    <w:rsid w:val="000A559C"/>
    <w:rsid w:val="000A57CB"/>
    <w:rsid w:val="000A5907"/>
    <w:rsid w:val="000A5952"/>
    <w:rsid w:val="000A5C58"/>
    <w:rsid w:val="000A5D73"/>
    <w:rsid w:val="000A5E0F"/>
    <w:rsid w:val="000A5E3F"/>
    <w:rsid w:val="000A5FE3"/>
    <w:rsid w:val="000A601E"/>
    <w:rsid w:val="000A63CA"/>
    <w:rsid w:val="000A64F8"/>
    <w:rsid w:val="000A6597"/>
    <w:rsid w:val="000A663B"/>
    <w:rsid w:val="000A668D"/>
    <w:rsid w:val="000A672E"/>
    <w:rsid w:val="000A67FF"/>
    <w:rsid w:val="000A709A"/>
    <w:rsid w:val="000A711D"/>
    <w:rsid w:val="000A7880"/>
    <w:rsid w:val="000A7A1C"/>
    <w:rsid w:val="000A7A6A"/>
    <w:rsid w:val="000A7C32"/>
    <w:rsid w:val="000A7C62"/>
    <w:rsid w:val="000A7EE2"/>
    <w:rsid w:val="000A7F77"/>
    <w:rsid w:val="000A7FD8"/>
    <w:rsid w:val="000B01DE"/>
    <w:rsid w:val="000B026A"/>
    <w:rsid w:val="000B0302"/>
    <w:rsid w:val="000B0374"/>
    <w:rsid w:val="000B056F"/>
    <w:rsid w:val="000B0613"/>
    <w:rsid w:val="000B0664"/>
    <w:rsid w:val="000B093F"/>
    <w:rsid w:val="000B0C8F"/>
    <w:rsid w:val="000B0EE9"/>
    <w:rsid w:val="000B102F"/>
    <w:rsid w:val="000B19E2"/>
    <w:rsid w:val="000B1AFE"/>
    <w:rsid w:val="000B221B"/>
    <w:rsid w:val="000B23A0"/>
    <w:rsid w:val="000B265D"/>
    <w:rsid w:val="000B27C2"/>
    <w:rsid w:val="000B27F0"/>
    <w:rsid w:val="000B2BF5"/>
    <w:rsid w:val="000B302A"/>
    <w:rsid w:val="000B31BC"/>
    <w:rsid w:val="000B32AD"/>
    <w:rsid w:val="000B339B"/>
    <w:rsid w:val="000B3A16"/>
    <w:rsid w:val="000B44C6"/>
    <w:rsid w:val="000B464B"/>
    <w:rsid w:val="000B485E"/>
    <w:rsid w:val="000B48AC"/>
    <w:rsid w:val="000B4969"/>
    <w:rsid w:val="000B4AD5"/>
    <w:rsid w:val="000B4C0E"/>
    <w:rsid w:val="000B4D9D"/>
    <w:rsid w:val="000B512F"/>
    <w:rsid w:val="000B522C"/>
    <w:rsid w:val="000B52A8"/>
    <w:rsid w:val="000B52FC"/>
    <w:rsid w:val="000B5506"/>
    <w:rsid w:val="000B5807"/>
    <w:rsid w:val="000B5C8D"/>
    <w:rsid w:val="000B5FB9"/>
    <w:rsid w:val="000B5FEF"/>
    <w:rsid w:val="000B6061"/>
    <w:rsid w:val="000B62E6"/>
    <w:rsid w:val="000B631B"/>
    <w:rsid w:val="000B65C0"/>
    <w:rsid w:val="000B671A"/>
    <w:rsid w:val="000B6826"/>
    <w:rsid w:val="000B6977"/>
    <w:rsid w:val="000B6B88"/>
    <w:rsid w:val="000B6E1E"/>
    <w:rsid w:val="000B6FF2"/>
    <w:rsid w:val="000B711B"/>
    <w:rsid w:val="000B78F1"/>
    <w:rsid w:val="000B7A0B"/>
    <w:rsid w:val="000B7E2F"/>
    <w:rsid w:val="000B7E73"/>
    <w:rsid w:val="000B7E7F"/>
    <w:rsid w:val="000C006D"/>
    <w:rsid w:val="000C0250"/>
    <w:rsid w:val="000C06AE"/>
    <w:rsid w:val="000C0827"/>
    <w:rsid w:val="000C0EAF"/>
    <w:rsid w:val="000C1241"/>
    <w:rsid w:val="000C14D9"/>
    <w:rsid w:val="000C1651"/>
    <w:rsid w:val="000C16C5"/>
    <w:rsid w:val="000C1A49"/>
    <w:rsid w:val="000C1B44"/>
    <w:rsid w:val="000C1B4F"/>
    <w:rsid w:val="000C1B52"/>
    <w:rsid w:val="000C1B83"/>
    <w:rsid w:val="000C1B99"/>
    <w:rsid w:val="000C1F7B"/>
    <w:rsid w:val="000C21C6"/>
    <w:rsid w:val="000C229B"/>
    <w:rsid w:val="000C23CD"/>
    <w:rsid w:val="000C249F"/>
    <w:rsid w:val="000C2C27"/>
    <w:rsid w:val="000C3210"/>
    <w:rsid w:val="000C3341"/>
    <w:rsid w:val="000C3468"/>
    <w:rsid w:val="000C356D"/>
    <w:rsid w:val="000C3994"/>
    <w:rsid w:val="000C3FA3"/>
    <w:rsid w:val="000C454E"/>
    <w:rsid w:val="000C4A41"/>
    <w:rsid w:val="000C4F77"/>
    <w:rsid w:val="000C5065"/>
    <w:rsid w:val="000C5267"/>
    <w:rsid w:val="000C5473"/>
    <w:rsid w:val="000C561F"/>
    <w:rsid w:val="000C567A"/>
    <w:rsid w:val="000C571D"/>
    <w:rsid w:val="000C574D"/>
    <w:rsid w:val="000C57C7"/>
    <w:rsid w:val="000C5A4D"/>
    <w:rsid w:val="000C5BF4"/>
    <w:rsid w:val="000C5F40"/>
    <w:rsid w:val="000C5FE7"/>
    <w:rsid w:val="000C61FE"/>
    <w:rsid w:val="000C6310"/>
    <w:rsid w:val="000C6315"/>
    <w:rsid w:val="000C6480"/>
    <w:rsid w:val="000C67FF"/>
    <w:rsid w:val="000C6C89"/>
    <w:rsid w:val="000C6DD5"/>
    <w:rsid w:val="000C6F14"/>
    <w:rsid w:val="000C711B"/>
    <w:rsid w:val="000C743B"/>
    <w:rsid w:val="000C776B"/>
    <w:rsid w:val="000C79A2"/>
    <w:rsid w:val="000C79B8"/>
    <w:rsid w:val="000C79ED"/>
    <w:rsid w:val="000C7A2B"/>
    <w:rsid w:val="000C7BB7"/>
    <w:rsid w:val="000C7D0F"/>
    <w:rsid w:val="000D0110"/>
    <w:rsid w:val="000D0627"/>
    <w:rsid w:val="000D0761"/>
    <w:rsid w:val="000D0AEB"/>
    <w:rsid w:val="000D0CCC"/>
    <w:rsid w:val="000D0F72"/>
    <w:rsid w:val="000D0F7E"/>
    <w:rsid w:val="000D1071"/>
    <w:rsid w:val="000D117A"/>
    <w:rsid w:val="000D146F"/>
    <w:rsid w:val="000D1993"/>
    <w:rsid w:val="000D1BC6"/>
    <w:rsid w:val="000D1D37"/>
    <w:rsid w:val="000D1F52"/>
    <w:rsid w:val="000D20F4"/>
    <w:rsid w:val="000D239D"/>
    <w:rsid w:val="000D23B0"/>
    <w:rsid w:val="000D25FB"/>
    <w:rsid w:val="000D2688"/>
    <w:rsid w:val="000D2DB8"/>
    <w:rsid w:val="000D2E9A"/>
    <w:rsid w:val="000D2FA2"/>
    <w:rsid w:val="000D3385"/>
    <w:rsid w:val="000D38BD"/>
    <w:rsid w:val="000D38EC"/>
    <w:rsid w:val="000D38F7"/>
    <w:rsid w:val="000D3B15"/>
    <w:rsid w:val="000D4217"/>
    <w:rsid w:val="000D4924"/>
    <w:rsid w:val="000D49E5"/>
    <w:rsid w:val="000D4B19"/>
    <w:rsid w:val="000D4C0D"/>
    <w:rsid w:val="000D4FA1"/>
    <w:rsid w:val="000D52CB"/>
    <w:rsid w:val="000D5518"/>
    <w:rsid w:val="000D559F"/>
    <w:rsid w:val="000D56E4"/>
    <w:rsid w:val="000D5804"/>
    <w:rsid w:val="000D5935"/>
    <w:rsid w:val="000D5F99"/>
    <w:rsid w:val="000D63AC"/>
    <w:rsid w:val="000D640A"/>
    <w:rsid w:val="000D666D"/>
    <w:rsid w:val="000D669B"/>
    <w:rsid w:val="000D6972"/>
    <w:rsid w:val="000D6E06"/>
    <w:rsid w:val="000D7185"/>
    <w:rsid w:val="000D73A7"/>
    <w:rsid w:val="000D7427"/>
    <w:rsid w:val="000D7534"/>
    <w:rsid w:val="000D774D"/>
    <w:rsid w:val="000D777C"/>
    <w:rsid w:val="000D7AC0"/>
    <w:rsid w:val="000D7C7F"/>
    <w:rsid w:val="000D7F26"/>
    <w:rsid w:val="000E0048"/>
    <w:rsid w:val="000E02A8"/>
    <w:rsid w:val="000E0363"/>
    <w:rsid w:val="000E05B4"/>
    <w:rsid w:val="000E0848"/>
    <w:rsid w:val="000E09AC"/>
    <w:rsid w:val="000E0B16"/>
    <w:rsid w:val="000E0B74"/>
    <w:rsid w:val="000E0D29"/>
    <w:rsid w:val="000E0D84"/>
    <w:rsid w:val="000E0DC2"/>
    <w:rsid w:val="000E0E60"/>
    <w:rsid w:val="000E10EB"/>
    <w:rsid w:val="000E14C9"/>
    <w:rsid w:val="000E14EF"/>
    <w:rsid w:val="000E17BC"/>
    <w:rsid w:val="000E19EC"/>
    <w:rsid w:val="000E1D06"/>
    <w:rsid w:val="000E2051"/>
    <w:rsid w:val="000E20D1"/>
    <w:rsid w:val="000E24CD"/>
    <w:rsid w:val="000E293F"/>
    <w:rsid w:val="000E2EAD"/>
    <w:rsid w:val="000E2FAE"/>
    <w:rsid w:val="000E35A9"/>
    <w:rsid w:val="000E3E33"/>
    <w:rsid w:val="000E3F80"/>
    <w:rsid w:val="000E40FD"/>
    <w:rsid w:val="000E437F"/>
    <w:rsid w:val="000E4407"/>
    <w:rsid w:val="000E46EC"/>
    <w:rsid w:val="000E4963"/>
    <w:rsid w:val="000E49E0"/>
    <w:rsid w:val="000E4C5E"/>
    <w:rsid w:val="000E5136"/>
    <w:rsid w:val="000E5373"/>
    <w:rsid w:val="000E53E8"/>
    <w:rsid w:val="000E53F2"/>
    <w:rsid w:val="000E5810"/>
    <w:rsid w:val="000E5814"/>
    <w:rsid w:val="000E5ADF"/>
    <w:rsid w:val="000E5BEF"/>
    <w:rsid w:val="000E5DFB"/>
    <w:rsid w:val="000E5F95"/>
    <w:rsid w:val="000E600E"/>
    <w:rsid w:val="000E60D0"/>
    <w:rsid w:val="000E6433"/>
    <w:rsid w:val="000E64A9"/>
    <w:rsid w:val="000E6E9B"/>
    <w:rsid w:val="000E7142"/>
    <w:rsid w:val="000E73D2"/>
    <w:rsid w:val="000E7901"/>
    <w:rsid w:val="000E7A21"/>
    <w:rsid w:val="000E7A4B"/>
    <w:rsid w:val="000F02CA"/>
    <w:rsid w:val="000F0549"/>
    <w:rsid w:val="000F086C"/>
    <w:rsid w:val="000F0957"/>
    <w:rsid w:val="000F0B54"/>
    <w:rsid w:val="000F0BFC"/>
    <w:rsid w:val="000F0D16"/>
    <w:rsid w:val="000F0D24"/>
    <w:rsid w:val="000F0FD1"/>
    <w:rsid w:val="000F1011"/>
    <w:rsid w:val="000F1456"/>
    <w:rsid w:val="000F172C"/>
    <w:rsid w:val="000F1A0A"/>
    <w:rsid w:val="000F1A0D"/>
    <w:rsid w:val="000F1A86"/>
    <w:rsid w:val="000F1B86"/>
    <w:rsid w:val="000F1C92"/>
    <w:rsid w:val="000F23A4"/>
    <w:rsid w:val="000F27BD"/>
    <w:rsid w:val="000F2F40"/>
    <w:rsid w:val="000F30B2"/>
    <w:rsid w:val="000F3111"/>
    <w:rsid w:val="000F314E"/>
    <w:rsid w:val="000F31D1"/>
    <w:rsid w:val="000F320B"/>
    <w:rsid w:val="000F38AA"/>
    <w:rsid w:val="000F38C7"/>
    <w:rsid w:val="000F391D"/>
    <w:rsid w:val="000F3C81"/>
    <w:rsid w:val="000F424C"/>
    <w:rsid w:val="000F487E"/>
    <w:rsid w:val="000F4D3E"/>
    <w:rsid w:val="000F4F60"/>
    <w:rsid w:val="000F5020"/>
    <w:rsid w:val="000F5159"/>
    <w:rsid w:val="000F5250"/>
    <w:rsid w:val="000F545E"/>
    <w:rsid w:val="000F5492"/>
    <w:rsid w:val="000F6043"/>
    <w:rsid w:val="000F614A"/>
    <w:rsid w:val="000F61DD"/>
    <w:rsid w:val="000F6233"/>
    <w:rsid w:val="000F64F7"/>
    <w:rsid w:val="000F6625"/>
    <w:rsid w:val="000F68E1"/>
    <w:rsid w:val="000F68E6"/>
    <w:rsid w:val="000F6BE8"/>
    <w:rsid w:val="000F707C"/>
    <w:rsid w:val="000F7B22"/>
    <w:rsid w:val="000F7BCC"/>
    <w:rsid w:val="000F7CE1"/>
    <w:rsid w:val="000F7DBE"/>
    <w:rsid w:val="000F7E6D"/>
    <w:rsid w:val="000F7F1D"/>
    <w:rsid w:val="0010004F"/>
    <w:rsid w:val="001003A6"/>
    <w:rsid w:val="00100501"/>
    <w:rsid w:val="00100661"/>
    <w:rsid w:val="00100675"/>
    <w:rsid w:val="001007F2"/>
    <w:rsid w:val="00100FE6"/>
    <w:rsid w:val="001010BB"/>
    <w:rsid w:val="00101120"/>
    <w:rsid w:val="00101653"/>
    <w:rsid w:val="001017C5"/>
    <w:rsid w:val="00101ADF"/>
    <w:rsid w:val="00101C21"/>
    <w:rsid w:val="00101EAB"/>
    <w:rsid w:val="001020E8"/>
    <w:rsid w:val="00102220"/>
    <w:rsid w:val="0010253A"/>
    <w:rsid w:val="00102B77"/>
    <w:rsid w:val="00102B98"/>
    <w:rsid w:val="001033D0"/>
    <w:rsid w:val="001037CC"/>
    <w:rsid w:val="001038BD"/>
    <w:rsid w:val="00103EFA"/>
    <w:rsid w:val="00103F3C"/>
    <w:rsid w:val="001041D4"/>
    <w:rsid w:val="00104453"/>
    <w:rsid w:val="001044E9"/>
    <w:rsid w:val="001045BC"/>
    <w:rsid w:val="00104763"/>
    <w:rsid w:val="0010483B"/>
    <w:rsid w:val="001048FA"/>
    <w:rsid w:val="00104B0D"/>
    <w:rsid w:val="00104D06"/>
    <w:rsid w:val="00104F92"/>
    <w:rsid w:val="00105D6B"/>
    <w:rsid w:val="00105F4A"/>
    <w:rsid w:val="001061BA"/>
    <w:rsid w:val="00106436"/>
    <w:rsid w:val="0010649F"/>
    <w:rsid w:val="0010693A"/>
    <w:rsid w:val="00106D52"/>
    <w:rsid w:val="00106EFC"/>
    <w:rsid w:val="001076AA"/>
    <w:rsid w:val="001076E9"/>
    <w:rsid w:val="001079F6"/>
    <w:rsid w:val="00107AD1"/>
    <w:rsid w:val="00107E51"/>
    <w:rsid w:val="0011011D"/>
    <w:rsid w:val="0011026C"/>
    <w:rsid w:val="0011078B"/>
    <w:rsid w:val="00110D06"/>
    <w:rsid w:val="00110E49"/>
    <w:rsid w:val="00110F57"/>
    <w:rsid w:val="00111094"/>
    <w:rsid w:val="00111243"/>
    <w:rsid w:val="001116ED"/>
    <w:rsid w:val="001118CB"/>
    <w:rsid w:val="0011196E"/>
    <w:rsid w:val="00111BFC"/>
    <w:rsid w:val="001125A7"/>
    <w:rsid w:val="0011265F"/>
    <w:rsid w:val="00112A4E"/>
    <w:rsid w:val="00112C0C"/>
    <w:rsid w:val="00112C63"/>
    <w:rsid w:val="00113113"/>
    <w:rsid w:val="00113172"/>
    <w:rsid w:val="001134A8"/>
    <w:rsid w:val="0011357C"/>
    <w:rsid w:val="0011367C"/>
    <w:rsid w:val="001136AF"/>
    <w:rsid w:val="0011377F"/>
    <w:rsid w:val="00113948"/>
    <w:rsid w:val="00113A4F"/>
    <w:rsid w:val="00113EEA"/>
    <w:rsid w:val="001146B2"/>
    <w:rsid w:val="001146D7"/>
    <w:rsid w:val="00114874"/>
    <w:rsid w:val="0011496A"/>
    <w:rsid w:val="00114DD2"/>
    <w:rsid w:val="00114E83"/>
    <w:rsid w:val="00114FCA"/>
    <w:rsid w:val="001153E0"/>
    <w:rsid w:val="001155A3"/>
    <w:rsid w:val="0011598B"/>
    <w:rsid w:val="00115B34"/>
    <w:rsid w:val="00115E18"/>
    <w:rsid w:val="00115F5E"/>
    <w:rsid w:val="001163D2"/>
    <w:rsid w:val="001167C0"/>
    <w:rsid w:val="00116836"/>
    <w:rsid w:val="001168E2"/>
    <w:rsid w:val="00116913"/>
    <w:rsid w:val="00116CCA"/>
    <w:rsid w:val="00116D33"/>
    <w:rsid w:val="00116DB7"/>
    <w:rsid w:val="00116E0F"/>
    <w:rsid w:val="00116E44"/>
    <w:rsid w:val="00117156"/>
    <w:rsid w:val="001173A6"/>
    <w:rsid w:val="001173DA"/>
    <w:rsid w:val="00117695"/>
    <w:rsid w:val="00117992"/>
    <w:rsid w:val="00117CA8"/>
    <w:rsid w:val="00117D68"/>
    <w:rsid w:val="00120413"/>
    <w:rsid w:val="001204CF"/>
    <w:rsid w:val="0012061F"/>
    <w:rsid w:val="0012063D"/>
    <w:rsid w:val="00120951"/>
    <w:rsid w:val="001209E1"/>
    <w:rsid w:val="00120C8D"/>
    <w:rsid w:val="00120DB2"/>
    <w:rsid w:val="00120E6C"/>
    <w:rsid w:val="001219A7"/>
    <w:rsid w:val="001219CB"/>
    <w:rsid w:val="00121A8B"/>
    <w:rsid w:val="00121CA7"/>
    <w:rsid w:val="00121DA5"/>
    <w:rsid w:val="001225B7"/>
    <w:rsid w:val="001226FD"/>
    <w:rsid w:val="001229B1"/>
    <w:rsid w:val="00122B01"/>
    <w:rsid w:val="00122BBC"/>
    <w:rsid w:val="00123383"/>
    <w:rsid w:val="001237B4"/>
    <w:rsid w:val="00123A1F"/>
    <w:rsid w:val="00123BDD"/>
    <w:rsid w:val="00123D00"/>
    <w:rsid w:val="001245C6"/>
    <w:rsid w:val="00124766"/>
    <w:rsid w:val="0012489B"/>
    <w:rsid w:val="00124B4C"/>
    <w:rsid w:val="00124C15"/>
    <w:rsid w:val="00124CEC"/>
    <w:rsid w:val="00124F15"/>
    <w:rsid w:val="00124FAC"/>
    <w:rsid w:val="00125267"/>
    <w:rsid w:val="0012578D"/>
    <w:rsid w:val="001258FC"/>
    <w:rsid w:val="00125B33"/>
    <w:rsid w:val="00126103"/>
    <w:rsid w:val="001261FC"/>
    <w:rsid w:val="0012628F"/>
    <w:rsid w:val="00126CA8"/>
    <w:rsid w:val="00126CB0"/>
    <w:rsid w:val="001272BE"/>
    <w:rsid w:val="001273A8"/>
    <w:rsid w:val="001273FD"/>
    <w:rsid w:val="001275D3"/>
    <w:rsid w:val="00127A07"/>
    <w:rsid w:val="00127D59"/>
    <w:rsid w:val="00127F41"/>
    <w:rsid w:val="00127FB4"/>
    <w:rsid w:val="00130024"/>
    <w:rsid w:val="00130144"/>
    <w:rsid w:val="00130403"/>
    <w:rsid w:val="00130749"/>
    <w:rsid w:val="0013097B"/>
    <w:rsid w:val="00130B58"/>
    <w:rsid w:val="00131079"/>
    <w:rsid w:val="00131956"/>
    <w:rsid w:val="00131A48"/>
    <w:rsid w:val="00131B73"/>
    <w:rsid w:val="00131D21"/>
    <w:rsid w:val="00131D69"/>
    <w:rsid w:val="00131DC3"/>
    <w:rsid w:val="00131F15"/>
    <w:rsid w:val="001322F7"/>
    <w:rsid w:val="00132655"/>
    <w:rsid w:val="0013284D"/>
    <w:rsid w:val="001328C9"/>
    <w:rsid w:val="00132B85"/>
    <w:rsid w:val="00133787"/>
    <w:rsid w:val="00133CB7"/>
    <w:rsid w:val="001343DF"/>
    <w:rsid w:val="00134AD6"/>
    <w:rsid w:val="00134DD4"/>
    <w:rsid w:val="0013503C"/>
    <w:rsid w:val="0013531D"/>
    <w:rsid w:val="00135729"/>
    <w:rsid w:val="001358F0"/>
    <w:rsid w:val="00135968"/>
    <w:rsid w:val="00135B7D"/>
    <w:rsid w:val="00135CC9"/>
    <w:rsid w:val="00135E4C"/>
    <w:rsid w:val="00135EF7"/>
    <w:rsid w:val="00135F39"/>
    <w:rsid w:val="00136069"/>
    <w:rsid w:val="0013607E"/>
    <w:rsid w:val="00136310"/>
    <w:rsid w:val="00136598"/>
    <w:rsid w:val="001368D7"/>
    <w:rsid w:val="001369A5"/>
    <w:rsid w:val="00136C06"/>
    <w:rsid w:val="001372C0"/>
    <w:rsid w:val="001373F5"/>
    <w:rsid w:val="00137539"/>
    <w:rsid w:val="00137708"/>
    <w:rsid w:val="001378CA"/>
    <w:rsid w:val="00137A3F"/>
    <w:rsid w:val="00137BCF"/>
    <w:rsid w:val="00137D12"/>
    <w:rsid w:val="00137D32"/>
    <w:rsid w:val="00137EE3"/>
    <w:rsid w:val="00137F6A"/>
    <w:rsid w:val="00140097"/>
    <w:rsid w:val="00140322"/>
    <w:rsid w:val="0014059A"/>
    <w:rsid w:val="00140702"/>
    <w:rsid w:val="0014072F"/>
    <w:rsid w:val="00140744"/>
    <w:rsid w:val="00140B1A"/>
    <w:rsid w:val="00140FAB"/>
    <w:rsid w:val="00141249"/>
    <w:rsid w:val="0014129B"/>
    <w:rsid w:val="0014161C"/>
    <w:rsid w:val="0014162F"/>
    <w:rsid w:val="0014189D"/>
    <w:rsid w:val="001418C8"/>
    <w:rsid w:val="0014195D"/>
    <w:rsid w:val="00141D33"/>
    <w:rsid w:val="00141DAD"/>
    <w:rsid w:val="00142486"/>
    <w:rsid w:val="00142632"/>
    <w:rsid w:val="00142654"/>
    <w:rsid w:val="00142AA2"/>
    <w:rsid w:val="00142C83"/>
    <w:rsid w:val="00142C9C"/>
    <w:rsid w:val="00142F3A"/>
    <w:rsid w:val="00143284"/>
    <w:rsid w:val="00143471"/>
    <w:rsid w:val="001434FB"/>
    <w:rsid w:val="0014351F"/>
    <w:rsid w:val="00143A94"/>
    <w:rsid w:val="00143BEB"/>
    <w:rsid w:val="00143F0D"/>
    <w:rsid w:val="00143F8E"/>
    <w:rsid w:val="00143FA7"/>
    <w:rsid w:val="00144035"/>
    <w:rsid w:val="001444A5"/>
    <w:rsid w:val="001444C4"/>
    <w:rsid w:val="001448E2"/>
    <w:rsid w:val="00144A8E"/>
    <w:rsid w:val="00144CBA"/>
    <w:rsid w:val="0014537F"/>
    <w:rsid w:val="001455B4"/>
    <w:rsid w:val="00145D18"/>
    <w:rsid w:val="00145E2D"/>
    <w:rsid w:val="00145E74"/>
    <w:rsid w:val="00145FA9"/>
    <w:rsid w:val="00146465"/>
    <w:rsid w:val="0014664F"/>
    <w:rsid w:val="0014688B"/>
    <w:rsid w:val="001469F7"/>
    <w:rsid w:val="00146AE8"/>
    <w:rsid w:val="00146B86"/>
    <w:rsid w:val="00146DF4"/>
    <w:rsid w:val="001474AA"/>
    <w:rsid w:val="0014782B"/>
    <w:rsid w:val="001478E6"/>
    <w:rsid w:val="0015013B"/>
    <w:rsid w:val="001502CC"/>
    <w:rsid w:val="001502CD"/>
    <w:rsid w:val="001503CA"/>
    <w:rsid w:val="001508A3"/>
    <w:rsid w:val="00150F5B"/>
    <w:rsid w:val="001516E3"/>
    <w:rsid w:val="001517A9"/>
    <w:rsid w:val="00151AA6"/>
    <w:rsid w:val="00151BAB"/>
    <w:rsid w:val="00151E4F"/>
    <w:rsid w:val="00151F12"/>
    <w:rsid w:val="00151F41"/>
    <w:rsid w:val="00151F50"/>
    <w:rsid w:val="00152231"/>
    <w:rsid w:val="0015242B"/>
    <w:rsid w:val="001528BF"/>
    <w:rsid w:val="00152B9D"/>
    <w:rsid w:val="00152C6F"/>
    <w:rsid w:val="00152FB0"/>
    <w:rsid w:val="00153511"/>
    <w:rsid w:val="001535CC"/>
    <w:rsid w:val="0015372B"/>
    <w:rsid w:val="00153731"/>
    <w:rsid w:val="00153A7F"/>
    <w:rsid w:val="00153B5E"/>
    <w:rsid w:val="00153C15"/>
    <w:rsid w:val="00153CBE"/>
    <w:rsid w:val="00153DF0"/>
    <w:rsid w:val="00153EEC"/>
    <w:rsid w:val="00153EF4"/>
    <w:rsid w:val="0015418F"/>
    <w:rsid w:val="0015424E"/>
    <w:rsid w:val="001543B6"/>
    <w:rsid w:val="00154ACF"/>
    <w:rsid w:val="00154B3E"/>
    <w:rsid w:val="00154BBD"/>
    <w:rsid w:val="00154CCB"/>
    <w:rsid w:val="00154D28"/>
    <w:rsid w:val="00154EF2"/>
    <w:rsid w:val="00155068"/>
    <w:rsid w:val="00155285"/>
    <w:rsid w:val="00155491"/>
    <w:rsid w:val="001554F1"/>
    <w:rsid w:val="00155B8A"/>
    <w:rsid w:val="00155BE2"/>
    <w:rsid w:val="0015604D"/>
    <w:rsid w:val="001560C3"/>
    <w:rsid w:val="001566A8"/>
    <w:rsid w:val="00156A0E"/>
    <w:rsid w:val="00156BA7"/>
    <w:rsid w:val="00157014"/>
    <w:rsid w:val="00157411"/>
    <w:rsid w:val="001574C0"/>
    <w:rsid w:val="001575B9"/>
    <w:rsid w:val="0015798D"/>
    <w:rsid w:val="001579EA"/>
    <w:rsid w:val="00157BA4"/>
    <w:rsid w:val="00160003"/>
    <w:rsid w:val="0016005A"/>
    <w:rsid w:val="0016018B"/>
    <w:rsid w:val="00160443"/>
    <w:rsid w:val="001606CF"/>
    <w:rsid w:val="00160997"/>
    <w:rsid w:val="00160B1C"/>
    <w:rsid w:val="00160B8B"/>
    <w:rsid w:val="00160C0A"/>
    <w:rsid w:val="00160E44"/>
    <w:rsid w:val="00160FF4"/>
    <w:rsid w:val="0016104B"/>
    <w:rsid w:val="00161148"/>
    <w:rsid w:val="0016128D"/>
    <w:rsid w:val="00161512"/>
    <w:rsid w:val="001615FB"/>
    <w:rsid w:val="0016174D"/>
    <w:rsid w:val="00161A35"/>
    <w:rsid w:val="00161A41"/>
    <w:rsid w:val="00161DAE"/>
    <w:rsid w:val="00161DCA"/>
    <w:rsid w:val="001620A1"/>
    <w:rsid w:val="0016243C"/>
    <w:rsid w:val="00162785"/>
    <w:rsid w:val="0016278F"/>
    <w:rsid w:val="00162A77"/>
    <w:rsid w:val="0016308F"/>
    <w:rsid w:val="0016312B"/>
    <w:rsid w:val="001633F4"/>
    <w:rsid w:val="001639EC"/>
    <w:rsid w:val="00163A9E"/>
    <w:rsid w:val="00163B75"/>
    <w:rsid w:val="00163C02"/>
    <w:rsid w:val="00163E5A"/>
    <w:rsid w:val="00163E71"/>
    <w:rsid w:val="00164599"/>
    <w:rsid w:val="00164821"/>
    <w:rsid w:val="00164822"/>
    <w:rsid w:val="00164AD3"/>
    <w:rsid w:val="00164D55"/>
    <w:rsid w:val="00164F16"/>
    <w:rsid w:val="001654BA"/>
    <w:rsid w:val="001654BB"/>
    <w:rsid w:val="00165545"/>
    <w:rsid w:val="001655E3"/>
    <w:rsid w:val="00165675"/>
    <w:rsid w:val="00165724"/>
    <w:rsid w:val="001657A7"/>
    <w:rsid w:val="00165B7D"/>
    <w:rsid w:val="00165D12"/>
    <w:rsid w:val="00165FFC"/>
    <w:rsid w:val="00166161"/>
    <w:rsid w:val="001666E4"/>
    <w:rsid w:val="001668B4"/>
    <w:rsid w:val="00166CCF"/>
    <w:rsid w:val="00167039"/>
    <w:rsid w:val="001674D2"/>
    <w:rsid w:val="00167650"/>
    <w:rsid w:val="001676D8"/>
    <w:rsid w:val="00167762"/>
    <w:rsid w:val="0016781D"/>
    <w:rsid w:val="00167835"/>
    <w:rsid w:val="001678E4"/>
    <w:rsid w:val="00167CDF"/>
    <w:rsid w:val="00167FFD"/>
    <w:rsid w:val="0017042D"/>
    <w:rsid w:val="00170622"/>
    <w:rsid w:val="0017074C"/>
    <w:rsid w:val="0017089D"/>
    <w:rsid w:val="00170B37"/>
    <w:rsid w:val="00170CE4"/>
    <w:rsid w:val="0017102A"/>
    <w:rsid w:val="00171424"/>
    <w:rsid w:val="00171C5E"/>
    <w:rsid w:val="00171C79"/>
    <w:rsid w:val="00171FC9"/>
    <w:rsid w:val="001721FF"/>
    <w:rsid w:val="0017232E"/>
    <w:rsid w:val="0017263B"/>
    <w:rsid w:val="0017266E"/>
    <w:rsid w:val="0017279A"/>
    <w:rsid w:val="001729FD"/>
    <w:rsid w:val="00172F30"/>
    <w:rsid w:val="00173060"/>
    <w:rsid w:val="00173085"/>
    <w:rsid w:val="00173188"/>
    <w:rsid w:val="0017347F"/>
    <w:rsid w:val="00173743"/>
    <w:rsid w:val="0017382C"/>
    <w:rsid w:val="001738FE"/>
    <w:rsid w:val="00173A21"/>
    <w:rsid w:val="001741CA"/>
    <w:rsid w:val="001742D8"/>
    <w:rsid w:val="00174312"/>
    <w:rsid w:val="00174AA8"/>
    <w:rsid w:val="00174D3C"/>
    <w:rsid w:val="00174DD6"/>
    <w:rsid w:val="00174F53"/>
    <w:rsid w:val="00175097"/>
    <w:rsid w:val="001756B5"/>
    <w:rsid w:val="00175941"/>
    <w:rsid w:val="00175BC4"/>
    <w:rsid w:val="00175D8D"/>
    <w:rsid w:val="00175E89"/>
    <w:rsid w:val="00176050"/>
    <w:rsid w:val="00176100"/>
    <w:rsid w:val="00176121"/>
    <w:rsid w:val="0017633E"/>
    <w:rsid w:val="00176660"/>
    <w:rsid w:val="001768C1"/>
    <w:rsid w:val="0017691E"/>
    <w:rsid w:val="00176C61"/>
    <w:rsid w:val="00177292"/>
    <w:rsid w:val="00177426"/>
    <w:rsid w:val="001774EF"/>
    <w:rsid w:val="001778BE"/>
    <w:rsid w:val="00177EC1"/>
    <w:rsid w:val="001800FB"/>
    <w:rsid w:val="0018043A"/>
    <w:rsid w:val="001804EB"/>
    <w:rsid w:val="001805A8"/>
    <w:rsid w:val="00180644"/>
    <w:rsid w:val="001809D8"/>
    <w:rsid w:val="00180BAA"/>
    <w:rsid w:val="001810D5"/>
    <w:rsid w:val="001818D1"/>
    <w:rsid w:val="00181A14"/>
    <w:rsid w:val="00181AC1"/>
    <w:rsid w:val="00181AF5"/>
    <w:rsid w:val="001822AE"/>
    <w:rsid w:val="001825F2"/>
    <w:rsid w:val="00182C78"/>
    <w:rsid w:val="00182D1E"/>
    <w:rsid w:val="00182F5C"/>
    <w:rsid w:val="00183063"/>
    <w:rsid w:val="00183201"/>
    <w:rsid w:val="00183FD8"/>
    <w:rsid w:val="00183FE3"/>
    <w:rsid w:val="0018420A"/>
    <w:rsid w:val="00184350"/>
    <w:rsid w:val="001843A8"/>
    <w:rsid w:val="00184486"/>
    <w:rsid w:val="001845D9"/>
    <w:rsid w:val="00184888"/>
    <w:rsid w:val="00184E12"/>
    <w:rsid w:val="0018511B"/>
    <w:rsid w:val="00185284"/>
    <w:rsid w:val="00185299"/>
    <w:rsid w:val="001855DC"/>
    <w:rsid w:val="00185620"/>
    <w:rsid w:val="00185A57"/>
    <w:rsid w:val="00185B08"/>
    <w:rsid w:val="00185C14"/>
    <w:rsid w:val="00185F21"/>
    <w:rsid w:val="00185F68"/>
    <w:rsid w:val="001861BB"/>
    <w:rsid w:val="0018638A"/>
    <w:rsid w:val="0018639F"/>
    <w:rsid w:val="001863F0"/>
    <w:rsid w:val="00186635"/>
    <w:rsid w:val="0018689A"/>
    <w:rsid w:val="001869CC"/>
    <w:rsid w:val="00186B66"/>
    <w:rsid w:val="00186BE7"/>
    <w:rsid w:val="00186C11"/>
    <w:rsid w:val="00186C1F"/>
    <w:rsid w:val="00186DA0"/>
    <w:rsid w:val="001871D0"/>
    <w:rsid w:val="00187A84"/>
    <w:rsid w:val="00187EA7"/>
    <w:rsid w:val="0019042C"/>
    <w:rsid w:val="0019071B"/>
    <w:rsid w:val="00190752"/>
    <w:rsid w:val="00190868"/>
    <w:rsid w:val="001908C4"/>
    <w:rsid w:val="0019091D"/>
    <w:rsid w:val="0019098B"/>
    <w:rsid w:val="00190ADA"/>
    <w:rsid w:val="00190C43"/>
    <w:rsid w:val="00190C58"/>
    <w:rsid w:val="0019101A"/>
    <w:rsid w:val="0019115F"/>
    <w:rsid w:val="001917C5"/>
    <w:rsid w:val="0019185F"/>
    <w:rsid w:val="00191C37"/>
    <w:rsid w:val="00191CCA"/>
    <w:rsid w:val="00191E80"/>
    <w:rsid w:val="001921BF"/>
    <w:rsid w:val="001923F2"/>
    <w:rsid w:val="0019249F"/>
    <w:rsid w:val="00192524"/>
    <w:rsid w:val="0019286D"/>
    <w:rsid w:val="00192A03"/>
    <w:rsid w:val="00193018"/>
    <w:rsid w:val="001932E8"/>
    <w:rsid w:val="001933D2"/>
    <w:rsid w:val="00193839"/>
    <w:rsid w:val="00193E8B"/>
    <w:rsid w:val="00194461"/>
    <w:rsid w:val="0019459C"/>
    <w:rsid w:val="0019483A"/>
    <w:rsid w:val="00194A86"/>
    <w:rsid w:val="00194AC9"/>
    <w:rsid w:val="00194C8A"/>
    <w:rsid w:val="00194F67"/>
    <w:rsid w:val="00195181"/>
    <w:rsid w:val="001952A1"/>
    <w:rsid w:val="001954B8"/>
    <w:rsid w:val="001954FF"/>
    <w:rsid w:val="00195549"/>
    <w:rsid w:val="00195B13"/>
    <w:rsid w:val="00195B64"/>
    <w:rsid w:val="00195C8E"/>
    <w:rsid w:val="00195DCD"/>
    <w:rsid w:val="001960B8"/>
    <w:rsid w:val="001965A6"/>
    <w:rsid w:val="0019660E"/>
    <w:rsid w:val="0019697C"/>
    <w:rsid w:val="00196A2C"/>
    <w:rsid w:val="00196A68"/>
    <w:rsid w:val="00196B91"/>
    <w:rsid w:val="00196FED"/>
    <w:rsid w:val="0019701E"/>
    <w:rsid w:val="001972D2"/>
    <w:rsid w:val="00197486"/>
    <w:rsid w:val="00197590"/>
    <w:rsid w:val="0019762E"/>
    <w:rsid w:val="00197B9F"/>
    <w:rsid w:val="00197CF2"/>
    <w:rsid w:val="001A00BA"/>
    <w:rsid w:val="001A016C"/>
    <w:rsid w:val="001A045E"/>
    <w:rsid w:val="001A04BF"/>
    <w:rsid w:val="001A0F9D"/>
    <w:rsid w:val="001A117D"/>
    <w:rsid w:val="001A1257"/>
    <w:rsid w:val="001A12A5"/>
    <w:rsid w:val="001A1619"/>
    <w:rsid w:val="001A1843"/>
    <w:rsid w:val="001A1B4F"/>
    <w:rsid w:val="001A1EBA"/>
    <w:rsid w:val="001A1F43"/>
    <w:rsid w:val="001A2314"/>
    <w:rsid w:val="001A2DBC"/>
    <w:rsid w:val="001A332D"/>
    <w:rsid w:val="001A350F"/>
    <w:rsid w:val="001A3670"/>
    <w:rsid w:val="001A3B47"/>
    <w:rsid w:val="001A3D6F"/>
    <w:rsid w:val="001A3EC3"/>
    <w:rsid w:val="001A40BF"/>
    <w:rsid w:val="001A4154"/>
    <w:rsid w:val="001A45C9"/>
    <w:rsid w:val="001A46A0"/>
    <w:rsid w:val="001A4754"/>
    <w:rsid w:val="001A489D"/>
    <w:rsid w:val="001A4A9B"/>
    <w:rsid w:val="001A4B82"/>
    <w:rsid w:val="001A4D4D"/>
    <w:rsid w:val="001A4DEB"/>
    <w:rsid w:val="001A4E95"/>
    <w:rsid w:val="001A515E"/>
    <w:rsid w:val="001A5191"/>
    <w:rsid w:val="001A54C6"/>
    <w:rsid w:val="001A57FF"/>
    <w:rsid w:val="001A5927"/>
    <w:rsid w:val="001A5ADB"/>
    <w:rsid w:val="001A5E69"/>
    <w:rsid w:val="001A61CA"/>
    <w:rsid w:val="001A65AE"/>
    <w:rsid w:val="001A71E3"/>
    <w:rsid w:val="001A7435"/>
    <w:rsid w:val="001A74CB"/>
    <w:rsid w:val="001A7767"/>
    <w:rsid w:val="001A77F4"/>
    <w:rsid w:val="001A7904"/>
    <w:rsid w:val="001A7AAD"/>
    <w:rsid w:val="001A7B2C"/>
    <w:rsid w:val="001A7B3F"/>
    <w:rsid w:val="001A7E02"/>
    <w:rsid w:val="001A7F5D"/>
    <w:rsid w:val="001B01A2"/>
    <w:rsid w:val="001B02A0"/>
    <w:rsid w:val="001B02ED"/>
    <w:rsid w:val="001B0595"/>
    <w:rsid w:val="001B0978"/>
    <w:rsid w:val="001B0B77"/>
    <w:rsid w:val="001B14AC"/>
    <w:rsid w:val="001B154A"/>
    <w:rsid w:val="001B1A67"/>
    <w:rsid w:val="001B1C36"/>
    <w:rsid w:val="001B1DBF"/>
    <w:rsid w:val="001B1EE0"/>
    <w:rsid w:val="001B2098"/>
    <w:rsid w:val="001B2423"/>
    <w:rsid w:val="001B26A3"/>
    <w:rsid w:val="001B2BA9"/>
    <w:rsid w:val="001B2E2B"/>
    <w:rsid w:val="001B2FA9"/>
    <w:rsid w:val="001B382A"/>
    <w:rsid w:val="001B39FB"/>
    <w:rsid w:val="001B3AC5"/>
    <w:rsid w:val="001B4015"/>
    <w:rsid w:val="001B41C0"/>
    <w:rsid w:val="001B44F4"/>
    <w:rsid w:val="001B45AC"/>
    <w:rsid w:val="001B465C"/>
    <w:rsid w:val="001B4796"/>
    <w:rsid w:val="001B4CF9"/>
    <w:rsid w:val="001B54CA"/>
    <w:rsid w:val="001B5647"/>
    <w:rsid w:val="001B5851"/>
    <w:rsid w:val="001B5AB7"/>
    <w:rsid w:val="001B5CBF"/>
    <w:rsid w:val="001B5E27"/>
    <w:rsid w:val="001B60F5"/>
    <w:rsid w:val="001B62A4"/>
    <w:rsid w:val="001B646A"/>
    <w:rsid w:val="001B646B"/>
    <w:rsid w:val="001B651C"/>
    <w:rsid w:val="001B681B"/>
    <w:rsid w:val="001B6C18"/>
    <w:rsid w:val="001B6DCB"/>
    <w:rsid w:val="001B6EAA"/>
    <w:rsid w:val="001B6F69"/>
    <w:rsid w:val="001B7055"/>
    <w:rsid w:val="001B71C4"/>
    <w:rsid w:val="001B7583"/>
    <w:rsid w:val="001B758A"/>
    <w:rsid w:val="001B7719"/>
    <w:rsid w:val="001B7BBF"/>
    <w:rsid w:val="001B7F82"/>
    <w:rsid w:val="001C05BD"/>
    <w:rsid w:val="001C0B16"/>
    <w:rsid w:val="001C0CAD"/>
    <w:rsid w:val="001C0F48"/>
    <w:rsid w:val="001C0FC2"/>
    <w:rsid w:val="001C1015"/>
    <w:rsid w:val="001C105C"/>
    <w:rsid w:val="001C1245"/>
    <w:rsid w:val="001C155B"/>
    <w:rsid w:val="001C15F7"/>
    <w:rsid w:val="001C1652"/>
    <w:rsid w:val="001C180F"/>
    <w:rsid w:val="001C202E"/>
    <w:rsid w:val="001C2171"/>
    <w:rsid w:val="001C2305"/>
    <w:rsid w:val="001C247F"/>
    <w:rsid w:val="001C24AE"/>
    <w:rsid w:val="001C295B"/>
    <w:rsid w:val="001C2A4C"/>
    <w:rsid w:val="001C2D16"/>
    <w:rsid w:val="001C2DFD"/>
    <w:rsid w:val="001C3418"/>
    <w:rsid w:val="001C358D"/>
    <w:rsid w:val="001C36E7"/>
    <w:rsid w:val="001C37C1"/>
    <w:rsid w:val="001C3855"/>
    <w:rsid w:val="001C3C72"/>
    <w:rsid w:val="001C3CD3"/>
    <w:rsid w:val="001C3E12"/>
    <w:rsid w:val="001C3E41"/>
    <w:rsid w:val="001C3FE4"/>
    <w:rsid w:val="001C40A0"/>
    <w:rsid w:val="001C45A2"/>
    <w:rsid w:val="001C4DAA"/>
    <w:rsid w:val="001C4DC0"/>
    <w:rsid w:val="001C4DF1"/>
    <w:rsid w:val="001C4F5D"/>
    <w:rsid w:val="001C5240"/>
    <w:rsid w:val="001C599F"/>
    <w:rsid w:val="001C62C8"/>
    <w:rsid w:val="001C6362"/>
    <w:rsid w:val="001C658D"/>
    <w:rsid w:val="001C6646"/>
    <w:rsid w:val="001C669F"/>
    <w:rsid w:val="001C6E1B"/>
    <w:rsid w:val="001C6FC2"/>
    <w:rsid w:val="001C70DA"/>
    <w:rsid w:val="001C725C"/>
    <w:rsid w:val="001C7332"/>
    <w:rsid w:val="001C76CB"/>
    <w:rsid w:val="001C79F4"/>
    <w:rsid w:val="001C7BC1"/>
    <w:rsid w:val="001C7FE2"/>
    <w:rsid w:val="001D01E0"/>
    <w:rsid w:val="001D0302"/>
    <w:rsid w:val="001D034E"/>
    <w:rsid w:val="001D098E"/>
    <w:rsid w:val="001D0B98"/>
    <w:rsid w:val="001D15FA"/>
    <w:rsid w:val="001D1CD7"/>
    <w:rsid w:val="001D234E"/>
    <w:rsid w:val="001D2380"/>
    <w:rsid w:val="001D2507"/>
    <w:rsid w:val="001D2E96"/>
    <w:rsid w:val="001D2EAA"/>
    <w:rsid w:val="001D2F1E"/>
    <w:rsid w:val="001D3232"/>
    <w:rsid w:val="001D366D"/>
    <w:rsid w:val="001D36F2"/>
    <w:rsid w:val="001D3BFB"/>
    <w:rsid w:val="001D3D1B"/>
    <w:rsid w:val="001D3E52"/>
    <w:rsid w:val="001D407F"/>
    <w:rsid w:val="001D45A8"/>
    <w:rsid w:val="001D45FB"/>
    <w:rsid w:val="001D51B2"/>
    <w:rsid w:val="001D591E"/>
    <w:rsid w:val="001D5A64"/>
    <w:rsid w:val="001D5BD0"/>
    <w:rsid w:val="001D60EB"/>
    <w:rsid w:val="001D621B"/>
    <w:rsid w:val="001D651E"/>
    <w:rsid w:val="001D660F"/>
    <w:rsid w:val="001D661D"/>
    <w:rsid w:val="001D6709"/>
    <w:rsid w:val="001D6767"/>
    <w:rsid w:val="001D68CE"/>
    <w:rsid w:val="001D6A24"/>
    <w:rsid w:val="001D6B4D"/>
    <w:rsid w:val="001D6B9B"/>
    <w:rsid w:val="001D6E70"/>
    <w:rsid w:val="001D728B"/>
    <w:rsid w:val="001D73E5"/>
    <w:rsid w:val="001D751E"/>
    <w:rsid w:val="001D7649"/>
    <w:rsid w:val="001D7652"/>
    <w:rsid w:val="001D772E"/>
    <w:rsid w:val="001D7BE6"/>
    <w:rsid w:val="001E02D5"/>
    <w:rsid w:val="001E052F"/>
    <w:rsid w:val="001E0704"/>
    <w:rsid w:val="001E103E"/>
    <w:rsid w:val="001E116D"/>
    <w:rsid w:val="001E1355"/>
    <w:rsid w:val="001E1394"/>
    <w:rsid w:val="001E198D"/>
    <w:rsid w:val="001E19D0"/>
    <w:rsid w:val="001E1A89"/>
    <w:rsid w:val="001E2A17"/>
    <w:rsid w:val="001E2D76"/>
    <w:rsid w:val="001E32D6"/>
    <w:rsid w:val="001E3369"/>
    <w:rsid w:val="001E34C7"/>
    <w:rsid w:val="001E371E"/>
    <w:rsid w:val="001E3757"/>
    <w:rsid w:val="001E3792"/>
    <w:rsid w:val="001E3807"/>
    <w:rsid w:val="001E44D0"/>
    <w:rsid w:val="001E4A50"/>
    <w:rsid w:val="001E4B7D"/>
    <w:rsid w:val="001E4CB5"/>
    <w:rsid w:val="001E4CB8"/>
    <w:rsid w:val="001E4CD7"/>
    <w:rsid w:val="001E4D18"/>
    <w:rsid w:val="001E4F68"/>
    <w:rsid w:val="001E520D"/>
    <w:rsid w:val="001E542E"/>
    <w:rsid w:val="001E5D1B"/>
    <w:rsid w:val="001E5EF0"/>
    <w:rsid w:val="001E627E"/>
    <w:rsid w:val="001E6388"/>
    <w:rsid w:val="001E64DA"/>
    <w:rsid w:val="001E6560"/>
    <w:rsid w:val="001E6CBC"/>
    <w:rsid w:val="001E714C"/>
    <w:rsid w:val="001E7384"/>
    <w:rsid w:val="001E7A9E"/>
    <w:rsid w:val="001E7F50"/>
    <w:rsid w:val="001F0199"/>
    <w:rsid w:val="001F0452"/>
    <w:rsid w:val="001F05FF"/>
    <w:rsid w:val="001F06F1"/>
    <w:rsid w:val="001F08C8"/>
    <w:rsid w:val="001F0A09"/>
    <w:rsid w:val="001F0D77"/>
    <w:rsid w:val="001F11FB"/>
    <w:rsid w:val="001F14AB"/>
    <w:rsid w:val="001F14B4"/>
    <w:rsid w:val="001F17B0"/>
    <w:rsid w:val="001F180C"/>
    <w:rsid w:val="001F1AD5"/>
    <w:rsid w:val="001F1B27"/>
    <w:rsid w:val="001F20C3"/>
    <w:rsid w:val="001F25CB"/>
    <w:rsid w:val="001F271F"/>
    <w:rsid w:val="001F276D"/>
    <w:rsid w:val="001F28C8"/>
    <w:rsid w:val="001F28E0"/>
    <w:rsid w:val="001F34F4"/>
    <w:rsid w:val="001F35E6"/>
    <w:rsid w:val="001F366D"/>
    <w:rsid w:val="001F3AED"/>
    <w:rsid w:val="001F3C2E"/>
    <w:rsid w:val="001F3E5E"/>
    <w:rsid w:val="001F3EB9"/>
    <w:rsid w:val="001F408D"/>
    <w:rsid w:val="001F41A9"/>
    <w:rsid w:val="001F48AD"/>
    <w:rsid w:val="001F4A22"/>
    <w:rsid w:val="001F4B41"/>
    <w:rsid w:val="001F4DBC"/>
    <w:rsid w:val="001F51DD"/>
    <w:rsid w:val="001F530A"/>
    <w:rsid w:val="001F5A07"/>
    <w:rsid w:val="001F5C4E"/>
    <w:rsid w:val="001F6094"/>
    <w:rsid w:val="001F6144"/>
    <w:rsid w:val="001F63A1"/>
    <w:rsid w:val="001F63F0"/>
    <w:rsid w:val="001F67FD"/>
    <w:rsid w:val="001F765E"/>
    <w:rsid w:val="001F7754"/>
    <w:rsid w:val="001F7D02"/>
    <w:rsid w:val="001F7D17"/>
    <w:rsid w:val="001F7D22"/>
    <w:rsid w:val="0020001D"/>
    <w:rsid w:val="00200422"/>
    <w:rsid w:val="00200B80"/>
    <w:rsid w:val="00200C2A"/>
    <w:rsid w:val="00200FCA"/>
    <w:rsid w:val="0020105B"/>
    <w:rsid w:val="0020121F"/>
    <w:rsid w:val="00201603"/>
    <w:rsid w:val="00201940"/>
    <w:rsid w:val="002019DA"/>
    <w:rsid w:val="00201D23"/>
    <w:rsid w:val="0020243A"/>
    <w:rsid w:val="002025CC"/>
    <w:rsid w:val="002026EE"/>
    <w:rsid w:val="0020273B"/>
    <w:rsid w:val="00202B31"/>
    <w:rsid w:val="00202B60"/>
    <w:rsid w:val="00202BD6"/>
    <w:rsid w:val="00202CE6"/>
    <w:rsid w:val="00202DBA"/>
    <w:rsid w:val="00202F13"/>
    <w:rsid w:val="00202FE1"/>
    <w:rsid w:val="00203509"/>
    <w:rsid w:val="002037DA"/>
    <w:rsid w:val="00203814"/>
    <w:rsid w:val="00203C15"/>
    <w:rsid w:val="0020492F"/>
    <w:rsid w:val="002049A7"/>
    <w:rsid w:val="002053BC"/>
    <w:rsid w:val="00205A91"/>
    <w:rsid w:val="00205CA8"/>
    <w:rsid w:val="00205D81"/>
    <w:rsid w:val="0020629B"/>
    <w:rsid w:val="002063A9"/>
    <w:rsid w:val="002063C3"/>
    <w:rsid w:val="00206AC1"/>
    <w:rsid w:val="00206F01"/>
    <w:rsid w:val="00207001"/>
    <w:rsid w:val="0020713C"/>
    <w:rsid w:val="00207B82"/>
    <w:rsid w:val="00207DE5"/>
    <w:rsid w:val="00207F01"/>
    <w:rsid w:val="0021022B"/>
    <w:rsid w:val="00210686"/>
    <w:rsid w:val="0021084D"/>
    <w:rsid w:val="00210BE8"/>
    <w:rsid w:val="00210C12"/>
    <w:rsid w:val="00210CED"/>
    <w:rsid w:val="00210EFA"/>
    <w:rsid w:val="00210FA3"/>
    <w:rsid w:val="00210FAD"/>
    <w:rsid w:val="00211438"/>
    <w:rsid w:val="00211660"/>
    <w:rsid w:val="002116AA"/>
    <w:rsid w:val="00211702"/>
    <w:rsid w:val="00211740"/>
    <w:rsid w:val="002117D6"/>
    <w:rsid w:val="002119CA"/>
    <w:rsid w:val="00211C8D"/>
    <w:rsid w:val="00211EE8"/>
    <w:rsid w:val="00211F46"/>
    <w:rsid w:val="00212073"/>
    <w:rsid w:val="002120B9"/>
    <w:rsid w:val="0021253B"/>
    <w:rsid w:val="002128B9"/>
    <w:rsid w:val="002129EF"/>
    <w:rsid w:val="00212B85"/>
    <w:rsid w:val="00212FBC"/>
    <w:rsid w:val="00213022"/>
    <w:rsid w:val="002132A9"/>
    <w:rsid w:val="00213309"/>
    <w:rsid w:val="0021344F"/>
    <w:rsid w:val="00213B4D"/>
    <w:rsid w:val="00213B64"/>
    <w:rsid w:val="00213D6F"/>
    <w:rsid w:val="00213EB3"/>
    <w:rsid w:val="002140C6"/>
    <w:rsid w:val="002148CA"/>
    <w:rsid w:val="002148D8"/>
    <w:rsid w:val="0021496F"/>
    <w:rsid w:val="00214CC0"/>
    <w:rsid w:val="00214FE4"/>
    <w:rsid w:val="00215179"/>
    <w:rsid w:val="00215191"/>
    <w:rsid w:val="002155E1"/>
    <w:rsid w:val="002157EB"/>
    <w:rsid w:val="00215823"/>
    <w:rsid w:val="00215DF2"/>
    <w:rsid w:val="00215EB4"/>
    <w:rsid w:val="00215ECA"/>
    <w:rsid w:val="002165F1"/>
    <w:rsid w:val="00216828"/>
    <w:rsid w:val="00216CD4"/>
    <w:rsid w:val="00216E2F"/>
    <w:rsid w:val="002173B6"/>
    <w:rsid w:val="0021787D"/>
    <w:rsid w:val="00217951"/>
    <w:rsid w:val="00217B80"/>
    <w:rsid w:val="00217E7E"/>
    <w:rsid w:val="00217FD3"/>
    <w:rsid w:val="0022015B"/>
    <w:rsid w:val="002203AA"/>
    <w:rsid w:val="00220402"/>
    <w:rsid w:val="00220533"/>
    <w:rsid w:val="00220568"/>
    <w:rsid w:val="002206C0"/>
    <w:rsid w:val="002207C6"/>
    <w:rsid w:val="002208FE"/>
    <w:rsid w:val="00220A64"/>
    <w:rsid w:val="00220DA1"/>
    <w:rsid w:val="00220DAC"/>
    <w:rsid w:val="00220FB9"/>
    <w:rsid w:val="00221B0E"/>
    <w:rsid w:val="00221D03"/>
    <w:rsid w:val="00221EC0"/>
    <w:rsid w:val="002227CB"/>
    <w:rsid w:val="0022283D"/>
    <w:rsid w:val="002230F6"/>
    <w:rsid w:val="00223113"/>
    <w:rsid w:val="00223126"/>
    <w:rsid w:val="00223227"/>
    <w:rsid w:val="0022389C"/>
    <w:rsid w:val="00223990"/>
    <w:rsid w:val="002239E8"/>
    <w:rsid w:val="00223C77"/>
    <w:rsid w:val="00223D77"/>
    <w:rsid w:val="00223EBB"/>
    <w:rsid w:val="00223F85"/>
    <w:rsid w:val="00223FFF"/>
    <w:rsid w:val="002243D3"/>
    <w:rsid w:val="002249DF"/>
    <w:rsid w:val="00224E86"/>
    <w:rsid w:val="00224EAC"/>
    <w:rsid w:val="00224FF4"/>
    <w:rsid w:val="00225038"/>
    <w:rsid w:val="00225393"/>
    <w:rsid w:val="002254B4"/>
    <w:rsid w:val="00225768"/>
    <w:rsid w:val="0022587F"/>
    <w:rsid w:val="00225A9B"/>
    <w:rsid w:val="00225AB6"/>
    <w:rsid w:val="00225AE5"/>
    <w:rsid w:val="00226155"/>
    <w:rsid w:val="00226419"/>
    <w:rsid w:val="00226C53"/>
    <w:rsid w:val="002275D3"/>
    <w:rsid w:val="00227AB5"/>
    <w:rsid w:val="00227EC3"/>
    <w:rsid w:val="00230110"/>
    <w:rsid w:val="0023056E"/>
    <w:rsid w:val="002306C6"/>
    <w:rsid w:val="0023077B"/>
    <w:rsid w:val="002307CC"/>
    <w:rsid w:val="0023098E"/>
    <w:rsid w:val="00230A05"/>
    <w:rsid w:val="00230E4E"/>
    <w:rsid w:val="00231049"/>
    <w:rsid w:val="00231193"/>
    <w:rsid w:val="00231280"/>
    <w:rsid w:val="002314D2"/>
    <w:rsid w:val="00231F2C"/>
    <w:rsid w:val="00232069"/>
    <w:rsid w:val="00232326"/>
    <w:rsid w:val="0023279F"/>
    <w:rsid w:val="002328FB"/>
    <w:rsid w:val="00232CAC"/>
    <w:rsid w:val="00232EB0"/>
    <w:rsid w:val="0023305C"/>
    <w:rsid w:val="002332A7"/>
    <w:rsid w:val="0023336F"/>
    <w:rsid w:val="00233A42"/>
    <w:rsid w:val="00233B86"/>
    <w:rsid w:val="002341A2"/>
    <w:rsid w:val="002348BA"/>
    <w:rsid w:val="00234DE9"/>
    <w:rsid w:val="00234F0D"/>
    <w:rsid w:val="002351D5"/>
    <w:rsid w:val="00235237"/>
    <w:rsid w:val="0023539B"/>
    <w:rsid w:val="002356A9"/>
    <w:rsid w:val="00235756"/>
    <w:rsid w:val="00235C56"/>
    <w:rsid w:val="00235FF0"/>
    <w:rsid w:val="002361C7"/>
    <w:rsid w:val="0023662D"/>
    <w:rsid w:val="002369D3"/>
    <w:rsid w:val="00236EE5"/>
    <w:rsid w:val="002370D6"/>
    <w:rsid w:val="002372F9"/>
    <w:rsid w:val="0023784E"/>
    <w:rsid w:val="00237985"/>
    <w:rsid w:val="00237DA6"/>
    <w:rsid w:val="00237E72"/>
    <w:rsid w:val="00237E9D"/>
    <w:rsid w:val="0024003A"/>
    <w:rsid w:val="002400BC"/>
    <w:rsid w:val="00240225"/>
    <w:rsid w:val="0024043F"/>
    <w:rsid w:val="002404B2"/>
    <w:rsid w:val="00240586"/>
    <w:rsid w:val="0024061C"/>
    <w:rsid w:val="00240683"/>
    <w:rsid w:val="002408E5"/>
    <w:rsid w:val="00241286"/>
    <w:rsid w:val="002413B4"/>
    <w:rsid w:val="002413FE"/>
    <w:rsid w:val="00241827"/>
    <w:rsid w:val="00241881"/>
    <w:rsid w:val="00241B5B"/>
    <w:rsid w:val="00241C15"/>
    <w:rsid w:val="00241CF6"/>
    <w:rsid w:val="00241DA0"/>
    <w:rsid w:val="0024201D"/>
    <w:rsid w:val="00242070"/>
    <w:rsid w:val="0024269A"/>
    <w:rsid w:val="00242724"/>
    <w:rsid w:val="00242875"/>
    <w:rsid w:val="0024294C"/>
    <w:rsid w:val="00243082"/>
    <w:rsid w:val="002432D5"/>
    <w:rsid w:val="002438DF"/>
    <w:rsid w:val="00243919"/>
    <w:rsid w:val="00244677"/>
    <w:rsid w:val="002446F1"/>
    <w:rsid w:val="00244A49"/>
    <w:rsid w:val="00244AAF"/>
    <w:rsid w:val="00244B35"/>
    <w:rsid w:val="0024500A"/>
    <w:rsid w:val="00245042"/>
    <w:rsid w:val="00245192"/>
    <w:rsid w:val="00245322"/>
    <w:rsid w:val="002457B7"/>
    <w:rsid w:val="00245B29"/>
    <w:rsid w:val="00245BB9"/>
    <w:rsid w:val="00245DCE"/>
    <w:rsid w:val="00245EBA"/>
    <w:rsid w:val="0024605A"/>
    <w:rsid w:val="002461BA"/>
    <w:rsid w:val="002463C3"/>
    <w:rsid w:val="0024641D"/>
    <w:rsid w:val="00246710"/>
    <w:rsid w:val="00246D28"/>
    <w:rsid w:val="00246D34"/>
    <w:rsid w:val="0024707A"/>
    <w:rsid w:val="0024721D"/>
    <w:rsid w:val="002476D6"/>
    <w:rsid w:val="002479DC"/>
    <w:rsid w:val="00247AFA"/>
    <w:rsid w:val="00247B45"/>
    <w:rsid w:val="00247B74"/>
    <w:rsid w:val="00247B8A"/>
    <w:rsid w:val="0025013B"/>
    <w:rsid w:val="00250189"/>
    <w:rsid w:val="0025036C"/>
    <w:rsid w:val="00250591"/>
    <w:rsid w:val="00250593"/>
    <w:rsid w:val="00250CE8"/>
    <w:rsid w:val="00250D95"/>
    <w:rsid w:val="002510DC"/>
    <w:rsid w:val="00251687"/>
    <w:rsid w:val="00252006"/>
    <w:rsid w:val="002521E2"/>
    <w:rsid w:val="0025237C"/>
    <w:rsid w:val="002523D2"/>
    <w:rsid w:val="0025254A"/>
    <w:rsid w:val="002527A4"/>
    <w:rsid w:val="00252927"/>
    <w:rsid w:val="002529A9"/>
    <w:rsid w:val="002530CE"/>
    <w:rsid w:val="00253291"/>
    <w:rsid w:val="002539F4"/>
    <w:rsid w:val="00253D83"/>
    <w:rsid w:val="00253EBB"/>
    <w:rsid w:val="00253FC3"/>
    <w:rsid w:val="002543D8"/>
    <w:rsid w:val="0025452C"/>
    <w:rsid w:val="00254668"/>
    <w:rsid w:val="0025484A"/>
    <w:rsid w:val="00254E4C"/>
    <w:rsid w:val="00254E85"/>
    <w:rsid w:val="0025513B"/>
    <w:rsid w:val="0025572E"/>
    <w:rsid w:val="00255862"/>
    <w:rsid w:val="00255BB2"/>
    <w:rsid w:val="00255C56"/>
    <w:rsid w:val="00255CD0"/>
    <w:rsid w:val="00255D21"/>
    <w:rsid w:val="0025608B"/>
    <w:rsid w:val="002561E2"/>
    <w:rsid w:val="0025652F"/>
    <w:rsid w:val="002566CC"/>
    <w:rsid w:val="00256704"/>
    <w:rsid w:val="002568E3"/>
    <w:rsid w:val="00256A48"/>
    <w:rsid w:val="00256D64"/>
    <w:rsid w:val="00256DD0"/>
    <w:rsid w:val="00256E10"/>
    <w:rsid w:val="002570C5"/>
    <w:rsid w:val="002574B5"/>
    <w:rsid w:val="00257564"/>
    <w:rsid w:val="00257707"/>
    <w:rsid w:val="002579FF"/>
    <w:rsid w:val="00257A03"/>
    <w:rsid w:val="00257C80"/>
    <w:rsid w:val="00257DD5"/>
    <w:rsid w:val="002600C7"/>
    <w:rsid w:val="0026052B"/>
    <w:rsid w:val="00260568"/>
    <w:rsid w:val="00260706"/>
    <w:rsid w:val="0026074B"/>
    <w:rsid w:val="00260758"/>
    <w:rsid w:val="0026089A"/>
    <w:rsid w:val="0026096D"/>
    <w:rsid w:val="00260BA1"/>
    <w:rsid w:val="00260BB7"/>
    <w:rsid w:val="00261320"/>
    <w:rsid w:val="002614CB"/>
    <w:rsid w:val="00261683"/>
    <w:rsid w:val="00261D11"/>
    <w:rsid w:val="00261E04"/>
    <w:rsid w:val="00262034"/>
    <w:rsid w:val="0026213A"/>
    <w:rsid w:val="00262309"/>
    <w:rsid w:val="00262625"/>
    <w:rsid w:val="002627D7"/>
    <w:rsid w:val="00263070"/>
    <w:rsid w:val="00263410"/>
    <w:rsid w:val="002635D8"/>
    <w:rsid w:val="00263808"/>
    <w:rsid w:val="0026391F"/>
    <w:rsid w:val="00263968"/>
    <w:rsid w:val="00263B6C"/>
    <w:rsid w:val="00263CDA"/>
    <w:rsid w:val="00263F94"/>
    <w:rsid w:val="00264213"/>
    <w:rsid w:val="0026429E"/>
    <w:rsid w:val="002643C7"/>
    <w:rsid w:val="002647B8"/>
    <w:rsid w:val="00264843"/>
    <w:rsid w:val="00264D1E"/>
    <w:rsid w:val="00265059"/>
    <w:rsid w:val="00265229"/>
    <w:rsid w:val="002658E4"/>
    <w:rsid w:val="002659FA"/>
    <w:rsid w:val="00265C92"/>
    <w:rsid w:val="00265D7A"/>
    <w:rsid w:val="00266088"/>
    <w:rsid w:val="002664D3"/>
    <w:rsid w:val="00266746"/>
    <w:rsid w:val="002667CF"/>
    <w:rsid w:val="00266A2C"/>
    <w:rsid w:val="00266A91"/>
    <w:rsid w:val="00266C9F"/>
    <w:rsid w:val="00266EBD"/>
    <w:rsid w:val="002671EA"/>
    <w:rsid w:val="0026729C"/>
    <w:rsid w:val="002678CC"/>
    <w:rsid w:val="002678F9"/>
    <w:rsid w:val="002705AA"/>
    <w:rsid w:val="00270A8D"/>
    <w:rsid w:val="00270B64"/>
    <w:rsid w:val="00270C5D"/>
    <w:rsid w:val="00270CE5"/>
    <w:rsid w:val="00271740"/>
    <w:rsid w:val="00271AFA"/>
    <w:rsid w:val="002720AB"/>
    <w:rsid w:val="00272770"/>
    <w:rsid w:val="00272939"/>
    <w:rsid w:val="00272ADC"/>
    <w:rsid w:val="00272BAA"/>
    <w:rsid w:val="00272BE9"/>
    <w:rsid w:val="00272EAF"/>
    <w:rsid w:val="00273077"/>
    <w:rsid w:val="00273593"/>
    <w:rsid w:val="002735C8"/>
    <w:rsid w:val="0027364B"/>
    <w:rsid w:val="00273817"/>
    <w:rsid w:val="0027385A"/>
    <w:rsid w:val="002739BB"/>
    <w:rsid w:val="00273A08"/>
    <w:rsid w:val="00273A71"/>
    <w:rsid w:val="00273A78"/>
    <w:rsid w:val="00273D66"/>
    <w:rsid w:val="00273F9B"/>
    <w:rsid w:val="00274099"/>
    <w:rsid w:val="00274574"/>
    <w:rsid w:val="002748AB"/>
    <w:rsid w:val="00274C3C"/>
    <w:rsid w:val="00274D80"/>
    <w:rsid w:val="002751CD"/>
    <w:rsid w:val="0027541B"/>
    <w:rsid w:val="00275580"/>
    <w:rsid w:val="00275732"/>
    <w:rsid w:val="0027590B"/>
    <w:rsid w:val="002759D2"/>
    <w:rsid w:val="00275A02"/>
    <w:rsid w:val="00275A0A"/>
    <w:rsid w:val="00275AB2"/>
    <w:rsid w:val="00275E65"/>
    <w:rsid w:val="00276047"/>
    <w:rsid w:val="0027617F"/>
    <w:rsid w:val="002762E1"/>
    <w:rsid w:val="00276732"/>
    <w:rsid w:val="00276AA4"/>
    <w:rsid w:val="002771D3"/>
    <w:rsid w:val="002774DB"/>
    <w:rsid w:val="00277792"/>
    <w:rsid w:val="0027786B"/>
    <w:rsid w:val="00277CBA"/>
    <w:rsid w:val="00277CE0"/>
    <w:rsid w:val="00277DCB"/>
    <w:rsid w:val="00280288"/>
    <w:rsid w:val="00280684"/>
    <w:rsid w:val="00280A60"/>
    <w:rsid w:val="00280B72"/>
    <w:rsid w:val="00280BC1"/>
    <w:rsid w:val="00280BC8"/>
    <w:rsid w:val="00280D38"/>
    <w:rsid w:val="00280DC7"/>
    <w:rsid w:val="0028108A"/>
    <w:rsid w:val="00281438"/>
    <w:rsid w:val="00281490"/>
    <w:rsid w:val="00281942"/>
    <w:rsid w:val="002819DE"/>
    <w:rsid w:val="002821CD"/>
    <w:rsid w:val="0028233F"/>
    <w:rsid w:val="00282592"/>
    <w:rsid w:val="002828AF"/>
    <w:rsid w:val="002829BD"/>
    <w:rsid w:val="00282F33"/>
    <w:rsid w:val="00282F64"/>
    <w:rsid w:val="002830D1"/>
    <w:rsid w:val="00283197"/>
    <w:rsid w:val="00283522"/>
    <w:rsid w:val="00283574"/>
    <w:rsid w:val="00283949"/>
    <w:rsid w:val="00283A4D"/>
    <w:rsid w:val="00283CB2"/>
    <w:rsid w:val="002842C2"/>
    <w:rsid w:val="00284728"/>
    <w:rsid w:val="002849BC"/>
    <w:rsid w:val="00284A06"/>
    <w:rsid w:val="00284D29"/>
    <w:rsid w:val="00285713"/>
    <w:rsid w:val="00285969"/>
    <w:rsid w:val="002859D7"/>
    <w:rsid w:val="00285A19"/>
    <w:rsid w:val="00285E8B"/>
    <w:rsid w:val="002862B2"/>
    <w:rsid w:val="002862C0"/>
    <w:rsid w:val="0028658B"/>
    <w:rsid w:val="00286AA0"/>
    <w:rsid w:val="00286AFF"/>
    <w:rsid w:val="00286B11"/>
    <w:rsid w:val="00286B9D"/>
    <w:rsid w:val="00286BC3"/>
    <w:rsid w:val="00286BDC"/>
    <w:rsid w:val="00286C6F"/>
    <w:rsid w:val="00286D20"/>
    <w:rsid w:val="00286D72"/>
    <w:rsid w:val="00286ED3"/>
    <w:rsid w:val="00286FA6"/>
    <w:rsid w:val="00287352"/>
    <w:rsid w:val="002874B0"/>
    <w:rsid w:val="0028785B"/>
    <w:rsid w:val="002878F3"/>
    <w:rsid w:val="00287B2F"/>
    <w:rsid w:val="00287C63"/>
    <w:rsid w:val="00287CBD"/>
    <w:rsid w:val="00287D09"/>
    <w:rsid w:val="0029003D"/>
    <w:rsid w:val="002900A7"/>
    <w:rsid w:val="002902A0"/>
    <w:rsid w:val="00290423"/>
    <w:rsid w:val="00290D3A"/>
    <w:rsid w:val="00290DC2"/>
    <w:rsid w:val="0029178E"/>
    <w:rsid w:val="00291B72"/>
    <w:rsid w:val="00291CDF"/>
    <w:rsid w:val="00291FC1"/>
    <w:rsid w:val="0029243D"/>
    <w:rsid w:val="002925FC"/>
    <w:rsid w:val="00292912"/>
    <w:rsid w:val="00292ADE"/>
    <w:rsid w:val="00292DE2"/>
    <w:rsid w:val="00292DF4"/>
    <w:rsid w:val="0029331F"/>
    <w:rsid w:val="0029367F"/>
    <w:rsid w:val="00293885"/>
    <w:rsid w:val="002938B5"/>
    <w:rsid w:val="00293ABE"/>
    <w:rsid w:val="00293AFB"/>
    <w:rsid w:val="00293EE6"/>
    <w:rsid w:val="00293F69"/>
    <w:rsid w:val="00294165"/>
    <w:rsid w:val="0029419E"/>
    <w:rsid w:val="00294266"/>
    <w:rsid w:val="002944FC"/>
    <w:rsid w:val="0029455E"/>
    <w:rsid w:val="0029478A"/>
    <w:rsid w:val="00294993"/>
    <w:rsid w:val="002949EF"/>
    <w:rsid w:val="002949F2"/>
    <w:rsid w:val="00295093"/>
    <w:rsid w:val="0029522F"/>
    <w:rsid w:val="002952B8"/>
    <w:rsid w:val="002956BB"/>
    <w:rsid w:val="002957BE"/>
    <w:rsid w:val="002958A0"/>
    <w:rsid w:val="00295B30"/>
    <w:rsid w:val="00296066"/>
    <w:rsid w:val="00296288"/>
    <w:rsid w:val="00296C61"/>
    <w:rsid w:val="00296D5B"/>
    <w:rsid w:val="00296E7D"/>
    <w:rsid w:val="00296FF9"/>
    <w:rsid w:val="00297A70"/>
    <w:rsid w:val="00297D77"/>
    <w:rsid w:val="00297F7A"/>
    <w:rsid w:val="00297F99"/>
    <w:rsid w:val="002A06FA"/>
    <w:rsid w:val="002A0831"/>
    <w:rsid w:val="002A08A0"/>
    <w:rsid w:val="002A0992"/>
    <w:rsid w:val="002A1153"/>
    <w:rsid w:val="002A136F"/>
    <w:rsid w:val="002A168A"/>
    <w:rsid w:val="002A17C0"/>
    <w:rsid w:val="002A18EB"/>
    <w:rsid w:val="002A1FF3"/>
    <w:rsid w:val="002A2129"/>
    <w:rsid w:val="002A212E"/>
    <w:rsid w:val="002A220E"/>
    <w:rsid w:val="002A27D7"/>
    <w:rsid w:val="002A2997"/>
    <w:rsid w:val="002A2EFD"/>
    <w:rsid w:val="002A3538"/>
    <w:rsid w:val="002A361E"/>
    <w:rsid w:val="002A37EC"/>
    <w:rsid w:val="002A3C53"/>
    <w:rsid w:val="002A3CC8"/>
    <w:rsid w:val="002A3DC7"/>
    <w:rsid w:val="002A3DEF"/>
    <w:rsid w:val="002A40D9"/>
    <w:rsid w:val="002A435B"/>
    <w:rsid w:val="002A44E0"/>
    <w:rsid w:val="002A45A3"/>
    <w:rsid w:val="002A45E3"/>
    <w:rsid w:val="002A4ABB"/>
    <w:rsid w:val="002A4B4E"/>
    <w:rsid w:val="002A4B53"/>
    <w:rsid w:val="002A4D29"/>
    <w:rsid w:val="002A4DFA"/>
    <w:rsid w:val="002A4E9C"/>
    <w:rsid w:val="002A513A"/>
    <w:rsid w:val="002A597A"/>
    <w:rsid w:val="002A5B7E"/>
    <w:rsid w:val="002A6174"/>
    <w:rsid w:val="002A6264"/>
    <w:rsid w:val="002A6427"/>
    <w:rsid w:val="002A67C6"/>
    <w:rsid w:val="002A6C6B"/>
    <w:rsid w:val="002A6E89"/>
    <w:rsid w:val="002A6FFD"/>
    <w:rsid w:val="002A70DE"/>
    <w:rsid w:val="002A719D"/>
    <w:rsid w:val="002A74EF"/>
    <w:rsid w:val="002A75FA"/>
    <w:rsid w:val="002A7A31"/>
    <w:rsid w:val="002A7A42"/>
    <w:rsid w:val="002A7C4B"/>
    <w:rsid w:val="002B0214"/>
    <w:rsid w:val="002B069D"/>
    <w:rsid w:val="002B076E"/>
    <w:rsid w:val="002B0BEA"/>
    <w:rsid w:val="002B0D32"/>
    <w:rsid w:val="002B0D59"/>
    <w:rsid w:val="002B0D69"/>
    <w:rsid w:val="002B1081"/>
    <w:rsid w:val="002B118D"/>
    <w:rsid w:val="002B1309"/>
    <w:rsid w:val="002B1403"/>
    <w:rsid w:val="002B148E"/>
    <w:rsid w:val="002B1AB0"/>
    <w:rsid w:val="002B1C1F"/>
    <w:rsid w:val="002B1CE1"/>
    <w:rsid w:val="002B2081"/>
    <w:rsid w:val="002B283B"/>
    <w:rsid w:val="002B28D4"/>
    <w:rsid w:val="002B29AA"/>
    <w:rsid w:val="002B2BA7"/>
    <w:rsid w:val="002B2D43"/>
    <w:rsid w:val="002B3497"/>
    <w:rsid w:val="002B378D"/>
    <w:rsid w:val="002B3829"/>
    <w:rsid w:val="002B388D"/>
    <w:rsid w:val="002B3D6E"/>
    <w:rsid w:val="002B40B2"/>
    <w:rsid w:val="002B41A9"/>
    <w:rsid w:val="002B437B"/>
    <w:rsid w:val="002B44CC"/>
    <w:rsid w:val="002B45E3"/>
    <w:rsid w:val="002B4891"/>
    <w:rsid w:val="002B4C84"/>
    <w:rsid w:val="002B517A"/>
    <w:rsid w:val="002B52AC"/>
    <w:rsid w:val="002B5459"/>
    <w:rsid w:val="002B57FF"/>
    <w:rsid w:val="002B5842"/>
    <w:rsid w:val="002B58D3"/>
    <w:rsid w:val="002B5AFF"/>
    <w:rsid w:val="002B5BDD"/>
    <w:rsid w:val="002B5D76"/>
    <w:rsid w:val="002B5D97"/>
    <w:rsid w:val="002B65A4"/>
    <w:rsid w:val="002B68B4"/>
    <w:rsid w:val="002B68E5"/>
    <w:rsid w:val="002B6D9B"/>
    <w:rsid w:val="002B6F90"/>
    <w:rsid w:val="002B70DA"/>
    <w:rsid w:val="002B73A8"/>
    <w:rsid w:val="002B7DB8"/>
    <w:rsid w:val="002C0453"/>
    <w:rsid w:val="002C0476"/>
    <w:rsid w:val="002C08D2"/>
    <w:rsid w:val="002C0A40"/>
    <w:rsid w:val="002C0D43"/>
    <w:rsid w:val="002C0DAD"/>
    <w:rsid w:val="002C0EDD"/>
    <w:rsid w:val="002C1497"/>
    <w:rsid w:val="002C1C31"/>
    <w:rsid w:val="002C1F3A"/>
    <w:rsid w:val="002C20E7"/>
    <w:rsid w:val="002C2110"/>
    <w:rsid w:val="002C2111"/>
    <w:rsid w:val="002C22EF"/>
    <w:rsid w:val="002C25C4"/>
    <w:rsid w:val="002C284B"/>
    <w:rsid w:val="002C29EA"/>
    <w:rsid w:val="002C2A7D"/>
    <w:rsid w:val="002C2C9D"/>
    <w:rsid w:val="002C2E44"/>
    <w:rsid w:val="002C2E8D"/>
    <w:rsid w:val="002C32A1"/>
    <w:rsid w:val="002C32E8"/>
    <w:rsid w:val="002C35EB"/>
    <w:rsid w:val="002C37C9"/>
    <w:rsid w:val="002C38C4"/>
    <w:rsid w:val="002C3A3E"/>
    <w:rsid w:val="002C3C24"/>
    <w:rsid w:val="002C3D1A"/>
    <w:rsid w:val="002C3E67"/>
    <w:rsid w:val="002C3EFA"/>
    <w:rsid w:val="002C4027"/>
    <w:rsid w:val="002C40A0"/>
    <w:rsid w:val="002C4225"/>
    <w:rsid w:val="002C45D4"/>
    <w:rsid w:val="002C4733"/>
    <w:rsid w:val="002C495F"/>
    <w:rsid w:val="002C500D"/>
    <w:rsid w:val="002C5069"/>
    <w:rsid w:val="002C59C6"/>
    <w:rsid w:val="002C5D36"/>
    <w:rsid w:val="002C5D72"/>
    <w:rsid w:val="002C5DD8"/>
    <w:rsid w:val="002C5DF9"/>
    <w:rsid w:val="002C62C9"/>
    <w:rsid w:val="002C6360"/>
    <w:rsid w:val="002C64A5"/>
    <w:rsid w:val="002C676C"/>
    <w:rsid w:val="002C6990"/>
    <w:rsid w:val="002C6D11"/>
    <w:rsid w:val="002C6E75"/>
    <w:rsid w:val="002C73D5"/>
    <w:rsid w:val="002C756D"/>
    <w:rsid w:val="002C7656"/>
    <w:rsid w:val="002C776B"/>
    <w:rsid w:val="002C7893"/>
    <w:rsid w:val="002C78E9"/>
    <w:rsid w:val="002C78FF"/>
    <w:rsid w:val="002C7AFF"/>
    <w:rsid w:val="002C7B53"/>
    <w:rsid w:val="002C7BBC"/>
    <w:rsid w:val="002D00F7"/>
    <w:rsid w:val="002D0790"/>
    <w:rsid w:val="002D07BB"/>
    <w:rsid w:val="002D09D5"/>
    <w:rsid w:val="002D0A5B"/>
    <w:rsid w:val="002D16EA"/>
    <w:rsid w:val="002D17C4"/>
    <w:rsid w:val="002D1D9C"/>
    <w:rsid w:val="002D1DFB"/>
    <w:rsid w:val="002D1F7E"/>
    <w:rsid w:val="002D25A1"/>
    <w:rsid w:val="002D265C"/>
    <w:rsid w:val="002D2718"/>
    <w:rsid w:val="002D273E"/>
    <w:rsid w:val="002D29CD"/>
    <w:rsid w:val="002D2F5A"/>
    <w:rsid w:val="002D334A"/>
    <w:rsid w:val="002D3352"/>
    <w:rsid w:val="002D3736"/>
    <w:rsid w:val="002D3ADD"/>
    <w:rsid w:val="002D3F9C"/>
    <w:rsid w:val="002D405D"/>
    <w:rsid w:val="002D4312"/>
    <w:rsid w:val="002D4380"/>
    <w:rsid w:val="002D4678"/>
    <w:rsid w:val="002D4D5F"/>
    <w:rsid w:val="002D5918"/>
    <w:rsid w:val="002D5AF2"/>
    <w:rsid w:val="002D5B4A"/>
    <w:rsid w:val="002D5C09"/>
    <w:rsid w:val="002D5DE9"/>
    <w:rsid w:val="002D5F5A"/>
    <w:rsid w:val="002D60B3"/>
    <w:rsid w:val="002D617B"/>
    <w:rsid w:val="002D6631"/>
    <w:rsid w:val="002D66A0"/>
    <w:rsid w:val="002D66D2"/>
    <w:rsid w:val="002D680B"/>
    <w:rsid w:val="002D694B"/>
    <w:rsid w:val="002D6978"/>
    <w:rsid w:val="002D6E09"/>
    <w:rsid w:val="002D7554"/>
    <w:rsid w:val="002D7AAD"/>
    <w:rsid w:val="002D7E9F"/>
    <w:rsid w:val="002E006C"/>
    <w:rsid w:val="002E00E7"/>
    <w:rsid w:val="002E039B"/>
    <w:rsid w:val="002E07D9"/>
    <w:rsid w:val="002E0950"/>
    <w:rsid w:val="002E0A7A"/>
    <w:rsid w:val="002E0BA7"/>
    <w:rsid w:val="002E119F"/>
    <w:rsid w:val="002E12F1"/>
    <w:rsid w:val="002E133A"/>
    <w:rsid w:val="002E1A02"/>
    <w:rsid w:val="002E1C2E"/>
    <w:rsid w:val="002E1CFF"/>
    <w:rsid w:val="002E1F23"/>
    <w:rsid w:val="002E1FB6"/>
    <w:rsid w:val="002E2C14"/>
    <w:rsid w:val="002E2C55"/>
    <w:rsid w:val="002E2C70"/>
    <w:rsid w:val="002E2F36"/>
    <w:rsid w:val="002E3072"/>
    <w:rsid w:val="002E309A"/>
    <w:rsid w:val="002E30B1"/>
    <w:rsid w:val="002E31C7"/>
    <w:rsid w:val="002E3234"/>
    <w:rsid w:val="002E3257"/>
    <w:rsid w:val="002E33F1"/>
    <w:rsid w:val="002E34B3"/>
    <w:rsid w:val="002E3771"/>
    <w:rsid w:val="002E3B46"/>
    <w:rsid w:val="002E3FAE"/>
    <w:rsid w:val="002E408F"/>
    <w:rsid w:val="002E454C"/>
    <w:rsid w:val="002E45F4"/>
    <w:rsid w:val="002E48E9"/>
    <w:rsid w:val="002E4E7E"/>
    <w:rsid w:val="002E4E91"/>
    <w:rsid w:val="002E4F78"/>
    <w:rsid w:val="002E54A1"/>
    <w:rsid w:val="002E5522"/>
    <w:rsid w:val="002E556A"/>
    <w:rsid w:val="002E56E0"/>
    <w:rsid w:val="002E5714"/>
    <w:rsid w:val="002E5B2B"/>
    <w:rsid w:val="002E6575"/>
    <w:rsid w:val="002E66A2"/>
    <w:rsid w:val="002E689B"/>
    <w:rsid w:val="002E6A68"/>
    <w:rsid w:val="002E6BCF"/>
    <w:rsid w:val="002E6D8C"/>
    <w:rsid w:val="002E6F26"/>
    <w:rsid w:val="002E71C7"/>
    <w:rsid w:val="002E7267"/>
    <w:rsid w:val="002E7284"/>
    <w:rsid w:val="002E737A"/>
    <w:rsid w:val="002E74D4"/>
    <w:rsid w:val="002E7581"/>
    <w:rsid w:val="002E7639"/>
    <w:rsid w:val="002E76C5"/>
    <w:rsid w:val="002E784C"/>
    <w:rsid w:val="002E788B"/>
    <w:rsid w:val="002E7AB5"/>
    <w:rsid w:val="002E7B82"/>
    <w:rsid w:val="002E7EE6"/>
    <w:rsid w:val="002F005B"/>
    <w:rsid w:val="002F00A5"/>
    <w:rsid w:val="002F0B10"/>
    <w:rsid w:val="002F0FF2"/>
    <w:rsid w:val="002F1307"/>
    <w:rsid w:val="002F164F"/>
    <w:rsid w:val="002F1DCF"/>
    <w:rsid w:val="002F20F1"/>
    <w:rsid w:val="002F2EDA"/>
    <w:rsid w:val="002F2EEF"/>
    <w:rsid w:val="002F2FC7"/>
    <w:rsid w:val="002F2FCA"/>
    <w:rsid w:val="002F30CD"/>
    <w:rsid w:val="002F3197"/>
    <w:rsid w:val="002F3704"/>
    <w:rsid w:val="002F3A1F"/>
    <w:rsid w:val="002F3A4B"/>
    <w:rsid w:val="002F3B15"/>
    <w:rsid w:val="002F3B1E"/>
    <w:rsid w:val="002F3DBB"/>
    <w:rsid w:val="002F3FF5"/>
    <w:rsid w:val="002F4672"/>
    <w:rsid w:val="002F49B0"/>
    <w:rsid w:val="002F4A8B"/>
    <w:rsid w:val="002F4DB3"/>
    <w:rsid w:val="002F4EF6"/>
    <w:rsid w:val="002F504B"/>
    <w:rsid w:val="002F539D"/>
    <w:rsid w:val="002F5543"/>
    <w:rsid w:val="002F56B0"/>
    <w:rsid w:val="002F59ED"/>
    <w:rsid w:val="002F5E99"/>
    <w:rsid w:val="002F5EAC"/>
    <w:rsid w:val="002F5F09"/>
    <w:rsid w:val="002F617F"/>
    <w:rsid w:val="002F631F"/>
    <w:rsid w:val="002F658A"/>
    <w:rsid w:val="002F69BC"/>
    <w:rsid w:val="002F6A18"/>
    <w:rsid w:val="002F7213"/>
    <w:rsid w:val="002F730F"/>
    <w:rsid w:val="002F74B0"/>
    <w:rsid w:val="002F7841"/>
    <w:rsid w:val="002F7B6D"/>
    <w:rsid w:val="002F7C38"/>
    <w:rsid w:val="002F7C3C"/>
    <w:rsid w:val="002F7F29"/>
    <w:rsid w:val="002F7FE3"/>
    <w:rsid w:val="00300109"/>
    <w:rsid w:val="00300145"/>
    <w:rsid w:val="003003CC"/>
    <w:rsid w:val="0030068A"/>
    <w:rsid w:val="00300A18"/>
    <w:rsid w:val="003010A0"/>
    <w:rsid w:val="00301286"/>
    <w:rsid w:val="00301410"/>
    <w:rsid w:val="00301755"/>
    <w:rsid w:val="003017C0"/>
    <w:rsid w:val="0030187E"/>
    <w:rsid w:val="0030188B"/>
    <w:rsid w:val="00301CA7"/>
    <w:rsid w:val="00301FEB"/>
    <w:rsid w:val="003022E3"/>
    <w:rsid w:val="00302434"/>
    <w:rsid w:val="00302460"/>
    <w:rsid w:val="003024BB"/>
    <w:rsid w:val="00302667"/>
    <w:rsid w:val="00302AE8"/>
    <w:rsid w:val="00302CEB"/>
    <w:rsid w:val="00303050"/>
    <w:rsid w:val="0030309A"/>
    <w:rsid w:val="00303320"/>
    <w:rsid w:val="003038A8"/>
    <w:rsid w:val="00303FE5"/>
    <w:rsid w:val="00304DBD"/>
    <w:rsid w:val="00304EF2"/>
    <w:rsid w:val="003051FC"/>
    <w:rsid w:val="0030546E"/>
    <w:rsid w:val="00305771"/>
    <w:rsid w:val="00305BD9"/>
    <w:rsid w:val="00305CD0"/>
    <w:rsid w:val="00305EAC"/>
    <w:rsid w:val="003064F9"/>
    <w:rsid w:val="0030665E"/>
    <w:rsid w:val="00306860"/>
    <w:rsid w:val="00306894"/>
    <w:rsid w:val="00306B68"/>
    <w:rsid w:val="00306C87"/>
    <w:rsid w:val="00306E89"/>
    <w:rsid w:val="00306EF9"/>
    <w:rsid w:val="00307331"/>
    <w:rsid w:val="0030759E"/>
    <w:rsid w:val="003075CE"/>
    <w:rsid w:val="00307953"/>
    <w:rsid w:val="00307FD2"/>
    <w:rsid w:val="00310165"/>
    <w:rsid w:val="00310337"/>
    <w:rsid w:val="0031035E"/>
    <w:rsid w:val="003103E1"/>
    <w:rsid w:val="00310400"/>
    <w:rsid w:val="00310685"/>
    <w:rsid w:val="003107B1"/>
    <w:rsid w:val="00310D3D"/>
    <w:rsid w:val="00310FDC"/>
    <w:rsid w:val="00311076"/>
    <w:rsid w:val="0031184F"/>
    <w:rsid w:val="003119FE"/>
    <w:rsid w:val="00311AA8"/>
    <w:rsid w:val="00311AEC"/>
    <w:rsid w:val="00311BA3"/>
    <w:rsid w:val="00311C6D"/>
    <w:rsid w:val="00311CF2"/>
    <w:rsid w:val="00311F3F"/>
    <w:rsid w:val="003122D6"/>
    <w:rsid w:val="003122F4"/>
    <w:rsid w:val="00312387"/>
    <w:rsid w:val="0031241A"/>
    <w:rsid w:val="00312471"/>
    <w:rsid w:val="00312857"/>
    <w:rsid w:val="00312AD3"/>
    <w:rsid w:val="0031344D"/>
    <w:rsid w:val="0031355C"/>
    <w:rsid w:val="0031355F"/>
    <w:rsid w:val="0031356C"/>
    <w:rsid w:val="003135D4"/>
    <w:rsid w:val="00313C28"/>
    <w:rsid w:val="00313C2F"/>
    <w:rsid w:val="00313C8C"/>
    <w:rsid w:val="00313C99"/>
    <w:rsid w:val="00313DA5"/>
    <w:rsid w:val="00313F40"/>
    <w:rsid w:val="0031417B"/>
    <w:rsid w:val="0031436B"/>
    <w:rsid w:val="003146DC"/>
    <w:rsid w:val="00314A07"/>
    <w:rsid w:val="00314A76"/>
    <w:rsid w:val="00314B6E"/>
    <w:rsid w:val="00314C91"/>
    <w:rsid w:val="00314D1A"/>
    <w:rsid w:val="00314FBD"/>
    <w:rsid w:val="00315220"/>
    <w:rsid w:val="0031525A"/>
    <w:rsid w:val="00315637"/>
    <w:rsid w:val="0031566C"/>
    <w:rsid w:val="00315821"/>
    <w:rsid w:val="003158AB"/>
    <w:rsid w:val="00315A29"/>
    <w:rsid w:val="00315AD5"/>
    <w:rsid w:val="00315CE8"/>
    <w:rsid w:val="00315F8D"/>
    <w:rsid w:val="00316A10"/>
    <w:rsid w:val="00316A6F"/>
    <w:rsid w:val="00316BDC"/>
    <w:rsid w:val="00317160"/>
    <w:rsid w:val="00317242"/>
    <w:rsid w:val="0031729C"/>
    <w:rsid w:val="0031743B"/>
    <w:rsid w:val="00317581"/>
    <w:rsid w:val="003175A4"/>
    <w:rsid w:val="00317805"/>
    <w:rsid w:val="00317885"/>
    <w:rsid w:val="003178F2"/>
    <w:rsid w:val="00317ABC"/>
    <w:rsid w:val="00317AD6"/>
    <w:rsid w:val="00317B55"/>
    <w:rsid w:val="00317FC9"/>
    <w:rsid w:val="0032031D"/>
    <w:rsid w:val="00320541"/>
    <w:rsid w:val="00320626"/>
    <w:rsid w:val="00320721"/>
    <w:rsid w:val="00320808"/>
    <w:rsid w:val="00320905"/>
    <w:rsid w:val="00320952"/>
    <w:rsid w:val="003211BD"/>
    <w:rsid w:val="003213DF"/>
    <w:rsid w:val="00321AE0"/>
    <w:rsid w:val="00321C56"/>
    <w:rsid w:val="00321CBF"/>
    <w:rsid w:val="00322053"/>
    <w:rsid w:val="003222A0"/>
    <w:rsid w:val="003223CF"/>
    <w:rsid w:val="0032240F"/>
    <w:rsid w:val="00322503"/>
    <w:rsid w:val="00322556"/>
    <w:rsid w:val="00322599"/>
    <w:rsid w:val="00322E31"/>
    <w:rsid w:val="00323240"/>
    <w:rsid w:val="00323581"/>
    <w:rsid w:val="00323710"/>
    <w:rsid w:val="0032396B"/>
    <w:rsid w:val="00323CDA"/>
    <w:rsid w:val="00323E48"/>
    <w:rsid w:val="00324167"/>
    <w:rsid w:val="003242C4"/>
    <w:rsid w:val="00324785"/>
    <w:rsid w:val="00324E59"/>
    <w:rsid w:val="00324EC5"/>
    <w:rsid w:val="0032574C"/>
    <w:rsid w:val="0032575E"/>
    <w:rsid w:val="00325BC9"/>
    <w:rsid w:val="00325DDC"/>
    <w:rsid w:val="003263E6"/>
    <w:rsid w:val="003264DD"/>
    <w:rsid w:val="00326794"/>
    <w:rsid w:val="003268BE"/>
    <w:rsid w:val="003268D5"/>
    <w:rsid w:val="00326A45"/>
    <w:rsid w:val="00326C05"/>
    <w:rsid w:val="00326C0E"/>
    <w:rsid w:val="00326D8A"/>
    <w:rsid w:val="0032700A"/>
    <w:rsid w:val="0032732A"/>
    <w:rsid w:val="00327426"/>
    <w:rsid w:val="003276DC"/>
    <w:rsid w:val="00327844"/>
    <w:rsid w:val="00327C06"/>
    <w:rsid w:val="00327FC4"/>
    <w:rsid w:val="003302AF"/>
    <w:rsid w:val="003303AF"/>
    <w:rsid w:val="0033083D"/>
    <w:rsid w:val="00330BA5"/>
    <w:rsid w:val="00330BCB"/>
    <w:rsid w:val="00330D7D"/>
    <w:rsid w:val="003311B9"/>
    <w:rsid w:val="00331242"/>
    <w:rsid w:val="003312B9"/>
    <w:rsid w:val="003313E0"/>
    <w:rsid w:val="003318B2"/>
    <w:rsid w:val="00331A78"/>
    <w:rsid w:val="00331C9C"/>
    <w:rsid w:val="0033237C"/>
    <w:rsid w:val="003323D5"/>
    <w:rsid w:val="00332DA6"/>
    <w:rsid w:val="003333C6"/>
    <w:rsid w:val="0033365F"/>
    <w:rsid w:val="00333A06"/>
    <w:rsid w:val="00333CD9"/>
    <w:rsid w:val="00333D56"/>
    <w:rsid w:val="00333D76"/>
    <w:rsid w:val="00334074"/>
    <w:rsid w:val="00334434"/>
    <w:rsid w:val="00334586"/>
    <w:rsid w:val="00334741"/>
    <w:rsid w:val="00334827"/>
    <w:rsid w:val="0033483C"/>
    <w:rsid w:val="00334A1E"/>
    <w:rsid w:val="00334B38"/>
    <w:rsid w:val="00334D3B"/>
    <w:rsid w:val="00334E42"/>
    <w:rsid w:val="003351DE"/>
    <w:rsid w:val="00335336"/>
    <w:rsid w:val="00335C08"/>
    <w:rsid w:val="00336050"/>
    <w:rsid w:val="0033607B"/>
    <w:rsid w:val="003363E5"/>
    <w:rsid w:val="003368A6"/>
    <w:rsid w:val="00336979"/>
    <w:rsid w:val="00336E17"/>
    <w:rsid w:val="0033755F"/>
    <w:rsid w:val="00337A17"/>
    <w:rsid w:val="00337B7A"/>
    <w:rsid w:val="00337E4D"/>
    <w:rsid w:val="00340152"/>
    <w:rsid w:val="00340B39"/>
    <w:rsid w:val="00340E4F"/>
    <w:rsid w:val="0034104A"/>
    <w:rsid w:val="00341104"/>
    <w:rsid w:val="00341142"/>
    <w:rsid w:val="0034156D"/>
    <w:rsid w:val="003417F7"/>
    <w:rsid w:val="003418E6"/>
    <w:rsid w:val="00341CD8"/>
    <w:rsid w:val="003421B9"/>
    <w:rsid w:val="003424BF"/>
    <w:rsid w:val="0034258C"/>
    <w:rsid w:val="00342624"/>
    <w:rsid w:val="00342857"/>
    <w:rsid w:val="00342AA3"/>
    <w:rsid w:val="00342D38"/>
    <w:rsid w:val="003430FB"/>
    <w:rsid w:val="003432EA"/>
    <w:rsid w:val="003432F4"/>
    <w:rsid w:val="0034358F"/>
    <w:rsid w:val="00343794"/>
    <w:rsid w:val="00344072"/>
    <w:rsid w:val="00344304"/>
    <w:rsid w:val="0034432A"/>
    <w:rsid w:val="00344580"/>
    <w:rsid w:val="00344769"/>
    <w:rsid w:val="003448F6"/>
    <w:rsid w:val="00344E49"/>
    <w:rsid w:val="00344E82"/>
    <w:rsid w:val="00344EC3"/>
    <w:rsid w:val="00345304"/>
    <w:rsid w:val="0034546C"/>
    <w:rsid w:val="00345690"/>
    <w:rsid w:val="003456FB"/>
    <w:rsid w:val="00345B9A"/>
    <w:rsid w:val="00345C8A"/>
    <w:rsid w:val="00345CFB"/>
    <w:rsid w:val="00345DB6"/>
    <w:rsid w:val="00346090"/>
    <w:rsid w:val="00346147"/>
    <w:rsid w:val="0034642E"/>
    <w:rsid w:val="003474A0"/>
    <w:rsid w:val="00347A42"/>
    <w:rsid w:val="00347A4B"/>
    <w:rsid w:val="00347EA2"/>
    <w:rsid w:val="003501A2"/>
    <w:rsid w:val="003505D3"/>
    <w:rsid w:val="00350759"/>
    <w:rsid w:val="003508F4"/>
    <w:rsid w:val="00350B54"/>
    <w:rsid w:val="00351483"/>
    <w:rsid w:val="003514FB"/>
    <w:rsid w:val="00351701"/>
    <w:rsid w:val="00351F68"/>
    <w:rsid w:val="00351FAF"/>
    <w:rsid w:val="003525E5"/>
    <w:rsid w:val="003529A5"/>
    <w:rsid w:val="00352AAC"/>
    <w:rsid w:val="00352C3D"/>
    <w:rsid w:val="00352DBE"/>
    <w:rsid w:val="00352FE3"/>
    <w:rsid w:val="0035304C"/>
    <w:rsid w:val="00353110"/>
    <w:rsid w:val="003534AF"/>
    <w:rsid w:val="0035376E"/>
    <w:rsid w:val="0035399D"/>
    <w:rsid w:val="00353FBA"/>
    <w:rsid w:val="00354435"/>
    <w:rsid w:val="00354681"/>
    <w:rsid w:val="00354A85"/>
    <w:rsid w:val="00354C59"/>
    <w:rsid w:val="00354D27"/>
    <w:rsid w:val="00354FE8"/>
    <w:rsid w:val="0035505C"/>
    <w:rsid w:val="0035513B"/>
    <w:rsid w:val="00355218"/>
    <w:rsid w:val="00355279"/>
    <w:rsid w:val="00355A73"/>
    <w:rsid w:val="00355B41"/>
    <w:rsid w:val="00355DDF"/>
    <w:rsid w:val="00356073"/>
    <w:rsid w:val="003563F7"/>
    <w:rsid w:val="00356608"/>
    <w:rsid w:val="0035667A"/>
    <w:rsid w:val="00356C7D"/>
    <w:rsid w:val="00356D9F"/>
    <w:rsid w:val="00356FD6"/>
    <w:rsid w:val="003571B5"/>
    <w:rsid w:val="003572B2"/>
    <w:rsid w:val="00357335"/>
    <w:rsid w:val="0035738A"/>
    <w:rsid w:val="003574AE"/>
    <w:rsid w:val="00357A1A"/>
    <w:rsid w:val="00357B05"/>
    <w:rsid w:val="003600CD"/>
    <w:rsid w:val="003601DD"/>
    <w:rsid w:val="0036040D"/>
    <w:rsid w:val="0036058F"/>
    <w:rsid w:val="0036077C"/>
    <w:rsid w:val="003608C4"/>
    <w:rsid w:val="00360B1D"/>
    <w:rsid w:val="00360D99"/>
    <w:rsid w:val="00360DE9"/>
    <w:rsid w:val="00360E68"/>
    <w:rsid w:val="003611A1"/>
    <w:rsid w:val="003614A8"/>
    <w:rsid w:val="00361829"/>
    <w:rsid w:val="00361874"/>
    <w:rsid w:val="0036190C"/>
    <w:rsid w:val="0036225C"/>
    <w:rsid w:val="003623A2"/>
    <w:rsid w:val="003623B1"/>
    <w:rsid w:val="00362747"/>
    <w:rsid w:val="00362753"/>
    <w:rsid w:val="00362A19"/>
    <w:rsid w:val="00362C76"/>
    <w:rsid w:val="00363093"/>
    <w:rsid w:val="00363447"/>
    <w:rsid w:val="00363712"/>
    <w:rsid w:val="0036395D"/>
    <w:rsid w:val="00363CC8"/>
    <w:rsid w:val="00363F65"/>
    <w:rsid w:val="00364081"/>
    <w:rsid w:val="00364206"/>
    <w:rsid w:val="0036446C"/>
    <w:rsid w:val="00364732"/>
    <w:rsid w:val="0036499E"/>
    <w:rsid w:val="003649B9"/>
    <w:rsid w:val="00364A2E"/>
    <w:rsid w:val="00364BBB"/>
    <w:rsid w:val="00364BD4"/>
    <w:rsid w:val="00364EF9"/>
    <w:rsid w:val="00364FB0"/>
    <w:rsid w:val="003650A8"/>
    <w:rsid w:val="003656C2"/>
    <w:rsid w:val="0036593D"/>
    <w:rsid w:val="00365CEF"/>
    <w:rsid w:val="00365F1A"/>
    <w:rsid w:val="00365FB9"/>
    <w:rsid w:val="003666BC"/>
    <w:rsid w:val="00366AB8"/>
    <w:rsid w:val="00366CE2"/>
    <w:rsid w:val="00366F16"/>
    <w:rsid w:val="00367448"/>
    <w:rsid w:val="003676F4"/>
    <w:rsid w:val="00367E32"/>
    <w:rsid w:val="003702AA"/>
    <w:rsid w:val="00370B0B"/>
    <w:rsid w:val="00370D10"/>
    <w:rsid w:val="00370DAD"/>
    <w:rsid w:val="003710AA"/>
    <w:rsid w:val="0037124D"/>
    <w:rsid w:val="00371740"/>
    <w:rsid w:val="0037179C"/>
    <w:rsid w:val="003719F0"/>
    <w:rsid w:val="00371A21"/>
    <w:rsid w:val="00371A78"/>
    <w:rsid w:val="00372173"/>
    <w:rsid w:val="00372277"/>
    <w:rsid w:val="0037245B"/>
    <w:rsid w:val="003725A5"/>
    <w:rsid w:val="003726C3"/>
    <w:rsid w:val="0037294F"/>
    <w:rsid w:val="003729D6"/>
    <w:rsid w:val="00372B2A"/>
    <w:rsid w:val="00372B67"/>
    <w:rsid w:val="00372C28"/>
    <w:rsid w:val="00372CA3"/>
    <w:rsid w:val="00373077"/>
    <w:rsid w:val="0037361F"/>
    <w:rsid w:val="00373FAF"/>
    <w:rsid w:val="00374017"/>
    <w:rsid w:val="003742F6"/>
    <w:rsid w:val="00374DC8"/>
    <w:rsid w:val="00374FBB"/>
    <w:rsid w:val="00375076"/>
    <w:rsid w:val="0037518E"/>
    <w:rsid w:val="003751A7"/>
    <w:rsid w:val="00375221"/>
    <w:rsid w:val="00375655"/>
    <w:rsid w:val="0037570E"/>
    <w:rsid w:val="00375A36"/>
    <w:rsid w:val="00375B2A"/>
    <w:rsid w:val="00375B36"/>
    <w:rsid w:val="00375BD9"/>
    <w:rsid w:val="00375BE0"/>
    <w:rsid w:val="00375DC8"/>
    <w:rsid w:val="0037659F"/>
    <w:rsid w:val="0037669B"/>
    <w:rsid w:val="00376A39"/>
    <w:rsid w:val="00376B82"/>
    <w:rsid w:val="00377788"/>
    <w:rsid w:val="00377A6E"/>
    <w:rsid w:val="00377C14"/>
    <w:rsid w:val="00377F85"/>
    <w:rsid w:val="00380313"/>
    <w:rsid w:val="00380374"/>
    <w:rsid w:val="003805EF"/>
    <w:rsid w:val="00380601"/>
    <w:rsid w:val="00380801"/>
    <w:rsid w:val="00380851"/>
    <w:rsid w:val="0038089F"/>
    <w:rsid w:val="00380E96"/>
    <w:rsid w:val="00380EBC"/>
    <w:rsid w:val="0038104D"/>
    <w:rsid w:val="0038125A"/>
    <w:rsid w:val="00381422"/>
    <w:rsid w:val="0038182C"/>
    <w:rsid w:val="00381AA5"/>
    <w:rsid w:val="00381DBA"/>
    <w:rsid w:val="00382210"/>
    <w:rsid w:val="00382C36"/>
    <w:rsid w:val="00382CEB"/>
    <w:rsid w:val="00382ECD"/>
    <w:rsid w:val="00383284"/>
    <w:rsid w:val="00383465"/>
    <w:rsid w:val="00383607"/>
    <w:rsid w:val="003837FE"/>
    <w:rsid w:val="003838E2"/>
    <w:rsid w:val="0038392A"/>
    <w:rsid w:val="003839FD"/>
    <w:rsid w:val="003841D1"/>
    <w:rsid w:val="003844B5"/>
    <w:rsid w:val="00384718"/>
    <w:rsid w:val="00384816"/>
    <w:rsid w:val="00384C7E"/>
    <w:rsid w:val="003850C9"/>
    <w:rsid w:val="00385690"/>
    <w:rsid w:val="003858A6"/>
    <w:rsid w:val="00385A86"/>
    <w:rsid w:val="00385CE1"/>
    <w:rsid w:val="0038628A"/>
    <w:rsid w:val="00386297"/>
    <w:rsid w:val="003866EA"/>
    <w:rsid w:val="00386761"/>
    <w:rsid w:val="00386A46"/>
    <w:rsid w:val="00386B13"/>
    <w:rsid w:val="00386B94"/>
    <w:rsid w:val="00386BB8"/>
    <w:rsid w:val="00386CF3"/>
    <w:rsid w:val="00387096"/>
    <w:rsid w:val="003871E5"/>
    <w:rsid w:val="003876C2"/>
    <w:rsid w:val="003876CF"/>
    <w:rsid w:val="00387A4D"/>
    <w:rsid w:val="00387C7B"/>
    <w:rsid w:val="00387CFF"/>
    <w:rsid w:val="00387F27"/>
    <w:rsid w:val="00390406"/>
    <w:rsid w:val="00390B56"/>
    <w:rsid w:val="00391191"/>
    <w:rsid w:val="003916FD"/>
    <w:rsid w:val="00391824"/>
    <w:rsid w:val="00391905"/>
    <w:rsid w:val="00391A5C"/>
    <w:rsid w:val="00391C55"/>
    <w:rsid w:val="00392134"/>
    <w:rsid w:val="003923D7"/>
    <w:rsid w:val="003924CE"/>
    <w:rsid w:val="0039265D"/>
    <w:rsid w:val="00392D7C"/>
    <w:rsid w:val="00392DCC"/>
    <w:rsid w:val="00393288"/>
    <w:rsid w:val="003932AC"/>
    <w:rsid w:val="00393515"/>
    <w:rsid w:val="00393623"/>
    <w:rsid w:val="00393A3A"/>
    <w:rsid w:val="00393DAB"/>
    <w:rsid w:val="00393F32"/>
    <w:rsid w:val="00394360"/>
    <w:rsid w:val="0039448E"/>
    <w:rsid w:val="00394CE1"/>
    <w:rsid w:val="00394D55"/>
    <w:rsid w:val="003954BC"/>
    <w:rsid w:val="00395B6D"/>
    <w:rsid w:val="00396352"/>
    <w:rsid w:val="00396872"/>
    <w:rsid w:val="00396897"/>
    <w:rsid w:val="00396987"/>
    <w:rsid w:val="00396BA0"/>
    <w:rsid w:val="00396DD3"/>
    <w:rsid w:val="003971E7"/>
    <w:rsid w:val="0039775C"/>
    <w:rsid w:val="00397BB5"/>
    <w:rsid w:val="003A0156"/>
    <w:rsid w:val="003A01B5"/>
    <w:rsid w:val="003A0567"/>
    <w:rsid w:val="003A080C"/>
    <w:rsid w:val="003A08DF"/>
    <w:rsid w:val="003A092D"/>
    <w:rsid w:val="003A0B67"/>
    <w:rsid w:val="003A0B88"/>
    <w:rsid w:val="003A0E14"/>
    <w:rsid w:val="003A0E3E"/>
    <w:rsid w:val="003A0E52"/>
    <w:rsid w:val="003A12B6"/>
    <w:rsid w:val="003A17FE"/>
    <w:rsid w:val="003A1F55"/>
    <w:rsid w:val="003A1FF8"/>
    <w:rsid w:val="003A209D"/>
    <w:rsid w:val="003A21AB"/>
    <w:rsid w:val="003A22A4"/>
    <w:rsid w:val="003A2554"/>
    <w:rsid w:val="003A26C7"/>
    <w:rsid w:val="003A2914"/>
    <w:rsid w:val="003A2938"/>
    <w:rsid w:val="003A299D"/>
    <w:rsid w:val="003A2A37"/>
    <w:rsid w:val="003A2B4F"/>
    <w:rsid w:val="003A2EF8"/>
    <w:rsid w:val="003A3104"/>
    <w:rsid w:val="003A344A"/>
    <w:rsid w:val="003A36C6"/>
    <w:rsid w:val="003A38F9"/>
    <w:rsid w:val="003A391B"/>
    <w:rsid w:val="003A3AE3"/>
    <w:rsid w:val="003A3BEB"/>
    <w:rsid w:val="003A406B"/>
    <w:rsid w:val="003A40B4"/>
    <w:rsid w:val="003A411B"/>
    <w:rsid w:val="003A41BF"/>
    <w:rsid w:val="003A4CEC"/>
    <w:rsid w:val="003A4FDA"/>
    <w:rsid w:val="003A500D"/>
    <w:rsid w:val="003A507A"/>
    <w:rsid w:val="003A5096"/>
    <w:rsid w:val="003A596A"/>
    <w:rsid w:val="003A5B36"/>
    <w:rsid w:val="003A621A"/>
    <w:rsid w:val="003A643E"/>
    <w:rsid w:val="003A64D4"/>
    <w:rsid w:val="003A6686"/>
    <w:rsid w:val="003A6737"/>
    <w:rsid w:val="003A6C00"/>
    <w:rsid w:val="003A70B0"/>
    <w:rsid w:val="003A7117"/>
    <w:rsid w:val="003A73FB"/>
    <w:rsid w:val="003A7581"/>
    <w:rsid w:val="003A7681"/>
    <w:rsid w:val="003A76DF"/>
    <w:rsid w:val="003A7B0A"/>
    <w:rsid w:val="003A7E80"/>
    <w:rsid w:val="003B00EB"/>
    <w:rsid w:val="003B03AF"/>
    <w:rsid w:val="003B075C"/>
    <w:rsid w:val="003B0AFB"/>
    <w:rsid w:val="003B0B18"/>
    <w:rsid w:val="003B0DAA"/>
    <w:rsid w:val="003B0DFC"/>
    <w:rsid w:val="003B0F3A"/>
    <w:rsid w:val="003B0FD1"/>
    <w:rsid w:val="003B10C0"/>
    <w:rsid w:val="003B10FF"/>
    <w:rsid w:val="003B11BE"/>
    <w:rsid w:val="003B1220"/>
    <w:rsid w:val="003B150D"/>
    <w:rsid w:val="003B159D"/>
    <w:rsid w:val="003B1988"/>
    <w:rsid w:val="003B1F9A"/>
    <w:rsid w:val="003B2024"/>
    <w:rsid w:val="003B247C"/>
    <w:rsid w:val="003B2680"/>
    <w:rsid w:val="003B268D"/>
    <w:rsid w:val="003B311A"/>
    <w:rsid w:val="003B312F"/>
    <w:rsid w:val="003B31FB"/>
    <w:rsid w:val="003B3310"/>
    <w:rsid w:val="003B3686"/>
    <w:rsid w:val="003B3B4B"/>
    <w:rsid w:val="003B3C05"/>
    <w:rsid w:val="003B3CF2"/>
    <w:rsid w:val="003B3EDA"/>
    <w:rsid w:val="003B4754"/>
    <w:rsid w:val="003B48AD"/>
    <w:rsid w:val="003B4BF7"/>
    <w:rsid w:val="003B53BD"/>
    <w:rsid w:val="003B5781"/>
    <w:rsid w:val="003B59F4"/>
    <w:rsid w:val="003B5DCC"/>
    <w:rsid w:val="003B5F40"/>
    <w:rsid w:val="003B602E"/>
    <w:rsid w:val="003B69C9"/>
    <w:rsid w:val="003B6A69"/>
    <w:rsid w:val="003B6A9B"/>
    <w:rsid w:val="003B6B31"/>
    <w:rsid w:val="003B6F45"/>
    <w:rsid w:val="003B7004"/>
    <w:rsid w:val="003B7078"/>
    <w:rsid w:val="003B7886"/>
    <w:rsid w:val="003C0229"/>
    <w:rsid w:val="003C039B"/>
    <w:rsid w:val="003C061F"/>
    <w:rsid w:val="003C0667"/>
    <w:rsid w:val="003C0785"/>
    <w:rsid w:val="003C0E3C"/>
    <w:rsid w:val="003C18B9"/>
    <w:rsid w:val="003C19BA"/>
    <w:rsid w:val="003C1AB6"/>
    <w:rsid w:val="003C1AE8"/>
    <w:rsid w:val="003C208D"/>
    <w:rsid w:val="003C21AC"/>
    <w:rsid w:val="003C223B"/>
    <w:rsid w:val="003C23CF"/>
    <w:rsid w:val="003C24B4"/>
    <w:rsid w:val="003C24FC"/>
    <w:rsid w:val="003C289E"/>
    <w:rsid w:val="003C2E0F"/>
    <w:rsid w:val="003C32E1"/>
    <w:rsid w:val="003C36FB"/>
    <w:rsid w:val="003C3AA6"/>
    <w:rsid w:val="003C3AE4"/>
    <w:rsid w:val="003C3AFD"/>
    <w:rsid w:val="003C3D8E"/>
    <w:rsid w:val="003C3E44"/>
    <w:rsid w:val="003C3F15"/>
    <w:rsid w:val="003C471D"/>
    <w:rsid w:val="003C472B"/>
    <w:rsid w:val="003C4850"/>
    <w:rsid w:val="003C4936"/>
    <w:rsid w:val="003C4A56"/>
    <w:rsid w:val="003C4B57"/>
    <w:rsid w:val="003C4CB1"/>
    <w:rsid w:val="003C544D"/>
    <w:rsid w:val="003C565F"/>
    <w:rsid w:val="003C58E9"/>
    <w:rsid w:val="003C5D60"/>
    <w:rsid w:val="003C5E07"/>
    <w:rsid w:val="003C5E74"/>
    <w:rsid w:val="003C6613"/>
    <w:rsid w:val="003C68D6"/>
    <w:rsid w:val="003C69D4"/>
    <w:rsid w:val="003C6C49"/>
    <w:rsid w:val="003C7627"/>
    <w:rsid w:val="003C77AF"/>
    <w:rsid w:val="003C77F3"/>
    <w:rsid w:val="003C78ED"/>
    <w:rsid w:val="003C7AB3"/>
    <w:rsid w:val="003C7B0E"/>
    <w:rsid w:val="003C7B2D"/>
    <w:rsid w:val="003C7B53"/>
    <w:rsid w:val="003C7C7D"/>
    <w:rsid w:val="003C7CB1"/>
    <w:rsid w:val="003C7F01"/>
    <w:rsid w:val="003D00FF"/>
    <w:rsid w:val="003D065F"/>
    <w:rsid w:val="003D067F"/>
    <w:rsid w:val="003D08D8"/>
    <w:rsid w:val="003D0A92"/>
    <w:rsid w:val="003D0D28"/>
    <w:rsid w:val="003D0D60"/>
    <w:rsid w:val="003D0FB1"/>
    <w:rsid w:val="003D11AA"/>
    <w:rsid w:val="003D141D"/>
    <w:rsid w:val="003D1472"/>
    <w:rsid w:val="003D1A75"/>
    <w:rsid w:val="003D1A91"/>
    <w:rsid w:val="003D1D5B"/>
    <w:rsid w:val="003D24C4"/>
    <w:rsid w:val="003D24F7"/>
    <w:rsid w:val="003D2929"/>
    <w:rsid w:val="003D2A60"/>
    <w:rsid w:val="003D2DC7"/>
    <w:rsid w:val="003D338D"/>
    <w:rsid w:val="003D3408"/>
    <w:rsid w:val="003D369F"/>
    <w:rsid w:val="003D398A"/>
    <w:rsid w:val="003D4093"/>
    <w:rsid w:val="003D43B2"/>
    <w:rsid w:val="003D4CF3"/>
    <w:rsid w:val="003D4E6A"/>
    <w:rsid w:val="003D517D"/>
    <w:rsid w:val="003D538D"/>
    <w:rsid w:val="003D53EF"/>
    <w:rsid w:val="003D5699"/>
    <w:rsid w:val="003D5782"/>
    <w:rsid w:val="003D579F"/>
    <w:rsid w:val="003D5ACA"/>
    <w:rsid w:val="003D5D04"/>
    <w:rsid w:val="003D5D7F"/>
    <w:rsid w:val="003D5DE7"/>
    <w:rsid w:val="003D5DEA"/>
    <w:rsid w:val="003D5E77"/>
    <w:rsid w:val="003D6142"/>
    <w:rsid w:val="003D6234"/>
    <w:rsid w:val="003D644B"/>
    <w:rsid w:val="003D68A0"/>
    <w:rsid w:val="003D6949"/>
    <w:rsid w:val="003D6B77"/>
    <w:rsid w:val="003D6D26"/>
    <w:rsid w:val="003D74B8"/>
    <w:rsid w:val="003D775E"/>
    <w:rsid w:val="003D791F"/>
    <w:rsid w:val="003D7B2E"/>
    <w:rsid w:val="003E0121"/>
    <w:rsid w:val="003E0269"/>
    <w:rsid w:val="003E0301"/>
    <w:rsid w:val="003E0A8E"/>
    <w:rsid w:val="003E0B6F"/>
    <w:rsid w:val="003E119D"/>
    <w:rsid w:val="003E151D"/>
    <w:rsid w:val="003E158A"/>
    <w:rsid w:val="003E1615"/>
    <w:rsid w:val="003E20D6"/>
    <w:rsid w:val="003E25BB"/>
    <w:rsid w:val="003E2BF7"/>
    <w:rsid w:val="003E2DFC"/>
    <w:rsid w:val="003E3A2A"/>
    <w:rsid w:val="003E3D0C"/>
    <w:rsid w:val="003E3DC6"/>
    <w:rsid w:val="003E3F66"/>
    <w:rsid w:val="003E435B"/>
    <w:rsid w:val="003E446A"/>
    <w:rsid w:val="003E44B5"/>
    <w:rsid w:val="003E48C4"/>
    <w:rsid w:val="003E4955"/>
    <w:rsid w:val="003E4AA8"/>
    <w:rsid w:val="003E4D87"/>
    <w:rsid w:val="003E4F0C"/>
    <w:rsid w:val="003E4F2A"/>
    <w:rsid w:val="003E582D"/>
    <w:rsid w:val="003E58C7"/>
    <w:rsid w:val="003E5A2E"/>
    <w:rsid w:val="003E5B17"/>
    <w:rsid w:val="003E5BA8"/>
    <w:rsid w:val="003E5BDD"/>
    <w:rsid w:val="003E5C59"/>
    <w:rsid w:val="003E60DF"/>
    <w:rsid w:val="003E647F"/>
    <w:rsid w:val="003E64CF"/>
    <w:rsid w:val="003E6792"/>
    <w:rsid w:val="003E68E3"/>
    <w:rsid w:val="003E69E9"/>
    <w:rsid w:val="003E6BCC"/>
    <w:rsid w:val="003E6CC1"/>
    <w:rsid w:val="003E6D0D"/>
    <w:rsid w:val="003E6EAA"/>
    <w:rsid w:val="003E6EED"/>
    <w:rsid w:val="003E6FEF"/>
    <w:rsid w:val="003E709E"/>
    <w:rsid w:val="003E721A"/>
    <w:rsid w:val="003E79D3"/>
    <w:rsid w:val="003E7CBD"/>
    <w:rsid w:val="003F029B"/>
    <w:rsid w:val="003F05D6"/>
    <w:rsid w:val="003F07AD"/>
    <w:rsid w:val="003F0CAC"/>
    <w:rsid w:val="003F0F32"/>
    <w:rsid w:val="003F10DB"/>
    <w:rsid w:val="003F112E"/>
    <w:rsid w:val="003F1419"/>
    <w:rsid w:val="003F1597"/>
    <w:rsid w:val="003F1934"/>
    <w:rsid w:val="003F1DC5"/>
    <w:rsid w:val="003F1DFE"/>
    <w:rsid w:val="003F21C5"/>
    <w:rsid w:val="003F2498"/>
    <w:rsid w:val="003F2512"/>
    <w:rsid w:val="003F2698"/>
    <w:rsid w:val="003F31C1"/>
    <w:rsid w:val="003F38C8"/>
    <w:rsid w:val="003F3DA3"/>
    <w:rsid w:val="003F3DBB"/>
    <w:rsid w:val="003F49FB"/>
    <w:rsid w:val="003F4A0D"/>
    <w:rsid w:val="003F4DFE"/>
    <w:rsid w:val="003F4E23"/>
    <w:rsid w:val="003F4F61"/>
    <w:rsid w:val="003F5384"/>
    <w:rsid w:val="003F5896"/>
    <w:rsid w:val="003F58B1"/>
    <w:rsid w:val="003F5C74"/>
    <w:rsid w:val="003F6010"/>
    <w:rsid w:val="003F60CB"/>
    <w:rsid w:val="003F6300"/>
    <w:rsid w:val="003F68B2"/>
    <w:rsid w:val="003F6917"/>
    <w:rsid w:val="003F6D6B"/>
    <w:rsid w:val="003F6E10"/>
    <w:rsid w:val="003F76A9"/>
    <w:rsid w:val="003F76DB"/>
    <w:rsid w:val="003F776E"/>
    <w:rsid w:val="003F78A5"/>
    <w:rsid w:val="003F79E5"/>
    <w:rsid w:val="003F7A2D"/>
    <w:rsid w:val="003F7CB9"/>
    <w:rsid w:val="003F7DD4"/>
    <w:rsid w:val="003F7EE3"/>
    <w:rsid w:val="00400089"/>
    <w:rsid w:val="004001B2"/>
    <w:rsid w:val="004003C0"/>
    <w:rsid w:val="0040068B"/>
    <w:rsid w:val="00400729"/>
    <w:rsid w:val="00400848"/>
    <w:rsid w:val="00400A3E"/>
    <w:rsid w:val="00400F23"/>
    <w:rsid w:val="00401082"/>
    <w:rsid w:val="004011FE"/>
    <w:rsid w:val="0040137F"/>
    <w:rsid w:val="004013E7"/>
    <w:rsid w:val="004014F7"/>
    <w:rsid w:val="00401622"/>
    <w:rsid w:val="00401C34"/>
    <w:rsid w:val="00401D73"/>
    <w:rsid w:val="00401E8A"/>
    <w:rsid w:val="00402061"/>
    <w:rsid w:val="0040225E"/>
    <w:rsid w:val="004023D3"/>
    <w:rsid w:val="00402836"/>
    <w:rsid w:val="00402B96"/>
    <w:rsid w:val="00402D27"/>
    <w:rsid w:val="00402E11"/>
    <w:rsid w:val="00403186"/>
    <w:rsid w:val="004033C5"/>
    <w:rsid w:val="00403617"/>
    <w:rsid w:val="00403688"/>
    <w:rsid w:val="004038C1"/>
    <w:rsid w:val="00403908"/>
    <w:rsid w:val="00403B48"/>
    <w:rsid w:val="00403C8E"/>
    <w:rsid w:val="00403C91"/>
    <w:rsid w:val="00403F0A"/>
    <w:rsid w:val="0040403D"/>
    <w:rsid w:val="00404047"/>
    <w:rsid w:val="00404106"/>
    <w:rsid w:val="00404144"/>
    <w:rsid w:val="004044C3"/>
    <w:rsid w:val="0040478A"/>
    <w:rsid w:val="004049A0"/>
    <w:rsid w:val="00404AE6"/>
    <w:rsid w:val="00405120"/>
    <w:rsid w:val="0040512C"/>
    <w:rsid w:val="00405315"/>
    <w:rsid w:val="00405514"/>
    <w:rsid w:val="00405531"/>
    <w:rsid w:val="0040591C"/>
    <w:rsid w:val="004059D5"/>
    <w:rsid w:val="004060AB"/>
    <w:rsid w:val="004060EB"/>
    <w:rsid w:val="00406404"/>
    <w:rsid w:val="004066AB"/>
    <w:rsid w:val="004068FF"/>
    <w:rsid w:val="00406910"/>
    <w:rsid w:val="0040706D"/>
    <w:rsid w:val="004073E0"/>
    <w:rsid w:val="00407471"/>
    <w:rsid w:val="00407658"/>
    <w:rsid w:val="00407666"/>
    <w:rsid w:val="00407DAB"/>
    <w:rsid w:val="00407F2A"/>
    <w:rsid w:val="00410605"/>
    <w:rsid w:val="00410668"/>
    <w:rsid w:val="00410819"/>
    <w:rsid w:val="00410951"/>
    <w:rsid w:val="00410983"/>
    <w:rsid w:val="00410D23"/>
    <w:rsid w:val="00410DFD"/>
    <w:rsid w:val="004110A9"/>
    <w:rsid w:val="0041147E"/>
    <w:rsid w:val="004114CD"/>
    <w:rsid w:val="0041186C"/>
    <w:rsid w:val="00411CF2"/>
    <w:rsid w:val="00411F31"/>
    <w:rsid w:val="00411FC7"/>
    <w:rsid w:val="00412DD9"/>
    <w:rsid w:val="00412E5E"/>
    <w:rsid w:val="00413797"/>
    <w:rsid w:val="00413EC5"/>
    <w:rsid w:val="004145C4"/>
    <w:rsid w:val="00414874"/>
    <w:rsid w:val="00414A9A"/>
    <w:rsid w:val="00415255"/>
    <w:rsid w:val="0041528C"/>
    <w:rsid w:val="0041535A"/>
    <w:rsid w:val="0041543B"/>
    <w:rsid w:val="0041572C"/>
    <w:rsid w:val="00415A8F"/>
    <w:rsid w:val="00415B09"/>
    <w:rsid w:val="00415CEA"/>
    <w:rsid w:val="00415E8D"/>
    <w:rsid w:val="00416333"/>
    <w:rsid w:val="00416344"/>
    <w:rsid w:val="00416762"/>
    <w:rsid w:val="00416E2E"/>
    <w:rsid w:val="00416E55"/>
    <w:rsid w:val="004170F2"/>
    <w:rsid w:val="00417222"/>
    <w:rsid w:val="00417232"/>
    <w:rsid w:val="00417278"/>
    <w:rsid w:val="00417311"/>
    <w:rsid w:val="0041736A"/>
    <w:rsid w:val="004173CA"/>
    <w:rsid w:val="00417B37"/>
    <w:rsid w:val="00417BCA"/>
    <w:rsid w:val="00417C15"/>
    <w:rsid w:val="00417CA2"/>
    <w:rsid w:val="004200DA"/>
    <w:rsid w:val="0042015F"/>
    <w:rsid w:val="004201BE"/>
    <w:rsid w:val="0042073C"/>
    <w:rsid w:val="00420FB8"/>
    <w:rsid w:val="004210BA"/>
    <w:rsid w:val="0042159A"/>
    <w:rsid w:val="004217A7"/>
    <w:rsid w:val="00421955"/>
    <w:rsid w:val="00421A2B"/>
    <w:rsid w:val="00421C43"/>
    <w:rsid w:val="00421F6F"/>
    <w:rsid w:val="0042249B"/>
    <w:rsid w:val="00422AEA"/>
    <w:rsid w:val="00422DE7"/>
    <w:rsid w:val="00422EE0"/>
    <w:rsid w:val="00423107"/>
    <w:rsid w:val="00423161"/>
    <w:rsid w:val="004233BC"/>
    <w:rsid w:val="0042364A"/>
    <w:rsid w:val="0042390D"/>
    <w:rsid w:val="004239CA"/>
    <w:rsid w:val="00423CEB"/>
    <w:rsid w:val="00423FC1"/>
    <w:rsid w:val="004242FE"/>
    <w:rsid w:val="00424559"/>
    <w:rsid w:val="00424890"/>
    <w:rsid w:val="0042492A"/>
    <w:rsid w:val="00424ACA"/>
    <w:rsid w:val="00424D8D"/>
    <w:rsid w:val="00424F71"/>
    <w:rsid w:val="0042518A"/>
    <w:rsid w:val="004252C2"/>
    <w:rsid w:val="004252DB"/>
    <w:rsid w:val="00425761"/>
    <w:rsid w:val="00425784"/>
    <w:rsid w:val="004257AA"/>
    <w:rsid w:val="004258E2"/>
    <w:rsid w:val="004259A4"/>
    <w:rsid w:val="00425D18"/>
    <w:rsid w:val="00425D7D"/>
    <w:rsid w:val="004262D2"/>
    <w:rsid w:val="004263C0"/>
    <w:rsid w:val="004263D2"/>
    <w:rsid w:val="0042671E"/>
    <w:rsid w:val="00426ADB"/>
    <w:rsid w:val="00426D45"/>
    <w:rsid w:val="00426D62"/>
    <w:rsid w:val="00426F05"/>
    <w:rsid w:val="00426F5C"/>
    <w:rsid w:val="004271E1"/>
    <w:rsid w:val="0042727D"/>
    <w:rsid w:val="004272D5"/>
    <w:rsid w:val="004276A0"/>
    <w:rsid w:val="00427BEB"/>
    <w:rsid w:val="0043020F"/>
    <w:rsid w:val="004306A4"/>
    <w:rsid w:val="00430B6F"/>
    <w:rsid w:val="00430DE1"/>
    <w:rsid w:val="00431452"/>
    <w:rsid w:val="00431614"/>
    <w:rsid w:val="004316BF"/>
    <w:rsid w:val="00431FD9"/>
    <w:rsid w:val="0043248D"/>
    <w:rsid w:val="0043252D"/>
    <w:rsid w:val="0043268E"/>
    <w:rsid w:val="004326B1"/>
    <w:rsid w:val="00432C95"/>
    <w:rsid w:val="00432E38"/>
    <w:rsid w:val="00432F57"/>
    <w:rsid w:val="004331DA"/>
    <w:rsid w:val="004333F8"/>
    <w:rsid w:val="0043345A"/>
    <w:rsid w:val="004334F1"/>
    <w:rsid w:val="0043355B"/>
    <w:rsid w:val="004336B4"/>
    <w:rsid w:val="00433D94"/>
    <w:rsid w:val="00434090"/>
    <w:rsid w:val="004341F4"/>
    <w:rsid w:val="00434217"/>
    <w:rsid w:val="004343A8"/>
    <w:rsid w:val="00434C0E"/>
    <w:rsid w:val="00434C2B"/>
    <w:rsid w:val="00435171"/>
    <w:rsid w:val="004352AD"/>
    <w:rsid w:val="00435394"/>
    <w:rsid w:val="00435559"/>
    <w:rsid w:val="0043558B"/>
    <w:rsid w:val="004357F7"/>
    <w:rsid w:val="00435804"/>
    <w:rsid w:val="00435BBE"/>
    <w:rsid w:val="00435BDF"/>
    <w:rsid w:val="00435BE8"/>
    <w:rsid w:val="004361D8"/>
    <w:rsid w:val="004362A6"/>
    <w:rsid w:val="004363CF"/>
    <w:rsid w:val="004365E7"/>
    <w:rsid w:val="0043688B"/>
    <w:rsid w:val="00436A3A"/>
    <w:rsid w:val="00436CF9"/>
    <w:rsid w:val="00436F8D"/>
    <w:rsid w:val="00436FE8"/>
    <w:rsid w:val="00437604"/>
    <w:rsid w:val="004376B9"/>
    <w:rsid w:val="00437C24"/>
    <w:rsid w:val="00437F5D"/>
    <w:rsid w:val="00440081"/>
    <w:rsid w:val="00440260"/>
    <w:rsid w:val="00440586"/>
    <w:rsid w:val="0044094B"/>
    <w:rsid w:val="00440A21"/>
    <w:rsid w:val="00440A73"/>
    <w:rsid w:val="00441026"/>
    <w:rsid w:val="00441169"/>
    <w:rsid w:val="00441857"/>
    <w:rsid w:val="004418FC"/>
    <w:rsid w:val="0044190E"/>
    <w:rsid w:val="00441962"/>
    <w:rsid w:val="00441970"/>
    <w:rsid w:val="00441BC5"/>
    <w:rsid w:val="00441C07"/>
    <w:rsid w:val="00441DBA"/>
    <w:rsid w:val="00441F6C"/>
    <w:rsid w:val="00441FD4"/>
    <w:rsid w:val="00442030"/>
    <w:rsid w:val="00442258"/>
    <w:rsid w:val="00442502"/>
    <w:rsid w:val="004428B6"/>
    <w:rsid w:val="00442B05"/>
    <w:rsid w:val="00442E90"/>
    <w:rsid w:val="00442F9D"/>
    <w:rsid w:val="004430BC"/>
    <w:rsid w:val="0044317C"/>
    <w:rsid w:val="00443647"/>
    <w:rsid w:val="00443AED"/>
    <w:rsid w:val="00443C12"/>
    <w:rsid w:val="00443D66"/>
    <w:rsid w:val="00443E01"/>
    <w:rsid w:val="00443E73"/>
    <w:rsid w:val="00444001"/>
    <w:rsid w:val="0044403A"/>
    <w:rsid w:val="004444D8"/>
    <w:rsid w:val="00444A63"/>
    <w:rsid w:val="00444B71"/>
    <w:rsid w:val="00444CDB"/>
    <w:rsid w:val="00444FF6"/>
    <w:rsid w:val="00445265"/>
    <w:rsid w:val="004452BD"/>
    <w:rsid w:val="00445B90"/>
    <w:rsid w:val="0044605E"/>
    <w:rsid w:val="004467F5"/>
    <w:rsid w:val="00446812"/>
    <w:rsid w:val="00446A67"/>
    <w:rsid w:val="004472C8"/>
    <w:rsid w:val="004472EA"/>
    <w:rsid w:val="00447409"/>
    <w:rsid w:val="00447B1E"/>
    <w:rsid w:val="00447E20"/>
    <w:rsid w:val="00447F56"/>
    <w:rsid w:val="0045029B"/>
    <w:rsid w:val="004508DD"/>
    <w:rsid w:val="00450D5A"/>
    <w:rsid w:val="004511C3"/>
    <w:rsid w:val="004512DD"/>
    <w:rsid w:val="004512EB"/>
    <w:rsid w:val="0045141B"/>
    <w:rsid w:val="00451605"/>
    <w:rsid w:val="00451E8C"/>
    <w:rsid w:val="0045286B"/>
    <w:rsid w:val="00452ACE"/>
    <w:rsid w:val="004530FD"/>
    <w:rsid w:val="00453174"/>
    <w:rsid w:val="0045325D"/>
    <w:rsid w:val="00453488"/>
    <w:rsid w:val="004534CD"/>
    <w:rsid w:val="00453614"/>
    <w:rsid w:val="00453B8B"/>
    <w:rsid w:val="00453D46"/>
    <w:rsid w:val="00454390"/>
    <w:rsid w:val="0045451D"/>
    <w:rsid w:val="0045460C"/>
    <w:rsid w:val="00454A41"/>
    <w:rsid w:val="00454DD5"/>
    <w:rsid w:val="00454DDD"/>
    <w:rsid w:val="00455061"/>
    <w:rsid w:val="00455236"/>
    <w:rsid w:val="0045532B"/>
    <w:rsid w:val="00455848"/>
    <w:rsid w:val="004558A9"/>
    <w:rsid w:val="004559CE"/>
    <w:rsid w:val="004559CF"/>
    <w:rsid w:val="00455ADA"/>
    <w:rsid w:val="00455B0E"/>
    <w:rsid w:val="0045660B"/>
    <w:rsid w:val="0045680C"/>
    <w:rsid w:val="004568DC"/>
    <w:rsid w:val="00456B6F"/>
    <w:rsid w:val="00456CCF"/>
    <w:rsid w:val="00456D31"/>
    <w:rsid w:val="00457520"/>
    <w:rsid w:val="0045756E"/>
    <w:rsid w:val="004577DA"/>
    <w:rsid w:val="00457B85"/>
    <w:rsid w:val="00457C5C"/>
    <w:rsid w:val="00457F68"/>
    <w:rsid w:val="00457F88"/>
    <w:rsid w:val="00457FC6"/>
    <w:rsid w:val="004602EB"/>
    <w:rsid w:val="00460481"/>
    <w:rsid w:val="00460A37"/>
    <w:rsid w:val="00460B6C"/>
    <w:rsid w:val="00460E1A"/>
    <w:rsid w:val="00460FEF"/>
    <w:rsid w:val="004610A9"/>
    <w:rsid w:val="004610B2"/>
    <w:rsid w:val="004613E5"/>
    <w:rsid w:val="00461432"/>
    <w:rsid w:val="00461833"/>
    <w:rsid w:val="00461883"/>
    <w:rsid w:val="00461B25"/>
    <w:rsid w:val="00461B83"/>
    <w:rsid w:val="00461FC8"/>
    <w:rsid w:val="0046242A"/>
    <w:rsid w:val="00462BBF"/>
    <w:rsid w:val="00463303"/>
    <w:rsid w:val="00463D02"/>
    <w:rsid w:val="00463DF8"/>
    <w:rsid w:val="0046422D"/>
    <w:rsid w:val="004644DF"/>
    <w:rsid w:val="0046494F"/>
    <w:rsid w:val="00464A64"/>
    <w:rsid w:val="00464C71"/>
    <w:rsid w:val="00464C93"/>
    <w:rsid w:val="00464CBC"/>
    <w:rsid w:val="00464DC2"/>
    <w:rsid w:val="00465788"/>
    <w:rsid w:val="00465AF9"/>
    <w:rsid w:val="004665BD"/>
    <w:rsid w:val="00466738"/>
    <w:rsid w:val="0046731D"/>
    <w:rsid w:val="004677A8"/>
    <w:rsid w:val="00467827"/>
    <w:rsid w:val="004678D4"/>
    <w:rsid w:val="00467975"/>
    <w:rsid w:val="004679D4"/>
    <w:rsid w:val="00467A6D"/>
    <w:rsid w:val="00467B74"/>
    <w:rsid w:val="00467C90"/>
    <w:rsid w:val="00470163"/>
    <w:rsid w:val="004701F8"/>
    <w:rsid w:val="004704CE"/>
    <w:rsid w:val="004705F6"/>
    <w:rsid w:val="004708DA"/>
    <w:rsid w:val="00470AAA"/>
    <w:rsid w:val="00470C2A"/>
    <w:rsid w:val="00470D26"/>
    <w:rsid w:val="00471164"/>
    <w:rsid w:val="004711DC"/>
    <w:rsid w:val="004712B8"/>
    <w:rsid w:val="004713AF"/>
    <w:rsid w:val="004717E8"/>
    <w:rsid w:val="00471809"/>
    <w:rsid w:val="00471A27"/>
    <w:rsid w:val="00471AB2"/>
    <w:rsid w:val="00471B56"/>
    <w:rsid w:val="00471D36"/>
    <w:rsid w:val="0047209C"/>
    <w:rsid w:val="004732D0"/>
    <w:rsid w:val="004738E4"/>
    <w:rsid w:val="00473A18"/>
    <w:rsid w:val="00473B9E"/>
    <w:rsid w:val="00473CFE"/>
    <w:rsid w:val="00473D77"/>
    <w:rsid w:val="00473FF7"/>
    <w:rsid w:val="004742A3"/>
    <w:rsid w:val="0047493B"/>
    <w:rsid w:val="00474EA8"/>
    <w:rsid w:val="0047503D"/>
    <w:rsid w:val="00475085"/>
    <w:rsid w:val="004751A0"/>
    <w:rsid w:val="00475645"/>
    <w:rsid w:val="004759F5"/>
    <w:rsid w:val="00475EE9"/>
    <w:rsid w:val="004765C0"/>
    <w:rsid w:val="0047661B"/>
    <w:rsid w:val="00476699"/>
    <w:rsid w:val="004766CC"/>
    <w:rsid w:val="00476A91"/>
    <w:rsid w:val="00476CF6"/>
    <w:rsid w:val="00476E49"/>
    <w:rsid w:val="00476F22"/>
    <w:rsid w:val="0047700F"/>
    <w:rsid w:val="004770A2"/>
    <w:rsid w:val="0047721C"/>
    <w:rsid w:val="00477967"/>
    <w:rsid w:val="00477AA8"/>
    <w:rsid w:val="00477AF9"/>
    <w:rsid w:val="00477F82"/>
    <w:rsid w:val="0048011A"/>
    <w:rsid w:val="0048011C"/>
    <w:rsid w:val="00480199"/>
    <w:rsid w:val="004801C4"/>
    <w:rsid w:val="0048062E"/>
    <w:rsid w:val="00480810"/>
    <w:rsid w:val="00480833"/>
    <w:rsid w:val="00480A30"/>
    <w:rsid w:val="00480CF7"/>
    <w:rsid w:val="00480EEB"/>
    <w:rsid w:val="004812F9"/>
    <w:rsid w:val="0048139F"/>
    <w:rsid w:val="00481422"/>
    <w:rsid w:val="0048152E"/>
    <w:rsid w:val="004818B0"/>
    <w:rsid w:val="004818CF"/>
    <w:rsid w:val="00481B0C"/>
    <w:rsid w:val="00481C8D"/>
    <w:rsid w:val="00481ECC"/>
    <w:rsid w:val="004823A7"/>
    <w:rsid w:val="004823F5"/>
    <w:rsid w:val="00482A1B"/>
    <w:rsid w:val="00482ABE"/>
    <w:rsid w:val="00482ADF"/>
    <w:rsid w:val="00482DD5"/>
    <w:rsid w:val="00482DE1"/>
    <w:rsid w:val="00482DF6"/>
    <w:rsid w:val="004831A1"/>
    <w:rsid w:val="004836C5"/>
    <w:rsid w:val="00483946"/>
    <w:rsid w:val="004839E3"/>
    <w:rsid w:val="00483C40"/>
    <w:rsid w:val="00483C48"/>
    <w:rsid w:val="00483FBC"/>
    <w:rsid w:val="0048423F"/>
    <w:rsid w:val="0048427D"/>
    <w:rsid w:val="0048464B"/>
    <w:rsid w:val="00484AEC"/>
    <w:rsid w:val="00484C2F"/>
    <w:rsid w:val="00484D84"/>
    <w:rsid w:val="004850F8"/>
    <w:rsid w:val="004854DC"/>
    <w:rsid w:val="0048576F"/>
    <w:rsid w:val="004859A7"/>
    <w:rsid w:val="00485BE1"/>
    <w:rsid w:val="00485D45"/>
    <w:rsid w:val="00486125"/>
    <w:rsid w:val="00486B2D"/>
    <w:rsid w:val="00486F01"/>
    <w:rsid w:val="004872EE"/>
    <w:rsid w:val="00487F1F"/>
    <w:rsid w:val="0049021B"/>
    <w:rsid w:val="004904A0"/>
    <w:rsid w:val="0049086D"/>
    <w:rsid w:val="004909D2"/>
    <w:rsid w:val="00490C95"/>
    <w:rsid w:val="00491028"/>
    <w:rsid w:val="0049138E"/>
    <w:rsid w:val="00491430"/>
    <w:rsid w:val="00491611"/>
    <w:rsid w:val="00491742"/>
    <w:rsid w:val="0049198B"/>
    <w:rsid w:val="00491AEA"/>
    <w:rsid w:val="00491BEF"/>
    <w:rsid w:val="00491C0E"/>
    <w:rsid w:val="00491F13"/>
    <w:rsid w:val="00491F27"/>
    <w:rsid w:val="004926F6"/>
    <w:rsid w:val="00492A67"/>
    <w:rsid w:val="00492E80"/>
    <w:rsid w:val="00492FCB"/>
    <w:rsid w:val="00493B3A"/>
    <w:rsid w:val="00493C09"/>
    <w:rsid w:val="00493E0A"/>
    <w:rsid w:val="00493E95"/>
    <w:rsid w:val="00493F79"/>
    <w:rsid w:val="00494071"/>
    <w:rsid w:val="00494190"/>
    <w:rsid w:val="00494201"/>
    <w:rsid w:val="00494298"/>
    <w:rsid w:val="004946D3"/>
    <w:rsid w:val="004947BB"/>
    <w:rsid w:val="00494EA9"/>
    <w:rsid w:val="00494F1F"/>
    <w:rsid w:val="0049513F"/>
    <w:rsid w:val="0049517A"/>
    <w:rsid w:val="004951CF"/>
    <w:rsid w:val="004952A7"/>
    <w:rsid w:val="00495AEE"/>
    <w:rsid w:val="00495D68"/>
    <w:rsid w:val="00495DEC"/>
    <w:rsid w:val="00496416"/>
    <w:rsid w:val="004967F5"/>
    <w:rsid w:val="00496927"/>
    <w:rsid w:val="00496D44"/>
    <w:rsid w:val="0049743B"/>
    <w:rsid w:val="0049753D"/>
    <w:rsid w:val="0049754E"/>
    <w:rsid w:val="00497B5B"/>
    <w:rsid w:val="004A015A"/>
    <w:rsid w:val="004A0531"/>
    <w:rsid w:val="004A06F3"/>
    <w:rsid w:val="004A080C"/>
    <w:rsid w:val="004A0893"/>
    <w:rsid w:val="004A0B70"/>
    <w:rsid w:val="004A0F11"/>
    <w:rsid w:val="004A102B"/>
    <w:rsid w:val="004A11B1"/>
    <w:rsid w:val="004A122C"/>
    <w:rsid w:val="004A1251"/>
    <w:rsid w:val="004A16A7"/>
    <w:rsid w:val="004A17C2"/>
    <w:rsid w:val="004A1DE1"/>
    <w:rsid w:val="004A213B"/>
    <w:rsid w:val="004A2161"/>
    <w:rsid w:val="004A22B4"/>
    <w:rsid w:val="004A263C"/>
    <w:rsid w:val="004A2924"/>
    <w:rsid w:val="004A2BF9"/>
    <w:rsid w:val="004A2CAE"/>
    <w:rsid w:val="004A2EA5"/>
    <w:rsid w:val="004A2F0D"/>
    <w:rsid w:val="004A2F10"/>
    <w:rsid w:val="004A35AF"/>
    <w:rsid w:val="004A3735"/>
    <w:rsid w:val="004A3841"/>
    <w:rsid w:val="004A3851"/>
    <w:rsid w:val="004A39BB"/>
    <w:rsid w:val="004A3C5A"/>
    <w:rsid w:val="004A3DC8"/>
    <w:rsid w:val="004A3E08"/>
    <w:rsid w:val="004A3EAA"/>
    <w:rsid w:val="004A43B4"/>
    <w:rsid w:val="004A48FD"/>
    <w:rsid w:val="004A4FC5"/>
    <w:rsid w:val="004A4FCC"/>
    <w:rsid w:val="004A4FDB"/>
    <w:rsid w:val="004A5288"/>
    <w:rsid w:val="004A535E"/>
    <w:rsid w:val="004A5CA2"/>
    <w:rsid w:val="004A602B"/>
    <w:rsid w:val="004A62B3"/>
    <w:rsid w:val="004A6821"/>
    <w:rsid w:val="004A6883"/>
    <w:rsid w:val="004A690A"/>
    <w:rsid w:val="004A6AA2"/>
    <w:rsid w:val="004A6B64"/>
    <w:rsid w:val="004A70FC"/>
    <w:rsid w:val="004A757B"/>
    <w:rsid w:val="004A75D3"/>
    <w:rsid w:val="004A76B7"/>
    <w:rsid w:val="004A7732"/>
    <w:rsid w:val="004A79DF"/>
    <w:rsid w:val="004A7C2F"/>
    <w:rsid w:val="004A7D97"/>
    <w:rsid w:val="004A7F37"/>
    <w:rsid w:val="004B0033"/>
    <w:rsid w:val="004B0127"/>
    <w:rsid w:val="004B05EC"/>
    <w:rsid w:val="004B06BF"/>
    <w:rsid w:val="004B0787"/>
    <w:rsid w:val="004B148A"/>
    <w:rsid w:val="004B14A1"/>
    <w:rsid w:val="004B1611"/>
    <w:rsid w:val="004B193F"/>
    <w:rsid w:val="004B1F58"/>
    <w:rsid w:val="004B214C"/>
    <w:rsid w:val="004B24C3"/>
    <w:rsid w:val="004B26D9"/>
    <w:rsid w:val="004B27E3"/>
    <w:rsid w:val="004B29D6"/>
    <w:rsid w:val="004B2B0C"/>
    <w:rsid w:val="004B2C6E"/>
    <w:rsid w:val="004B2E6E"/>
    <w:rsid w:val="004B31A9"/>
    <w:rsid w:val="004B3437"/>
    <w:rsid w:val="004B352F"/>
    <w:rsid w:val="004B3828"/>
    <w:rsid w:val="004B39FF"/>
    <w:rsid w:val="004B3A6F"/>
    <w:rsid w:val="004B4158"/>
    <w:rsid w:val="004B428E"/>
    <w:rsid w:val="004B4981"/>
    <w:rsid w:val="004B4BE1"/>
    <w:rsid w:val="004B4F2B"/>
    <w:rsid w:val="004B5075"/>
    <w:rsid w:val="004B5120"/>
    <w:rsid w:val="004B5133"/>
    <w:rsid w:val="004B5261"/>
    <w:rsid w:val="004B5579"/>
    <w:rsid w:val="004B5630"/>
    <w:rsid w:val="004B5773"/>
    <w:rsid w:val="004B58D7"/>
    <w:rsid w:val="004B5AF6"/>
    <w:rsid w:val="004B5CB2"/>
    <w:rsid w:val="004B5D29"/>
    <w:rsid w:val="004B664D"/>
    <w:rsid w:val="004B6744"/>
    <w:rsid w:val="004B6776"/>
    <w:rsid w:val="004B6B94"/>
    <w:rsid w:val="004B6BDA"/>
    <w:rsid w:val="004B6C10"/>
    <w:rsid w:val="004B6C5E"/>
    <w:rsid w:val="004B6D75"/>
    <w:rsid w:val="004B6DB6"/>
    <w:rsid w:val="004B6DBD"/>
    <w:rsid w:val="004B7147"/>
    <w:rsid w:val="004B72EF"/>
    <w:rsid w:val="004B75D1"/>
    <w:rsid w:val="004B7B57"/>
    <w:rsid w:val="004C00D7"/>
    <w:rsid w:val="004C068C"/>
    <w:rsid w:val="004C1008"/>
    <w:rsid w:val="004C1022"/>
    <w:rsid w:val="004C119B"/>
    <w:rsid w:val="004C13B1"/>
    <w:rsid w:val="004C148E"/>
    <w:rsid w:val="004C172D"/>
    <w:rsid w:val="004C17B9"/>
    <w:rsid w:val="004C1969"/>
    <w:rsid w:val="004C1AFC"/>
    <w:rsid w:val="004C1D73"/>
    <w:rsid w:val="004C223F"/>
    <w:rsid w:val="004C234C"/>
    <w:rsid w:val="004C2453"/>
    <w:rsid w:val="004C284F"/>
    <w:rsid w:val="004C2902"/>
    <w:rsid w:val="004C2990"/>
    <w:rsid w:val="004C2A6E"/>
    <w:rsid w:val="004C2D69"/>
    <w:rsid w:val="004C2F3D"/>
    <w:rsid w:val="004C387F"/>
    <w:rsid w:val="004C3FC8"/>
    <w:rsid w:val="004C411F"/>
    <w:rsid w:val="004C41B6"/>
    <w:rsid w:val="004C44FB"/>
    <w:rsid w:val="004C467C"/>
    <w:rsid w:val="004C47D9"/>
    <w:rsid w:val="004C4C64"/>
    <w:rsid w:val="004C52C4"/>
    <w:rsid w:val="004C5400"/>
    <w:rsid w:val="004C5768"/>
    <w:rsid w:val="004C585D"/>
    <w:rsid w:val="004C5937"/>
    <w:rsid w:val="004C61E4"/>
    <w:rsid w:val="004C7438"/>
    <w:rsid w:val="004C749C"/>
    <w:rsid w:val="004C7697"/>
    <w:rsid w:val="004C7700"/>
    <w:rsid w:val="004C77F2"/>
    <w:rsid w:val="004C7A3F"/>
    <w:rsid w:val="004C7B31"/>
    <w:rsid w:val="004C7D45"/>
    <w:rsid w:val="004C7D56"/>
    <w:rsid w:val="004C7FDE"/>
    <w:rsid w:val="004D013A"/>
    <w:rsid w:val="004D02AB"/>
    <w:rsid w:val="004D0582"/>
    <w:rsid w:val="004D0647"/>
    <w:rsid w:val="004D086B"/>
    <w:rsid w:val="004D0B94"/>
    <w:rsid w:val="004D0D0F"/>
    <w:rsid w:val="004D0FD3"/>
    <w:rsid w:val="004D0FE1"/>
    <w:rsid w:val="004D1B1F"/>
    <w:rsid w:val="004D1BE3"/>
    <w:rsid w:val="004D1E5C"/>
    <w:rsid w:val="004D2076"/>
    <w:rsid w:val="004D21BD"/>
    <w:rsid w:val="004D23A9"/>
    <w:rsid w:val="004D255B"/>
    <w:rsid w:val="004D27AF"/>
    <w:rsid w:val="004D2946"/>
    <w:rsid w:val="004D294D"/>
    <w:rsid w:val="004D2F61"/>
    <w:rsid w:val="004D3658"/>
    <w:rsid w:val="004D36AC"/>
    <w:rsid w:val="004D3CBB"/>
    <w:rsid w:val="004D3CDD"/>
    <w:rsid w:val="004D403A"/>
    <w:rsid w:val="004D434A"/>
    <w:rsid w:val="004D4953"/>
    <w:rsid w:val="004D4B63"/>
    <w:rsid w:val="004D4D61"/>
    <w:rsid w:val="004D51A1"/>
    <w:rsid w:val="004D51C3"/>
    <w:rsid w:val="004D53D4"/>
    <w:rsid w:val="004D5717"/>
    <w:rsid w:val="004D5C6D"/>
    <w:rsid w:val="004D67D2"/>
    <w:rsid w:val="004D6A43"/>
    <w:rsid w:val="004D6DF1"/>
    <w:rsid w:val="004D6E37"/>
    <w:rsid w:val="004D6EFD"/>
    <w:rsid w:val="004D717A"/>
    <w:rsid w:val="004D71EA"/>
    <w:rsid w:val="004D7339"/>
    <w:rsid w:val="004D7521"/>
    <w:rsid w:val="004D7C1A"/>
    <w:rsid w:val="004D7CF0"/>
    <w:rsid w:val="004D7D23"/>
    <w:rsid w:val="004D7F01"/>
    <w:rsid w:val="004E00EA"/>
    <w:rsid w:val="004E02BA"/>
    <w:rsid w:val="004E02F8"/>
    <w:rsid w:val="004E04FF"/>
    <w:rsid w:val="004E0693"/>
    <w:rsid w:val="004E0BAC"/>
    <w:rsid w:val="004E0BDC"/>
    <w:rsid w:val="004E0BED"/>
    <w:rsid w:val="004E1423"/>
    <w:rsid w:val="004E153B"/>
    <w:rsid w:val="004E1B70"/>
    <w:rsid w:val="004E2369"/>
    <w:rsid w:val="004E2750"/>
    <w:rsid w:val="004E2A9D"/>
    <w:rsid w:val="004E2D2B"/>
    <w:rsid w:val="004E2E0C"/>
    <w:rsid w:val="004E307B"/>
    <w:rsid w:val="004E3105"/>
    <w:rsid w:val="004E3336"/>
    <w:rsid w:val="004E3882"/>
    <w:rsid w:val="004E3F17"/>
    <w:rsid w:val="004E41A0"/>
    <w:rsid w:val="004E41F4"/>
    <w:rsid w:val="004E425C"/>
    <w:rsid w:val="004E4333"/>
    <w:rsid w:val="004E4405"/>
    <w:rsid w:val="004E44DC"/>
    <w:rsid w:val="004E4554"/>
    <w:rsid w:val="004E47FC"/>
    <w:rsid w:val="004E498D"/>
    <w:rsid w:val="004E4B9C"/>
    <w:rsid w:val="004E4F5D"/>
    <w:rsid w:val="004E4F77"/>
    <w:rsid w:val="004E5176"/>
    <w:rsid w:val="004E530A"/>
    <w:rsid w:val="004E577C"/>
    <w:rsid w:val="004E58FB"/>
    <w:rsid w:val="004E59DA"/>
    <w:rsid w:val="004E5A4A"/>
    <w:rsid w:val="004E5AD3"/>
    <w:rsid w:val="004E5BAF"/>
    <w:rsid w:val="004E5D64"/>
    <w:rsid w:val="004E612C"/>
    <w:rsid w:val="004E63B7"/>
    <w:rsid w:val="004E64E9"/>
    <w:rsid w:val="004E6680"/>
    <w:rsid w:val="004E681F"/>
    <w:rsid w:val="004E6B14"/>
    <w:rsid w:val="004E73A5"/>
    <w:rsid w:val="004E74B0"/>
    <w:rsid w:val="004E7CA1"/>
    <w:rsid w:val="004E7D24"/>
    <w:rsid w:val="004E7D7F"/>
    <w:rsid w:val="004F003B"/>
    <w:rsid w:val="004F0056"/>
    <w:rsid w:val="004F0068"/>
    <w:rsid w:val="004F00DF"/>
    <w:rsid w:val="004F0186"/>
    <w:rsid w:val="004F070F"/>
    <w:rsid w:val="004F072A"/>
    <w:rsid w:val="004F0ADE"/>
    <w:rsid w:val="004F0F04"/>
    <w:rsid w:val="004F1047"/>
    <w:rsid w:val="004F16D4"/>
    <w:rsid w:val="004F17FF"/>
    <w:rsid w:val="004F1832"/>
    <w:rsid w:val="004F19DA"/>
    <w:rsid w:val="004F1C59"/>
    <w:rsid w:val="004F1E23"/>
    <w:rsid w:val="004F1F05"/>
    <w:rsid w:val="004F2037"/>
    <w:rsid w:val="004F21F3"/>
    <w:rsid w:val="004F27CE"/>
    <w:rsid w:val="004F2BCA"/>
    <w:rsid w:val="004F2BD5"/>
    <w:rsid w:val="004F2C1E"/>
    <w:rsid w:val="004F2CC2"/>
    <w:rsid w:val="004F2FCF"/>
    <w:rsid w:val="004F2FDE"/>
    <w:rsid w:val="004F31D0"/>
    <w:rsid w:val="004F32D2"/>
    <w:rsid w:val="004F33C4"/>
    <w:rsid w:val="004F346E"/>
    <w:rsid w:val="004F350F"/>
    <w:rsid w:val="004F36D1"/>
    <w:rsid w:val="004F3ABD"/>
    <w:rsid w:val="004F3ECD"/>
    <w:rsid w:val="004F407B"/>
    <w:rsid w:val="004F41D3"/>
    <w:rsid w:val="004F424A"/>
    <w:rsid w:val="004F42ED"/>
    <w:rsid w:val="004F43E0"/>
    <w:rsid w:val="004F4756"/>
    <w:rsid w:val="004F482E"/>
    <w:rsid w:val="004F4B00"/>
    <w:rsid w:val="004F4B92"/>
    <w:rsid w:val="004F4FCD"/>
    <w:rsid w:val="004F524C"/>
    <w:rsid w:val="004F5424"/>
    <w:rsid w:val="004F55BE"/>
    <w:rsid w:val="004F5A7F"/>
    <w:rsid w:val="004F61D6"/>
    <w:rsid w:val="004F642B"/>
    <w:rsid w:val="004F652F"/>
    <w:rsid w:val="004F658C"/>
    <w:rsid w:val="004F6A42"/>
    <w:rsid w:val="004F6B35"/>
    <w:rsid w:val="004F6D52"/>
    <w:rsid w:val="004F75AF"/>
    <w:rsid w:val="004F77DA"/>
    <w:rsid w:val="004F78AB"/>
    <w:rsid w:val="004F7C09"/>
    <w:rsid w:val="004F7FD1"/>
    <w:rsid w:val="00500005"/>
    <w:rsid w:val="005005A3"/>
    <w:rsid w:val="005005E6"/>
    <w:rsid w:val="005007EC"/>
    <w:rsid w:val="005009BC"/>
    <w:rsid w:val="00500E64"/>
    <w:rsid w:val="00500E71"/>
    <w:rsid w:val="005013DF"/>
    <w:rsid w:val="005014A8"/>
    <w:rsid w:val="00501922"/>
    <w:rsid w:val="005019DB"/>
    <w:rsid w:val="00501AAA"/>
    <w:rsid w:val="00501B6C"/>
    <w:rsid w:val="00501F94"/>
    <w:rsid w:val="00502720"/>
    <w:rsid w:val="00502766"/>
    <w:rsid w:val="00502A9D"/>
    <w:rsid w:val="00502C87"/>
    <w:rsid w:val="00503066"/>
    <w:rsid w:val="00503142"/>
    <w:rsid w:val="00503490"/>
    <w:rsid w:val="0050355F"/>
    <w:rsid w:val="0050374D"/>
    <w:rsid w:val="00503AA4"/>
    <w:rsid w:val="00503BE2"/>
    <w:rsid w:val="00503D67"/>
    <w:rsid w:val="00504432"/>
    <w:rsid w:val="00504A22"/>
    <w:rsid w:val="00504A47"/>
    <w:rsid w:val="00504D76"/>
    <w:rsid w:val="00505263"/>
    <w:rsid w:val="005054EE"/>
    <w:rsid w:val="00505654"/>
    <w:rsid w:val="005056E6"/>
    <w:rsid w:val="00505964"/>
    <w:rsid w:val="005059BD"/>
    <w:rsid w:val="00505C4F"/>
    <w:rsid w:val="00505CCF"/>
    <w:rsid w:val="00506300"/>
    <w:rsid w:val="0050638F"/>
    <w:rsid w:val="00506398"/>
    <w:rsid w:val="00506606"/>
    <w:rsid w:val="005067F0"/>
    <w:rsid w:val="00506C53"/>
    <w:rsid w:val="00506D4A"/>
    <w:rsid w:val="00506DA2"/>
    <w:rsid w:val="00506EF4"/>
    <w:rsid w:val="005072BC"/>
    <w:rsid w:val="00507368"/>
    <w:rsid w:val="005076CB"/>
    <w:rsid w:val="005077A6"/>
    <w:rsid w:val="00507991"/>
    <w:rsid w:val="00507C50"/>
    <w:rsid w:val="00507CD8"/>
    <w:rsid w:val="00507D58"/>
    <w:rsid w:val="00507D5C"/>
    <w:rsid w:val="0051028C"/>
    <w:rsid w:val="00510860"/>
    <w:rsid w:val="005108B7"/>
    <w:rsid w:val="00510AA3"/>
    <w:rsid w:val="00510B59"/>
    <w:rsid w:val="00510EF1"/>
    <w:rsid w:val="00511059"/>
    <w:rsid w:val="005110D7"/>
    <w:rsid w:val="00511392"/>
    <w:rsid w:val="0051139F"/>
    <w:rsid w:val="005113B0"/>
    <w:rsid w:val="005114DB"/>
    <w:rsid w:val="005115A4"/>
    <w:rsid w:val="00511A69"/>
    <w:rsid w:val="00511B56"/>
    <w:rsid w:val="00511E61"/>
    <w:rsid w:val="00512151"/>
    <w:rsid w:val="0051221D"/>
    <w:rsid w:val="0051235F"/>
    <w:rsid w:val="005127EA"/>
    <w:rsid w:val="00512960"/>
    <w:rsid w:val="00512AB6"/>
    <w:rsid w:val="00512BAC"/>
    <w:rsid w:val="0051317C"/>
    <w:rsid w:val="0051381D"/>
    <w:rsid w:val="00513A14"/>
    <w:rsid w:val="00513B18"/>
    <w:rsid w:val="00513BC0"/>
    <w:rsid w:val="00513BE4"/>
    <w:rsid w:val="005141EC"/>
    <w:rsid w:val="005143F8"/>
    <w:rsid w:val="00514435"/>
    <w:rsid w:val="0051458E"/>
    <w:rsid w:val="0051465E"/>
    <w:rsid w:val="005149F2"/>
    <w:rsid w:val="00514DE2"/>
    <w:rsid w:val="00514F57"/>
    <w:rsid w:val="00515220"/>
    <w:rsid w:val="00515347"/>
    <w:rsid w:val="005153CD"/>
    <w:rsid w:val="00515909"/>
    <w:rsid w:val="0051595D"/>
    <w:rsid w:val="00515989"/>
    <w:rsid w:val="00515AD0"/>
    <w:rsid w:val="0051670F"/>
    <w:rsid w:val="00516785"/>
    <w:rsid w:val="00516B82"/>
    <w:rsid w:val="00516D06"/>
    <w:rsid w:val="00517875"/>
    <w:rsid w:val="00517B95"/>
    <w:rsid w:val="00520713"/>
    <w:rsid w:val="005207F0"/>
    <w:rsid w:val="00520E40"/>
    <w:rsid w:val="00520E4A"/>
    <w:rsid w:val="00520E70"/>
    <w:rsid w:val="00521000"/>
    <w:rsid w:val="005211CB"/>
    <w:rsid w:val="00521515"/>
    <w:rsid w:val="00521771"/>
    <w:rsid w:val="00521866"/>
    <w:rsid w:val="005218DA"/>
    <w:rsid w:val="00521AF3"/>
    <w:rsid w:val="00521BA1"/>
    <w:rsid w:val="005220F3"/>
    <w:rsid w:val="005222E9"/>
    <w:rsid w:val="0052267B"/>
    <w:rsid w:val="005227AC"/>
    <w:rsid w:val="005227B5"/>
    <w:rsid w:val="00522EC9"/>
    <w:rsid w:val="005232CC"/>
    <w:rsid w:val="00523349"/>
    <w:rsid w:val="005234D5"/>
    <w:rsid w:val="00523F62"/>
    <w:rsid w:val="0052419D"/>
    <w:rsid w:val="005241BD"/>
    <w:rsid w:val="005243D3"/>
    <w:rsid w:val="00524D77"/>
    <w:rsid w:val="00524F38"/>
    <w:rsid w:val="005252AF"/>
    <w:rsid w:val="00525632"/>
    <w:rsid w:val="00525705"/>
    <w:rsid w:val="005258F3"/>
    <w:rsid w:val="005259BF"/>
    <w:rsid w:val="00525A90"/>
    <w:rsid w:val="00525B0B"/>
    <w:rsid w:val="00525E23"/>
    <w:rsid w:val="00525E86"/>
    <w:rsid w:val="00525E98"/>
    <w:rsid w:val="00525FE0"/>
    <w:rsid w:val="00526251"/>
    <w:rsid w:val="0052673B"/>
    <w:rsid w:val="00526890"/>
    <w:rsid w:val="00526912"/>
    <w:rsid w:val="00526B4F"/>
    <w:rsid w:val="00526BD4"/>
    <w:rsid w:val="00526F53"/>
    <w:rsid w:val="00527042"/>
    <w:rsid w:val="005270B0"/>
    <w:rsid w:val="005270F2"/>
    <w:rsid w:val="00527291"/>
    <w:rsid w:val="0052758E"/>
    <w:rsid w:val="005275F0"/>
    <w:rsid w:val="005277A6"/>
    <w:rsid w:val="005277E1"/>
    <w:rsid w:val="00527A5A"/>
    <w:rsid w:val="00527E71"/>
    <w:rsid w:val="005300D3"/>
    <w:rsid w:val="00530123"/>
    <w:rsid w:val="005301F8"/>
    <w:rsid w:val="00530368"/>
    <w:rsid w:val="00530474"/>
    <w:rsid w:val="0053053B"/>
    <w:rsid w:val="005305BC"/>
    <w:rsid w:val="00530ED8"/>
    <w:rsid w:val="00530FAF"/>
    <w:rsid w:val="00531034"/>
    <w:rsid w:val="0053103C"/>
    <w:rsid w:val="005312FC"/>
    <w:rsid w:val="00531419"/>
    <w:rsid w:val="00531475"/>
    <w:rsid w:val="00531553"/>
    <w:rsid w:val="00531A19"/>
    <w:rsid w:val="00531B2C"/>
    <w:rsid w:val="00531C1B"/>
    <w:rsid w:val="005326EE"/>
    <w:rsid w:val="005328D3"/>
    <w:rsid w:val="00532C6D"/>
    <w:rsid w:val="00532EA8"/>
    <w:rsid w:val="005331C3"/>
    <w:rsid w:val="00533445"/>
    <w:rsid w:val="005338BA"/>
    <w:rsid w:val="005338D1"/>
    <w:rsid w:val="00533B5D"/>
    <w:rsid w:val="00533B66"/>
    <w:rsid w:val="00533E7E"/>
    <w:rsid w:val="005342F5"/>
    <w:rsid w:val="00534478"/>
    <w:rsid w:val="00534835"/>
    <w:rsid w:val="00534951"/>
    <w:rsid w:val="00534B96"/>
    <w:rsid w:val="00534CEB"/>
    <w:rsid w:val="00534ED5"/>
    <w:rsid w:val="00534F12"/>
    <w:rsid w:val="0053535C"/>
    <w:rsid w:val="005353E2"/>
    <w:rsid w:val="005354D5"/>
    <w:rsid w:val="0053556D"/>
    <w:rsid w:val="005355F3"/>
    <w:rsid w:val="0053569E"/>
    <w:rsid w:val="00535B01"/>
    <w:rsid w:val="00535EB2"/>
    <w:rsid w:val="0053603D"/>
    <w:rsid w:val="005367D9"/>
    <w:rsid w:val="005369B6"/>
    <w:rsid w:val="00536A1B"/>
    <w:rsid w:val="00536C41"/>
    <w:rsid w:val="00536CCA"/>
    <w:rsid w:val="00536DF0"/>
    <w:rsid w:val="00536E0A"/>
    <w:rsid w:val="00536E4B"/>
    <w:rsid w:val="00536F33"/>
    <w:rsid w:val="005372E8"/>
    <w:rsid w:val="0053742A"/>
    <w:rsid w:val="005374B7"/>
    <w:rsid w:val="00537748"/>
    <w:rsid w:val="005377F9"/>
    <w:rsid w:val="00537917"/>
    <w:rsid w:val="00537A09"/>
    <w:rsid w:val="00537BA5"/>
    <w:rsid w:val="00537C85"/>
    <w:rsid w:val="00537E2C"/>
    <w:rsid w:val="005403DB"/>
    <w:rsid w:val="00540810"/>
    <w:rsid w:val="00540AFE"/>
    <w:rsid w:val="00540C98"/>
    <w:rsid w:val="00540EF8"/>
    <w:rsid w:val="00540F6B"/>
    <w:rsid w:val="005410AC"/>
    <w:rsid w:val="00541660"/>
    <w:rsid w:val="00541860"/>
    <w:rsid w:val="00541862"/>
    <w:rsid w:val="00541B27"/>
    <w:rsid w:val="00541D29"/>
    <w:rsid w:val="00541EE5"/>
    <w:rsid w:val="005420A1"/>
    <w:rsid w:val="005420F3"/>
    <w:rsid w:val="0054222E"/>
    <w:rsid w:val="0054268B"/>
    <w:rsid w:val="00542B8D"/>
    <w:rsid w:val="00542C1D"/>
    <w:rsid w:val="00542D85"/>
    <w:rsid w:val="00542E1F"/>
    <w:rsid w:val="00542E43"/>
    <w:rsid w:val="00542FDE"/>
    <w:rsid w:val="00543076"/>
    <w:rsid w:val="005431AC"/>
    <w:rsid w:val="0054335D"/>
    <w:rsid w:val="005433F6"/>
    <w:rsid w:val="00543512"/>
    <w:rsid w:val="005437CE"/>
    <w:rsid w:val="00543825"/>
    <w:rsid w:val="00543863"/>
    <w:rsid w:val="005438D2"/>
    <w:rsid w:val="00543943"/>
    <w:rsid w:val="00543AE9"/>
    <w:rsid w:val="00543D7B"/>
    <w:rsid w:val="00543F23"/>
    <w:rsid w:val="00544329"/>
    <w:rsid w:val="00544389"/>
    <w:rsid w:val="0054491C"/>
    <w:rsid w:val="00544DB2"/>
    <w:rsid w:val="00544DCF"/>
    <w:rsid w:val="00544E84"/>
    <w:rsid w:val="00545040"/>
    <w:rsid w:val="0054520E"/>
    <w:rsid w:val="005453E1"/>
    <w:rsid w:val="0054549F"/>
    <w:rsid w:val="00545BEA"/>
    <w:rsid w:val="00545ED2"/>
    <w:rsid w:val="00545EED"/>
    <w:rsid w:val="00546677"/>
    <w:rsid w:val="005467C9"/>
    <w:rsid w:val="00546B91"/>
    <w:rsid w:val="00546D25"/>
    <w:rsid w:val="005473B0"/>
    <w:rsid w:val="005474EE"/>
    <w:rsid w:val="005478DF"/>
    <w:rsid w:val="005478F8"/>
    <w:rsid w:val="00547923"/>
    <w:rsid w:val="0054796A"/>
    <w:rsid w:val="00547DBE"/>
    <w:rsid w:val="005501F3"/>
    <w:rsid w:val="0055031C"/>
    <w:rsid w:val="00550449"/>
    <w:rsid w:val="00550784"/>
    <w:rsid w:val="0055084A"/>
    <w:rsid w:val="00550A84"/>
    <w:rsid w:val="00550B39"/>
    <w:rsid w:val="00550E87"/>
    <w:rsid w:val="005510DE"/>
    <w:rsid w:val="005510F0"/>
    <w:rsid w:val="005511EF"/>
    <w:rsid w:val="0055170A"/>
    <w:rsid w:val="00551A0F"/>
    <w:rsid w:val="00551A6B"/>
    <w:rsid w:val="00551A80"/>
    <w:rsid w:val="00551E4A"/>
    <w:rsid w:val="005520CB"/>
    <w:rsid w:val="00552252"/>
    <w:rsid w:val="00552288"/>
    <w:rsid w:val="005528BD"/>
    <w:rsid w:val="00552A98"/>
    <w:rsid w:val="00552E48"/>
    <w:rsid w:val="00552F79"/>
    <w:rsid w:val="00552FA5"/>
    <w:rsid w:val="005530B2"/>
    <w:rsid w:val="0055326D"/>
    <w:rsid w:val="00553339"/>
    <w:rsid w:val="0055340C"/>
    <w:rsid w:val="005534BF"/>
    <w:rsid w:val="00553534"/>
    <w:rsid w:val="00553871"/>
    <w:rsid w:val="005538FC"/>
    <w:rsid w:val="00553DE4"/>
    <w:rsid w:val="00554047"/>
    <w:rsid w:val="005544CF"/>
    <w:rsid w:val="005546D3"/>
    <w:rsid w:val="005549CB"/>
    <w:rsid w:val="00555E6F"/>
    <w:rsid w:val="00555FF5"/>
    <w:rsid w:val="00556121"/>
    <w:rsid w:val="005562FC"/>
    <w:rsid w:val="005563A4"/>
    <w:rsid w:val="00556426"/>
    <w:rsid w:val="00556494"/>
    <w:rsid w:val="00556B5E"/>
    <w:rsid w:val="00556DC9"/>
    <w:rsid w:val="00556DE3"/>
    <w:rsid w:val="005579A0"/>
    <w:rsid w:val="00557ACD"/>
    <w:rsid w:val="0056004F"/>
    <w:rsid w:val="00560147"/>
    <w:rsid w:val="005603A6"/>
    <w:rsid w:val="005606BF"/>
    <w:rsid w:val="005606F3"/>
    <w:rsid w:val="00560811"/>
    <w:rsid w:val="00560C70"/>
    <w:rsid w:val="00560F5B"/>
    <w:rsid w:val="00561095"/>
    <w:rsid w:val="0056146F"/>
    <w:rsid w:val="00561614"/>
    <w:rsid w:val="0056163A"/>
    <w:rsid w:val="005617DF"/>
    <w:rsid w:val="0056181B"/>
    <w:rsid w:val="00561E9C"/>
    <w:rsid w:val="00562360"/>
    <w:rsid w:val="0056244C"/>
    <w:rsid w:val="00562752"/>
    <w:rsid w:val="00562F17"/>
    <w:rsid w:val="0056340D"/>
    <w:rsid w:val="00563726"/>
    <w:rsid w:val="00563807"/>
    <w:rsid w:val="00563A07"/>
    <w:rsid w:val="00563EA8"/>
    <w:rsid w:val="00563EBA"/>
    <w:rsid w:val="00564131"/>
    <w:rsid w:val="00564269"/>
    <w:rsid w:val="00564430"/>
    <w:rsid w:val="00564733"/>
    <w:rsid w:val="00564EE0"/>
    <w:rsid w:val="00564FFE"/>
    <w:rsid w:val="00565127"/>
    <w:rsid w:val="005656F2"/>
    <w:rsid w:val="005657D5"/>
    <w:rsid w:val="0056582C"/>
    <w:rsid w:val="005658B1"/>
    <w:rsid w:val="00565AC3"/>
    <w:rsid w:val="00565BB1"/>
    <w:rsid w:val="00565E36"/>
    <w:rsid w:val="00565E3D"/>
    <w:rsid w:val="00565F46"/>
    <w:rsid w:val="00566010"/>
    <w:rsid w:val="00566130"/>
    <w:rsid w:val="00566283"/>
    <w:rsid w:val="00566438"/>
    <w:rsid w:val="005665C8"/>
    <w:rsid w:val="00566663"/>
    <w:rsid w:val="005666BF"/>
    <w:rsid w:val="00566EF2"/>
    <w:rsid w:val="00567186"/>
    <w:rsid w:val="00567487"/>
    <w:rsid w:val="0056748E"/>
    <w:rsid w:val="00567576"/>
    <w:rsid w:val="00567964"/>
    <w:rsid w:val="00567D44"/>
    <w:rsid w:val="00567F3B"/>
    <w:rsid w:val="00567F69"/>
    <w:rsid w:val="00570096"/>
    <w:rsid w:val="0057079D"/>
    <w:rsid w:val="0057084D"/>
    <w:rsid w:val="00570907"/>
    <w:rsid w:val="00570957"/>
    <w:rsid w:val="00570ACF"/>
    <w:rsid w:val="00570F9F"/>
    <w:rsid w:val="00571076"/>
    <w:rsid w:val="005712AE"/>
    <w:rsid w:val="005716AB"/>
    <w:rsid w:val="005718EF"/>
    <w:rsid w:val="00571C6A"/>
    <w:rsid w:val="00571CC6"/>
    <w:rsid w:val="00571D1C"/>
    <w:rsid w:val="0057200E"/>
    <w:rsid w:val="005721B6"/>
    <w:rsid w:val="005722F1"/>
    <w:rsid w:val="005725D2"/>
    <w:rsid w:val="00572757"/>
    <w:rsid w:val="005727B2"/>
    <w:rsid w:val="0057290B"/>
    <w:rsid w:val="00572B9B"/>
    <w:rsid w:val="00573021"/>
    <w:rsid w:val="005733F5"/>
    <w:rsid w:val="0057385E"/>
    <w:rsid w:val="00573FBB"/>
    <w:rsid w:val="0057405A"/>
    <w:rsid w:val="00574305"/>
    <w:rsid w:val="00574669"/>
    <w:rsid w:val="005749C7"/>
    <w:rsid w:val="00574B4F"/>
    <w:rsid w:val="00574D07"/>
    <w:rsid w:val="00575541"/>
    <w:rsid w:val="00575633"/>
    <w:rsid w:val="005759B9"/>
    <w:rsid w:val="00576085"/>
    <w:rsid w:val="00576350"/>
    <w:rsid w:val="005763FF"/>
    <w:rsid w:val="005764EA"/>
    <w:rsid w:val="00576631"/>
    <w:rsid w:val="00576767"/>
    <w:rsid w:val="00576C0B"/>
    <w:rsid w:val="005776B2"/>
    <w:rsid w:val="00577967"/>
    <w:rsid w:val="00577DCA"/>
    <w:rsid w:val="00577F19"/>
    <w:rsid w:val="005801EA"/>
    <w:rsid w:val="0058023C"/>
    <w:rsid w:val="00580561"/>
    <w:rsid w:val="005809B7"/>
    <w:rsid w:val="00580F55"/>
    <w:rsid w:val="00580FAC"/>
    <w:rsid w:val="00581115"/>
    <w:rsid w:val="00581214"/>
    <w:rsid w:val="005816A0"/>
    <w:rsid w:val="0058176E"/>
    <w:rsid w:val="00581929"/>
    <w:rsid w:val="00581A42"/>
    <w:rsid w:val="00581E3C"/>
    <w:rsid w:val="00581EFB"/>
    <w:rsid w:val="00581F10"/>
    <w:rsid w:val="0058231C"/>
    <w:rsid w:val="005824BB"/>
    <w:rsid w:val="00582537"/>
    <w:rsid w:val="0058273A"/>
    <w:rsid w:val="005827CA"/>
    <w:rsid w:val="00582838"/>
    <w:rsid w:val="005828F5"/>
    <w:rsid w:val="00582DDB"/>
    <w:rsid w:val="005830A3"/>
    <w:rsid w:val="00583266"/>
    <w:rsid w:val="00583522"/>
    <w:rsid w:val="00583717"/>
    <w:rsid w:val="005837F8"/>
    <w:rsid w:val="0058383E"/>
    <w:rsid w:val="0058384B"/>
    <w:rsid w:val="00583B1D"/>
    <w:rsid w:val="00584222"/>
    <w:rsid w:val="00584D97"/>
    <w:rsid w:val="00584DE5"/>
    <w:rsid w:val="0058501F"/>
    <w:rsid w:val="0058525E"/>
    <w:rsid w:val="0058546D"/>
    <w:rsid w:val="00585554"/>
    <w:rsid w:val="005859A1"/>
    <w:rsid w:val="00585EAE"/>
    <w:rsid w:val="00585FA9"/>
    <w:rsid w:val="0058609F"/>
    <w:rsid w:val="005861D6"/>
    <w:rsid w:val="0058629E"/>
    <w:rsid w:val="00586605"/>
    <w:rsid w:val="00586647"/>
    <w:rsid w:val="005868DE"/>
    <w:rsid w:val="005869AB"/>
    <w:rsid w:val="00586DE6"/>
    <w:rsid w:val="00586DFC"/>
    <w:rsid w:val="00586E07"/>
    <w:rsid w:val="00586F01"/>
    <w:rsid w:val="00586FE0"/>
    <w:rsid w:val="00587142"/>
    <w:rsid w:val="00587153"/>
    <w:rsid w:val="005877AC"/>
    <w:rsid w:val="00587A11"/>
    <w:rsid w:val="00587A87"/>
    <w:rsid w:val="00587CFA"/>
    <w:rsid w:val="00587D44"/>
    <w:rsid w:val="00587E76"/>
    <w:rsid w:val="00587F44"/>
    <w:rsid w:val="0059006C"/>
    <w:rsid w:val="005901D0"/>
    <w:rsid w:val="0059057F"/>
    <w:rsid w:val="00590DF5"/>
    <w:rsid w:val="00590EB1"/>
    <w:rsid w:val="00590FB5"/>
    <w:rsid w:val="00590FE4"/>
    <w:rsid w:val="0059150C"/>
    <w:rsid w:val="00591CA5"/>
    <w:rsid w:val="00591CD7"/>
    <w:rsid w:val="00592E0C"/>
    <w:rsid w:val="00593148"/>
    <w:rsid w:val="005931FA"/>
    <w:rsid w:val="00593452"/>
    <w:rsid w:val="00593489"/>
    <w:rsid w:val="0059383E"/>
    <w:rsid w:val="00593995"/>
    <w:rsid w:val="00593BBB"/>
    <w:rsid w:val="00593F76"/>
    <w:rsid w:val="00593FD9"/>
    <w:rsid w:val="00593FDA"/>
    <w:rsid w:val="00594038"/>
    <w:rsid w:val="00594138"/>
    <w:rsid w:val="005948AF"/>
    <w:rsid w:val="00594940"/>
    <w:rsid w:val="005949F8"/>
    <w:rsid w:val="00594AC5"/>
    <w:rsid w:val="00594C95"/>
    <w:rsid w:val="00594DBF"/>
    <w:rsid w:val="00594ED0"/>
    <w:rsid w:val="00594FE0"/>
    <w:rsid w:val="00595038"/>
    <w:rsid w:val="0059515B"/>
    <w:rsid w:val="005956F7"/>
    <w:rsid w:val="0059579A"/>
    <w:rsid w:val="00595A63"/>
    <w:rsid w:val="00595B2D"/>
    <w:rsid w:val="00595B7F"/>
    <w:rsid w:val="005960B7"/>
    <w:rsid w:val="005961E9"/>
    <w:rsid w:val="0059650C"/>
    <w:rsid w:val="005966B7"/>
    <w:rsid w:val="00596795"/>
    <w:rsid w:val="00596904"/>
    <w:rsid w:val="00596B05"/>
    <w:rsid w:val="00596BE3"/>
    <w:rsid w:val="00596DE0"/>
    <w:rsid w:val="00596F65"/>
    <w:rsid w:val="005971A4"/>
    <w:rsid w:val="005974AE"/>
    <w:rsid w:val="00597B3D"/>
    <w:rsid w:val="005A01BE"/>
    <w:rsid w:val="005A031D"/>
    <w:rsid w:val="005A05A4"/>
    <w:rsid w:val="005A064D"/>
    <w:rsid w:val="005A08F3"/>
    <w:rsid w:val="005A0F08"/>
    <w:rsid w:val="005A0F40"/>
    <w:rsid w:val="005A10E0"/>
    <w:rsid w:val="005A13FE"/>
    <w:rsid w:val="005A183F"/>
    <w:rsid w:val="005A19AF"/>
    <w:rsid w:val="005A1BE2"/>
    <w:rsid w:val="005A233A"/>
    <w:rsid w:val="005A2395"/>
    <w:rsid w:val="005A2519"/>
    <w:rsid w:val="005A2520"/>
    <w:rsid w:val="005A25C0"/>
    <w:rsid w:val="005A2CD1"/>
    <w:rsid w:val="005A2CDF"/>
    <w:rsid w:val="005A35EC"/>
    <w:rsid w:val="005A367A"/>
    <w:rsid w:val="005A3C85"/>
    <w:rsid w:val="005A3C90"/>
    <w:rsid w:val="005A422C"/>
    <w:rsid w:val="005A4A71"/>
    <w:rsid w:val="005A4F78"/>
    <w:rsid w:val="005A534F"/>
    <w:rsid w:val="005A540B"/>
    <w:rsid w:val="005A5491"/>
    <w:rsid w:val="005A54E3"/>
    <w:rsid w:val="005A552B"/>
    <w:rsid w:val="005A5551"/>
    <w:rsid w:val="005A5843"/>
    <w:rsid w:val="005A5873"/>
    <w:rsid w:val="005A5957"/>
    <w:rsid w:val="005A5A6F"/>
    <w:rsid w:val="005A5DAA"/>
    <w:rsid w:val="005A5F2F"/>
    <w:rsid w:val="005A61E5"/>
    <w:rsid w:val="005A63F7"/>
    <w:rsid w:val="005A6B50"/>
    <w:rsid w:val="005A6C51"/>
    <w:rsid w:val="005A6C7B"/>
    <w:rsid w:val="005A6D19"/>
    <w:rsid w:val="005A6E97"/>
    <w:rsid w:val="005A6F79"/>
    <w:rsid w:val="005A73C8"/>
    <w:rsid w:val="005A762C"/>
    <w:rsid w:val="005A78D3"/>
    <w:rsid w:val="005A7B0E"/>
    <w:rsid w:val="005A7BFC"/>
    <w:rsid w:val="005A7D43"/>
    <w:rsid w:val="005A7E5D"/>
    <w:rsid w:val="005A7EAE"/>
    <w:rsid w:val="005A7FC7"/>
    <w:rsid w:val="005B028D"/>
    <w:rsid w:val="005B04A0"/>
    <w:rsid w:val="005B0BB0"/>
    <w:rsid w:val="005B0F3C"/>
    <w:rsid w:val="005B10FF"/>
    <w:rsid w:val="005B14BB"/>
    <w:rsid w:val="005B1A14"/>
    <w:rsid w:val="005B1A88"/>
    <w:rsid w:val="005B1B48"/>
    <w:rsid w:val="005B1E1B"/>
    <w:rsid w:val="005B263F"/>
    <w:rsid w:val="005B27B3"/>
    <w:rsid w:val="005B27EE"/>
    <w:rsid w:val="005B2DB1"/>
    <w:rsid w:val="005B30B1"/>
    <w:rsid w:val="005B316F"/>
    <w:rsid w:val="005B3811"/>
    <w:rsid w:val="005B3A2C"/>
    <w:rsid w:val="005B403B"/>
    <w:rsid w:val="005B42A3"/>
    <w:rsid w:val="005B47F5"/>
    <w:rsid w:val="005B4ADE"/>
    <w:rsid w:val="005B4D74"/>
    <w:rsid w:val="005B4D8F"/>
    <w:rsid w:val="005B4F1C"/>
    <w:rsid w:val="005B4FD7"/>
    <w:rsid w:val="005B4FE0"/>
    <w:rsid w:val="005B517F"/>
    <w:rsid w:val="005B51B5"/>
    <w:rsid w:val="005B51D8"/>
    <w:rsid w:val="005B51DB"/>
    <w:rsid w:val="005B52E5"/>
    <w:rsid w:val="005B536A"/>
    <w:rsid w:val="005B53D0"/>
    <w:rsid w:val="005B59FC"/>
    <w:rsid w:val="005B5AC7"/>
    <w:rsid w:val="005B5C3D"/>
    <w:rsid w:val="005B5E2A"/>
    <w:rsid w:val="005B6322"/>
    <w:rsid w:val="005B6A00"/>
    <w:rsid w:val="005B6A35"/>
    <w:rsid w:val="005B6A69"/>
    <w:rsid w:val="005B6FB4"/>
    <w:rsid w:val="005B74AA"/>
    <w:rsid w:val="005B7554"/>
    <w:rsid w:val="005B77D1"/>
    <w:rsid w:val="005B7AFC"/>
    <w:rsid w:val="005B7B9D"/>
    <w:rsid w:val="005B7C0A"/>
    <w:rsid w:val="005B7CCC"/>
    <w:rsid w:val="005B7D10"/>
    <w:rsid w:val="005C003F"/>
    <w:rsid w:val="005C01D4"/>
    <w:rsid w:val="005C02A4"/>
    <w:rsid w:val="005C02AF"/>
    <w:rsid w:val="005C03C3"/>
    <w:rsid w:val="005C048E"/>
    <w:rsid w:val="005C0AA5"/>
    <w:rsid w:val="005C0ACC"/>
    <w:rsid w:val="005C0EFC"/>
    <w:rsid w:val="005C0F5C"/>
    <w:rsid w:val="005C1222"/>
    <w:rsid w:val="005C1255"/>
    <w:rsid w:val="005C125C"/>
    <w:rsid w:val="005C14E4"/>
    <w:rsid w:val="005C17D7"/>
    <w:rsid w:val="005C19D1"/>
    <w:rsid w:val="005C1A3E"/>
    <w:rsid w:val="005C1A47"/>
    <w:rsid w:val="005C1C63"/>
    <w:rsid w:val="005C20C4"/>
    <w:rsid w:val="005C20D2"/>
    <w:rsid w:val="005C22DE"/>
    <w:rsid w:val="005C22FD"/>
    <w:rsid w:val="005C2480"/>
    <w:rsid w:val="005C24C9"/>
    <w:rsid w:val="005C25B0"/>
    <w:rsid w:val="005C2C80"/>
    <w:rsid w:val="005C2DBC"/>
    <w:rsid w:val="005C2F59"/>
    <w:rsid w:val="005C318C"/>
    <w:rsid w:val="005C3283"/>
    <w:rsid w:val="005C32FE"/>
    <w:rsid w:val="005C3431"/>
    <w:rsid w:val="005C37A5"/>
    <w:rsid w:val="005C3914"/>
    <w:rsid w:val="005C3978"/>
    <w:rsid w:val="005C39A6"/>
    <w:rsid w:val="005C3A43"/>
    <w:rsid w:val="005C3FC8"/>
    <w:rsid w:val="005C436E"/>
    <w:rsid w:val="005C4637"/>
    <w:rsid w:val="005C4685"/>
    <w:rsid w:val="005C4758"/>
    <w:rsid w:val="005C47EC"/>
    <w:rsid w:val="005C4896"/>
    <w:rsid w:val="005C4A14"/>
    <w:rsid w:val="005C4D32"/>
    <w:rsid w:val="005C4E05"/>
    <w:rsid w:val="005C4E2C"/>
    <w:rsid w:val="005C4EC9"/>
    <w:rsid w:val="005C4F07"/>
    <w:rsid w:val="005C4F09"/>
    <w:rsid w:val="005C503A"/>
    <w:rsid w:val="005C507F"/>
    <w:rsid w:val="005C510A"/>
    <w:rsid w:val="005C52F6"/>
    <w:rsid w:val="005C5501"/>
    <w:rsid w:val="005C560A"/>
    <w:rsid w:val="005C5742"/>
    <w:rsid w:val="005C6136"/>
    <w:rsid w:val="005C67D4"/>
    <w:rsid w:val="005C68F9"/>
    <w:rsid w:val="005C6E76"/>
    <w:rsid w:val="005C6F40"/>
    <w:rsid w:val="005C723F"/>
    <w:rsid w:val="005C7496"/>
    <w:rsid w:val="005C7C92"/>
    <w:rsid w:val="005D0176"/>
    <w:rsid w:val="005D024A"/>
    <w:rsid w:val="005D046B"/>
    <w:rsid w:val="005D0A0C"/>
    <w:rsid w:val="005D0A9F"/>
    <w:rsid w:val="005D0F24"/>
    <w:rsid w:val="005D1762"/>
    <w:rsid w:val="005D1A2F"/>
    <w:rsid w:val="005D1BDC"/>
    <w:rsid w:val="005D1E12"/>
    <w:rsid w:val="005D21DC"/>
    <w:rsid w:val="005D22BB"/>
    <w:rsid w:val="005D22F6"/>
    <w:rsid w:val="005D29D0"/>
    <w:rsid w:val="005D29FE"/>
    <w:rsid w:val="005D2B0A"/>
    <w:rsid w:val="005D2F65"/>
    <w:rsid w:val="005D3014"/>
    <w:rsid w:val="005D3331"/>
    <w:rsid w:val="005D334D"/>
    <w:rsid w:val="005D3478"/>
    <w:rsid w:val="005D35FC"/>
    <w:rsid w:val="005D36E2"/>
    <w:rsid w:val="005D38B0"/>
    <w:rsid w:val="005D3948"/>
    <w:rsid w:val="005D3BB2"/>
    <w:rsid w:val="005D3C5C"/>
    <w:rsid w:val="005D3CCA"/>
    <w:rsid w:val="005D3D2F"/>
    <w:rsid w:val="005D4A13"/>
    <w:rsid w:val="005D4E47"/>
    <w:rsid w:val="005D4FD1"/>
    <w:rsid w:val="005D4FD4"/>
    <w:rsid w:val="005D50EA"/>
    <w:rsid w:val="005D5271"/>
    <w:rsid w:val="005D5661"/>
    <w:rsid w:val="005D566A"/>
    <w:rsid w:val="005D5789"/>
    <w:rsid w:val="005D59A7"/>
    <w:rsid w:val="005D59AA"/>
    <w:rsid w:val="005D5DA6"/>
    <w:rsid w:val="005D6122"/>
    <w:rsid w:val="005D6951"/>
    <w:rsid w:val="005D6D64"/>
    <w:rsid w:val="005D6ED7"/>
    <w:rsid w:val="005D73BA"/>
    <w:rsid w:val="005D7B0C"/>
    <w:rsid w:val="005D7C06"/>
    <w:rsid w:val="005D7CA0"/>
    <w:rsid w:val="005E0096"/>
    <w:rsid w:val="005E0135"/>
    <w:rsid w:val="005E0506"/>
    <w:rsid w:val="005E07F4"/>
    <w:rsid w:val="005E08F8"/>
    <w:rsid w:val="005E0907"/>
    <w:rsid w:val="005E0D83"/>
    <w:rsid w:val="005E0FBC"/>
    <w:rsid w:val="005E126B"/>
    <w:rsid w:val="005E1308"/>
    <w:rsid w:val="005E14B0"/>
    <w:rsid w:val="005E17FA"/>
    <w:rsid w:val="005E1901"/>
    <w:rsid w:val="005E1980"/>
    <w:rsid w:val="005E1A22"/>
    <w:rsid w:val="005E1C4C"/>
    <w:rsid w:val="005E1F17"/>
    <w:rsid w:val="005E1FF5"/>
    <w:rsid w:val="005E202D"/>
    <w:rsid w:val="005E21C3"/>
    <w:rsid w:val="005E22E5"/>
    <w:rsid w:val="005E26AB"/>
    <w:rsid w:val="005E289C"/>
    <w:rsid w:val="005E29DE"/>
    <w:rsid w:val="005E2E06"/>
    <w:rsid w:val="005E2F51"/>
    <w:rsid w:val="005E2FD3"/>
    <w:rsid w:val="005E30D1"/>
    <w:rsid w:val="005E3489"/>
    <w:rsid w:val="005E34D3"/>
    <w:rsid w:val="005E3933"/>
    <w:rsid w:val="005E3CF1"/>
    <w:rsid w:val="005E3F5B"/>
    <w:rsid w:val="005E4030"/>
    <w:rsid w:val="005E40B2"/>
    <w:rsid w:val="005E4781"/>
    <w:rsid w:val="005E47B6"/>
    <w:rsid w:val="005E4F9B"/>
    <w:rsid w:val="005E52A2"/>
    <w:rsid w:val="005E5565"/>
    <w:rsid w:val="005E593E"/>
    <w:rsid w:val="005E5A4A"/>
    <w:rsid w:val="005E5DF2"/>
    <w:rsid w:val="005E5E33"/>
    <w:rsid w:val="005E627F"/>
    <w:rsid w:val="005E65AF"/>
    <w:rsid w:val="005E6863"/>
    <w:rsid w:val="005E68DE"/>
    <w:rsid w:val="005E6BFF"/>
    <w:rsid w:val="005E7009"/>
    <w:rsid w:val="005E731B"/>
    <w:rsid w:val="005E7360"/>
    <w:rsid w:val="005E74CA"/>
    <w:rsid w:val="005E75CF"/>
    <w:rsid w:val="005E7983"/>
    <w:rsid w:val="005E7AF4"/>
    <w:rsid w:val="005E7D7A"/>
    <w:rsid w:val="005E7FE0"/>
    <w:rsid w:val="005F0084"/>
    <w:rsid w:val="005F00BA"/>
    <w:rsid w:val="005F01F4"/>
    <w:rsid w:val="005F02FD"/>
    <w:rsid w:val="005F0374"/>
    <w:rsid w:val="005F0440"/>
    <w:rsid w:val="005F0A1C"/>
    <w:rsid w:val="005F0C73"/>
    <w:rsid w:val="005F0DCB"/>
    <w:rsid w:val="005F0E84"/>
    <w:rsid w:val="005F0ED1"/>
    <w:rsid w:val="005F1040"/>
    <w:rsid w:val="005F1280"/>
    <w:rsid w:val="005F148A"/>
    <w:rsid w:val="005F173E"/>
    <w:rsid w:val="005F2720"/>
    <w:rsid w:val="005F2950"/>
    <w:rsid w:val="005F31EF"/>
    <w:rsid w:val="005F3213"/>
    <w:rsid w:val="005F3293"/>
    <w:rsid w:val="005F3416"/>
    <w:rsid w:val="005F3BB4"/>
    <w:rsid w:val="005F3D7A"/>
    <w:rsid w:val="005F3DBE"/>
    <w:rsid w:val="005F3EDF"/>
    <w:rsid w:val="005F4279"/>
    <w:rsid w:val="005F473F"/>
    <w:rsid w:val="005F47BF"/>
    <w:rsid w:val="005F4880"/>
    <w:rsid w:val="005F4B3A"/>
    <w:rsid w:val="005F4E6F"/>
    <w:rsid w:val="005F4F5C"/>
    <w:rsid w:val="005F50B9"/>
    <w:rsid w:val="005F52A7"/>
    <w:rsid w:val="005F5402"/>
    <w:rsid w:val="005F54A4"/>
    <w:rsid w:val="005F5C8F"/>
    <w:rsid w:val="005F5D1D"/>
    <w:rsid w:val="005F6266"/>
    <w:rsid w:val="005F63A1"/>
    <w:rsid w:val="005F6614"/>
    <w:rsid w:val="005F6C2E"/>
    <w:rsid w:val="005F716A"/>
    <w:rsid w:val="005F741F"/>
    <w:rsid w:val="005F79FE"/>
    <w:rsid w:val="005F7AF9"/>
    <w:rsid w:val="005F7E7F"/>
    <w:rsid w:val="005F7FE5"/>
    <w:rsid w:val="006003A0"/>
    <w:rsid w:val="0060064C"/>
    <w:rsid w:val="0060088A"/>
    <w:rsid w:val="00600D94"/>
    <w:rsid w:val="00600F75"/>
    <w:rsid w:val="00601485"/>
    <w:rsid w:val="0060150D"/>
    <w:rsid w:val="00601650"/>
    <w:rsid w:val="00601BEB"/>
    <w:rsid w:val="00601DD1"/>
    <w:rsid w:val="0060209F"/>
    <w:rsid w:val="006020E2"/>
    <w:rsid w:val="00602108"/>
    <w:rsid w:val="00602817"/>
    <w:rsid w:val="00602AE2"/>
    <w:rsid w:val="00602B80"/>
    <w:rsid w:val="00602F82"/>
    <w:rsid w:val="00603368"/>
    <w:rsid w:val="00603478"/>
    <w:rsid w:val="0060383C"/>
    <w:rsid w:val="0060396A"/>
    <w:rsid w:val="00603A24"/>
    <w:rsid w:val="00603A3D"/>
    <w:rsid w:val="00603A90"/>
    <w:rsid w:val="00603BE3"/>
    <w:rsid w:val="00603CA1"/>
    <w:rsid w:val="00603CF4"/>
    <w:rsid w:val="00603D37"/>
    <w:rsid w:val="00603E08"/>
    <w:rsid w:val="00603F5D"/>
    <w:rsid w:val="00604093"/>
    <w:rsid w:val="0060423B"/>
    <w:rsid w:val="006043EA"/>
    <w:rsid w:val="0060442C"/>
    <w:rsid w:val="0060459B"/>
    <w:rsid w:val="006049EE"/>
    <w:rsid w:val="00604CBF"/>
    <w:rsid w:val="00604CC3"/>
    <w:rsid w:val="00604EEF"/>
    <w:rsid w:val="00604F67"/>
    <w:rsid w:val="00605084"/>
    <w:rsid w:val="006050F5"/>
    <w:rsid w:val="00605175"/>
    <w:rsid w:val="0060565C"/>
    <w:rsid w:val="00605AFD"/>
    <w:rsid w:val="00605CA4"/>
    <w:rsid w:val="00605D44"/>
    <w:rsid w:val="0060676B"/>
    <w:rsid w:val="006069CB"/>
    <w:rsid w:val="00606A67"/>
    <w:rsid w:val="00606AC7"/>
    <w:rsid w:val="00606C56"/>
    <w:rsid w:val="00606EA3"/>
    <w:rsid w:val="0060701B"/>
    <w:rsid w:val="006072AF"/>
    <w:rsid w:val="006072B4"/>
    <w:rsid w:val="006072D5"/>
    <w:rsid w:val="006077B7"/>
    <w:rsid w:val="00607A18"/>
    <w:rsid w:val="00607A8A"/>
    <w:rsid w:val="006103BA"/>
    <w:rsid w:val="00610500"/>
    <w:rsid w:val="00610648"/>
    <w:rsid w:val="00610B0B"/>
    <w:rsid w:val="00610C73"/>
    <w:rsid w:val="00610CE9"/>
    <w:rsid w:val="00610D57"/>
    <w:rsid w:val="00610DBF"/>
    <w:rsid w:val="00611282"/>
    <w:rsid w:val="006112DF"/>
    <w:rsid w:val="006113B3"/>
    <w:rsid w:val="006113FA"/>
    <w:rsid w:val="006114F1"/>
    <w:rsid w:val="00611587"/>
    <w:rsid w:val="00611761"/>
    <w:rsid w:val="00611A6C"/>
    <w:rsid w:val="00611FE9"/>
    <w:rsid w:val="006120DF"/>
    <w:rsid w:val="00612339"/>
    <w:rsid w:val="006123D4"/>
    <w:rsid w:val="0061252B"/>
    <w:rsid w:val="00612680"/>
    <w:rsid w:val="0061298F"/>
    <w:rsid w:val="00612BB9"/>
    <w:rsid w:val="00612C02"/>
    <w:rsid w:val="00612CA1"/>
    <w:rsid w:val="00612D2A"/>
    <w:rsid w:val="006134F1"/>
    <w:rsid w:val="00613750"/>
    <w:rsid w:val="00613875"/>
    <w:rsid w:val="00613DEF"/>
    <w:rsid w:val="00613E5A"/>
    <w:rsid w:val="00613F59"/>
    <w:rsid w:val="006140E9"/>
    <w:rsid w:val="0061445B"/>
    <w:rsid w:val="006146BA"/>
    <w:rsid w:val="0061483C"/>
    <w:rsid w:val="00614BF4"/>
    <w:rsid w:val="00614CDF"/>
    <w:rsid w:val="00614CF1"/>
    <w:rsid w:val="00614E64"/>
    <w:rsid w:val="00614FD8"/>
    <w:rsid w:val="00615053"/>
    <w:rsid w:val="006150B8"/>
    <w:rsid w:val="00615252"/>
    <w:rsid w:val="006153AB"/>
    <w:rsid w:val="0061564E"/>
    <w:rsid w:val="00615CF6"/>
    <w:rsid w:val="006161E3"/>
    <w:rsid w:val="00616A9F"/>
    <w:rsid w:val="00616D72"/>
    <w:rsid w:val="0061720A"/>
    <w:rsid w:val="0061740F"/>
    <w:rsid w:val="00617A8F"/>
    <w:rsid w:val="00617A95"/>
    <w:rsid w:val="00617C6B"/>
    <w:rsid w:val="00617DE4"/>
    <w:rsid w:val="0062039C"/>
    <w:rsid w:val="00620404"/>
    <w:rsid w:val="00620422"/>
    <w:rsid w:val="00620555"/>
    <w:rsid w:val="0062085F"/>
    <w:rsid w:val="00620A50"/>
    <w:rsid w:val="00620AE4"/>
    <w:rsid w:val="006211BF"/>
    <w:rsid w:val="00621412"/>
    <w:rsid w:val="00621510"/>
    <w:rsid w:val="00621948"/>
    <w:rsid w:val="00621A32"/>
    <w:rsid w:val="00621B1B"/>
    <w:rsid w:val="00621BF3"/>
    <w:rsid w:val="006221F8"/>
    <w:rsid w:val="00622408"/>
    <w:rsid w:val="0062284D"/>
    <w:rsid w:val="006228B0"/>
    <w:rsid w:val="00622F33"/>
    <w:rsid w:val="006230C4"/>
    <w:rsid w:val="006234EE"/>
    <w:rsid w:val="00623613"/>
    <w:rsid w:val="00623806"/>
    <w:rsid w:val="00623B17"/>
    <w:rsid w:val="00623C44"/>
    <w:rsid w:val="00623D32"/>
    <w:rsid w:val="00623D8A"/>
    <w:rsid w:val="00623F73"/>
    <w:rsid w:val="006240E6"/>
    <w:rsid w:val="006241B7"/>
    <w:rsid w:val="00624223"/>
    <w:rsid w:val="00624399"/>
    <w:rsid w:val="0062455F"/>
    <w:rsid w:val="00624978"/>
    <w:rsid w:val="00624C4B"/>
    <w:rsid w:val="006250CB"/>
    <w:rsid w:val="00625319"/>
    <w:rsid w:val="0062548C"/>
    <w:rsid w:val="00625667"/>
    <w:rsid w:val="006256A1"/>
    <w:rsid w:val="00625D54"/>
    <w:rsid w:val="006261B7"/>
    <w:rsid w:val="0062676C"/>
    <w:rsid w:val="00626908"/>
    <w:rsid w:val="00626C12"/>
    <w:rsid w:val="00626C32"/>
    <w:rsid w:val="00626CBE"/>
    <w:rsid w:val="00626E89"/>
    <w:rsid w:val="00626F77"/>
    <w:rsid w:val="00627065"/>
    <w:rsid w:val="00627129"/>
    <w:rsid w:val="0062717E"/>
    <w:rsid w:val="006278D5"/>
    <w:rsid w:val="00627913"/>
    <w:rsid w:val="0062795B"/>
    <w:rsid w:val="0062796D"/>
    <w:rsid w:val="006279FF"/>
    <w:rsid w:val="00627AA2"/>
    <w:rsid w:val="00627E85"/>
    <w:rsid w:val="00627EA0"/>
    <w:rsid w:val="0063002A"/>
    <w:rsid w:val="006300B6"/>
    <w:rsid w:val="006301BB"/>
    <w:rsid w:val="00630299"/>
    <w:rsid w:val="006304DC"/>
    <w:rsid w:val="00630AA8"/>
    <w:rsid w:val="00630AF3"/>
    <w:rsid w:val="00630DD0"/>
    <w:rsid w:val="0063102E"/>
    <w:rsid w:val="006310E6"/>
    <w:rsid w:val="00631192"/>
    <w:rsid w:val="0063197E"/>
    <w:rsid w:val="006319B8"/>
    <w:rsid w:val="00631A41"/>
    <w:rsid w:val="00631CA2"/>
    <w:rsid w:val="00631F8C"/>
    <w:rsid w:val="00631FA0"/>
    <w:rsid w:val="00632104"/>
    <w:rsid w:val="006323D0"/>
    <w:rsid w:val="0063262A"/>
    <w:rsid w:val="00632664"/>
    <w:rsid w:val="00632977"/>
    <w:rsid w:val="006329A5"/>
    <w:rsid w:val="00632B1D"/>
    <w:rsid w:val="00632CF5"/>
    <w:rsid w:val="00633097"/>
    <w:rsid w:val="006330FC"/>
    <w:rsid w:val="0063362F"/>
    <w:rsid w:val="00633C29"/>
    <w:rsid w:val="00633C54"/>
    <w:rsid w:val="00633F41"/>
    <w:rsid w:val="00633FA0"/>
    <w:rsid w:val="006340A7"/>
    <w:rsid w:val="0063417C"/>
    <w:rsid w:val="006342C1"/>
    <w:rsid w:val="006342FA"/>
    <w:rsid w:val="006349E4"/>
    <w:rsid w:val="00634D7C"/>
    <w:rsid w:val="00634E7D"/>
    <w:rsid w:val="0063501B"/>
    <w:rsid w:val="0063502B"/>
    <w:rsid w:val="006350B9"/>
    <w:rsid w:val="00635190"/>
    <w:rsid w:val="00635524"/>
    <w:rsid w:val="006357B6"/>
    <w:rsid w:val="00635961"/>
    <w:rsid w:val="00635A5B"/>
    <w:rsid w:val="00635F62"/>
    <w:rsid w:val="0063608D"/>
    <w:rsid w:val="006365EE"/>
    <w:rsid w:val="006368A1"/>
    <w:rsid w:val="00636B1D"/>
    <w:rsid w:val="00636F01"/>
    <w:rsid w:val="0063710B"/>
    <w:rsid w:val="00637554"/>
    <w:rsid w:val="006376DF"/>
    <w:rsid w:val="00637AA4"/>
    <w:rsid w:val="00637FE6"/>
    <w:rsid w:val="00640003"/>
    <w:rsid w:val="006400C1"/>
    <w:rsid w:val="006402AE"/>
    <w:rsid w:val="00640302"/>
    <w:rsid w:val="006404A9"/>
    <w:rsid w:val="00640557"/>
    <w:rsid w:val="00640954"/>
    <w:rsid w:val="00640A84"/>
    <w:rsid w:val="00640CA9"/>
    <w:rsid w:val="00640F9D"/>
    <w:rsid w:val="00641A41"/>
    <w:rsid w:val="00641C21"/>
    <w:rsid w:val="00641E83"/>
    <w:rsid w:val="006420AB"/>
    <w:rsid w:val="006421A9"/>
    <w:rsid w:val="00642489"/>
    <w:rsid w:val="006424B6"/>
    <w:rsid w:val="0064285C"/>
    <w:rsid w:val="006428E0"/>
    <w:rsid w:val="00643012"/>
    <w:rsid w:val="0064315D"/>
    <w:rsid w:val="00643378"/>
    <w:rsid w:val="00643780"/>
    <w:rsid w:val="0064379C"/>
    <w:rsid w:val="00643D90"/>
    <w:rsid w:val="00643E79"/>
    <w:rsid w:val="006444B8"/>
    <w:rsid w:val="006446EF"/>
    <w:rsid w:val="00645401"/>
    <w:rsid w:val="006465AD"/>
    <w:rsid w:val="0064667A"/>
    <w:rsid w:val="0064680F"/>
    <w:rsid w:val="006469CC"/>
    <w:rsid w:val="00646B3B"/>
    <w:rsid w:val="00646E4A"/>
    <w:rsid w:val="00647203"/>
    <w:rsid w:val="00647902"/>
    <w:rsid w:val="00647ABE"/>
    <w:rsid w:val="00647D0B"/>
    <w:rsid w:val="00647D7C"/>
    <w:rsid w:val="006502B4"/>
    <w:rsid w:val="0065081B"/>
    <w:rsid w:val="00650BED"/>
    <w:rsid w:val="00650DB8"/>
    <w:rsid w:val="00650DF5"/>
    <w:rsid w:val="0065109B"/>
    <w:rsid w:val="00651287"/>
    <w:rsid w:val="006512EA"/>
    <w:rsid w:val="0065130C"/>
    <w:rsid w:val="006513B1"/>
    <w:rsid w:val="00651467"/>
    <w:rsid w:val="00651486"/>
    <w:rsid w:val="0065174C"/>
    <w:rsid w:val="00651DC6"/>
    <w:rsid w:val="00651F5A"/>
    <w:rsid w:val="006521D2"/>
    <w:rsid w:val="0065224D"/>
    <w:rsid w:val="00652312"/>
    <w:rsid w:val="006526A7"/>
    <w:rsid w:val="00652CB1"/>
    <w:rsid w:val="00652F8E"/>
    <w:rsid w:val="0065317D"/>
    <w:rsid w:val="0065383D"/>
    <w:rsid w:val="0065392B"/>
    <w:rsid w:val="0065416F"/>
    <w:rsid w:val="006543DE"/>
    <w:rsid w:val="006543E6"/>
    <w:rsid w:val="00654931"/>
    <w:rsid w:val="00654E2F"/>
    <w:rsid w:val="0065503B"/>
    <w:rsid w:val="0065548B"/>
    <w:rsid w:val="0065567F"/>
    <w:rsid w:val="006557B6"/>
    <w:rsid w:val="00655A3D"/>
    <w:rsid w:val="00655A59"/>
    <w:rsid w:val="00655C83"/>
    <w:rsid w:val="00655D0B"/>
    <w:rsid w:val="00655DD3"/>
    <w:rsid w:val="00655EF4"/>
    <w:rsid w:val="006560EA"/>
    <w:rsid w:val="00656270"/>
    <w:rsid w:val="0065650A"/>
    <w:rsid w:val="006565CB"/>
    <w:rsid w:val="0065660E"/>
    <w:rsid w:val="0065698F"/>
    <w:rsid w:val="00656A0A"/>
    <w:rsid w:val="00656B4A"/>
    <w:rsid w:val="00656CA0"/>
    <w:rsid w:val="00657200"/>
    <w:rsid w:val="006577B0"/>
    <w:rsid w:val="00657ADE"/>
    <w:rsid w:val="00657C29"/>
    <w:rsid w:val="006602A2"/>
    <w:rsid w:val="006603DD"/>
    <w:rsid w:val="0066050D"/>
    <w:rsid w:val="00660B36"/>
    <w:rsid w:val="00661006"/>
    <w:rsid w:val="0066113E"/>
    <w:rsid w:val="0066155B"/>
    <w:rsid w:val="00661BA9"/>
    <w:rsid w:val="00661CA1"/>
    <w:rsid w:val="00661FD7"/>
    <w:rsid w:val="00662232"/>
    <w:rsid w:val="006622E3"/>
    <w:rsid w:val="00662379"/>
    <w:rsid w:val="00662566"/>
    <w:rsid w:val="0066258B"/>
    <w:rsid w:val="006627E6"/>
    <w:rsid w:val="00662C16"/>
    <w:rsid w:val="00662EE6"/>
    <w:rsid w:val="00663036"/>
    <w:rsid w:val="006636A6"/>
    <w:rsid w:val="00663C45"/>
    <w:rsid w:val="0066417D"/>
    <w:rsid w:val="00664264"/>
    <w:rsid w:val="006645DE"/>
    <w:rsid w:val="006648B3"/>
    <w:rsid w:val="00664D78"/>
    <w:rsid w:val="00664DAB"/>
    <w:rsid w:val="00664FBB"/>
    <w:rsid w:val="00665112"/>
    <w:rsid w:val="00665D96"/>
    <w:rsid w:val="0066618A"/>
    <w:rsid w:val="00666226"/>
    <w:rsid w:val="0066638F"/>
    <w:rsid w:val="00667371"/>
    <w:rsid w:val="00667582"/>
    <w:rsid w:val="0066777C"/>
    <w:rsid w:val="00667A22"/>
    <w:rsid w:val="00667B0B"/>
    <w:rsid w:val="00667CE0"/>
    <w:rsid w:val="006700CC"/>
    <w:rsid w:val="00670113"/>
    <w:rsid w:val="00670506"/>
    <w:rsid w:val="00670825"/>
    <w:rsid w:val="00670B7D"/>
    <w:rsid w:val="00670C9A"/>
    <w:rsid w:val="00670EC8"/>
    <w:rsid w:val="006711A2"/>
    <w:rsid w:val="0067163B"/>
    <w:rsid w:val="00671BF8"/>
    <w:rsid w:val="00671F1F"/>
    <w:rsid w:val="00671F96"/>
    <w:rsid w:val="006723A5"/>
    <w:rsid w:val="0067265B"/>
    <w:rsid w:val="00672823"/>
    <w:rsid w:val="00672825"/>
    <w:rsid w:val="006728D7"/>
    <w:rsid w:val="00672B5D"/>
    <w:rsid w:val="00673259"/>
    <w:rsid w:val="0067339E"/>
    <w:rsid w:val="0067343D"/>
    <w:rsid w:val="00673657"/>
    <w:rsid w:val="00673734"/>
    <w:rsid w:val="0067382A"/>
    <w:rsid w:val="00673901"/>
    <w:rsid w:val="00673BA7"/>
    <w:rsid w:val="00673BDC"/>
    <w:rsid w:val="00673C4D"/>
    <w:rsid w:val="00673C74"/>
    <w:rsid w:val="00673D8B"/>
    <w:rsid w:val="00674232"/>
    <w:rsid w:val="00674460"/>
    <w:rsid w:val="006746F4"/>
    <w:rsid w:val="00674C10"/>
    <w:rsid w:val="00674CD8"/>
    <w:rsid w:val="00674D04"/>
    <w:rsid w:val="006750F7"/>
    <w:rsid w:val="00675117"/>
    <w:rsid w:val="006759B0"/>
    <w:rsid w:val="006759D0"/>
    <w:rsid w:val="00675AE8"/>
    <w:rsid w:val="0067622C"/>
    <w:rsid w:val="0067627A"/>
    <w:rsid w:val="00676382"/>
    <w:rsid w:val="006765DE"/>
    <w:rsid w:val="00676CE8"/>
    <w:rsid w:val="00676F66"/>
    <w:rsid w:val="006775CF"/>
    <w:rsid w:val="006777E0"/>
    <w:rsid w:val="00677B49"/>
    <w:rsid w:val="00677E15"/>
    <w:rsid w:val="00680087"/>
    <w:rsid w:val="00680981"/>
    <w:rsid w:val="00680F05"/>
    <w:rsid w:val="006811E1"/>
    <w:rsid w:val="0068124A"/>
    <w:rsid w:val="00681399"/>
    <w:rsid w:val="00681419"/>
    <w:rsid w:val="00681943"/>
    <w:rsid w:val="00681F1B"/>
    <w:rsid w:val="0068209B"/>
    <w:rsid w:val="00682212"/>
    <w:rsid w:val="00682249"/>
    <w:rsid w:val="006823E9"/>
    <w:rsid w:val="006827E5"/>
    <w:rsid w:val="0068292A"/>
    <w:rsid w:val="00682B49"/>
    <w:rsid w:val="00682BF7"/>
    <w:rsid w:val="00682C25"/>
    <w:rsid w:val="00682EA1"/>
    <w:rsid w:val="0068315F"/>
    <w:rsid w:val="0068316D"/>
    <w:rsid w:val="0068366C"/>
    <w:rsid w:val="00683A8A"/>
    <w:rsid w:val="00683B47"/>
    <w:rsid w:val="00683DEF"/>
    <w:rsid w:val="00683F2B"/>
    <w:rsid w:val="00684345"/>
    <w:rsid w:val="00684676"/>
    <w:rsid w:val="00684770"/>
    <w:rsid w:val="006847F5"/>
    <w:rsid w:val="006848D3"/>
    <w:rsid w:val="00684AD6"/>
    <w:rsid w:val="00684BC7"/>
    <w:rsid w:val="00684BDA"/>
    <w:rsid w:val="00684F6E"/>
    <w:rsid w:val="00684FE5"/>
    <w:rsid w:val="00685018"/>
    <w:rsid w:val="00685BE8"/>
    <w:rsid w:val="00685C9B"/>
    <w:rsid w:val="00685CF7"/>
    <w:rsid w:val="00685E1D"/>
    <w:rsid w:val="00685F66"/>
    <w:rsid w:val="006860CD"/>
    <w:rsid w:val="00686165"/>
    <w:rsid w:val="006861B0"/>
    <w:rsid w:val="006863CD"/>
    <w:rsid w:val="006864BD"/>
    <w:rsid w:val="0068662E"/>
    <w:rsid w:val="0068679D"/>
    <w:rsid w:val="00686A07"/>
    <w:rsid w:val="00686D24"/>
    <w:rsid w:val="00686D46"/>
    <w:rsid w:val="00686FB5"/>
    <w:rsid w:val="0068700C"/>
    <w:rsid w:val="00687492"/>
    <w:rsid w:val="0068790F"/>
    <w:rsid w:val="00687D7E"/>
    <w:rsid w:val="00690071"/>
    <w:rsid w:val="00690357"/>
    <w:rsid w:val="00690851"/>
    <w:rsid w:val="0069092E"/>
    <w:rsid w:val="00690971"/>
    <w:rsid w:val="00690E35"/>
    <w:rsid w:val="00690EB4"/>
    <w:rsid w:val="006910B8"/>
    <w:rsid w:val="0069124D"/>
    <w:rsid w:val="00691CB5"/>
    <w:rsid w:val="00691D63"/>
    <w:rsid w:val="00691D7B"/>
    <w:rsid w:val="00691FC5"/>
    <w:rsid w:val="0069223A"/>
    <w:rsid w:val="00692384"/>
    <w:rsid w:val="006923DF"/>
    <w:rsid w:val="0069259D"/>
    <w:rsid w:val="00692A2D"/>
    <w:rsid w:val="00692A6C"/>
    <w:rsid w:val="00692B0E"/>
    <w:rsid w:val="00692BCA"/>
    <w:rsid w:val="00692E33"/>
    <w:rsid w:val="0069342D"/>
    <w:rsid w:val="00693628"/>
    <w:rsid w:val="00693716"/>
    <w:rsid w:val="00693914"/>
    <w:rsid w:val="00693FAC"/>
    <w:rsid w:val="00694807"/>
    <w:rsid w:val="00694ACF"/>
    <w:rsid w:val="00694B38"/>
    <w:rsid w:val="00694BEA"/>
    <w:rsid w:val="006950EA"/>
    <w:rsid w:val="00695633"/>
    <w:rsid w:val="00695BFE"/>
    <w:rsid w:val="00695CBC"/>
    <w:rsid w:val="00695DC2"/>
    <w:rsid w:val="006960A6"/>
    <w:rsid w:val="00696564"/>
    <w:rsid w:val="00696620"/>
    <w:rsid w:val="0069672B"/>
    <w:rsid w:val="006968D4"/>
    <w:rsid w:val="00696953"/>
    <w:rsid w:val="0069705E"/>
    <w:rsid w:val="006978CC"/>
    <w:rsid w:val="00697B5F"/>
    <w:rsid w:val="00697CBB"/>
    <w:rsid w:val="00697E86"/>
    <w:rsid w:val="006A03C1"/>
    <w:rsid w:val="006A055D"/>
    <w:rsid w:val="006A05B9"/>
    <w:rsid w:val="006A05BC"/>
    <w:rsid w:val="006A065A"/>
    <w:rsid w:val="006A06EF"/>
    <w:rsid w:val="006A08BE"/>
    <w:rsid w:val="006A0C19"/>
    <w:rsid w:val="006A0C75"/>
    <w:rsid w:val="006A0CF5"/>
    <w:rsid w:val="006A138A"/>
    <w:rsid w:val="006A1B73"/>
    <w:rsid w:val="006A1C36"/>
    <w:rsid w:val="006A20A8"/>
    <w:rsid w:val="006A24A0"/>
    <w:rsid w:val="006A2545"/>
    <w:rsid w:val="006A26A5"/>
    <w:rsid w:val="006A2955"/>
    <w:rsid w:val="006A2A16"/>
    <w:rsid w:val="006A2C50"/>
    <w:rsid w:val="006A2C67"/>
    <w:rsid w:val="006A326D"/>
    <w:rsid w:val="006A3655"/>
    <w:rsid w:val="006A37F5"/>
    <w:rsid w:val="006A397A"/>
    <w:rsid w:val="006A3F26"/>
    <w:rsid w:val="006A4083"/>
    <w:rsid w:val="006A4206"/>
    <w:rsid w:val="006A42FE"/>
    <w:rsid w:val="006A46A7"/>
    <w:rsid w:val="006A4A34"/>
    <w:rsid w:val="006A4B29"/>
    <w:rsid w:val="006A512F"/>
    <w:rsid w:val="006A5218"/>
    <w:rsid w:val="006A5704"/>
    <w:rsid w:val="006A5D07"/>
    <w:rsid w:val="006A619C"/>
    <w:rsid w:val="006A643D"/>
    <w:rsid w:val="006A668B"/>
    <w:rsid w:val="006A69B9"/>
    <w:rsid w:val="006A6B7D"/>
    <w:rsid w:val="006A6BED"/>
    <w:rsid w:val="006A6D58"/>
    <w:rsid w:val="006A6F8A"/>
    <w:rsid w:val="006A7002"/>
    <w:rsid w:val="006A7118"/>
    <w:rsid w:val="006A71A8"/>
    <w:rsid w:val="006A7571"/>
    <w:rsid w:val="006A79F3"/>
    <w:rsid w:val="006A7EC6"/>
    <w:rsid w:val="006B00C7"/>
    <w:rsid w:val="006B04F0"/>
    <w:rsid w:val="006B06C7"/>
    <w:rsid w:val="006B09FF"/>
    <w:rsid w:val="006B0EFC"/>
    <w:rsid w:val="006B1015"/>
    <w:rsid w:val="006B15C9"/>
    <w:rsid w:val="006B17D2"/>
    <w:rsid w:val="006B1D55"/>
    <w:rsid w:val="006B2101"/>
    <w:rsid w:val="006B21C1"/>
    <w:rsid w:val="006B229C"/>
    <w:rsid w:val="006B248D"/>
    <w:rsid w:val="006B2547"/>
    <w:rsid w:val="006B26B1"/>
    <w:rsid w:val="006B270D"/>
    <w:rsid w:val="006B2961"/>
    <w:rsid w:val="006B296B"/>
    <w:rsid w:val="006B29D9"/>
    <w:rsid w:val="006B2A98"/>
    <w:rsid w:val="006B2B1D"/>
    <w:rsid w:val="006B2C7E"/>
    <w:rsid w:val="006B302D"/>
    <w:rsid w:val="006B3093"/>
    <w:rsid w:val="006B3710"/>
    <w:rsid w:val="006B3738"/>
    <w:rsid w:val="006B3869"/>
    <w:rsid w:val="006B38FF"/>
    <w:rsid w:val="006B3D60"/>
    <w:rsid w:val="006B3E9C"/>
    <w:rsid w:val="006B418F"/>
    <w:rsid w:val="006B41E5"/>
    <w:rsid w:val="006B424C"/>
    <w:rsid w:val="006B42A6"/>
    <w:rsid w:val="006B4546"/>
    <w:rsid w:val="006B45F6"/>
    <w:rsid w:val="006B46DE"/>
    <w:rsid w:val="006B47FA"/>
    <w:rsid w:val="006B48CD"/>
    <w:rsid w:val="006B53B9"/>
    <w:rsid w:val="006B5487"/>
    <w:rsid w:val="006B55A3"/>
    <w:rsid w:val="006B57A7"/>
    <w:rsid w:val="006B5BD3"/>
    <w:rsid w:val="006B5CB9"/>
    <w:rsid w:val="006B5EB3"/>
    <w:rsid w:val="006B6447"/>
    <w:rsid w:val="006B67D8"/>
    <w:rsid w:val="006B6B26"/>
    <w:rsid w:val="006B6EF7"/>
    <w:rsid w:val="006B7018"/>
    <w:rsid w:val="006B740C"/>
    <w:rsid w:val="006B7AA7"/>
    <w:rsid w:val="006B7D96"/>
    <w:rsid w:val="006B7E72"/>
    <w:rsid w:val="006C01F5"/>
    <w:rsid w:val="006C04A7"/>
    <w:rsid w:val="006C04CD"/>
    <w:rsid w:val="006C054F"/>
    <w:rsid w:val="006C1007"/>
    <w:rsid w:val="006C1072"/>
    <w:rsid w:val="006C1358"/>
    <w:rsid w:val="006C16C2"/>
    <w:rsid w:val="006C1892"/>
    <w:rsid w:val="006C2101"/>
    <w:rsid w:val="006C29D3"/>
    <w:rsid w:val="006C2B5A"/>
    <w:rsid w:val="006C2C8E"/>
    <w:rsid w:val="006C2F41"/>
    <w:rsid w:val="006C36EF"/>
    <w:rsid w:val="006C3884"/>
    <w:rsid w:val="006C3B0D"/>
    <w:rsid w:val="006C3ECD"/>
    <w:rsid w:val="006C3F88"/>
    <w:rsid w:val="006C43DC"/>
    <w:rsid w:val="006C4511"/>
    <w:rsid w:val="006C4768"/>
    <w:rsid w:val="006C4991"/>
    <w:rsid w:val="006C52BD"/>
    <w:rsid w:val="006C5447"/>
    <w:rsid w:val="006C567D"/>
    <w:rsid w:val="006C5B73"/>
    <w:rsid w:val="006C6050"/>
    <w:rsid w:val="006C6115"/>
    <w:rsid w:val="006C645D"/>
    <w:rsid w:val="006C6945"/>
    <w:rsid w:val="006C6D33"/>
    <w:rsid w:val="006C7461"/>
    <w:rsid w:val="006C74EA"/>
    <w:rsid w:val="006C755C"/>
    <w:rsid w:val="006C77C7"/>
    <w:rsid w:val="006C78E0"/>
    <w:rsid w:val="006C78E3"/>
    <w:rsid w:val="006C7976"/>
    <w:rsid w:val="006C7986"/>
    <w:rsid w:val="006C7A15"/>
    <w:rsid w:val="006C7A2E"/>
    <w:rsid w:val="006C7AFC"/>
    <w:rsid w:val="006C7D13"/>
    <w:rsid w:val="006C7F0D"/>
    <w:rsid w:val="006C7F1F"/>
    <w:rsid w:val="006D02F4"/>
    <w:rsid w:val="006D06CE"/>
    <w:rsid w:val="006D08B2"/>
    <w:rsid w:val="006D0953"/>
    <w:rsid w:val="006D0F06"/>
    <w:rsid w:val="006D109E"/>
    <w:rsid w:val="006D1141"/>
    <w:rsid w:val="006D11D4"/>
    <w:rsid w:val="006D11F7"/>
    <w:rsid w:val="006D1835"/>
    <w:rsid w:val="006D18FC"/>
    <w:rsid w:val="006D1CDA"/>
    <w:rsid w:val="006D1D5D"/>
    <w:rsid w:val="006D2127"/>
    <w:rsid w:val="006D2764"/>
    <w:rsid w:val="006D2B90"/>
    <w:rsid w:val="006D2C27"/>
    <w:rsid w:val="006D2D5E"/>
    <w:rsid w:val="006D2DF3"/>
    <w:rsid w:val="006D3036"/>
    <w:rsid w:val="006D3221"/>
    <w:rsid w:val="006D3DAF"/>
    <w:rsid w:val="006D4117"/>
    <w:rsid w:val="006D41BE"/>
    <w:rsid w:val="006D46DD"/>
    <w:rsid w:val="006D4872"/>
    <w:rsid w:val="006D4A03"/>
    <w:rsid w:val="006D4C6E"/>
    <w:rsid w:val="006D4FF0"/>
    <w:rsid w:val="006D53DF"/>
    <w:rsid w:val="006D57BC"/>
    <w:rsid w:val="006D5817"/>
    <w:rsid w:val="006D59D1"/>
    <w:rsid w:val="006D5B5A"/>
    <w:rsid w:val="006D5CFD"/>
    <w:rsid w:val="006D5DE2"/>
    <w:rsid w:val="006D5F38"/>
    <w:rsid w:val="006D5F63"/>
    <w:rsid w:val="006D6639"/>
    <w:rsid w:val="006D6853"/>
    <w:rsid w:val="006D6953"/>
    <w:rsid w:val="006D6ED1"/>
    <w:rsid w:val="006D6F44"/>
    <w:rsid w:val="006D70DA"/>
    <w:rsid w:val="006D7241"/>
    <w:rsid w:val="006D7347"/>
    <w:rsid w:val="006D73B6"/>
    <w:rsid w:val="006D74FC"/>
    <w:rsid w:val="006D77C2"/>
    <w:rsid w:val="006D7C40"/>
    <w:rsid w:val="006D7D7C"/>
    <w:rsid w:val="006D7F11"/>
    <w:rsid w:val="006D7F58"/>
    <w:rsid w:val="006E0298"/>
    <w:rsid w:val="006E0521"/>
    <w:rsid w:val="006E055E"/>
    <w:rsid w:val="006E05DE"/>
    <w:rsid w:val="006E075E"/>
    <w:rsid w:val="006E0C8C"/>
    <w:rsid w:val="006E0E66"/>
    <w:rsid w:val="006E0F4B"/>
    <w:rsid w:val="006E103B"/>
    <w:rsid w:val="006E1431"/>
    <w:rsid w:val="006E167E"/>
    <w:rsid w:val="006E1A81"/>
    <w:rsid w:val="006E29B4"/>
    <w:rsid w:val="006E29FF"/>
    <w:rsid w:val="006E2B94"/>
    <w:rsid w:val="006E2D2A"/>
    <w:rsid w:val="006E31DE"/>
    <w:rsid w:val="006E3350"/>
    <w:rsid w:val="006E3380"/>
    <w:rsid w:val="006E33A3"/>
    <w:rsid w:val="006E36C9"/>
    <w:rsid w:val="006E3A15"/>
    <w:rsid w:val="006E3AD6"/>
    <w:rsid w:val="006E3BD3"/>
    <w:rsid w:val="006E3C61"/>
    <w:rsid w:val="006E3CC3"/>
    <w:rsid w:val="006E3D8F"/>
    <w:rsid w:val="006E3D9F"/>
    <w:rsid w:val="006E4256"/>
    <w:rsid w:val="006E4550"/>
    <w:rsid w:val="006E463D"/>
    <w:rsid w:val="006E4816"/>
    <w:rsid w:val="006E5453"/>
    <w:rsid w:val="006E5B4C"/>
    <w:rsid w:val="006E5BB4"/>
    <w:rsid w:val="006E5BFA"/>
    <w:rsid w:val="006E5BFD"/>
    <w:rsid w:val="006E5CA3"/>
    <w:rsid w:val="006E6250"/>
    <w:rsid w:val="006E6E31"/>
    <w:rsid w:val="006E6F07"/>
    <w:rsid w:val="006E7397"/>
    <w:rsid w:val="006E75C8"/>
    <w:rsid w:val="006E767B"/>
    <w:rsid w:val="006E76CD"/>
    <w:rsid w:val="006E7B9B"/>
    <w:rsid w:val="006F02EB"/>
    <w:rsid w:val="006F0570"/>
    <w:rsid w:val="006F05F1"/>
    <w:rsid w:val="006F0715"/>
    <w:rsid w:val="006F0DCD"/>
    <w:rsid w:val="006F14F7"/>
    <w:rsid w:val="006F1912"/>
    <w:rsid w:val="006F1A54"/>
    <w:rsid w:val="006F1EF7"/>
    <w:rsid w:val="006F210B"/>
    <w:rsid w:val="006F2168"/>
    <w:rsid w:val="006F2774"/>
    <w:rsid w:val="006F29D4"/>
    <w:rsid w:val="006F2CD6"/>
    <w:rsid w:val="006F2F84"/>
    <w:rsid w:val="006F3088"/>
    <w:rsid w:val="006F3160"/>
    <w:rsid w:val="006F3230"/>
    <w:rsid w:val="006F3F30"/>
    <w:rsid w:val="006F430C"/>
    <w:rsid w:val="006F458E"/>
    <w:rsid w:val="006F476E"/>
    <w:rsid w:val="006F4848"/>
    <w:rsid w:val="006F49EC"/>
    <w:rsid w:val="006F4A43"/>
    <w:rsid w:val="006F4B0D"/>
    <w:rsid w:val="006F4CE6"/>
    <w:rsid w:val="006F4ED8"/>
    <w:rsid w:val="006F5004"/>
    <w:rsid w:val="006F51E9"/>
    <w:rsid w:val="006F54EB"/>
    <w:rsid w:val="006F569C"/>
    <w:rsid w:val="006F5949"/>
    <w:rsid w:val="006F59FB"/>
    <w:rsid w:val="006F5A2E"/>
    <w:rsid w:val="006F5DC0"/>
    <w:rsid w:val="006F6062"/>
    <w:rsid w:val="006F6085"/>
    <w:rsid w:val="006F628D"/>
    <w:rsid w:val="006F63C5"/>
    <w:rsid w:val="006F6436"/>
    <w:rsid w:val="006F6A37"/>
    <w:rsid w:val="006F6B54"/>
    <w:rsid w:val="006F6DA4"/>
    <w:rsid w:val="006F7098"/>
    <w:rsid w:val="006F7325"/>
    <w:rsid w:val="006F7489"/>
    <w:rsid w:val="006F74B1"/>
    <w:rsid w:val="006F7638"/>
    <w:rsid w:val="006F7737"/>
    <w:rsid w:val="006F7761"/>
    <w:rsid w:val="006F78C5"/>
    <w:rsid w:val="006F7ADD"/>
    <w:rsid w:val="006F7F60"/>
    <w:rsid w:val="00700284"/>
    <w:rsid w:val="00700984"/>
    <w:rsid w:val="00700BBC"/>
    <w:rsid w:val="00700BD1"/>
    <w:rsid w:val="00700C6A"/>
    <w:rsid w:val="00700CEA"/>
    <w:rsid w:val="00700CFD"/>
    <w:rsid w:val="00700E56"/>
    <w:rsid w:val="00701149"/>
    <w:rsid w:val="00701488"/>
    <w:rsid w:val="00701525"/>
    <w:rsid w:val="007016A4"/>
    <w:rsid w:val="007016DB"/>
    <w:rsid w:val="00701711"/>
    <w:rsid w:val="007017E8"/>
    <w:rsid w:val="00701B00"/>
    <w:rsid w:val="00702193"/>
    <w:rsid w:val="007025A8"/>
    <w:rsid w:val="007026F2"/>
    <w:rsid w:val="0070291A"/>
    <w:rsid w:val="00702A28"/>
    <w:rsid w:val="00702A5A"/>
    <w:rsid w:val="00703116"/>
    <w:rsid w:val="007031B8"/>
    <w:rsid w:val="0070346A"/>
    <w:rsid w:val="007037ED"/>
    <w:rsid w:val="00703888"/>
    <w:rsid w:val="00703CB5"/>
    <w:rsid w:val="007043BA"/>
    <w:rsid w:val="00704461"/>
    <w:rsid w:val="007045AC"/>
    <w:rsid w:val="007045ED"/>
    <w:rsid w:val="00704830"/>
    <w:rsid w:val="00704E37"/>
    <w:rsid w:val="00704FF3"/>
    <w:rsid w:val="00705026"/>
    <w:rsid w:val="00705450"/>
    <w:rsid w:val="00705608"/>
    <w:rsid w:val="00705979"/>
    <w:rsid w:val="00705A34"/>
    <w:rsid w:val="00705C33"/>
    <w:rsid w:val="00705D53"/>
    <w:rsid w:val="007062C5"/>
    <w:rsid w:val="007062EF"/>
    <w:rsid w:val="007068CC"/>
    <w:rsid w:val="00706920"/>
    <w:rsid w:val="00706DCE"/>
    <w:rsid w:val="00706E8E"/>
    <w:rsid w:val="0070765F"/>
    <w:rsid w:val="00707DC7"/>
    <w:rsid w:val="0071013A"/>
    <w:rsid w:val="00710419"/>
    <w:rsid w:val="007105B0"/>
    <w:rsid w:val="00710B91"/>
    <w:rsid w:val="00710FE2"/>
    <w:rsid w:val="007117AA"/>
    <w:rsid w:val="00711A7D"/>
    <w:rsid w:val="00711EC3"/>
    <w:rsid w:val="0071246C"/>
    <w:rsid w:val="0071249F"/>
    <w:rsid w:val="0071286B"/>
    <w:rsid w:val="00712A0E"/>
    <w:rsid w:val="00712CF3"/>
    <w:rsid w:val="00712D4B"/>
    <w:rsid w:val="00712D9D"/>
    <w:rsid w:val="00713045"/>
    <w:rsid w:val="007134D7"/>
    <w:rsid w:val="00713775"/>
    <w:rsid w:val="007139BE"/>
    <w:rsid w:val="007139CF"/>
    <w:rsid w:val="00713C4B"/>
    <w:rsid w:val="00713D11"/>
    <w:rsid w:val="00713E1A"/>
    <w:rsid w:val="007143B3"/>
    <w:rsid w:val="00714737"/>
    <w:rsid w:val="00714A9E"/>
    <w:rsid w:val="00714DEB"/>
    <w:rsid w:val="0071545B"/>
    <w:rsid w:val="007154C0"/>
    <w:rsid w:val="007156D4"/>
    <w:rsid w:val="0071570A"/>
    <w:rsid w:val="007158AA"/>
    <w:rsid w:val="00715A63"/>
    <w:rsid w:val="0071615B"/>
    <w:rsid w:val="00716187"/>
    <w:rsid w:val="007161DB"/>
    <w:rsid w:val="00716253"/>
    <w:rsid w:val="007162A4"/>
    <w:rsid w:val="007162B8"/>
    <w:rsid w:val="007166CE"/>
    <w:rsid w:val="007167DE"/>
    <w:rsid w:val="007170DE"/>
    <w:rsid w:val="00717187"/>
    <w:rsid w:val="00717205"/>
    <w:rsid w:val="0071733C"/>
    <w:rsid w:val="007178D6"/>
    <w:rsid w:val="00717A94"/>
    <w:rsid w:val="00717F15"/>
    <w:rsid w:val="007200BA"/>
    <w:rsid w:val="00720972"/>
    <w:rsid w:val="00720DA8"/>
    <w:rsid w:val="00720F57"/>
    <w:rsid w:val="0072107F"/>
    <w:rsid w:val="007210DF"/>
    <w:rsid w:val="0072131A"/>
    <w:rsid w:val="007213FF"/>
    <w:rsid w:val="0072165C"/>
    <w:rsid w:val="00721A0A"/>
    <w:rsid w:val="00721AB9"/>
    <w:rsid w:val="00721D11"/>
    <w:rsid w:val="00722120"/>
    <w:rsid w:val="0072219D"/>
    <w:rsid w:val="00722423"/>
    <w:rsid w:val="0072271E"/>
    <w:rsid w:val="00722A54"/>
    <w:rsid w:val="00722B53"/>
    <w:rsid w:val="007237CB"/>
    <w:rsid w:val="007238CB"/>
    <w:rsid w:val="0072396A"/>
    <w:rsid w:val="00723A4C"/>
    <w:rsid w:val="00723BC8"/>
    <w:rsid w:val="00724167"/>
    <w:rsid w:val="00724579"/>
    <w:rsid w:val="00724791"/>
    <w:rsid w:val="00724917"/>
    <w:rsid w:val="007249CD"/>
    <w:rsid w:val="007249F3"/>
    <w:rsid w:val="00724ADB"/>
    <w:rsid w:val="00724D78"/>
    <w:rsid w:val="00724E39"/>
    <w:rsid w:val="00724FBF"/>
    <w:rsid w:val="0072500C"/>
    <w:rsid w:val="00725207"/>
    <w:rsid w:val="00725A05"/>
    <w:rsid w:val="00725B34"/>
    <w:rsid w:val="00725B84"/>
    <w:rsid w:val="00725BB1"/>
    <w:rsid w:val="00725C1F"/>
    <w:rsid w:val="00725E62"/>
    <w:rsid w:val="00726210"/>
    <w:rsid w:val="00726521"/>
    <w:rsid w:val="0072668D"/>
    <w:rsid w:val="00726BC4"/>
    <w:rsid w:val="00726D28"/>
    <w:rsid w:val="0072724B"/>
    <w:rsid w:val="00727452"/>
    <w:rsid w:val="00727944"/>
    <w:rsid w:val="00727AC5"/>
    <w:rsid w:val="00727E42"/>
    <w:rsid w:val="00730108"/>
    <w:rsid w:val="0073012A"/>
    <w:rsid w:val="00730339"/>
    <w:rsid w:val="00730625"/>
    <w:rsid w:val="007308A5"/>
    <w:rsid w:val="00730931"/>
    <w:rsid w:val="00730A30"/>
    <w:rsid w:val="00730AAD"/>
    <w:rsid w:val="0073134A"/>
    <w:rsid w:val="007313B2"/>
    <w:rsid w:val="00731933"/>
    <w:rsid w:val="00731E33"/>
    <w:rsid w:val="00732431"/>
    <w:rsid w:val="00732620"/>
    <w:rsid w:val="00732BBD"/>
    <w:rsid w:val="00732C24"/>
    <w:rsid w:val="00732D92"/>
    <w:rsid w:val="00732EAF"/>
    <w:rsid w:val="007335DE"/>
    <w:rsid w:val="007335F4"/>
    <w:rsid w:val="00733674"/>
    <w:rsid w:val="00733807"/>
    <w:rsid w:val="00733A4B"/>
    <w:rsid w:val="00733A96"/>
    <w:rsid w:val="00733C94"/>
    <w:rsid w:val="00733CD2"/>
    <w:rsid w:val="00733E7F"/>
    <w:rsid w:val="00733E9F"/>
    <w:rsid w:val="007341BF"/>
    <w:rsid w:val="00734647"/>
    <w:rsid w:val="0073469D"/>
    <w:rsid w:val="00734865"/>
    <w:rsid w:val="00734A33"/>
    <w:rsid w:val="00734B61"/>
    <w:rsid w:val="00734E72"/>
    <w:rsid w:val="00734FE5"/>
    <w:rsid w:val="00734FFA"/>
    <w:rsid w:val="00735158"/>
    <w:rsid w:val="007356C5"/>
    <w:rsid w:val="00735708"/>
    <w:rsid w:val="00735AA2"/>
    <w:rsid w:val="00735C67"/>
    <w:rsid w:val="00735DE4"/>
    <w:rsid w:val="00735E05"/>
    <w:rsid w:val="00735E76"/>
    <w:rsid w:val="00735ED8"/>
    <w:rsid w:val="00736EDE"/>
    <w:rsid w:val="00737634"/>
    <w:rsid w:val="0073784D"/>
    <w:rsid w:val="00737A06"/>
    <w:rsid w:val="00737EA5"/>
    <w:rsid w:val="007401E7"/>
    <w:rsid w:val="00740359"/>
    <w:rsid w:val="00740B96"/>
    <w:rsid w:val="00740DF2"/>
    <w:rsid w:val="007411DF"/>
    <w:rsid w:val="00741220"/>
    <w:rsid w:val="007413E6"/>
    <w:rsid w:val="00741422"/>
    <w:rsid w:val="007416F4"/>
    <w:rsid w:val="00741D0C"/>
    <w:rsid w:val="00742366"/>
    <w:rsid w:val="007423B2"/>
    <w:rsid w:val="007426D8"/>
    <w:rsid w:val="007426D9"/>
    <w:rsid w:val="007426FD"/>
    <w:rsid w:val="00742A0B"/>
    <w:rsid w:val="00742A18"/>
    <w:rsid w:val="00742B0D"/>
    <w:rsid w:val="00742BEC"/>
    <w:rsid w:val="00742E51"/>
    <w:rsid w:val="00743118"/>
    <w:rsid w:val="007431C8"/>
    <w:rsid w:val="00743380"/>
    <w:rsid w:val="007433F7"/>
    <w:rsid w:val="00743D54"/>
    <w:rsid w:val="0074439E"/>
    <w:rsid w:val="00744484"/>
    <w:rsid w:val="007445D6"/>
    <w:rsid w:val="0074469B"/>
    <w:rsid w:val="00744923"/>
    <w:rsid w:val="00744AA2"/>
    <w:rsid w:val="00744BF8"/>
    <w:rsid w:val="0074508A"/>
    <w:rsid w:val="00745ACC"/>
    <w:rsid w:val="00745CEB"/>
    <w:rsid w:val="00745D84"/>
    <w:rsid w:val="00745EE5"/>
    <w:rsid w:val="00746113"/>
    <w:rsid w:val="0074642C"/>
    <w:rsid w:val="00746971"/>
    <w:rsid w:val="00746B75"/>
    <w:rsid w:val="00746E4F"/>
    <w:rsid w:val="00746E88"/>
    <w:rsid w:val="00746F92"/>
    <w:rsid w:val="007473E0"/>
    <w:rsid w:val="007478A1"/>
    <w:rsid w:val="00747B5A"/>
    <w:rsid w:val="00747C02"/>
    <w:rsid w:val="0075009D"/>
    <w:rsid w:val="0075013F"/>
    <w:rsid w:val="00750260"/>
    <w:rsid w:val="00750532"/>
    <w:rsid w:val="0075065E"/>
    <w:rsid w:val="00750727"/>
    <w:rsid w:val="007509DD"/>
    <w:rsid w:val="00750A45"/>
    <w:rsid w:val="00750CDC"/>
    <w:rsid w:val="00750E53"/>
    <w:rsid w:val="00750FB3"/>
    <w:rsid w:val="00750FD2"/>
    <w:rsid w:val="007513F3"/>
    <w:rsid w:val="00751517"/>
    <w:rsid w:val="007516BE"/>
    <w:rsid w:val="0075177F"/>
    <w:rsid w:val="007526B0"/>
    <w:rsid w:val="00752BE5"/>
    <w:rsid w:val="00752D35"/>
    <w:rsid w:val="007532F0"/>
    <w:rsid w:val="007533D0"/>
    <w:rsid w:val="00753451"/>
    <w:rsid w:val="0075355E"/>
    <w:rsid w:val="0075368D"/>
    <w:rsid w:val="007537D0"/>
    <w:rsid w:val="00753D5D"/>
    <w:rsid w:val="00753FFB"/>
    <w:rsid w:val="00754015"/>
    <w:rsid w:val="0075403F"/>
    <w:rsid w:val="0075407D"/>
    <w:rsid w:val="00754126"/>
    <w:rsid w:val="0075428D"/>
    <w:rsid w:val="007546BF"/>
    <w:rsid w:val="007547B8"/>
    <w:rsid w:val="00754805"/>
    <w:rsid w:val="007548D9"/>
    <w:rsid w:val="00754A83"/>
    <w:rsid w:val="00754B79"/>
    <w:rsid w:val="00754E8F"/>
    <w:rsid w:val="00754EF7"/>
    <w:rsid w:val="00754FF5"/>
    <w:rsid w:val="00755530"/>
    <w:rsid w:val="007557B3"/>
    <w:rsid w:val="007557E8"/>
    <w:rsid w:val="00755830"/>
    <w:rsid w:val="00755BC9"/>
    <w:rsid w:val="007562AF"/>
    <w:rsid w:val="00756351"/>
    <w:rsid w:val="007563ED"/>
    <w:rsid w:val="00756540"/>
    <w:rsid w:val="007566D8"/>
    <w:rsid w:val="00756A64"/>
    <w:rsid w:val="00756BAD"/>
    <w:rsid w:val="00756DDC"/>
    <w:rsid w:val="00756F82"/>
    <w:rsid w:val="0075709A"/>
    <w:rsid w:val="00757108"/>
    <w:rsid w:val="007571EF"/>
    <w:rsid w:val="00757525"/>
    <w:rsid w:val="0075784B"/>
    <w:rsid w:val="00757917"/>
    <w:rsid w:val="00757BF0"/>
    <w:rsid w:val="00757CD9"/>
    <w:rsid w:val="00757D29"/>
    <w:rsid w:val="007603B7"/>
    <w:rsid w:val="00760B77"/>
    <w:rsid w:val="00761544"/>
    <w:rsid w:val="00761DC2"/>
    <w:rsid w:val="00761E4A"/>
    <w:rsid w:val="007622A2"/>
    <w:rsid w:val="007627B6"/>
    <w:rsid w:val="00762854"/>
    <w:rsid w:val="0076286D"/>
    <w:rsid w:val="007633BC"/>
    <w:rsid w:val="00763408"/>
    <w:rsid w:val="00763474"/>
    <w:rsid w:val="007636FD"/>
    <w:rsid w:val="0076372E"/>
    <w:rsid w:val="00763A7F"/>
    <w:rsid w:val="00763C80"/>
    <w:rsid w:val="007644DF"/>
    <w:rsid w:val="007646F7"/>
    <w:rsid w:val="00764B71"/>
    <w:rsid w:val="00764CB7"/>
    <w:rsid w:val="00764F48"/>
    <w:rsid w:val="00764F8E"/>
    <w:rsid w:val="00764FC0"/>
    <w:rsid w:val="00765182"/>
    <w:rsid w:val="00765407"/>
    <w:rsid w:val="0076587B"/>
    <w:rsid w:val="007658EC"/>
    <w:rsid w:val="007658F4"/>
    <w:rsid w:val="00765E31"/>
    <w:rsid w:val="00765E5C"/>
    <w:rsid w:val="00766184"/>
    <w:rsid w:val="00766322"/>
    <w:rsid w:val="007664D5"/>
    <w:rsid w:val="00766513"/>
    <w:rsid w:val="0076651A"/>
    <w:rsid w:val="00766535"/>
    <w:rsid w:val="00766877"/>
    <w:rsid w:val="0076721A"/>
    <w:rsid w:val="00767444"/>
    <w:rsid w:val="00767ABF"/>
    <w:rsid w:val="00767B33"/>
    <w:rsid w:val="00767B61"/>
    <w:rsid w:val="00767C22"/>
    <w:rsid w:val="00767CFF"/>
    <w:rsid w:val="0077080A"/>
    <w:rsid w:val="00770F7A"/>
    <w:rsid w:val="00770FFE"/>
    <w:rsid w:val="007718DD"/>
    <w:rsid w:val="0077198B"/>
    <w:rsid w:val="00771B63"/>
    <w:rsid w:val="00771B78"/>
    <w:rsid w:val="00771CC0"/>
    <w:rsid w:val="00771E0F"/>
    <w:rsid w:val="00771FC1"/>
    <w:rsid w:val="00772573"/>
    <w:rsid w:val="007726AE"/>
    <w:rsid w:val="007726D6"/>
    <w:rsid w:val="0077288B"/>
    <w:rsid w:val="007728FB"/>
    <w:rsid w:val="007729D3"/>
    <w:rsid w:val="00772F70"/>
    <w:rsid w:val="00772F99"/>
    <w:rsid w:val="007734AB"/>
    <w:rsid w:val="00773581"/>
    <w:rsid w:val="0077380C"/>
    <w:rsid w:val="007739D3"/>
    <w:rsid w:val="00773ABC"/>
    <w:rsid w:val="00773E0E"/>
    <w:rsid w:val="007740CB"/>
    <w:rsid w:val="00774DD9"/>
    <w:rsid w:val="00774F00"/>
    <w:rsid w:val="007754D3"/>
    <w:rsid w:val="007755B5"/>
    <w:rsid w:val="007757F8"/>
    <w:rsid w:val="0077583C"/>
    <w:rsid w:val="00775950"/>
    <w:rsid w:val="007759A8"/>
    <w:rsid w:val="00775B20"/>
    <w:rsid w:val="00775BD4"/>
    <w:rsid w:val="00775BE4"/>
    <w:rsid w:val="0077618F"/>
    <w:rsid w:val="007761B9"/>
    <w:rsid w:val="00776549"/>
    <w:rsid w:val="007766DE"/>
    <w:rsid w:val="00776B52"/>
    <w:rsid w:val="00776B73"/>
    <w:rsid w:val="00776EC1"/>
    <w:rsid w:val="00776F12"/>
    <w:rsid w:val="0077710C"/>
    <w:rsid w:val="0077757F"/>
    <w:rsid w:val="007776FD"/>
    <w:rsid w:val="00777769"/>
    <w:rsid w:val="00777A86"/>
    <w:rsid w:val="00777D8B"/>
    <w:rsid w:val="00777D94"/>
    <w:rsid w:val="00777E4F"/>
    <w:rsid w:val="00777E6F"/>
    <w:rsid w:val="00777E80"/>
    <w:rsid w:val="00780257"/>
    <w:rsid w:val="00780364"/>
    <w:rsid w:val="0078045F"/>
    <w:rsid w:val="00780B56"/>
    <w:rsid w:val="00780D73"/>
    <w:rsid w:val="007810E4"/>
    <w:rsid w:val="007810F0"/>
    <w:rsid w:val="007812D0"/>
    <w:rsid w:val="007813D2"/>
    <w:rsid w:val="00781412"/>
    <w:rsid w:val="00781443"/>
    <w:rsid w:val="00781B8D"/>
    <w:rsid w:val="00782121"/>
    <w:rsid w:val="007824D9"/>
    <w:rsid w:val="0078257B"/>
    <w:rsid w:val="007825DC"/>
    <w:rsid w:val="00782699"/>
    <w:rsid w:val="0078290A"/>
    <w:rsid w:val="007829D4"/>
    <w:rsid w:val="00782B14"/>
    <w:rsid w:val="00782D55"/>
    <w:rsid w:val="00783AC6"/>
    <w:rsid w:val="00783C51"/>
    <w:rsid w:val="00783D75"/>
    <w:rsid w:val="00783E80"/>
    <w:rsid w:val="00783F99"/>
    <w:rsid w:val="00784044"/>
    <w:rsid w:val="00784157"/>
    <w:rsid w:val="007843D6"/>
    <w:rsid w:val="00784409"/>
    <w:rsid w:val="007848EA"/>
    <w:rsid w:val="00784B88"/>
    <w:rsid w:val="00784C0A"/>
    <w:rsid w:val="00784D91"/>
    <w:rsid w:val="00784E1F"/>
    <w:rsid w:val="00785545"/>
    <w:rsid w:val="00785827"/>
    <w:rsid w:val="00785D37"/>
    <w:rsid w:val="00785DE0"/>
    <w:rsid w:val="00785E47"/>
    <w:rsid w:val="00785F2C"/>
    <w:rsid w:val="00786242"/>
    <w:rsid w:val="00786454"/>
    <w:rsid w:val="007864D4"/>
    <w:rsid w:val="007868A5"/>
    <w:rsid w:val="007868D9"/>
    <w:rsid w:val="007869FA"/>
    <w:rsid w:val="00786EBA"/>
    <w:rsid w:val="0078748B"/>
    <w:rsid w:val="00787852"/>
    <w:rsid w:val="007901BD"/>
    <w:rsid w:val="00790287"/>
    <w:rsid w:val="007903BE"/>
    <w:rsid w:val="00790757"/>
    <w:rsid w:val="0079088C"/>
    <w:rsid w:val="00791258"/>
    <w:rsid w:val="00791303"/>
    <w:rsid w:val="007913B1"/>
    <w:rsid w:val="00791437"/>
    <w:rsid w:val="00791813"/>
    <w:rsid w:val="00791A15"/>
    <w:rsid w:val="00791A17"/>
    <w:rsid w:val="00791AA5"/>
    <w:rsid w:val="00791D58"/>
    <w:rsid w:val="00791DCE"/>
    <w:rsid w:val="00791E33"/>
    <w:rsid w:val="007922FB"/>
    <w:rsid w:val="007922FE"/>
    <w:rsid w:val="007929A0"/>
    <w:rsid w:val="00792A3F"/>
    <w:rsid w:val="00793029"/>
    <w:rsid w:val="00793052"/>
    <w:rsid w:val="0079346C"/>
    <w:rsid w:val="0079346E"/>
    <w:rsid w:val="007936A6"/>
    <w:rsid w:val="00793808"/>
    <w:rsid w:val="0079385A"/>
    <w:rsid w:val="0079390D"/>
    <w:rsid w:val="0079393E"/>
    <w:rsid w:val="00793960"/>
    <w:rsid w:val="00793AD6"/>
    <w:rsid w:val="0079425C"/>
    <w:rsid w:val="0079431B"/>
    <w:rsid w:val="00794590"/>
    <w:rsid w:val="00794B40"/>
    <w:rsid w:val="0079501D"/>
    <w:rsid w:val="007951EC"/>
    <w:rsid w:val="0079579F"/>
    <w:rsid w:val="007958F2"/>
    <w:rsid w:val="00795B25"/>
    <w:rsid w:val="00795DD8"/>
    <w:rsid w:val="007965CC"/>
    <w:rsid w:val="0079662E"/>
    <w:rsid w:val="00796699"/>
    <w:rsid w:val="00796772"/>
    <w:rsid w:val="0079693B"/>
    <w:rsid w:val="00796CA6"/>
    <w:rsid w:val="00796CC8"/>
    <w:rsid w:val="00796E26"/>
    <w:rsid w:val="00796ED1"/>
    <w:rsid w:val="007970BE"/>
    <w:rsid w:val="00797182"/>
    <w:rsid w:val="00797474"/>
    <w:rsid w:val="007974F9"/>
    <w:rsid w:val="007975FC"/>
    <w:rsid w:val="00797AF1"/>
    <w:rsid w:val="00797CAC"/>
    <w:rsid w:val="00797E63"/>
    <w:rsid w:val="00797ED2"/>
    <w:rsid w:val="00797FEB"/>
    <w:rsid w:val="007A0015"/>
    <w:rsid w:val="007A029B"/>
    <w:rsid w:val="007A0877"/>
    <w:rsid w:val="007A0905"/>
    <w:rsid w:val="007A0F90"/>
    <w:rsid w:val="007A1079"/>
    <w:rsid w:val="007A1080"/>
    <w:rsid w:val="007A12BE"/>
    <w:rsid w:val="007A13A6"/>
    <w:rsid w:val="007A1410"/>
    <w:rsid w:val="007A150F"/>
    <w:rsid w:val="007A15E7"/>
    <w:rsid w:val="007A176F"/>
    <w:rsid w:val="007A1965"/>
    <w:rsid w:val="007A1E98"/>
    <w:rsid w:val="007A1F1A"/>
    <w:rsid w:val="007A1FE3"/>
    <w:rsid w:val="007A235D"/>
    <w:rsid w:val="007A23D3"/>
    <w:rsid w:val="007A25DB"/>
    <w:rsid w:val="007A2780"/>
    <w:rsid w:val="007A2CC9"/>
    <w:rsid w:val="007A3188"/>
    <w:rsid w:val="007A34E6"/>
    <w:rsid w:val="007A385E"/>
    <w:rsid w:val="007A39E1"/>
    <w:rsid w:val="007A3BB4"/>
    <w:rsid w:val="007A3C2B"/>
    <w:rsid w:val="007A3C9E"/>
    <w:rsid w:val="007A3DB3"/>
    <w:rsid w:val="007A3E40"/>
    <w:rsid w:val="007A444A"/>
    <w:rsid w:val="007A449E"/>
    <w:rsid w:val="007A4551"/>
    <w:rsid w:val="007A45FA"/>
    <w:rsid w:val="007A4B68"/>
    <w:rsid w:val="007A4FC4"/>
    <w:rsid w:val="007A53F5"/>
    <w:rsid w:val="007A540E"/>
    <w:rsid w:val="007A552D"/>
    <w:rsid w:val="007A5874"/>
    <w:rsid w:val="007A59D4"/>
    <w:rsid w:val="007A5DCB"/>
    <w:rsid w:val="007A5E57"/>
    <w:rsid w:val="007A61B1"/>
    <w:rsid w:val="007A622D"/>
    <w:rsid w:val="007A651E"/>
    <w:rsid w:val="007A66A3"/>
    <w:rsid w:val="007A66B7"/>
    <w:rsid w:val="007A672B"/>
    <w:rsid w:val="007A673E"/>
    <w:rsid w:val="007A67E0"/>
    <w:rsid w:val="007A6942"/>
    <w:rsid w:val="007A6BDE"/>
    <w:rsid w:val="007A6C79"/>
    <w:rsid w:val="007A6FDC"/>
    <w:rsid w:val="007A6FFE"/>
    <w:rsid w:val="007A717A"/>
    <w:rsid w:val="007A729D"/>
    <w:rsid w:val="007A7604"/>
    <w:rsid w:val="007A7621"/>
    <w:rsid w:val="007A767A"/>
    <w:rsid w:val="007A7832"/>
    <w:rsid w:val="007A78EE"/>
    <w:rsid w:val="007A79F5"/>
    <w:rsid w:val="007A7C67"/>
    <w:rsid w:val="007A7CAE"/>
    <w:rsid w:val="007A7FC3"/>
    <w:rsid w:val="007B0004"/>
    <w:rsid w:val="007B01A9"/>
    <w:rsid w:val="007B038B"/>
    <w:rsid w:val="007B0943"/>
    <w:rsid w:val="007B0DD3"/>
    <w:rsid w:val="007B1162"/>
    <w:rsid w:val="007B13D7"/>
    <w:rsid w:val="007B160F"/>
    <w:rsid w:val="007B17BB"/>
    <w:rsid w:val="007B18F9"/>
    <w:rsid w:val="007B1ACD"/>
    <w:rsid w:val="007B1E8F"/>
    <w:rsid w:val="007B20C7"/>
    <w:rsid w:val="007B21AE"/>
    <w:rsid w:val="007B24EE"/>
    <w:rsid w:val="007B2677"/>
    <w:rsid w:val="007B26A5"/>
    <w:rsid w:val="007B27AD"/>
    <w:rsid w:val="007B28BD"/>
    <w:rsid w:val="007B2CA8"/>
    <w:rsid w:val="007B33DC"/>
    <w:rsid w:val="007B35D3"/>
    <w:rsid w:val="007B3603"/>
    <w:rsid w:val="007B36C6"/>
    <w:rsid w:val="007B3C1F"/>
    <w:rsid w:val="007B3DA8"/>
    <w:rsid w:val="007B43B9"/>
    <w:rsid w:val="007B4539"/>
    <w:rsid w:val="007B49F2"/>
    <w:rsid w:val="007B4CA0"/>
    <w:rsid w:val="007B549A"/>
    <w:rsid w:val="007B57F3"/>
    <w:rsid w:val="007B5BE2"/>
    <w:rsid w:val="007B5BE3"/>
    <w:rsid w:val="007B5E87"/>
    <w:rsid w:val="007B6082"/>
    <w:rsid w:val="007B6675"/>
    <w:rsid w:val="007B6BC4"/>
    <w:rsid w:val="007B6E86"/>
    <w:rsid w:val="007B7211"/>
    <w:rsid w:val="007B72E4"/>
    <w:rsid w:val="007B74DE"/>
    <w:rsid w:val="007B7610"/>
    <w:rsid w:val="007B7664"/>
    <w:rsid w:val="007B76AB"/>
    <w:rsid w:val="007B7BBF"/>
    <w:rsid w:val="007C007D"/>
    <w:rsid w:val="007C0093"/>
    <w:rsid w:val="007C037B"/>
    <w:rsid w:val="007C05A6"/>
    <w:rsid w:val="007C05BB"/>
    <w:rsid w:val="007C076B"/>
    <w:rsid w:val="007C10C6"/>
    <w:rsid w:val="007C11A8"/>
    <w:rsid w:val="007C1276"/>
    <w:rsid w:val="007C12B2"/>
    <w:rsid w:val="007C149B"/>
    <w:rsid w:val="007C17F7"/>
    <w:rsid w:val="007C18A1"/>
    <w:rsid w:val="007C1A15"/>
    <w:rsid w:val="007C1A4A"/>
    <w:rsid w:val="007C1D78"/>
    <w:rsid w:val="007C2068"/>
    <w:rsid w:val="007C23A1"/>
    <w:rsid w:val="007C2493"/>
    <w:rsid w:val="007C25EF"/>
    <w:rsid w:val="007C2832"/>
    <w:rsid w:val="007C291F"/>
    <w:rsid w:val="007C2F54"/>
    <w:rsid w:val="007C30D8"/>
    <w:rsid w:val="007C341F"/>
    <w:rsid w:val="007C346D"/>
    <w:rsid w:val="007C38D3"/>
    <w:rsid w:val="007C3B8C"/>
    <w:rsid w:val="007C3D48"/>
    <w:rsid w:val="007C4035"/>
    <w:rsid w:val="007C4073"/>
    <w:rsid w:val="007C463E"/>
    <w:rsid w:val="007C4799"/>
    <w:rsid w:val="007C4D79"/>
    <w:rsid w:val="007C5836"/>
    <w:rsid w:val="007C583A"/>
    <w:rsid w:val="007C5E1D"/>
    <w:rsid w:val="007C5F69"/>
    <w:rsid w:val="007C6494"/>
    <w:rsid w:val="007C6620"/>
    <w:rsid w:val="007C663C"/>
    <w:rsid w:val="007C674D"/>
    <w:rsid w:val="007C692E"/>
    <w:rsid w:val="007C69F7"/>
    <w:rsid w:val="007C6BEF"/>
    <w:rsid w:val="007C6E35"/>
    <w:rsid w:val="007C6E4C"/>
    <w:rsid w:val="007C6F29"/>
    <w:rsid w:val="007C6F8A"/>
    <w:rsid w:val="007C740B"/>
    <w:rsid w:val="007C7550"/>
    <w:rsid w:val="007C7C79"/>
    <w:rsid w:val="007D057B"/>
    <w:rsid w:val="007D0B2B"/>
    <w:rsid w:val="007D0C97"/>
    <w:rsid w:val="007D0CF0"/>
    <w:rsid w:val="007D114C"/>
    <w:rsid w:val="007D1238"/>
    <w:rsid w:val="007D1267"/>
    <w:rsid w:val="007D16DA"/>
    <w:rsid w:val="007D1988"/>
    <w:rsid w:val="007D199B"/>
    <w:rsid w:val="007D1A59"/>
    <w:rsid w:val="007D1A99"/>
    <w:rsid w:val="007D1B0E"/>
    <w:rsid w:val="007D2062"/>
    <w:rsid w:val="007D20B5"/>
    <w:rsid w:val="007D2393"/>
    <w:rsid w:val="007D2CA0"/>
    <w:rsid w:val="007D2CAF"/>
    <w:rsid w:val="007D2EDC"/>
    <w:rsid w:val="007D32D9"/>
    <w:rsid w:val="007D34BF"/>
    <w:rsid w:val="007D3569"/>
    <w:rsid w:val="007D3A5C"/>
    <w:rsid w:val="007D3D47"/>
    <w:rsid w:val="007D3DD5"/>
    <w:rsid w:val="007D3E76"/>
    <w:rsid w:val="007D4012"/>
    <w:rsid w:val="007D416B"/>
    <w:rsid w:val="007D41EB"/>
    <w:rsid w:val="007D442F"/>
    <w:rsid w:val="007D4ABB"/>
    <w:rsid w:val="007D4B21"/>
    <w:rsid w:val="007D4BCA"/>
    <w:rsid w:val="007D4CAB"/>
    <w:rsid w:val="007D5759"/>
    <w:rsid w:val="007D592B"/>
    <w:rsid w:val="007D5A26"/>
    <w:rsid w:val="007D5AA6"/>
    <w:rsid w:val="007D5E04"/>
    <w:rsid w:val="007D5FAC"/>
    <w:rsid w:val="007D61FA"/>
    <w:rsid w:val="007D647F"/>
    <w:rsid w:val="007D68FF"/>
    <w:rsid w:val="007D6991"/>
    <w:rsid w:val="007D6C8F"/>
    <w:rsid w:val="007D6D9B"/>
    <w:rsid w:val="007D719B"/>
    <w:rsid w:val="007D76A9"/>
    <w:rsid w:val="007D7721"/>
    <w:rsid w:val="007D7A91"/>
    <w:rsid w:val="007D7E42"/>
    <w:rsid w:val="007D7E9C"/>
    <w:rsid w:val="007D7F36"/>
    <w:rsid w:val="007E0073"/>
    <w:rsid w:val="007E00F5"/>
    <w:rsid w:val="007E0393"/>
    <w:rsid w:val="007E03D1"/>
    <w:rsid w:val="007E0484"/>
    <w:rsid w:val="007E0496"/>
    <w:rsid w:val="007E069C"/>
    <w:rsid w:val="007E0901"/>
    <w:rsid w:val="007E0A94"/>
    <w:rsid w:val="007E0ABE"/>
    <w:rsid w:val="007E0B22"/>
    <w:rsid w:val="007E0C57"/>
    <w:rsid w:val="007E0C97"/>
    <w:rsid w:val="007E0CFA"/>
    <w:rsid w:val="007E0E33"/>
    <w:rsid w:val="007E17D5"/>
    <w:rsid w:val="007E18D2"/>
    <w:rsid w:val="007E1EB8"/>
    <w:rsid w:val="007E2197"/>
    <w:rsid w:val="007E2391"/>
    <w:rsid w:val="007E27D9"/>
    <w:rsid w:val="007E2984"/>
    <w:rsid w:val="007E2C0E"/>
    <w:rsid w:val="007E2D24"/>
    <w:rsid w:val="007E3192"/>
    <w:rsid w:val="007E35E8"/>
    <w:rsid w:val="007E391A"/>
    <w:rsid w:val="007E3A22"/>
    <w:rsid w:val="007E3AD1"/>
    <w:rsid w:val="007E40A5"/>
    <w:rsid w:val="007E4277"/>
    <w:rsid w:val="007E468F"/>
    <w:rsid w:val="007E4C98"/>
    <w:rsid w:val="007E4F03"/>
    <w:rsid w:val="007E514C"/>
    <w:rsid w:val="007E51AA"/>
    <w:rsid w:val="007E525C"/>
    <w:rsid w:val="007E54B6"/>
    <w:rsid w:val="007E556A"/>
    <w:rsid w:val="007E569F"/>
    <w:rsid w:val="007E588C"/>
    <w:rsid w:val="007E5DFF"/>
    <w:rsid w:val="007E5E02"/>
    <w:rsid w:val="007E5F47"/>
    <w:rsid w:val="007E5FEA"/>
    <w:rsid w:val="007E63FD"/>
    <w:rsid w:val="007E6456"/>
    <w:rsid w:val="007E699D"/>
    <w:rsid w:val="007E7010"/>
    <w:rsid w:val="007E751F"/>
    <w:rsid w:val="007E7756"/>
    <w:rsid w:val="007E7930"/>
    <w:rsid w:val="007E7AC9"/>
    <w:rsid w:val="007E7BA3"/>
    <w:rsid w:val="007F014A"/>
    <w:rsid w:val="007F0283"/>
    <w:rsid w:val="007F05FE"/>
    <w:rsid w:val="007F08D5"/>
    <w:rsid w:val="007F08FF"/>
    <w:rsid w:val="007F0B1D"/>
    <w:rsid w:val="007F0B67"/>
    <w:rsid w:val="007F0CEC"/>
    <w:rsid w:val="007F0DE7"/>
    <w:rsid w:val="007F0E2A"/>
    <w:rsid w:val="007F0EEB"/>
    <w:rsid w:val="007F1383"/>
    <w:rsid w:val="007F13D0"/>
    <w:rsid w:val="007F187B"/>
    <w:rsid w:val="007F18E1"/>
    <w:rsid w:val="007F1B93"/>
    <w:rsid w:val="007F1FCA"/>
    <w:rsid w:val="007F2106"/>
    <w:rsid w:val="007F22BE"/>
    <w:rsid w:val="007F238E"/>
    <w:rsid w:val="007F23E6"/>
    <w:rsid w:val="007F240F"/>
    <w:rsid w:val="007F27FF"/>
    <w:rsid w:val="007F327C"/>
    <w:rsid w:val="007F389A"/>
    <w:rsid w:val="007F3944"/>
    <w:rsid w:val="007F3A66"/>
    <w:rsid w:val="007F3B76"/>
    <w:rsid w:val="007F3FA2"/>
    <w:rsid w:val="007F4B69"/>
    <w:rsid w:val="007F50BA"/>
    <w:rsid w:val="007F5113"/>
    <w:rsid w:val="007F546B"/>
    <w:rsid w:val="007F554E"/>
    <w:rsid w:val="007F575F"/>
    <w:rsid w:val="007F5769"/>
    <w:rsid w:val="007F58A3"/>
    <w:rsid w:val="007F65B1"/>
    <w:rsid w:val="007F6ABC"/>
    <w:rsid w:val="007F6CB3"/>
    <w:rsid w:val="007F6E64"/>
    <w:rsid w:val="007F6F54"/>
    <w:rsid w:val="007F706B"/>
    <w:rsid w:val="007F7699"/>
    <w:rsid w:val="007F7703"/>
    <w:rsid w:val="007F7B51"/>
    <w:rsid w:val="007F7E5A"/>
    <w:rsid w:val="00800085"/>
    <w:rsid w:val="0080016B"/>
    <w:rsid w:val="008004C2"/>
    <w:rsid w:val="0080052A"/>
    <w:rsid w:val="008006A3"/>
    <w:rsid w:val="00800758"/>
    <w:rsid w:val="00800C28"/>
    <w:rsid w:val="0080100F"/>
    <w:rsid w:val="00801145"/>
    <w:rsid w:val="008013FF"/>
    <w:rsid w:val="0080145C"/>
    <w:rsid w:val="0080201A"/>
    <w:rsid w:val="00802256"/>
    <w:rsid w:val="00802610"/>
    <w:rsid w:val="00802936"/>
    <w:rsid w:val="00802CE4"/>
    <w:rsid w:val="00802FB3"/>
    <w:rsid w:val="008034C4"/>
    <w:rsid w:val="00803691"/>
    <w:rsid w:val="008036E7"/>
    <w:rsid w:val="00803A6E"/>
    <w:rsid w:val="00803DEB"/>
    <w:rsid w:val="00804758"/>
    <w:rsid w:val="0080476B"/>
    <w:rsid w:val="0080538A"/>
    <w:rsid w:val="00805466"/>
    <w:rsid w:val="008054DC"/>
    <w:rsid w:val="00805CF4"/>
    <w:rsid w:val="00805F63"/>
    <w:rsid w:val="00806423"/>
    <w:rsid w:val="00806603"/>
    <w:rsid w:val="00806936"/>
    <w:rsid w:val="0080699F"/>
    <w:rsid w:val="00806C6E"/>
    <w:rsid w:val="00806CC0"/>
    <w:rsid w:val="00806F27"/>
    <w:rsid w:val="00807140"/>
    <w:rsid w:val="00807C65"/>
    <w:rsid w:val="00807CDA"/>
    <w:rsid w:val="00810179"/>
    <w:rsid w:val="00810937"/>
    <w:rsid w:val="00810C17"/>
    <w:rsid w:val="0081116A"/>
    <w:rsid w:val="00811317"/>
    <w:rsid w:val="008114F0"/>
    <w:rsid w:val="00811943"/>
    <w:rsid w:val="00811CEA"/>
    <w:rsid w:val="008120CB"/>
    <w:rsid w:val="008126DF"/>
    <w:rsid w:val="00812DA6"/>
    <w:rsid w:val="0081317E"/>
    <w:rsid w:val="008133A2"/>
    <w:rsid w:val="008133C6"/>
    <w:rsid w:val="0081348C"/>
    <w:rsid w:val="00813D2B"/>
    <w:rsid w:val="00813FBE"/>
    <w:rsid w:val="008144BF"/>
    <w:rsid w:val="008147DD"/>
    <w:rsid w:val="00814FC8"/>
    <w:rsid w:val="00815293"/>
    <w:rsid w:val="00815778"/>
    <w:rsid w:val="008157A6"/>
    <w:rsid w:val="00815A1D"/>
    <w:rsid w:val="00815A50"/>
    <w:rsid w:val="00815B26"/>
    <w:rsid w:val="00815BD2"/>
    <w:rsid w:val="00815C81"/>
    <w:rsid w:val="00815D0E"/>
    <w:rsid w:val="0081649F"/>
    <w:rsid w:val="00816506"/>
    <w:rsid w:val="00816754"/>
    <w:rsid w:val="00816799"/>
    <w:rsid w:val="008168D9"/>
    <w:rsid w:val="008168FB"/>
    <w:rsid w:val="00816EAC"/>
    <w:rsid w:val="00817101"/>
    <w:rsid w:val="00817658"/>
    <w:rsid w:val="0081782A"/>
    <w:rsid w:val="00817876"/>
    <w:rsid w:val="008178BC"/>
    <w:rsid w:val="0081791B"/>
    <w:rsid w:val="00817A96"/>
    <w:rsid w:val="00817AB8"/>
    <w:rsid w:val="00817CF1"/>
    <w:rsid w:val="00817D50"/>
    <w:rsid w:val="00817E82"/>
    <w:rsid w:val="00820278"/>
    <w:rsid w:val="00820864"/>
    <w:rsid w:val="008208EE"/>
    <w:rsid w:val="00820AA9"/>
    <w:rsid w:val="00820D1E"/>
    <w:rsid w:val="00820E47"/>
    <w:rsid w:val="00820FBD"/>
    <w:rsid w:val="008215FB"/>
    <w:rsid w:val="00821631"/>
    <w:rsid w:val="00821651"/>
    <w:rsid w:val="008218D7"/>
    <w:rsid w:val="00821971"/>
    <w:rsid w:val="00821A40"/>
    <w:rsid w:val="00821D2E"/>
    <w:rsid w:val="008222EE"/>
    <w:rsid w:val="0082297A"/>
    <w:rsid w:val="00822D08"/>
    <w:rsid w:val="00822FA4"/>
    <w:rsid w:val="00823163"/>
    <w:rsid w:val="008231DD"/>
    <w:rsid w:val="00823317"/>
    <w:rsid w:val="00823449"/>
    <w:rsid w:val="00823464"/>
    <w:rsid w:val="00823495"/>
    <w:rsid w:val="008234E3"/>
    <w:rsid w:val="0082374E"/>
    <w:rsid w:val="00823C6D"/>
    <w:rsid w:val="00823F8D"/>
    <w:rsid w:val="00824204"/>
    <w:rsid w:val="00824985"/>
    <w:rsid w:val="00825199"/>
    <w:rsid w:val="008251AA"/>
    <w:rsid w:val="008252D7"/>
    <w:rsid w:val="008256D9"/>
    <w:rsid w:val="00825836"/>
    <w:rsid w:val="00825918"/>
    <w:rsid w:val="00825980"/>
    <w:rsid w:val="0082598B"/>
    <w:rsid w:val="0082638D"/>
    <w:rsid w:val="00826679"/>
    <w:rsid w:val="00826845"/>
    <w:rsid w:val="0082693C"/>
    <w:rsid w:val="0082694B"/>
    <w:rsid w:val="00827231"/>
    <w:rsid w:val="00827249"/>
    <w:rsid w:val="0082751F"/>
    <w:rsid w:val="008275CC"/>
    <w:rsid w:val="00827950"/>
    <w:rsid w:val="00827A05"/>
    <w:rsid w:val="00827D21"/>
    <w:rsid w:val="00827E03"/>
    <w:rsid w:val="00827F1B"/>
    <w:rsid w:val="00830074"/>
    <w:rsid w:val="0083045B"/>
    <w:rsid w:val="008304A3"/>
    <w:rsid w:val="008306B6"/>
    <w:rsid w:val="00830A8E"/>
    <w:rsid w:val="00830AAA"/>
    <w:rsid w:val="00830C65"/>
    <w:rsid w:val="00830DF2"/>
    <w:rsid w:val="008311B8"/>
    <w:rsid w:val="00831617"/>
    <w:rsid w:val="008319A0"/>
    <w:rsid w:val="008319A4"/>
    <w:rsid w:val="00831B0F"/>
    <w:rsid w:val="00832011"/>
    <w:rsid w:val="008322EC"/>
    <w:rsid w:val="008327FC"/>
    <w:rsid w:val="008329FA"/>
    <w:rsid w:val="00832B6F"/>
    <w:rsid w:val="00832F64"/>
    <w:rsid w:val="008332F1"/>
    <w:rsid w:val="00833A5B"/>
    <w:rsid w:val="00834243"/>
    <w:rsid w:val="00834284"/>
    <w:rsid w:val="00834D55"/>
    <w:rsid w:val="008354EE"/>
    <w:rsid w:val="0083567E"/>
    <w:rsid w:val="0083581F"/>
    <w:rsid w:val="008358A9"/>
    <w:rsid w:val="00835A5B"/>
    <w:rsid w:val="00835B3B"/>
    <w:rsid w:val="00835E18"/>
    <w:rsid w:val="00835E44"/>
    <w:rsid w:val="008363BA"/>
    <w:rsid w:val="00836511"/>
    <w:rsid w:val="008366C9"/>
    <w:rsid w:val="00836769"/>
    <w:rsid w:val="0083676F"/>
    <w:rsid w:val="008368A2"/>
    <w:rsid w:val="00836A06"/>
    <w:rsid w:val="00836C2E"/>
    <w:rsid w:val="00836F25"/>
    <w:rsid w:val="008370E2"/>
    <w:rsid w:val="008374C4"/>
    <w:rsid w:val="00837686"/>
    <w:rsid w:val="00837742"/>
    <w:rsid w:val="00837896"/>
    <w:rsid w:val="00837D72"/>
    <w:rsid w:val="00840137"/>
    <w:rsid w:val="00840359"/>
    <w:rsid w:val="008406CD"/>
    <w:rsid w:val="008406EC"/>
    <w:rsid w:val="008407C3"/>
    <w:rsid w:val="0084095E"/>
    <w:rsid w:val="00840B2C"/>
    <w:rsid w:val="00841241"/>
    <w:rsid w:val="008412A6"/>
    <w:rsid w:val="008414A9"/>
    <w:rsid w:val="0084184C"/>
    <w:rsid w:val="00841F6A"/>
    <w:rsid w:val="0084222B"/>
    <w:rsid w:val="008423D3"/>
    <w:rsid w:val="00842658"/>
    <w:rsid w:val="00842B10"/>
    <w:rsid w:val="00842B2F"/>
    <w:rsid w:val="00843005"/>
    <w:rsid w:val="0084306E"/>
    <w:rsid w:val="0084310C"/>
    <w:rsid w:val="00843462"/>
    <w:rsid w:val="008434A5"/>
    <w:rsid w:val="008434B1"/>
    <w:rsid w:val="008434D3"/>
    <w:rsid w:val="0084359D"/>
    <w:rsid w:val="008436E9"/>
    <w:rsid w:val="008437EA"/>
    <w:rsid w:val="00843876"/>
    <w:rsid w:val="00843F24"/>
    <w:rsid w:val="008441FB"/>
    <w:rsid w:val="00844303"/>
    <w:rsid w:val="008444B0"/>
    <w:rsid w:val="00844599"/>
    <w:rsid w:val="0084482A"/>
    <w:rsid w:val="00844F17"/>
    <w:rsid w:val="00844F4B"/>
    <w:rsid w:val="008454BD"/>
    <w:rsid w:val="0084586D"/>
    <w:rsid w:val="008459B4"/>
    <w:rsid w:val="00845B4C"/>
    <w:rsid w:val="00845DFE"/>
    <w:rsid w:val="008460C6"/>
    <w:rsid w:val="008461DC"/>
    <w:rsid w:val="008463AF"/>
    <w:rsid w:val="008464BC"/>
    <w:rsid w:val="008466E9"/>
    <w:rsid w:val="0084677F"/>
    <w:rsid w:val="008467F9"/>
    <w:rsid w:val="0084699C"/>
    <w:rsid w:val="00846AF5"/>
    <w:rsid w:val="00846C19"/>
    <w:rsid w:val="00847315"/>
    <w:rsid w:val="008478FF"/>
    <w:rsid w:val="00847D0C"/>
    <w:rsid w:val="00847D3A"/>
    <w:rsid w:val="00847E6A"/>
    <w:rsid w:val="008500F9"/>
    <w:rsid w:val="00850409"/>
    <w:rsid w:val="00850465"/>
    <w:rsid w:val="0085055A"/>
    <w:rsid w:val="008508DD"/>
    <w:rsid w:val="00850A3E"/>
    <w:rsid w:val="00850C06"/>
    <w:rsid w:val="00850C76"/>
    <w:rsid w:val="00851283"/>
    <w:rsid w:val="0085138B"/>
    <w:rsid w:val="00851C6C"/>
    <w:rsid w:val="008523D3"/>
    <w:rsid w:val="0085244C"/>
    <w:rsid w:val="00852590"/>
    <w:rsid w:val="00852749"/>
    <w:rsid w:val="008529AA"/>
    <w:rsid w:val="00852E23"/>
    <w:rsid w:val="00852F87"/>
    <w:rsid w:val="0085322E"/>
    <w:rsid w:val="00853549"/>
    <w:rsid w:val="00853768"/>
    <w:rsid w:val="008537EB"/>
    <w:rsid w:val="008539C8"/>
    <w:rsid w:val="00853E6E"/>
    <w:rsid w:val="00853FAC"/>
    <w:rsid w:val="00854A06"/>
    <w:rsid w:val="00854A18"/>
    <w:rsid w:val="00854F39"/>
    <w:rsid w:val="008551CE"/>
    <w:rsid w:val="00855453"/>
    <w:rsid w:val="008554C7"/>
    <w:rsid w:val="00855B68"/>
    <w:rsid w:val="00855F63"/>
    <w:rsid w:val="008560DF"/>
    <w:rsid w:val="00856115"/>
    <w:rsid w:val="00856391"/>
    <w:rsid w:val="0085643F"/>
    <w:rsid w:val="008564ED"/>
    <w:rsid w:val="008567EA"/>
    <w:rsid w:val="00856905"/>
    <w:rsid w:val="0085692D"/>
    <w:rsid w:val="00856B54"/>
    <w:rsid w:val="00856C98"/>
    <w:rsid w:val="00856D21"/>
    <w:rsid w:val="00856DEB"/>
    <w:rsid w:val="00856F4A"/>
    <w:rsid w:val="00857366"/>
    <w:rsid w:val="008578EA"/>
    <w:rsid w:val="00857969"/>
    <w:rsid w:val="00857B83"/>
    <w:rsid w:val="00857D8C"/>
    <w:rsid w:val="00857F4D"/>
    <w:rsid w:val="008601D7"/>
    <w:rsid w:val="00860461"/>
    <w:rsid w:val="0086049F"/>
    <w:rsid w:val="008604A6"/>
    <w:rsid w:val="0086067F"/>
    <w:rsid w:val="0086085F"/>
    <w:rsid w:val="00860B19"/>
    <w:rsid w:val="00860E89"/>
    <w:rsid w:val="00860F7D"/>
    <w:rsid w:val="008610DF"/>
    <w:rsid w:val="008616E7"/>
    <w:rsid w:val="008616EE"/>
    <w:rsid w:val="00861917"/>
    <w:rsid w:val="00861C22"/>
    <w:rsid w:val="00861CB1"/>
    <w:rsid w:val="00861D2A"/>
    <w:rsid w:val="00862247"/>
    <w:rsid w:val="0086271D"/>
    <w:rsid w:val="008628AC"/>
    <w:rsid w:val="00862944"/>
    <w:rsid w:val="00862EE6"/>
    <w:rsid w:val="00863092"/>
    <w:rsid w:val="00863133"/>
    <w:rsid w:val="00863161"/>
    <w:rsid w:val="008632B6"/>
    <w:rsid w:val="008634DD"/>
    <w:rsid w:val="0086387E"/>
    <w:rsid w:val="00864435"/>
    <w:rsid w:val="00864694"/>
    <w:rsid w:val="00864704"/>
    <w:rsid w:val="008647D6"/>
    <w:rsid w:val="0086490C"/>
    <w:rsid w:val="00864993"/>
    <w:rsid w:val="00864A71"/>
    <w:rsid w:val="00864AD7"/>
    <w:rsid w:val="00864C23"/>
    <w:rsid w:val="00864EC6"/>
    <w:rsid w:val="008651C1"/>
    <w:rsid w:val="008654AF"/>
    <w:rsid w:val="00865751"/>
    <w:rsid w:val="0086594D"/>
    <w:rsid w:val="00865955"/>
    <w:rsid w:val="0086596D"/>
    <w:rsid w:val="00865CD7"/>
    <w:rsid w:val="008660CB"/>
    <w:rsid w:val="008660F4"/>
    <w:rsid w:val="00866472"/>
    <w:rsid w:val="008664AA"/>
    <w:rsid w:val="00866521"/>
    <w:rsid w:val="00866719"/>
    <w:rsid w:val="00866A2C"/>
    <w:rsid w:val="00866AF9"/>
    <w:rsid w:val="00866B12"/>
    <w:rsid w:val="008670B0"/>
    <w:rsid w:val="008670D6"/>
    <w:rsid w:val="008671A2"/>
    <w:rsid w:val="00867A2C"/>
    <w:rsid w:val="0087014C"/>
    <w:rsid w:val="0087017A"/>
    <w:rsid w:val="00870269"/>
    <w:rsid w:val="00870393"/>
    <w:rsid w:val="0087043E"/>
    <w:rsid w:val="00870603"/>
    <w:rsid w:val="008708CE"/>
    <w:rsid w:val="00870D0F"/>
    <w:rsid w:val="00870D6B"/>
    <w:rsid w:val="00870E4E"/>
    <w:rsid w:val="00870F6B"/>
    <w:rsid w:val="00871266"/>
    <w:rsid w:val="00871A89"/>
    <w:rsid w:val="00872248"/>
    <w:rsid w:val="00872666"/>
    <w:rsid w:val="00872DB2"/>
    <w:rsid w:val="008731D0"/>
    <w:rsid w:val="0087337B"/>
    <w:rsid w:val="0087353B"/>
    <w:rsid w:val="00873958"/>
    <w:rsid w:val="00873F4E"/>
    <w:rsid w:val="0087414B"/>
    <w:rsid w:val="008742F2"/>
    <w:rsid w:val="00874B64"/>
    <w:rsid w:val="008751E2"/>
    <w:rsid w:val="008754E1"/>
    <w:rsid w:val="00875874"/>
    <w:rsid w:val="00875876"/>
    <w:rsid w:val="00875910"/>
    <w:rsid w:val="00875A63"/>
    <w:rsid w:val="00875A80"/>
    <w:rsid w:val="00875B2D"/>
    <w:rsid w:val="00875D20"/>
    <w:rsid w:val="00875E06"/>
    <w:rsid w:val="00876073"/>
    <w:rsid w:val="00876366"/>
    <w:rsid w:val="0087652E"/>
    <w:rsid w:val="00876B5A"/>
    <w:rsid w:val="00876EAB"/>
    <w:rsid w:val="00876FFC"/>
    <w:rsid w:val="0087712C"/>
    <w:rsid w:val="00877398"/>
    <w:rsid w:val="0087740C"/>
    <w:rsid w:val="008778DF"/>
    <w:rsid w:val="00877E43"/>
    <w:rsid w:val="00877F24"/>
    <w:rsid w:val="0088015C"/>
    <w:rsid w:val="008802D9"/>
    <w:rsid w:val="008803F6"/>
    <w:rsid w:val="008804E4"/>
    <w:rsid w:val="00880C65"/>
    <w:rsid w:val="00880EAE"/>
    <w:rsid w:val="00880F8B"/>
    <w:rsid w:val="00881253"/>
    <w:rsid w:val="0088173B"/>
    <w:rsid w:val="00881815"/>
    <w:rsid w:val="0088193C"/>
    <w:rsid w:val="00881D59"/>
    <w:rsid w:val="00881F1C"/>
    <w:rsid w:val="008820E5"/>
    <w:rsid w:val="008822B1"/>
    <w:rsid w:val="0088239F"/>
    <w:rsid w:val="0088240D"/>
    <w:rsid w:val="00882577"/>
    <w:rsid w:val="0088292E"/>
    <w:rsid w:val="00882A65"/>
    <w:rsid w:val="00882B99"/>
    <w:rsid w:val="00882C00"/>
    <w:rsid w:val="00882CC4"/>
    <w:rsid w:val="00882FCC"/>
    <w:rsid w:val="0088305D"/>
    <w:rsid w:val="0088309D"/>
    <w:rsid w:val="008835D2"/>
    <w:rsid w:val="0088371B"/>
    <w:rsid w:val="008838D8"/>
    <w:rsid w:val="00883BD0"/>
    <w:rsid w:val="00883E42"/>
    <w:rsid w:val="00884246"/>
    <w:rsid w:val="008842C8"/>
    <w:rsid w:val="00884422"/>
    <w:rsid w:val="0088445A"/>
    <w:rsid w:val="008844AC"/>
    <w:rsid w:val="00884B00"/>
    <w:rsid w:val="00884EED"/>
    <w:rsid w:val="00885196"/>
    <w:rsid w:val="008852F8"/>
    <w:rsid w:val="00885340"/>
    <w:rsid w:val="008855C9"/>
    <w:rsid w:val="00885753"/>
    <w:rsid w:val="0088592F"/>
    <w:rsid w:val="0088597B"/>
    <w:rsid w:val="00885C88"/>
    <w:rsid w:val="00885D8B"/>
    <w:rsid w:val="008866CE"/>
    <w:rsid w:val="0088691C"/>
    <w:rsid w:val="00886E39"/>
    <w:rsid w:val="008873CE"/>
    <w:rsid w:val="00887554"/>
    <w:rsid w:val="00887BA5"/>
    <w:rsid w:val="00887BD6"/>
    <w:rsid w:val="00887E72"/>
    <w:rsid w:val="00887F2F"/>
    <w:rsid w:val="00890335"/>
    <w:rsid w:val="008903DD"/>
    <w:rsid w:val="008904F7"/>
    <w:rsid w:val="008908AA"/>
    <w:rsid w:val="00890F32"/>
    <w:rsid w:val="00890F46"/>
    <w:rsid w:val="0089105C"/>
    <w:rsid w:val="00891189"/>
    <w:rsid w:val="0089139E"/>
    <w:rsid w:val="008916D4"/>
    <w:rsid w:val="008916DC"/>
    <w:rsid w:val="00891743"/>
    <w:rsid w:val="0089178F"/>
    <w:rsid w:val="0089183E"/>
    <w:rsid w:val="008919D6"/>
    <w:rsid w:val="00892053"/>
    <w:rsid w:val="0089216D"/>
    <w:rsid w:val="00892538"/>
    <w:rsid w:val="00892768"/>
    <w:rsid w:val="00892912"/>
    <w:rsid w:val="00892D39"/>
    <w:rsid w:val="00892E1F"/>
    <w:rsid w:val="00892F85"/>
    <w:rsid w:val="00893049"/>
    <w:rsid w:val="00893100"/>
    <w:rsid w:val="0089318D"/>
    <w:rsid w:val="00893643"/>
    <w:rsid w:val="00893B62"/>
    <w:rsid w:val="00893B9C"/>
    <w:rsid w:val="00893C62"/>
    <w:rsid w:val="00893E3A"/>
    <w:rsid w:val="00893FC0"/>
    <w:rsid w:val="008943A0"/>
    <w:rsid w:val="0089452F"/>
    <w:rsid w:val="0089458A"/>
    <w:rsid w:val="00894AA4"/>
    <w:rsid w:val="00894D91"/>
    <w:rsid w:val="00894E6F"/>
    <w:rsid w:val="00895033"/>
    <w:rsid w:val="00895268"/>
    <w:rsid w:val="008952D2"/>
    <w:rsid w:val="00895776"/>
    <w:rsid w:val="0089588B"/>
    <w:rsid w:val="00895B13"/>
    <w:rsid w:val="00895DF4"/>
    <w:rsid w:val="00895F26"/>
    <w:rsid w:val="008960F3"/>
    <w:rsid w:val="0089667D"/>
    <w:rsid w:val="008966F5"/>
    <w:rsid w:val="00896B73"/>
    <w:rsid w:val="00896BD7"/>
    <w:rsid w:val="00896C94"/>
    <w:rsid w:val="00896E83"/>
    <w:rsid w:val="008971F6"/>
    <w:rsid w:val="00897454"/>
    <w:rsid w:val="00897523"/>
    <w:rsid w:val="0089768B"/>
    <w:rsid w:val="0089788E"/>
    <w:rsid w:val="00897989"/>
    <w:rsid w:val="008979B9"/>
    <w:rsid w:val="00897A6E"/>
    <w:rsid w:val="00897B00"/>
    <w:rsid w:val="00897B0E"/>
    <w:rsid w:val="00897C58"/>
    <w:rsid w:val="00897F46"/>
    <w:rsid w:val="008A061D"/>
    <w:rsid w:val="008A066C"/>
    <w:rsid w:val="008A08E9"/>
    <w:rsid w:val="008A0D5A"/>
    <w:rsid w:val="008A0DC1"/>
    <w:rsid w:val="008A132E"/>
    <w:rsid w:val="008A153A"/>
    <w:rsid w:val="008A1B26"/>
    <w:rsid w:val="008A1BD1"/>
    <w:rsid w:val="008A1CEC"/>
    <w:rsid w:val="008A2398"/>
    <w:rsid w:val="008A241C"/>
    <w:rsid w:val="008A2571"/>
    <w:rsid w:val="008A269B"/>
    <w:rsid w:val="008A2934"/>
    <w:rsid w:val="008A2950"/>
    <w:rsid w:val="008A2B56"/>
    <w:rsid w:val="008A2BEC"/>
    <w:rsid w:val="008A2E39"/>
    <w:rsid w:val="008A3183"/>
    <w:rsid w:val="008A3D46"/>
    <w:rsid w:val="008A3E8F"/>
    <w:rsid w:val="008A4045"/>
    <w:rsid w:val="008A4069"/>
    <w:rsid w:val="008A44CF"/>
    <w:rsid w:val="008A4588"/>
    <w:rsid w:val="008A4717"/>
    <w:rsid w:val="008A4B21"/>
    <w:rsid w:val="008A5173"/>
    <w:rsid w:val="008A525B"/>
    <w:rsid w:val="008A52D5"/>
    <w:rsid w:val="008A536E"/>
    <w:rsid w:val="008A544E"/>
    <w:rsid w:val="008A5599"/>
    <w:rsid w:val="008A57F6"/>
    <w:rsid w:val="008A612C"/>
    <w:rsid w:val="008A621D"/>
    <w:rsid w:val="008A62AA"/>
    <w:rsid w:val="008A641D"/>
    <w:rsid w:val="008A66AA"/>
    <w:rsid w:val="008A6F45"/>
    <w:rsid w:val="008A703C"/>
    <w:rsid w:val="008A7378"/>
    <w:rsid w:val="008A7546"/>
    <w:rsid w:val="008A75EF"/>
    <w:rsid w:val="008A7873"/>
    <w:rsid w:val="008A7D91"/>
    <w:rsid w:val="008A7F30"/>
    <w:rsid w:val="008B0382"/>
    <w:rsid w:val="008B0385"/>
    <w:rsid w:val="008B0500"/>
    <w:rsid w:val="008B05D7"/>
    <w:rsid w:val="008B0756"/>
    <w:rsid w:val="008B0CEE"/>
    <w:rsid w:val="008B0EBC"/>
    <w:rsid w:val="008B0FB5"/>
    <w:rsid w:val="008B0FF9"/>
    <w:rsid w:val="008B1214"/>
    <w:rsid w:val="008B1382"/>
    <w:rsid w:val="008B15E8"/>
    <w:rsid w:val="008B1722"/>
    <w:rsid w:val="008B176B"/>
    <w:rsid w:val="008B185D"/>
    <w:rsid w:val="008B18CC"/>
    <w:rsid w:val="008B190F"/>
    <w:rsid w:val="008B1B3E"/>
    <w:rsid w:val="008B1BCA"/>
    <w:rsid w:val="008B1C42"/>
    <w:rsid w:val="008B1DEB"/>
    <w:rsid w:val="008B1E0B"/>
    <w:rsid w:val="008B230B"/>
    <w:rsid w:val="008B23B1"/>
    <w:rsid w:val="008B2AA5"/>
    <w:rsid w:val="008B2B4D"/>
    <w:rsid w:val="008B2C39"/>
    <w:rsid w:val="008B3693"/>
    <w:rsid w:val="008B38BF"/>
    <w:rsid w:val="008B39D4"/>
    <w:rsid w:val="008B3C30"/>
    <w:rsid w:val="008B3C5D"/>
    <w:rsid w:val="008B3DFB"/>
    <w:rsid w:val="008B3FCD"/>
    <w:rsid w:val="008B427D"/>
    <w:rsid w:val="008B43DE"/>
    <w:rsid w:val="008B49D7"/>
    <w:rsid w:val="008B4B7D"/>
    <w:rsid w:val="008B4D45"/>
    <w:rsid w:val="008B4E99"/>
    <w:rsid w:val="008B539B"/>
    <w:rsid w:val="008B54D3"/>
    <w:rsid w:val="008B585B"/>
    <w:rsid w:val="008B5E77"/>
    <w:rsid w:val="008B660D"/>
    <w:rsid w:val="008B66C0"/>
    <w:rsid w:val="008B68C2"/>
    <w:rsid w:val="008B6FD8"/>
    <w:rsid w:val="008B7061"/>
    <w:rsid w:val="008B744C"/>
    <w:rsid w:val="008B7464"/>
    <w:rsid w:val="008B7572"/>
    <w:rsid w:val="008B7848"/>
    <w:rsid w:val="008B7A70"/>
    <w:rsid w:val="008B7BD2"/>
    <w:rsid w:val="008B7CCD"/>
    <w:rsid w:val="008C08AD"/>
    <w:rsid w:val="008C09BD"/>
    <w:rsid w:val="008C0F5C"/>
    <w:rsid w:val="008C0F97"/>
    <w:rsid w:val="008C0FEE"/>
    <w:rsid w:val="008C13B3"/>
    <w:rsid w:val="008C14F7"/>
    <w:rsid w:val="008C1538"/>
    <w:rsid w:val="008C15D7"/>
    <w:rsid w:val="008C1646"/>
    <w:rsid w:val="008C1828"/>
    <w:rsid w:val="008C1880"/>
    <w:rsid w:val="008C194F"/>
    <w:rsid w:val="008C1ED9"/>
    <w:rsid w:val="008C265E"/>
    <w:rsid w:val="008C2690"/>
    <w:rsid w:val="008C27BA"/>
    <w:rsid w:val="008C2823"/>
    <w:rsid w:val="008C29B7"/>
    <w:rsid w:val="008C2AC4"/>
    <w:rsid w:val="008C2BFB"/>
    <w:rsid w:val="008C2F11"/>
    <w:rsid w:val="008C33EB"/>
    <w:rsid w:val="008C372E"/>
    <w:rsid w:val="008C3F6C"/>
    <w:rsid w:val="008C3F9C"/>
    <w:rsid w:val="008C4220"/>
    <w:rsid w:val="008C43F2"/>
    <w:rsid w:val="008C468C"/>
    <w:rsid w:val="008C49B3"/>
    <w:rsid w:val="008C4A32"/>
    <w:rsid w:val="008C4AFB"/>
    <w:rsid w:val="008C4B2E"/>
    <w:rsid w:val="008C4BDA"/>
    <w:rsid w:val="008C52C5"/>
    <w:rsid w:val="008C545A"/>
    <w:rsid w:val="008C5633"/>
    <w:rsid w:val="008C5796"/>
    <w:rsid w:val="008C5B03"/>
    <w:rsid w:val="008C6188"/>
    <w:rsid w:val="008C62D5"/>
    <w:rsid w:val="008C6466"/>
    <w:rsid w:val="008C68D7"/>
    <w:rsid w:val="008C692D"/>
    <w:rsid w:val="008C6ED6"/>
    <w:rsid w:val="008C7146"/>
    <w:rsid w:val="008C7218"/>
    <w:rsid w:val="008C740C"/>
    <w:rsid w:val="008C7607"/>
    <w:rsid w:val="008C778E"/>
    <w:rsid w:val="008C78F2"/>
    <w:rsid w:val="008C7B06"/>
    <w:rsid w:val="008C7B19"/>
    <w:rsid w:val="008C7B90"/>
    <w:rsid w:val="008C7CA6"/>
    <w:rsid w:val="008C7F71"/>
    <w:rsid w:val="008C7FC4"/>
    <w:rsid w:val="008D0255"/>
    <w:rsid w:val="008D079A"/>
    <w:rsid w:val="008D07F6"/>
    <w:rsid w:val="008D0FE3"/>
    <w:rsid w:val="008D169D"/>
    <w:rsid w:val="008D1CA7"/>
    <w:rsid w:val="008D2168"/>
    <w:rsid w:val="008D23DB"/>
    <w:rsid w:val="008D24F5"/>
    <w:rsid w:val="008D269E"/>
    <w:rsid w:val="008D286B"/>
    <w:rsid w:val="008D287C"/>
    <w:rsid w:val="008D2A5E"/>
    <w:rsid w:val="008D2B54"/>
    <w:rsid w:val="008D2C00"/>
    <w:rsid w:val="008D3247"/>
    <w:rsid w:val="008D339F"/>
    <w:rsid w:val="008D33CB"/>
    <w:rsid w:val="008D33F2"/>
    <w:rsid w:val="008D356A"/>
    <w:rsid w:val="008D3611"/>
    <w:rsid w:val="008D3658"/>
    <w:rsid w:val="008D378A"/>
    <w:rsid w:val="008D4271"/>
    <w:rsid w:val="008D4277"/>
    <w:rsid w:val="008D427F"/>
    <w:rsid w:val="008D43C7"/>
    <w:rsid w:val="008D44BD"/>
    <w:rsid w:val="008D45BA"/>
    <w:rsid w:val="008D48C6"/>
    <w:rsid w:val="008D4C0C"/>
    <w:rsid w:val="008D4D17"/>
    <w:rsid w:val="008D4F3B"/>
    <w:rsid w:val="008D523F"/>
    <w:rsid w:val="008D5635"/>
    <w:rsid w:val="008D5656"/>
    <w:rsid w:val="008D58E8"/>
    <w:rsid w:val="008D5B2A"/>
    <w:rsid w:val="008D5B33"/>
    <w:rsid w:val="008D5B37"/>
    <w:rsid w:val="008D5CF6"/>
    <w:rsid w:val="008D5FCB"/>
    <w:rsid w:val="008D62FB"/>
    <w:rsid w:val="008D6490"/>
    <w:rsid w:val="008D66B2"/>
    <w:rsid w:val="008D66E1"/>
    <w:rsid w:val="008D691C"/>
    <w:rsid w:val="008D6C98"/>
    <w:rsid w:val="008D763C"/>
    <w:rsid w:val="008D76BD"/>
    <w:rsid w:val="008D784D"/>
    <w:rsid w:val="008D78D1"/>
    <w:rsid w:val="008D7CF9"/>
    <w:rsid w:val="008E016B"/>
    <w:rsid w:val="008E0659"/>
    <w:rsid w:val="008E0D7B"/>
    <w:rsid w:val="008E15E0"/>
    <w:rsid w:val="008E15EF"/>
    <w:rsid w:val="008E187A"/>
    <w:rsid w:val="008E1A5E"/>
    <w:rsid w:val="008E22EE"/>
    <w:rsid w:val="008E2450"/>
    <w:rsid w:val="008E24D2"/>
    <w:rsid w:val="008E24E1"/>
    <w:rsid w:val="008E2B83"/>
    <w:rsid w:val="008E2C45"/>
    <w:rsid w:val="008E2F7D"/>
    <w:rsid w:val="008E3269"/>
    <w:rsid w:val="008E3296"/>
    <w:rsid w:val="008E39FE"/>
    <w:rsid w:val="008E3D91"/>
    <w:rsid w:val="008E41A9"/>
    <w:rsid w:val="008E42FA"/>
    <w:rsid w:val="008E455A"/>
    <w:rsid w:val="008E4668"/>
    <w:rsid w:val="008E4683"/>
    <w:rsid w:val="008E4857"/>
    <w:rsid w:val="008E4B49"/>
    <w:rsid w:val="008E4CD6"/>
    <w:rsid w:val="008E4E05"/>
    <w:rsid w:val="008E50B7"/>
    <w:rsid w:val="008E515C"/>
    <w:rsid w:val="008E5377"/>
    <w:rsid w:val="008E5591"/>
    <w:rsid w:val="008E5ADB"/>
    <w:rsid w:val="008E5DFB"/>
    <w:rsid w:val="008E5EA6"/>
    <w:rsid w:val="008E5F26"/>
    <w:rsid w:val="008E6292"/>
    <w:rsid w:val="008E6436"/>
    <w:rsid w:val="008E6982"/>
    <w:rsid w:val="008E6BC9"/>
    <w:rsid w:val="008E6D55"/>
    <w:rsid w:val="008E7B2E"/>
    <w:rsid w:val="008E7B82"/>
    <w:rsid w:val="008E7BEE"/>
    <w:rsid w:val="008E7D8C"/>
    <w:rsid w:val="008F0001"/>
    <w:rsid w:val="008F01D3"/>
    <w:rsid w:val="008F05F8"/>
    <w:rsid w:val="008F0864"/>
    <w:rsid w:val="008F0930"/>
    <w:rsid w:val="008F0CA4"/>
    <w:rsid w:val="008F0D9F"/>
    <w:rsid w:val="008F0EBB"/>
    <w:rsid w:val="008F0FDD"/>
    <w:rsid w:val="008F1149"/>
    <w:rsid w:val="008F15E2"/>
    <w:rsid w:val="008F199E"/>
    <w:rsid w:val="008F1CA0"/>
    <w:rsid w:val="008F1F8F"/>
    <w:rsid w:val="008F224E"/>
    <w:rsid w:val="008F23EB"/>
    <w:rsid w:val="008F2492"/>
    <w:rsid w:val="008F26E4"/>
    <w:rsid w:val="008F286F"/>
    <w:rsid w:val="008F2A3D"/>
    <w:rsid w:val="008F2D58"/>
    <w:rsid w:val="008F2E10"/>
    <w:rsid w:val="008F3030"/>
    <w:rsid w:val="008F3214"/>
    <w:rsid w:val="008F358A"/>
    <w:rsid w:val="008F3731"/>
    <w:rsid w:val="008F3C20"/>
    <w:rsid w:val="008F3F0F"/>
    <w:rsid w:val="008F4117"/>
    <w:rsid w:val="008F45AE"/>
    <w:rsid w:val="008F46C9"/>
    <w:rsid w:val="008F47BC"/>
    <w:rsid w:val="008F4BE2"/>
    <w:rsid w:val="008F4F83"/>
    <w:rsid w:val="008F5048"/>
    <w:rsid w:val="008F5065"/>
    <w:rsid w:val="008F5128"/>
    <w:rsid w:val="008F5291"/>
    <w:rsid w:val="008F577C"/>
    <w:rsid w:val="008F583F"/>
    <w:rsid w:val="008F5A28"/>
    <w:rsid w:val="008F5EAE"/>
    <w:rsid w:val="008F6208"/>
    <w:rsid w:val="008F66BF"/>
    <w:rsid w:val="008F6787"/>
    <w:rsid w:val="008F6816"/>
    <w:rsid w:val="008F6B40"/>
    <w:rsid w:val="008F7029"/>
    <w:rsid w:val="008F77DE"/>
    <w:rsid w:val="008F7AC5"/>
    <w:rsid w:val="008F7B2B"/>
    <w:rsid w:val="008F7CB4"/>
    <w:rsid w:val="008F7D19"/>
    <w:rsid w:val="008F7FC3"/>
    <w:rsid w:val="008F7FEB"/>
    <w:rsid w:val="009000E7"/>
    <w:rsid w:val="00900209"/>
    <w:rsid w:val="009002D8"/>
    <w:rsid w:val="009003E1"/>
    <w:rsid w:val="009003E9"/>
    <w:rsid w:val="0090049F"/>
    <w:rsid w:val="00900534"/>
    <w:rsid w:val="00900587"/>
    <w:rsid w:val="00900635"/>
    <w:rsid w:val="0090082C"/>
    <w:rsid w:val="0090093A"/>
    <w:rsid w:val="00901137"/>
    <w:rsid w:val="009012C3"/>
    <w:rsid w:val="009017EC"/>
    <w:rsid w:val="00901AAF"/>
    <w:rsid w:val="00901BDF"/>
    <w:rsid w:val="00901FF4"/>
    <w:rsid w:val="00902587"/>
    <w:rsid w:val="00902E0A"/>
    <w:rsid w:val="00903056"/>
    <w:rsid w:val="00903141"/>
    <w:rsid w:val="0090324D"/>
    <w:rsid w:val="00903258"/>
    <w:rsid w:val="00903466"/>
    <w:rsid w:val="009037F1"/>
    <w:rsid w:val="00903964"/>
    <w:rsid w:val="00903A5D"/>
    <w:rsid w:val="00903A81"/>
    <w:rsid w:val="00904013"/>
    <w:rsid w:val="00904046"/>
    <w:rsid w:val="009042C9"/>
    <w:rsid w:val="0090439D"/>
    <w:rsid w:val="00904BD0"/>
    <w:rsid w:val="00904F62"/>
    <w:rsid w:val="009050DE"/>
    <w:rsid w:val="009052B6"/>
    <w:rsid w:val="00905536"/>
    <w:rsid w:val="00905545"/>
    <w:rsid w:val="00906278"/>
    <w:rsid w:val="00906313"/>
    <w:rsid w:val="009063A8"/>
    <w:rsid w:val="009065F7"/>
    <w:rsid w:val="00906809"/>
    <w:rsid w:val="0090681D"/>
    <w:rsid w:val="00906B94"/>
    <w:rsid w:val="00906C7A"/>
    <w:rsid w:val="00906CDE"/>
    <w:rsid w:val="00906D17"/>
    <w:rsid w:val="00906E61"/>
    <w:rsid w:val="00907124"/>
    <w:rsid w:val="0090725C"/>
    <w:rsid w:val="00907374"/>
    <w:rsid w:val="0090753B"/>
    <w:rsid w:val="00907569"/>
    <w:rsid w:val="00907855"/>
    <w:rsid w:val="00907E1D"/>
    <w:rsid w:val="0091049C"/>
    <w:rsid w:val="009105B0"/>
    <w:rsid w:val="009105FA"/>
    <w:rsid w:val="00910977"/>
    <w:rsid w:val="009109C4"/>
    <w:rsid w:val="00910C1D"/>
    <w:rsid w:val="00910D03"/>
    <w:rsid w:val="0091107D"/>
    <w:rsid w:val="00911204"/>
    <w:rsid w:val="009113C4"/>
    <w:rsid w:val="0091168A"/>
    <w:rsid w:val="00911B7B"/>
    <w:rsid w:val="00911DB3"/>
    <w:rsid w:val="0091216C"/>
    <w:rsid w:val="009128CB"/>
    <w:rsid w:val="009128D3"/>
    <w:rsid w:val="00913019"/>
    <w:rsid w:val="0091335C"/>
    <w:rsid w:val="0091341D"/>
    <w:rsid w:val="00913908"/>
    <w:rsid w:val="00913E31"/>
    <w:rsid w:val="00913F52"/>
    <w:rsid w:val="00914045"/>
    <w:rsid w:val="00914228"/>
    <w:rsid w:val="009142B2"/>
    <w:rsid w:val="00914336"/>
    <w:rsid w:val="00914344"/>
    <w:rsid w:val="00914539"/>
    <w:rsid w:val="0091470D"/>
    <w:rsid w:val="00914843"/>
    <w:rsid w:val="00914861"/>
    <w:rsid w:val="0091492E"/>
    <w:rsid w:val="00914944"/>
    <w:rsid w:val="00914B3D"/>
    <w:rsid w:val="00914C6B"/>
    <w:rsid w:val="00914EDC"/>
    <w:rsid w:val="009150C2"/>
    <w:rsid w:val="009152AD"/>
    <w:rsid w:val="0091561A"/>
    <w:rsid w:val="009156FA"/>
    <w:rsid w:val="009157D7"/>
    <w:rsid w:val="009159A4"/>
    <w:rsid w:val="00915A91"/>
    <w:rsid w:val="00915B4D"/>
    <w:rsid w:val="00915C57"/>
    <w:rsid w:val="00915D7B"/>
    <w:rsid w:val="00915EA8"/>
    <w:rsid w:val="00915FF7"/>
    <w:rsid w:val="00916025"/>
    <w:rsid w:val="009161F5"/>
    <w:rsid w:val="00916482"/>
    <w:rsid w:val="009164B0"/>
    <w:rsid w:val="0091667E"/>
    <w:rsid w:val="0091670F"/>
    <w:rsid w:val="00916932"/>
    <w:rsid w:val="00916A49"/>
    <w:rsid w:val="00916AAC"/>
    <w:rsid w:val="00916B3D"/>
    <w:rsid w:val="00916C2E"/>
    <w:rsid w:val="00916D2E"/>
    <w:rsid w:val="00916DB1"/>
    <w:rsid w:val="00916DD4"/>
    <w:rsid w:val="00916FF1"/>
    <w:rsid w:val="00917315"/>
    <w:rsid w:val="009173E2"/>
    <w:rsid w:val="009174EA"/>
    <w:rsid w:val="00917901"/>
    <w:rsid w:val="00917CD8"/>
    <w:rsid w:val="00917DC8"/>
    <w:rsid w:val="00917E28"/>
    <w:rsid w:val="00917E72"/>
    <w:rsid w:val="00920155"/>
    <w:rsid w:val="009203F0"/>
    <w:rsid w:val="0092046E"/>
    <w:rsid w:val="00920689"/>
    <w:rsid w:val="00920969"/>
    <w:rsid w:val="00920E0D"/>
    <w:rsid w:val="009215F2"/>
    <w:rsid w:val="00921831"/>
    <w:rsid w:val="00921A52"/>
    <w:rsid w:val="009221D3"/>
    <w:rsid w:val="009227CA"/>
    <w:rsid w:val="00922834"/>
    <w:rsid w:val="0092289D"/>
    <w:rsid w:val="00922B5F"/>
    <w:rsid w:val="00922CF7"/>
    <w:rsid w:val="00922D0B"/>
    <w:rsid w:val="00922D5B"/>
    <w:rsid w:val="00922EB7"/>
    <w:rsid w:val="00923093"/>
    <w:rsid w:val="009236A8"/>
    <w:rsid w:val="0092394F"/>
    <w:rsid w:val="00923E76"/>
    <w:rsid w:val="0092453C"/>
    <w:rsid w:val="00924738"/>
    <w:rsid w:val="00924AFC"/>
    <w:rsid w:val="00924C3B"/>
    <w:rsid w:val="009258C5"/>
    <w:rsid w:val="00925AA5"/>
    <w:rsid w:val="00925BE4"/>
    <w:rsid w:val="00925EEB"/>
    <w:rsid w:val="00926167"/>
    <w:rsid w:val="00926183"/>
    <w:rsid w:val="009261B7"/>
    <w:rsid w:val="00926279"/>
    <w:rsid w:val="009263A4"/>
    <w:rsid w:val="009264CA"/>
    <w:rsid w:val="009267EF"/>
    <w:rsid w:val="009268E4"/>
    <w:rsid w:val="009269E3"/>
    <w:rsid w:val="00926F03"/>
    <w:rsid w:val="00927001"/>
    <w:rsid w:val="0092738E"/>
    <w:rsid w:val="009274BE"/>
    <w:rsid w:val="0092784E"/>
    <w:rsid w:val="00927B67"/>
    <w:rsid w:val="009300FD"/>
    <w:rsid w:val="0093035D"/>
    <w:rsid w:val="009305DD"/>
    <w:rsid w:val="00930968"/>
    <w:rsid w:val="00930D33"/>
    <w:rsid w:val="00930FC0"/>
    <w:rsid w:val="00931385"/>
    <w:rsid w:val="009317CA"/>
    <w:rsid w:val="00931C27"/>
    <w:rsid w:val="00931C6B"/>
    <w:rsid w:val="00932091"/>
    <w:rsid w:val="009323A1"/>
    <w:rsid w:val="00932FF9"/>
    <w:rsid w:val="009330D9"/>
    <w:rsid w:val="0093369F"/>
    <w:rsid w:val="00933A3D"/>
    <w:rsid w:val="00933ABE"/>
    <w:rsid w:val="00934068"/>
    <w:rsid w:val="00934249"/>
    <w:rsid w:val="009344A3"/>
    <w:rsid w:val="00934542"/>
    <w:rsid w:val="00934764"/>
    <w:rsid w:val="009347EA"/>
    <w:rsid w:val="00934840"/>
    <w:rsid w:val="0093485B"/>
    <w:rsid w:val="00934D67"/>
    <w:rsid w:val="00934E9B"/>
    <w:rsid w:val="00934EBC"/>
    <w:rsid w:val="0093507B"/>
    <w:rsid w:val="009352BE"/>
    <w:rsid w:val="0093540D"/>
    <w:rsid w:val="009357C4"/>
    <w:rsid w:val="00935AD1"/>
    <w:rsid w:val="0093601B"/>
    <w:rsid w:val="0093632A"/>
    <w:rsid w:val="00936447"/>
    <w:rsid w:val="009364E3"/>
    <w:rsid w:val="00936C8A"/>
    <w:rsid w:val="00936FC3"/>
    <w:rsid w:val="0093727D"/>
    <w:rsid w:val="00937638"/>
    <w:rsid w:val="00937CF6"/>
    <w:rsid w:val="0094019D"/>
    <w:rsid w:val="009403EB"/>
    <w:rsid w:val="00940443"/>
    <w:rsid w:val="0094066C"/>
    <w:rsid w:val="009406AF"/>
    <w:rsid w:val="00940A64"/>
    <w:rsid w:val="00940B3E"/>
    <w:rsid w:val="00940C55"/>
    <w:rsid w:val="00940E62"/>
    <w:rsid w:val="00941158"/>
    <w:rsid w:val="00941312"/>
    <w:rsid w:val="009413CF"/>
    <w:rsid w:val="00941400"/>
    <w:rsid w:val="00941529"/>
    <w:rsid w:val="00941704"/>
    <w:rsid w:val="0094173A"/>
    <w:rsid w:val="00941AE1"/>
    <w:rsid w:val="00941B43"/>
    <w:rsid w:val="00941E55"/>
    <w:rsid w:val="00941E88"/>
    <w:rsid w:val="00941FB8"/>
    <w:rsid w:val="00941FDD"/>
    <w:rsid w:val="009421F2"/>
    <w:rsid w:val="0094223D"/>
    <w:rsid w:val="0094230B"/>
    <w:rsid w:val="00942408"/>
    <w:rsid w:val="00942621"/>
    <w:rsid w:val="00942780"/>
    <w:rsid w:val="0094279E"/>
    <w:rsid w:val="00942C11"/>
    <w:rsid w:val="00942C7E"/>
    <w:rsid w:val="009432A2"/>
    <w:rsid w:val="0094351F"/>
    <w:rsid w:val="0094379D"/>
    <w:rsid w:val="009439E0"/>
    <w:rsid w:val="00943D99"/>
    <w:rsid w:val="0094411F"/>
    <w:rsid w:val="00944121"/>
    <w:rsid w:val="00944286"/>
    <w:rsid w:val="009445B7"/>
    <w:rsid w:val="009448A3"/>
    <w:rsid w:val="009448D5"/>
    <w:rsid w:val="00944A22"/>
    <w:rsid w:val="00944B2A"/>
    <w:rsid w:val="00944CBB"/>
    <w:rsid w:val="00944D9B"/>
    <w:rsid w:val="00945168"/>
    <w:rsid w:val="0094549B"/>
    <w:rsid w:val="00945533"/>
    <w:rsid w:val="009457C6"/>
    <w:rsid w:val="00945B68"/>
    <w:rsid w:val="00945C3D"/>
    <w:rsid w:val="00945E36"/>
    <w:rsid w:val="00945F6F"/>
    <w:rsid w:val="0094672D"/>
    <w:rsid w:val="00946794"/>
    <w:rsid w:val="00946A04"/>
    <w:rsid w:val="00946D45"/>
    <w:rsid w:val="009470A1"/>
    <w:rsid w:val="009470E6"/>
    <w:rsid w:val="009473EE"/>
    <w:rsid w:val="009474D4"/>
    <w:rsid w:val="00947922"/>
    <w:rsid w:val="009479AE"/>
    <w:rsid w:val="00947C4D"/>
    <w:rsid w:val="00950049"/>
    <w:rsid w:val="00950212"/>
    <w:rsid w:val="0095022C"/>
    <w:rsid w:val="009502EE"/>
    <w:rsid w:val="00950826"/>
    <w:rsid w:val="00950866"/>
    <w:rsid w:val="00950C5C"/>
    <w:rsid w:val="00950F7E"/>
    <w:rsid w:val="009516CB"/>
    <w:rsid w:val="009516E6"/>
    <w:rsid w:val="009517FD"/>
    <w:rsid w:val="0095199A"/>
    <w:rsid w:val="00951E4A"/>
    <w:rsid w:val="00951F2E"/>
    <w:rsid w:val="00952085"/>
    <w:rsid w:val="0095271E"/>
    <w:rsid w:val="009527A9"/>
    <w:rsid w:val="00952A0B"/>
    <w:rsid w:val="00952DDE"/>
    <w:rsid w:val="00952E46"/>
    <w:rsid w:val="0095302F"/>
    <w:rsid w:val="0095317D"/>
    <w:rsid w:val="00953A04"/>
    <w:rsid w:val="00953AC8"/>
    <w:rsid w:val="00953B80"/>
    <w:rsid w:val="00953F76"/>
    <w:rsid w:val="0095402A"/>
    <w:rsid w:val="00954227"/>
    <w:rsid w:val="00954371"/>
    <w:rsid w:val="009544A6"/>
    <w:rsid w:val="009544F8"/>
    <w:rsid w:val="009547F8"/>
    <w:rsid w:val="0095489D"/>
    <w:rsid w:val="00954911"/>
    <w:rsid w:val="00954979"/>
    <w:rsid w:val="00954C56"/>
    <w:rsid w:val="00954EC6"/>
    <w:rsid w:val="00955185"/>
    <w:rsid w:val="0095574B"/>
    <w:rsid w:val="00955836"/>
    <w:rsid w:val="00955FEE"/>
    <w:rsid w:val="00956031"/>
    <w:rsid w:val="00956148"/>
    <w:rsid w:val="009561F8"/>
    <w:rsid w:val="009563F4"/>
    <w:rsid w:val="0095649B"/>
    <w:rsid w:val="00956680"/>
    <w:rsid w:val="009566AF"/>
    <w:rsid w:val="009566B3"/>
    <w:rsid w:val="009567E4"/>
    <w:rsid w:val="00956AB9"/>
    <w:rsid w:val="00956B38"/>
    <w:rsid w:val="009570CF"/>
    <w:rsid w:val="009573C2"/>
    <w:rsid w:val="009574CA"/>
    <w:rsid w:val="009574D0"/>
    <w:rsid w:val="009578F1"/>
    <w:rsid w:val="00957A7A"/>
    <w:rsid w:val="00957ACB"/>
    <w:rsid w:val="00957AE0"/>
    <w:rsid w:val="00957C19"/>
    <w:rsid w:val="00957C72"/>
    <w:rsid w:val="00957DD1"/>
    <w:rsid w:val="00957EA6"/>
    <w:rsid w:val="009604A0"/>
    <w:rsid w:val="0096063B"/>
    <w:rsid w:val="0096076C"/>
    <w:rsid w:val="009607C3"/>
    <w:rsid w:val="009609CD"/>
    <w:rsid w:val="00960AD5"/>
    <w:rsid w:val="00960D30"/>
    <w:rsid w:val="00960FDD"/>
    <w:rsid w:val="009611B2"/>
    <w:rsid w:val="0096137E"/>
    <w:rsid w:val="009615DC"/>
    <w:rsid w:val="009616B8"/>
    <w:rsid w:val="00961976"/>
    <w:rsid w:val="009621DA"/>
    <w:rsid w:val="009624C8"/>
    <w:rsid w:val="00962552"/>
    <w:rsid w:val="00962761"/>
    <w:rsid w:val="00962812"/>
    <w:rsid w:val="00962ACF"/>
    <w:rsid w:val="00962CAB"/>
    <w:rsid w:val="00962D52"/>
    <w:rsid w:val="00962EF1"/>
    <w:rsid w:val="00962F58"/>
    <w:rsid w:val="00962FE7"/>
    <w:rsid w:val="0096312E"/>
    <w:rsid w:val="00963271"/>
    <w:rsid w:val="009634C7"/>
    <w:rsid w:val="0096364A"/>
    <w:rsid w:val="009636A9"/>
    <w:rsid w:val="00963919"/>
    <w:rsid w:val="00963CB9"/>
    <w:rsid w:val="00963EA9"/>
    <w:rsid w:val="00963F43"/>
    <w:rsid w:val="00964072"/>
    <w:rsid w:val="00964112"/>
    <w:rsid w:val="0096429B"/>
    <w:rsid w:val="00964325"/>
    <w:rsid w:val="00964701"/>
    <w:rsid w:val="00964863"/>
    <w:rsid w:val="009648B7"/>
    <w:rsid w:val="009648B8"/>
    <w:rsid w:val="00964940"/>
    <w:rsid w:val="0096519E"/>
    <w:rsid w:val="009654C4"/>
    <w:rsid w:val="00965853"/>
    <w:rsid w:val="00965DCE"/>
    <w:rsid w:val="0096640F"/>
    <w:rsid w:val="00966655"/>
    <w:rsid w:val="0096674D"/>
    <w:rsid w:val="009676AD"/>
    <w:rsid w:val="0096770A"/>
    <w:rsid w:val="00967AFF"/>
    <w:rsid w:val="00967B08"/>
    <w:rsid w:val="00967E65"/>
    <w:rsid w:val="00967ED4"/>
    <w:rsid w:val="009703FA"/>
    <w:rsid w:val="00970B43"/>
    <w:rsid w:val="00970BF5"/>
    <w:rsid w:val="00970F5A"/>
    <w:rsid w:val="009715D0"/>
    <w:rsid w:val="009715E6"/>
    <w:rsid w:val="009719BE"/>
    <w:rsid w:val="00971C7C"/>
    <w:rsid w:val="00971EA8"/>
    <w:rsid w:val="00971F87"/>
    <w:rsid w:val="00972125"/>
    <w:rsid w:val="009722BE"/>
    <w:rsid w:val="00972529"/>
    <w:rsid w:val="00972588"/>
    <w:rsid w:val="009725CE"/>
    <w:rsid w:val="0097267D"/>
    <w:rsid w:val="009726EB"/>
    <w:rsid w:val="0097271E"/>
    <w:rsid w:val="009729D4"/>
    <w:rsid w:val="00972F07"/>
    <w:rsid w:val="00972F40"/>
    <w:rsid w:val="009736C8"/>
    <w:rsid w:val="0097406B"/>
    <w:rsid w:val="0097429F"/>
    <w:rsid w:val="00974482"/>
    <w:rsid w:val="009745C2"/>
    <w:rsid w:val="00974858"/>
    <w:rsid w:val="00974AF9"/>
    <w:rsid w:val="00974BE5"/>
    <w:rsid w:val="00975429"/>
    <w:rsid w:val="0097573B"/>
    <w:rsid w:val="00975905"/>
    <w:rsid w:val="00975CC1"/>
    <w:rsid w:val="00976087"/>
    <w:rsid w:val="009762E4"/>
    <w:rsid w:val="00976A6A"/>
    <w:rsid w:val="00976C3C"/>
    <w:rsid w:val="00976C5E"/>
    <w:rsid w:val="00976EAD"/>
    <w:rsid w:val="00976F47"/>
    <w:rsid w:val="009776C1"/>
    <w:rsid w:val="009779F3"/>
    <w:rsid w:val="00980142"/>
    <w:rsid w:val="009802A7"/>
    <w:rsid w:val="00980358"/>
    <w:rsid w:val="00980448"/>
    <w:rsid w:val="009804E8"/>
    <w:rsid w:val="009806EA"/>
    <w:rsid w:val="00980759"/>
    <w:rsid w:val="00980E62"/>
    <w:rsid w:val="00980EB5"/>
    <w:rsid w:val="00980FAF"/>
    <w:rsid w:val="00980FDD"/>
    <w:rsid w:val="00981096"/>
    <w:rsid w:val="009814DA"/>
    <w:rsid w:val="009817B0"/>
    <w:rsid w:val="00981A9B"/>
    <w:rsid w:val="00981AD3"/>
    <w:rsid w:val="00981ED2"/>
    <w:rsid w:val="00981F49"/>
    <w:rsid w:val="009821CE"/>
    <w:rsid w:val="0098248F"/>
    <w:rsid w:val="009829B1"/>
    <w:rsid w:val="00982BCB"/>
    <w:rsid w:val="00982BE6"/>
    <w:rsid w:val="00982C77"/>
    <w:rsid w:val="00982D6A"/>
    <w:rsid w:val="00983210"/>
    <w:rsid w:val="00983D99"/>
    <w:rsid w:val="009844C0"/>
    <w:rsid w:val="00984578"/>
    <w:rsid w:val="0098458F"/>
    <w:rsid w:val="00984C9E"/>
    <w:rsid w:val="00984F03"/>
    <w:rsid w:val="00985E6A"/>
    <w:rsid w:val="00986089"/>
    <w:rsid w:val="009864CC"/>
    <w:rsid w:val="0098650F"/>
    <w:rsid w:val="00986B93"/>
    <w:rsid w:val="009872F3"/>
    <w:rsid w:val="00987348"/>
    <w:rsid w:val="009873D4"/>
    <w:rsid w:val="009873D8"/>
    <w:rsid w:val="00987403"/>
    <w:rsid w:val="0098751C"/>
    <w:rsid w:val="00987538"/>
    <w:rsid w:val="00987658"/>
    <w:rsid w:val="009878BF"/>
    <w:rsid w:val="00987FE0"/>
    <w:rsid w:val="009901A3"/>
    <w:rsid w:val="009901B0"/>
    <w:rsid w:val="009903F3"/>
    <w:rsid w:val="00990760"/>
    <w:rsid w:val="00990A6E"/>
    <w:rsid w:val="00990AF5"/>
    <w:rsid w:val="00990B5D"/>
    <w:rsid w:val="00991385"/>
    <w:rsid w:val="00991585"/>
    <w:rsid w:val="009916D0"/>
    <w:rsid w:val="0099192D"/>
    <w:rsid w:val="00992320"/>
    <w:rsid w:val="00992613"/>
    <w:rsid w:val="00992835"/>
    <w:rsid w:val="009928DC"/>
    <w:rsid w:val="00992AE6"/>
    <w:rsid w:val="00992C34"/>
    <w:rsid w:val="00992D4B"/>
    <w:rsid w:val="009930AD"/>
    <w:rsid w:val="009931E3"/>
    <w:rsid w:val="009931F2"/>
    <w:rsid w:val="0099363B"/>
    <w:rsid w:val="009936DF"/>
    <w:rsid w:val="00993B33"/>
    <w:rsid w:val="00993EEE"/>
    <w:rsid w:val="00993F58"/>
    <w:rsid w:val="00993F7B"/>
    <w:rsid w:val="0099415E"/>
    <w:rsid w:val="00994E47"/>
    <w:rsid w:val="00994E8A"/>
    <w:rsid w:val="00995074"/>
    <w:rsid w:val="00995196"/>
    <w:rsid w:val="009955BA"/>
    <w:rsid w:val="00995C47"/>
    <w:rsid w:val="00995DD4"/>
    <w:rsid w:val="0099628E"/>
    <w:rsid w:val="009966BC"/>
    <w:rsid w:val="009967E1"/>
    <w:rsid w:val="00996F3C"/>
    <w:rsid w:val="0099746C"/>
    <w:rsid w:val="00997AB5"/>
    <w:rsid w:val="00997C46"/>
    <w:rsid w:val="00997D7D"/>
    <w:rsid w:val="009A007C"/>
    <w:rsid w:val="009A0A5E"/>
    <w:rsid w:val="009A0A6A"/>
    <w:rsid w:val="009A0B53"/>
    <w:rsid w:val="009A0BB0"/>
    <w:rsid w:val="009A0BE2"/>
    <w:rsid w:val="009A0CEF"/>
    <w:rsid w:val="009A1012"/>
    <w:rsid w:val="009A10E0"/>
    <w:rsid w:val="009A118B"/>
    <w:rsid w:val="009A13AF"/>
    <w:rsid w:val="009A19C5"/>
    <w:rsid w:val="009A19C6"/>
    <w:rsid w:val="009A1BFB"/>
    <w:rsid w:val="009A1CBE"/>
    <w:rsid w:val="009A1F85"/>
    <w:rsid w:val="009A1FB0"/>
    <w:rsid w:val="009A1FF9"/>
    <w:rsid w:val="009A24C0"/>
    <w:rsid w:val="009A277C"/>
    <w:rsid w:val="009A2813"/>
    <w:rsid w:val="009A2D7A"/>
    <w:rsid w:val="009A313D"/>
    <w:rsid w:val="009A31B0"/>
    <w:rsid w:val="009A34B5"/>
    <w:rsid w:val="009A39A5"/>
    <w:rsid w:val="009A3A01"/>
    <w:rsid w:val="009A3FE9"/>
    <w:rsid w:val="009A402C"/>
    <w:rsid w:val="009A43C2"/>
    <w:rsid w:val="009A4497"/>
    <w:rsid w:val="009A44F6"/>
    <w:rsid w:val="009A4973"/>
    <w:rsid w:val="009A4C63"/>
    <w:rsid w:val="009A4F4E"/>
    <w:rsid w:val="009A550D"/>
    <w:rsid w:val="009A5AA3"/>
    <w:rsid w:val="009A5B57"/>
    <w:rsid w:val="009A5BB3"/>
    <w:rsid w:val="009A632B"/>
    <w:rsid w:val="009A6420"/>
    <w:rsid w:val="009A649C"/>
    <w:rsid w:val="009A658F"/>
    <w:rsid w:val="009A66E8"/>
    <w:rsid w:val="009A67F2"/>
    <w:rsid w:val="009A6A11"/>
    <w:rsid w:val="009A6AD6"/>
    <w:rsid w:val="009A6B04"/>
    <w:rsid w:val="009A6B7D"/>
    <w:rsid w:val="009A6BA3"/>
    <w:rsid w:val="009A73AC"/>
    <w:rsid w:val="009A7925"/>
    <w:rsid w:val="009A7C68"/>
    <w:rsid w:val="009A7E1F"/>
    <w:rsid w:val="009B02B0"/>
    <w:rsid w:val="009B061F"/>
    <w:rsid w:val="009B06A4"/>
    <w:rsid w:val="009B088F"/>
    <w:rsid w:val="009B0D72"/>
    <w:rsid w:val="009B13CA"/>
    <w:rsid w:val="009B13F4"/>
    <w:rsid w:val="009B13FD"/>
    <w:rsid w:val="009B1606"/>
    <w:rsid w:val="009B1875"/>
    <w:rsid w:val="009B1BDA"/>
    <w:rsid w:val="009B1F38"/>
    <w:rsid w:val="009B2249"/>
    <w:rsid w:val="009B230F"/>
    <w:rsid w:val="009B27B7"/>
    <w:rsid w:val="009B27F2"/>
    <w:rsid w:val="009B2D21"/>
    <w:rsid w:val="009B2EC1"/>
    <w:rsid w:val="009B2ED7"/>
    <w:rsid w:val="009B320E"/>
    <w:rsid w:val="009B3566"/>
    <w:rsid w:val="009B369C"/>
    <w:rsid w:val="009B3E0B"/>
    <w:rsid w:val="009B4043"/>
    <w:rsid w:val="009B40A5"/>
    <w:rsid w:val="009B418A"/>
    <w:rsid w:val="009B4241"/>
    <w:rsid w:val="009B4291"/>
    <w:rsid w:val="009B4373"/>
    <w:rsid w:val="009B43FA"/>
    <w:rsid w:val="009B4940"/>
    <w:rsid w:val="009B4B7B"/>
    <w:rsid w:val="009B507A"/>
    <w:rsid w:val="009B53F6"/>
    <w:rsid w:val="009B54BD"/>
    <w:rsid w:val="009B58C8"/>
    <w:rsid w:val="009B5C64"/>
    <w:rsid w:val="009B6067"/>
    <w:rsid w:val="009B682E"/>
    <w:rsid w:val="009B6830"/>
    <w:rsid w:val="009B6922"/>
    <w:rsid w:val="009B6C38"/>
    <w:rsid w:val="009B727F"/>
    <w:rsid w:val="009B7945"/>
    <w:rsid w:val="009B7BAC"/>
    <w:rsid w:val="009B7C6F"/>
    <w:rsid w:val="009B7C8B"/>
    <w:rsid w:val="009B7F9B"/>
    <w:rsid w:val="009C0008"/>
    <w:rsid w:val="009C0381"/>
    <w:rsid w:val="009C05B6"/>
    <w:rsid w:val="009C0A53"/>
    <w:rsid w:val="009C1146"/>
    <w:rsid w:val="009C11C3"/>
    <w:rsid w:val="009C1236"/>
    <w:rsid w:val="009C13F7"/>
    <w:rsid w:val="009C173A"/>
    <w:rsid w:val="009C18BF"/>
    <w:rsid w:val="009C1A6F"/>
    <w:rsid w:val="009C1A83"/>
    <w:rsid w:val="009C1E6F"/>
    <w:rsid w:val="009C2088"/>
    <w:rsid w:val="009C2309"/>
    <w:rsid w:val="009C27E9"/>
    <w:rsid w:val="009C27FD"/>
    <w:rsid w:val="009C2969"/>
    <w:rsid w:val="009C2975"/>
    <w:rsid w:val="009C298C"/>
    <w:rsid w:val="009C29A1"/>
    <w:rsid w:val="009C2AA6"/>
    <w:rsid w:val="009C2E6F"/>
    <w:rsid w:val="009C3202"/>
    <w:rsid w:val="009C3744"/>
    <w:rsid w:val="009C37EB"/>
    <w:rsid w:val="009C384F"/>
    <w:rsid w:val="009C3885"/>
    <w:rsid w:val="009C38A3"/>
    <w:rsid w:val="009C38F1"/>
    <w:rsid w:val="009C3E76"/>
    <w:rsid w:val="009C4362"/>
    <w:rsid w:val="009C4821"/>
    <w:rsid w:val="009C4C57"/>
    <w:rsid w:val="009C50E4"/>
    <w:rsid w:val="009C513C"/>
    <w:rsid w:val="009C5413"/>
    <w:rsid w:val="009C54E0"/>
    <w:rsid w:val="009C5A5F"/>
    <w:rsid w:val="009C5CCC"/>
    <w:rsid w:val="009C5E43"/>
    <w:rsid w:val="009C60C4"/>
    <w:rsid w:val="009C62B6"/>
    <w:rsid w:val="009C685F"/>
    <w:rsid w:val="009C6AE3"/>
    <w:rsid w:val="009C6D68"/>
    <w:rsid w:val="009C6DCD"/>
    <w:rsid w:val="009C6F67"/>
    <w:rsid w:val="009C7341"/>
    <w:rsid w:val="009C7350"/>
    <w:rsid w:val="009C754C"/>
    <w:rsid w:val="009C7660"/>
    <w:rsid w:val="009C76C4"/>
    <w:rsid w:val="009C76DC"/>
    <w:rsid w:val="009C7764"/>
    <w:rsid w:val="009C7883"/>
    <w:rsid w:val="009C7ED3"/>
    <w:rsid w:val="009D0203"/>
    <w:rsid w:val="009D0409"/>
    <w:rsid w:val="009D04FF"/>
    <w:rsid w:val="009D0844"/>
    <w:rsid w:val="009D0C95"/>
    <w:rsid w:val="009D0D20"/>
    <w:rsid w:val="009D131A"/>
    <w:rsid w:val="009D16C4"/>
    <w:rsid w:val="009D1736"/>
    <w:rsid w:val="009D1B01"/>
    <w:rsid w:val="009D1C25"/>
    <w:rsid w:val="009D1C42"/>
    <w:rsid w:val="009D1F94"/>
    <w:rsid w:val="009D21A5"/>
    <w:rsid w:val="009D224E"/>
    <w:rsid w:val="009D2265"/>
    <w:rsid w:val="009D2865"/>
    <w:rsid w:val="009D2CFF"/>
    <w:rsid w:val="009D2EC5"/>
    <w:rsid w:val="009D2F98"/>
    <w:rsid w:val="009D304B"/>
    <w:rsid w:val="009D327F"/>
    <w:rsid w:val="009D3323"/>
    <w:rsid w:val="009D35E8"/>
    <w:rsid w:val="009D3924"/>
    <w:rsid w:val="009D39E8"/>
    <w:rsid w:val="009D3BCD"/>
    <w:rsid w:val="009D3BDB"/>
    <w:rsid w:val="009D3DCC"/>
    <w:rsid w:val="009D3DEE"/>
    <w:rsid w:val="009D3FE0"/>
    <w:rsid w:val="009D407D"/>
    <w:rsid w:val="009D40BB"/>
    <w:rsid w:val="009D40C2"/>
    <w:rsid w:val="009D4229"/>
    <w:rsid w:val="009D447A"/>
    <w:rsid w:val="009D4490"/>
    <w:rsid w:val="009D4592"/>
    <w:rsid w:val="009D4985"/>
    <w:rsid w:val="009D4B02"/>
    <w:rsid w:val="009D4BFE"/>
    <w:rsid w:val="009D4EF5"/>
    <w:rsid w:val="009D4FF4"/>
    <w:rsid w:val="009D5074"/>
    <w:rsid w:val="009D511C"/>
    <w:rsid w:val="009D5292"/>
    <w:rsid w:val="009D5631"/>
    <w:rsid w:val="009D576A"/>
    <w:rsid w:val="009D5A60"/>
    <w:rsid w:val="009D5A7B"/>
    <w:rsid w:val="009D5F09"/>
    <w:rsid w:val="009D605B"/>
    <w:rsid w:val="009D6065"/>
    <w:rsid w:val="009D61D2"/>
    <w:rsid w:val="009D6475"/>
    <w:rsid w:val="009D6874"/>
    <w:rsid w:val="009D6B52"/>
    <w:rsid w:val="009D6D2F"/>
    <w:rsid w:val="009D6FB2"/>
    <w:rsid w:val="009D7026"/>
    <w:rsid w:val="009D71CF"/>
    <w:rsid w:val="009D75C2"/>
    <w:rsid w:val="009D760F"/>
    <w:rsid w:val="009D766F"/>
    <w:rsid w:val="009D7674"/>
    <w:rsid w:val="009D7850"/>
    <w:rsid w:val="009D7B45"/>
    <w:rsid w:val="009D7E57"/>
    <w:rsid w:val="009D7FAF"/>
    <w:rsid w:val="009E074C"/>
    <w:rsid w:val="009E075E"/>
    <w:rsid w:val="009E0A17"/>
    <w:rsid w:val="009E0B18"/>
    <w:rsid w:val="009E0CA5"/>
    <w:rsid w:val="009E0D67"/>
    <w:rsid w:val="009E0E3D"/>
    <w:rsid w:val="009E0E79"/>
    <w:rsid w:val="009E10C6"/>
    <w:rsid w:val="009E134C"/>
    <w:rsid w:val="009E171B"/>
    <w:rsid w:val="009E1752"/>
    <w:rsid w:val="009E19A9"/>
    <w:rsid w:val="009E2131"/>
    <w:rsid w:val="009E2156"/>
    <w:rsid w:val="009E2214"/>
    <w:rsid w:val="009E2464"/>
    <w:rsid w:val="009E251D"/>
    <w:rsid w:val="009E2697"/>
    <w:rsid w:val="009E26D0"/>
    <w:rsid w:val="009E2843"/>
    <w:rsid w:val="009E2BAA"/>
    <w:rsid w:val="009E38A0"/>
    <w:rsid w:val="009E38F7"/>
    <w:rsid w:val="009E3AB7"/>
    <w:rsid w:val="009E3B97"/>
    <w:rsid w:val="009E3D7B"/>
    <w:rsid w:val="009E3F83"/>
    <w:rsid w:val="009E4145"/>
    <w:rsid w:val="009E418F"/>
    <w:rsid w:val="009E4421"/>
    <w:rsid w:val="009E4567"/>
    <w:rsid w:val="009E49BD"/>
    <w:rsid w:val="009E4A31"/>
    <w:rsid w:val="009E4BE0"/>
    <w:rsid w:val="009E4FA1"/>
    <w:rsid w:val="009E523C"/>
    <w:rsid w:val="009E572A"/>
    <w:rsid w:val="009E59F0"/>
    <w:rsid w:val="009E5E0C"/>
    <w:rsid w:val="009E5F69"/>
    <w:rsid w:val="009E61A3"/>
    <w:rsid w:val="009E630E"/>
    <w:rsid w:val="009E67C1"/>
    <w:rsid w:val="009E68C8"/>
    <w:rsid w:val="009E6F70"/>
    <w:rsid w:val="009E719D"/>
    <w:rsid w:val="009E77E5"/>
    <w:rsid w:val="009E7A11"/>
    <w:rsid w:val="009E7ABC"/>
    <w:rsid w:val="009E7EFD"/>
    <w:rsid w:val="009F004F"/>
    <w:rsid w:val="009F052B"/>
    <w:rsid w:val="009F0674"/>
    <w:rsid w:val="009F0826"/>
    <w:rsid w:val="009F0A50"/>
    <w:rsid w:val="009F0B0E"/>
    <w:rsid w:val="009F0E09"/>
    <w:rsid w:val="009F0F68"/>
    <w:rsid w:val="009F1055"/>
    <w:rsid w:val="009F10F8"/>
    <w:rsid w:val="009F112F"/>
    <w:rsid w:val="009F15E0"/>
    <w:rsid w:val="009F176E"/>
    <w:rsid w:val="009F1A48"/>
    <w:rsid w:val="009F1C46"/>
    <w:rsid w:val="009F1C91"/>
    <w:rsid w:val="009F2021"/>
    <w:rsid w:val="009F2072"/>
    <w:rsid w:val="009F23F2"/>
    <w:rsid w:val="009F26EA"/>
    <w:rsid w:val="009F2945"/>
    <w:rsid w:val="009F2BBD"/>
    <w:rsid w:val="009F2F60"/>
    <w:rsid w:val="009F31AB"/>
    <w:rsid w:val="009F359A"/>
    <w:rsid w:val="009F3688"/>
    <w:rsid w:val="009F3705"/>
    <w:rsid w:val="009F380F"/>
    <w:rsid w:val="009F3C44"/>
    <w:rsid w:val="009F3D69"/>
    <w:rsid w:val="009F3F4E"/>
    <w:rsid w:val="009F41CC"/>
    <w:rsid w:val="009F4840"/>
    <w:rsid w:val="009F4F3E"/>
    <w:rsid w:val="009F5267"/>
    <w:rsid w:val="009F5318"/>
    <w:rsid w:val="009F53B5"/>
    <w:rsid w:val="009F57C1"/>
    <w:rsid w:val="009F5844"/>
    <w:rsid w:val="009F58E7"/>
    <w:rsid w:val="009F58E8"/>
    <w:rsid w:val="009F5E69"/>
    <w:rsid w:val="009F645A"/>
    <w:rsid w:val="009F69F1"/>
    <w:rsid w:val="009F6A82"/>
    <w:rsid w:val="009F6B84"/>
    <w:rsid w:val="009F6EA5"/>
    <w:rsid w:val="009F6F07"/>
    <w:rsid w:val="009F6F5B"/>
    <w:rsid w:val="009F7069"/>
    <w:rsid w:val="009F7104"/>
    <w:rsid w:val="009F7141"/>
    <w:rsid w:val="009F72B0"/>
    <w:rsid w:val="009F73A6"/>
    <w:rsid w:val="009F7BD2"/>
    <w:rsid w:val="009F7BE8"/>
    <w:rsid w:val="009F7BE9"/>
    <w:rsid w:val="009F7C65"/>
    <w:rsid w:val="009F7DA1"/>
    <w:rsid w:val="009F7E94"/>
    <w:rsid w:val="009F7F33"/>
    <w:rsid w:val="009F7FA7"/>
    <w:rsid w:val="00A00175"/>
    <w:rsid w:val="00A001CB"/>
    <w:rsid w:val="00A0056D"/>
    <w:rsid w:val="00A005F9"/>
    <w:rsid w:val="00A00749"/>
    <w:rsid w:val="00A0077C"/>
    <w:rsid w:val="00A009CC"/>
    <w:rsid w:val="00A00BD8"/>
    <w:rsid w:val="00A00BE8"/>
    <w:rsid w:val="00A00F78"/>
    <w:rsid w:val="00A01017"/>
    <w:rsid w:val="00A01092"/>
    <w:rsid w:val="00A015E8"/>
    <w:rsid w:val="00A016EE"/>
    <w:rsid w:val="00A01E69"/>
    <w:rsid w:val="00A02093"/>
    <w:rsid w:val="00A020D1"/>
    <w:rsid w:val="00A020F9"/>
    <w:rsid w:val="00A02315"/>
    <w:rsid w:val="00A026BA"/>
    <w:rsid w:val="00A02AF8"/>
    <w:rsid w:val="00A03868"/>
    <w:rsid w:val="00A03C42"/>
    <w:rsid w:val="00A03CC8"/>
    <w:rsid w:val="00A03D13"/>
    <w:rsid w:val="00A03E9D"/>
    <w:rsid w:val="00A04030"/>
    <w:rsid w:val="00A0411C"/>
    <w:rsid w:val="00A045B9"/>
    <w:rsid w:val="00A04BCE"/>
    <w:rsid w:val="00A04DC7"/>
    <w:rsid w:val="00A04E40"/>
    <w:rsid w:val="00A04FED"/>
    <w:rsid w:val="00A05372"/>
    <w:rsid w:val="00A058E7"/>
    <w:rsid w:val="00A05999"/>
    <w:rsid w:val="00A05B6B"/>
    <w:rsid w:val="00A05C93"/>
    <w:rsid w:val="00A05D18"/>
    <w:rsid w:val="00A05E99"/>
    <w:rsid w:val="00A06093"/>
    <w:rsid w:val="00A062CC"/>
    <w:rsid w:val="00A065B9"/>
    <w:rsid w:val="00A06C7A"/>
    <w:rsid w:val="00A06DA0"/>
    <w:rsid w:val="00A06E01"/>
    <w:rsid w:val="00A06F98"/>
    <w:rsid w:val="00A06F9B"/>
    <w:rsid w:val="00A07071"/>
    <w:rsid w:val="00A07497"/>
    <w:rsid w:val="00A07547"/>
    <w:rsid w:val="00A07891"/>
    <w:rsid w:val="00A07BEA"/>
    <w:rsid w:val="00A07D47"/>
    <w:rsid w:val="00A07DB9"/>
    <w:rsid w:val="00A10035"/>
    <w:rsid w:val="00A100BF"/>
    <w:rsid w:val="00A100C1"/>
    <w:rsid w:val="00A103D8"/>
    <w:rsid w:val="00A10434"/>
    <w:rsid w:val="00A10593"/>
    <w:rsid w:val="00A105FB"/>
    <w:rsid w:val="00A1088C"/>
    <w:rsid w:val="00A10BAD"/>
    <w:rsid w:val="00A10DFA"/>
    <w:rsid w:val="00A113E7"/>
    <w:rsid w:val="00A1153D"/>
    <w:rsid w:val="00A1161C"/>
    <w:rsid w:val="00A1165A"/>
    <w:rsid w:val="00A1197D"/>
    <w:rsid w:val="00A11BD2"/>
    <w:rsid w:val="00A12083"/>
    <w:rsid w:val="00A12091"/>
    <w:rsid w:val="00A12917"/>
    <w:rsid w:val="00A12A5B"/>
    <w:rsid w:val="00A12F62"/>
    <w:rsid w:val="00A13101"/>
    <w:rsid w:val="00A13219"/>
    <w:rsid w:val="00A13356"/>
    <w:rsid w:val="00A13686"/>
    <w:rsid w:val="00A13852"/>
    <w:rsid w:val="00A13968"/>
    <w:rsid w:val="00A13B8A"/>
    <w:rsid w:val="00A13CE9"/>
    <w:rsid w:val="00A13F64"/>
    <w:rsid w:val="00A13F97"/>
    <w:rsid w:val="00A140D7"/>
    <w:rsid w:val="00A1418F"/>
    <w:rsid w:val="00A14475"/>
    <w:rsid w:val="00A148EA"/>
    <w:rsid w:val="00A149F3"/>
    <w:rsid w:val="00A14DCA"/>
    <w:rsid w:val="00A14E3D"/>
    <w:rsid w:val="00A14E75"/>
    <w:rsid w:val="00A14F80"/>
    <w:rsid w:val="00A14FE9"/>
    <w:rsid w:val="00A150C2"/>
    <w:rsid w:val="00A150EE"/>
    <w:rsid w:val="00A152F6"/>
    <w:rsid w:val="00A155DE"/>
    <w:rsid w:val="00A155F0"/>
    <w:rsid w:val="00A158FB"/>
    <w:rsid w:val="00A16030"/>
    <w:rsid w:val="00A16A69"/>
    <w:rsid w:val="00A16B97"/>
    <w:rsid w:val="00A16E86"/>
    <w:rsid w:val="00A17043"/>
    <w:rsid w:val="00A174AA"/>
    <w:rsid w:val="00A17862"/>
    <w:rsid w:val="00A179A9"/>
    <w:rsid w:val="00A17CCF"/>
    <w:rsid w:val="00A17DE8"/>
    <w:rsid w:val="00A2010A"/>
    <w:rsid w:val="00A203F3"/>
    <w:rsid w:val="00A205C6"/>
    <w:rsid w:val="00A2060B"/>
    <w:rsid w:val="00A206C6"/>
    <w:rsid w:val="00A20DF4"/>
    <w:rsid w:val="00A210EA"/>
    <w:rsid w:val="00A211C9"/>
    <w:rsid w:val="00A212A1"/>
    <w:rsid w:val="00A21373"/>
    <w:rsid w:val="00A2139B"/>
    <w:rsid w:val="00A2139E"/>
    <w:rsid w:val="00A21559"/>
    <w:rsid w:val="00A215DA"/>
    <w:rsid w:val="00A216A5"/>
    <w:rsid w:val="00A21897"/>
    <w:rsid w:val="00A21CC5"/>
    <w:rsid w:val="00A22024"/>
    <w:rsid w:val="00A22538"/>
    <w:rsid w:val="00A22DAB"/>
    <w:rsid w:val="00A233A7"/>
    <w:rsid w:val="00A23568"/>
    <w:rsid w:val="00A235D3"/>
    <w:rsid w:val="00A236A3"/>
    <w:rsid w:val="00A23D67"/>
    <w:rsid w:val="00A23F92"/>
    <w:rsid w:val="00A23FB7"/>
    <w:rsid w:val="00A243FC"/>
    <w:rsid w:val="00A248CA"/>
    <w:rsid w:val="00A24A80"/>
    <w:rsid w:val="00A24AB7"/>
    <w:rsid w:val="00A251EF"/>
    <w:rsid w:val="00A2541D"/>
    <w:rsid w:val="00A2549A"/>
    <w:rsid w:val="00A2559C"/>
    <w:rsid w:val="00A256CB"/>
    <w:rsid w:val="00A25E8D"/>
    <w:rsid w:val="00A26183"/>
    <w:rsid w:val="00A26287"/>
    <w:rsid w:val="00A26C13"/>
    <w:rsid w:val="00A26C3C"/>
    <w:rsid w:val="00A26EE5"/>
    <w:rsid w:val="00A2734B"/>
    <w:rsid w:val="00A27766"/>
    <w:rsid w:val="00A27AD7"/>
    <w:rsid w:val="00A27B6F"/>
    <w:rsid w:val="00A27E5A"/>
    <w:rsid w:val="00A27F48"/>
    <w:rsid w:val="00A3009E"/>
    <w:rsid w:val="00A300C8"/>
    <w:rsid w:val="00A300DB"/>
    <w:rsid w:val="00A3034D"/>
    <w:rsid w:val="00A308A6"/>
    <w:rsid w:val="00A30B52"/>
    <w:rsid w:val="00A30BAB"/>
    <w:rsid w:val="00A30D0E"/>
    <w:rsid w:val="00A30D62"/>
    <w:rsid w:val="00A30E62"/>
    <w:rsid w:val="00A31358"/>
    <w:rsid w:val="00A31479"/>
    <w:rsid w:val="00A31B8F"/>
    <w:rsid w:val="00A31B94"/>
    <w:rsid w:val="00A31C09"/>
    <w:rsid w:val="00A31D31"/>
    <w:rsid w:val="00A324EB"/>
    <w:rsid w:val="00A326D5"/>
    <w:rsid w:val="00A326E3"/>
    <w:rsid w:val="00A3289D"/>
    <w:rsid w:val="00A32A24"/>
    <w:rsid w:val="00A334B3"/>
    <w:rsid w:val="00A336EE"/>
    <w:rsid w:val="00A33BE2"/>
    <w:rsid w:val="00A33E6D"/>
    <w:rsid w:val="00A34055"/>
    <w:rsid w:val="00A3438E"/>
    <w:rsid w:val="00A3456C"/>
    <w:rsid w:val="00A346A5"/>
    <w:rsid w:val="00A34B43"/>
    <w:rsid w:val="00A34E58"/>
    <w:rsid w:val="00A352B6"/>
    <w:rsid w:val="00A354A2"/>
    <w:rsid w:val="00A354EB"/>
    <w:rsid w:val="00A35A46"/>
    <w:rsid w:val="00A35A81"/>
    <w:rsid w:val="00A35B2D"/>
    <w:rsid w:val="00A35CD3"/>
    <w:rsid w:val="00A3604D"/>
    <w:rsid w:val="00A362F4"/>
    <w:rsid w:val="00A36469"/>
    <w:rsid w:val="00A36505"/>
    <w:rsid w:val="00A36568"/>
    <w:rsid w:val="00A36841"/>
    <w:rsid w:val="00A3696A"/>
    <w:rsid w:val="00A36A03"/>
    <w:rsid w:val="00A36D2D"/>
    <w:rsid w:val="00A36FBD"/>
    <w:rsid w:val="00A37309"/>
    <w:rsid w:val="00A3749B"/>
    <w:rsid w:val="00A3759E"/>
    <w:rsid w:val="00A37932"/>
    <w:rsid w:val="00A379A2"/>
    <w:rsid w:val="00A37AF2"/>
    <w:rsid w:val="00A37D87"/>
    <w:rsid w:val="00A40121"/>
    <w:rsid w:val="00A4050A"/>
    <w:rsid w:val="00A40720"/>
    <w:rsid w:val="00A407F5"/>
    <w:rsid w:val="00A409FC"/>
    <w:rsid w:val="00A40DA9"/>
    <w:rsid w:val="00A40DAC"/>
    <w:rsid w:val="00A4123B"/>
    <w:rsid w:val="00A41358"/>
    <w:rsid w:val="00A41461"/>
    <w:rsid w:val="00A4153C"/>
    <w:rsid w:val="00A41552"/>
    <w:rsid w:val="00A41816"/>
    <w:rsid w:val="00A420C5"/>
    <w:rsid w:val="00A422FC"/>
    <w:rsid w:val="00A424AB"/>
    <w:rsid w:val="00A42513"/>
    <w:rsid w:val="00A42C73"/>
    <w:rsid w:val="00A42F00"/>
    <w:rsid w:val="00A43379"/>
    <w:rsid w:val="00A4349F"/>
    <w:rsid w:val="00A43542"/>
    <w:rsid w:val="00A435B1"/>
    <w:rsid w:val="00A438F3"/>
    <w:rsid w:val="00A43A95"/>
    <w:rsid w:val="00A43C58"/>
    <w:rsid w:val="00A44068"/>
    <w:rsid w:val="00A4408A"/>
    <w:rsid w:val="00A444C5"/>
    <w:rsid w:val="00A44584"/>
    <w:rsid w:val="00A448A0"/>
    <w:rsid w:val="00A44B59"/>
    <w:rsid w:val="00A44BA9"/>
    <w:rsid w:val="00A44EF4"/>
    <w:rsid w:val="00A452C7"/>
    <w:rsid w:val="00A4547B"/>
    <w:rsid w:val="00A457FF"/>
    <w:rsid w:val="00A45929"/>
    <w:rsid w:val="00A45EBA"/>
    <w:rsid w:val="00A45F3E"/>
    <w:rsid w:val="00A45F63"/>
    <w:rsid w:val="00A464AF"/>
    <w:rsid w:val="00A4657B"/>
    <w:rsid w:val="00A465F2"/>
    <w:rsid w:val="00A46658"/>
    <w:rsid w:val="00A46809"/>
    <w:rsid w:val="00A46B54"/>
    <w:rsid w:val="00A4718B"/>
    <w:rsid w:val="00A472BC"/>
    <w:rsid w:val="00A47418"/>
    <w:rsid w:val="00A47A37"/>
    <w:rsid w:val="00A47AC9"/>
    <w:rsid w:val="00A47FE7"/>
    <w:rsid w:val="00A50011"/>
    <w:rsid w:val="00A500BF"/>
    <w:rsid w:val="00A5029C"/>
    <w:rsid w:val="00A50C3D"/>
    <w:rsid w:val="00A50D03"/>
    <w:rsid w:val="00A50D88"/>
    <w:rsid w:val="00A51010"/>
    <w:rsid w:val="00A512B4"/>
    <w:rsid w:val="00A5158F"/>
    <w:rsid w:val="00A52093"/>
    <w:rsid w:val="00A52342"/>
    <w:rsid w:val="00A526E8"/>
    <w:rsid w:val="00A527C8"/>
    <w:rsid w:val="00A527F6"/>
    <w:rsid w:val="00A52EFF"/>
    <w:rsid w:val="00A52FA5"/>
    <w:rsid w:val="00A52FE1"/>
    <w:rsid w:val="00A53034"/>
    <w:rsid w:val="00A532F7"/>
    <w:rsid w:val="00A53367"/>
    <w:rsid w:val="00A533A2"/>
    <w:rsid w:val="00A535B8"/>
    <w:rsid w:val="00A53867"/>
    <w:rsid w:val="00A53928"/>
    <w:rsid w:val="00A53A33"/>
    <w:rsid w:val="00A542F3"/>
    <w:rsid w:val="00A54602"/>
    <w:rsid w:val="00A54609"/>
    <w:rsid w:val="00A54654"/>
    <w:rsid w:val="00A54C90"/>
    <w:rsid w:val="00A54DF3"/>
    <w:rsid w:val="00A54EBF"/>
    <w:rsid w:val="00A55094"/>
    <w:rsid w:val="00A558F9"/>
    <w:rsid w:val="00A55979"/>
    <w:rsid w:val="00A55ADC"/>
    <w:rsid w:val="00A55BA6"/>
    <w:rsid w:val="00A55EEA"/>
    <w:rsid w:val="00A5608A"/>
    <w:rsid w:val="00A568CA"/>
    <w:rsid w:val="00A56923"/>
    <w:rsid w:val="00A569F1"/>
    <w:rsid w:val="00A56B53"/>
    <w:rsid w:val="00A56FDA"/>
    <w:rsid w:val="00A57634"/>
    <w:rsid w:val="00A57654"/>
    <w:rsid w:val="00A5769A"/>
    <w:rsid w:val="00A57849"/>
    <w:rsid w:val="00A57915"/>
    <w:rsid w:val="00A57C1F"/>
    <w:rsid w:val="00A6026A"/>
    <w:rsid w:val="00A6076F"/>
    <w:rsid w:val="00A6080A"/>
    <w:rsid w:val="00A6095A"/>
    <w:rsid w:val="00A60CD5"/>
    <w:rsid w:val="00A61016"/>
    <w:rsid w:val="00A610FF"/>
    <w:rsid w:val="00A61329"/>
    <w:rsid w:val="00A613D7"/>
    <w:rsid w:val="00A61BE3"/>
    <w:rsid w:val="00A61FBA"/>
    <w:rsid w:val="00A6239E"/>
    <w:rsid w:val="00A623DA"/>
    <w:rsid w:val="00A6257D"/>
    <w:rsid w:val="00A62782"/>
    <w:rsid w:val="00A628F0"/>
    <w:rsid w:val="00A62B7B"/>
    <w:rsid w:val="00A62D02"/>
    <w:rsid w:val="00A62E42"/>
    <w:rsid w:val="00A62F1C"/>
    <w:rsid w:val="00A62F30"/>
    <w:rsid w:val="00A6348A"/>
    <w:rsid w:val="00A6364B"/>
    <w:rsid w:val="00A638B0"/>
    <w:rsid w:val="00A6395A"/>
    <w:rsid w:val="00A63AAB"/>
    <w:rsid w:val="00A63EB3"/>
    <w:rsid w:val="00A63EC2"/>
    <w:rsid w:val="00A64099"/>
    <w:rsid w:val="00A64489"/>
    <w:rsid w:val="00A64760"/>
    <w:rsid w:val="00A64A71"/>
    <w:rsid w:val="00A64C40"/>
    <w:rsid w:val="00A64ECE"/>
    <w:rsid w:val="00A650AC"/>
    <w:rsid w:val="00A650C0"/>
    <w:rsid w:val="00A65183"/>
    <w:rsid w:val="00A656E4"/>
    <w:rsid w:val="00A65AD6"/>
    <w:rsid w:val="00A65CB3"/>
    <w:rsid w:val="00A661B6"/>
    <w:rsid w:val="00A66412"/>
    <w:rsid w:val="00A666B7"/>
    <w:rsid w:val="00A66728"/>
    <w:rsid w:val="00A66801"/>
    <w:rsid w:val="00A66823"/>
    <w:rsid w:val="00A6692F"/>
    <w:rsid w:val="00A66938"/>
    <w:rsid w:val="00A66BC1"/>
    <w:rsid w:val="00A66C4F"/>
    <w:rsid w:val="00A66CDB"/>
    <w:rsid w:val="00A67686"/>
    <w:rsid w:val="00A67AD1"/>
    <w:rsid w:val="00A67B57"/>
    <w:rsid w:val="00A67D2A"/>
    <w:rsid w:val="00A67E78"/>
    <w:rsid w:val="00A67EB6"/>
    <w:rsid w:val="00A67ECD"/>
    <w:rsid w:val="00A7005E"/>
    <w:rsid w:val="00A704ED"/>
    <w:rsid w:val="00A70516"/>
    <w:rsid w:val="00A7081B"/>
    <w:rsid w:val="00A7089B"/>
    <w:rsid w:val="00A70947"/>
    <w:rsid w:val="00A70B62"/>
    <w:rsid w:val="00A70CA8"/>
    <w:rsid w:val="00A70CEC"/>
    <w:rsid w:val="00A70E99"/>
    <w:rsid w:val="00A70EDD"/>
    <w:rsid w:val="00A71131"/>
    <w:rsid w:val="00A71453"/>
    <w:rsid w:val="00A71560"/>
    <w:rsid w:val="00A71592"/>
    <w:rsid w:val="00A71763"/>
    <w:rsid w:val="00A71DD8"/>
    <w:rsid w:val="00A71E68"/>
    <w:rsid w:val="00A71F29"/>
    <w:rsid w:val="00A71F5D"/>
    <w:rsid w:val="00A71FA7"/>
    <w:rsid w:val="00A72143"/>
    <w:rsid w:val="00A72163"/>
    <w:rsid w:val="00A7236C"/>
    <w:rsid w:val="00A7274B"/>
    <w:rsid w:val="00A72834"/>
    <w:rsid w:val="00A728B0"/>
    <w:rsid w:val="00A72960"/>
    <w:rsid w:val="00A72C2D"/>
    <w:rsid w:val="00A72D8F"/>
    <w:rsid w:val="00A72EF5"/>
    <w:rsid w:val="00A7315E"/>
    <w:rsid w:val="00A73216"/>
    <w:rsid w:val="00A735A0"/>
    <w:rsid w:val="00A7369F"/>
    <w:rsid w:val="00A737C9"/>
    <w:rsid w:val="00A737CC"/>
    <w:rsid w:val="00A73827"/>
    <w:rsid w:val="00A73BCA"/>
    <w:rsid w:val="00A73BF7"/>
    <w:rsid w:val="00A73C09"/>
    <w:rsid w:val="00A73F2B"/>
    <w:rsid w:val="00A74806"/>
    <w:rsid w:val="00A74815"/>
    <w:rsid w:val="00A74F63"/>
    <w:rsid w:val="00A74FAB"/>
    <w:rsid w:val="00A75095"/>
    <w:rsid w:val="00A75396"/>
    <w:rsid w:val="00A75666"/>
    <w:rsid w:val="00A7597E"/>
    <w:rsid w:val="00A75EF8"/>
    <w:rsid w:val="00A76562"/>
    <w:rsid w:val="00A7665D"/>
    <w:rsid w:val="00A76986"/>
    <w:rsid w:val="00A769A5"/>
    <w:rsid w:val="00A76B34"/>
    <w:rsid w:val="00A76B3D"/>
    <w:rsid w:val="00A76F33"/>
    <w:rsid w:val="00A77282"/>
    <w:rsid w:val="00A77421"/>
    <w:rsid w:val="00A7763A"/>
    <w:rsid w:val="00A77791"/>
    <w:rsid w:val="00A77980"/>
    <w:rsid w:val="00A77D7D"/>
    <w:rsid w:val="00A8002C"/>
    <w:rsid w:val="00A80037"/>
    <w:rsid w:val="00A80081"/>
    <w:rsid w:val="00A8020D"/>
    <w:rsid w:val="00A80B6A"/>
    <w:rsid w:val="00A80C7B"/>
    <w:rsid w:val="00A80EE7"/>
    <w:rsid w:val="00A80EFC"/>
    <w:rsid w:val="00A81192"/>
    <w:rsid w:val="00A814DD"/>
    <w:rsid w:val="00A8151E"/>
    <w:rsid w:val="00A81674"/>
    <w:rsid w:val="00A81D6E"/>
    <w:rsid w:val="00A81FAB"/>
    <w:rsid w:val="00A825A5"/>
    <w:rsid w:val="00A82850"/>
    <w:rsid w:val="00A82917"/>
    <w:rsid w:val="00A829F3"/>
    <w:rsid w:val="00A82ABB"/>
    <w:rsid w:val="00A82C16"/>
    <w:rsid w:val="00A82EB9"/>
    <w:rsid w:val="00A82F91"/>
    <w:rsid w:val="00A83320"/>
    <w:rsid w:val="00A83477"/>
    <w:rsid w:val="00A83616"/>
    <w:rsid w:val="00A836C3"/>
    <w:rsid w:val="00A838F7"/>
    <w:rsid w:val="00A83AE3"/>
    <w:rsid w:val="00A83B07"/>
    <w:rsid w:val="00A83EA8"/>
    <w:rsid w:val="00A8425C"/>
    <w:rsid w:val="00A843AB"/>
    <w:rsid w:val="00A84548"/>
    <w:rsid w:val="00A84A6E"/>
    <w:rsid w:val="00A84B78"/>
    <w:rsid w:val="00A84D69"/>
    <w:rsid w:val="00A84E23"/>
    <w:rsid w:val="00A8520D"/>
    <w:rsid w:val="00A85761"/>
    <w:rsid w:val="00A85939"/>
    <w:rsid w:val="00A859AC"/>
    <w:rsid w:val="00A859AE"/>
    <w:rsid w:val="00A85E12"/>
    <w:rsid w:val="00A85F5B"/>
    <w:rsid w:val="00A86079"/>
    <w:rsid w:val="00A86DA4"/>
    <w:rsid w:val="00A86DB4"/>
    <w:rsid w:val="00A87006"/>
    <w:rsid w:val="00A8702D"/>
    <w:rsid w:val="00A87088"/>
    <w:rsid w:val="00A87195"/>
    <w:rsid w:val="00A8742C"/>
    <w:rsid w:val="00A87695"/>
    <w:rsid w:val="00A87B07"/>
    <w:rsid w:val="00A87E32"/>
    <w:rsid w:val="00A87E92"/>
    <w:rsid w:val="00A87F0F"/>
    <w:rsid w:val="00A87F25"/>
    <w:rsid w:val="00A904EF"/>
    <w:rsid w:val="00A9060F"/>
    <w:rsid w:val="00A908F2"/>
    <w:rsid w:val="00A90D53"/>
    <w:rsid w:val="00A90EC7"/>
    <w:rsid w:val="00A90F41"/>
    <w:rsid w:val="00A9132A"/>
    <w:rsid w:val="00A9183F"/>
    <w:rsid w:val="00A91B37"/>
    <w:rsid w:val="00A91B4F"/>
    <w:rsid w:val="00A91E77"/>
    <w:rsid w:val="00A91F2E"/>
    <w:rsid w:val="00A91FF1"/>
    <w:rsid w:val="00A92224"/>
    <w:rsid w:val="00A92302"/>
    <w:rsid w:val="00A923C7"/>
    <w:rsid w:val="00A9249D"/>
    <w:rsid w:val="00A92564"/>
    <w:rsid w:val="00A925A2"/>
    <w:rsid w:val="00A927DD"/>
    <w:rsid w:val="00A92D6F"/>
    <w:rsid w:val="00A92E4A"/>
    <w:rsid w:val="00A92EBD"/>
    <w:rsid w:val="00A930C8"/>
    <w:rsid w:val="00A930FD"/>
    <w:rsid w:val="00A93401"/>
    <w:rsid w:val="00A9346A"/>
    <w:rsid w:val="00A934D5"/>
    <w:rsid w:val="00A934DC"/>
    <w:rsid w:val="00A93505"/>
    <w:rsid w:val="00A93821"/>
    <w:rsid w:val="00A93AEA"/>
    <w:rsid w:val="00A93E4B"/>
    <w:rsid w:val="00A94016"/>
    <w:rsid w:val="00A942C9"/>
    <w:rsid w:val="00A94448"/>
    <w:rsid w:val="00A9450C"/>
    <w:rsid w:val="00A9476A"/>
    <w:rsid w:val="00A9492F"/>
    <w:rsid w:val="00A949D1"/>
    <w:rsid w:val="00A94A50"/>
    <w:rsid w:val="00A94E3C"/>
    <w:rsid w:val="00A957BB"/>
    <w:rsid w:val="00A961DC"/>
    <w:rsid w:val="00A9625A"/>
    <w:rsid w:val="00A96552"/>
    <w:rsid w:val="00A9658D"/>
    <w:rsid w:val="00A967D9"/>
    <w:rsid w:val="00A96AFA"/>
    <w:rsid w:val="00A96F67"/>
    <w:rsid w:val="00A9707A"/>
    <w:rsid w:val="00A97160"/>
    <w:rsid w:val="00A9741F"/>
    <w:rsid w:val="00A97466"/>
    <w:rsid w:val="00A9773A"/>
    <w:rsid w:val="00A97B27"/>
    <w:rsid w:val="00AA02B7"/>
    <w:rsid w:val="00AA070E"/>
    <w:rsid w:val="00AA0713"/>
    <w:rsid w:val="00AA07E5"/>
    <w:rsid w:val="00AA0A75"/>
    <w:rsid w:val="00AA0CC6"/>
    <w:rsid w:val="00AA0D52"/>
    <w:rsid w:val="00AA0DC0"/>
    <w:rsid w:val="00AA0E66"/>
    <w:rsid w:val="00AA1067"/>
    <w:rsid w:val="00AA17F5"/>
    <w:rsid w:val="00AA1B9A"/>
    <w:rsid w:val="00AA1C68"/>
    <w:rsid w:val="00AA1CA6"/>
    <w:rsid w:val="00AA1D66"/>
    <w:rsid w:val="00AA1DEA"/>
    <w:rsid w:val="00AA1FCD"/>
    <w:rsid w:val="00AA22D5"/>
    <w:rsid w:val="00AA2671"/>
    <w:rsid w:val="00AA26DD"/>
    <w:rsid w:val="00AA292B"/>
    <w:rsid w:val="00AA29F8"/>
    <w:rsid w:val="00AA2A38"/>
    <w:rsid w:val="00AA3045"/>
    <w:rsid w:val="00AA33EC"/>
    <w:rsid w:val="00AA3453"/>
    <w:rsid w:val="00AA354D"/>
    <w:rsid w:val="00AA360C"/>
    <w:rsid w:val="00AA36EF"/>
    <w:rsid w:val="00AA37A3"/>
    <w:rsid w:val="00AA3814"/>
    <w:rsid w:val="00AA38C1"/>
    <w:rsid w:val="00AA38FC"/>
    <w:rsid w:val="00AA3A83"/>
    <w:rsid w:val="00AA3BDB"/>
    <w:rsid w:val="00AA3E8F"/>
    <w:rsid w:val="00AA3F51"/>
    <w:rsid w:val="00AA4116"/>
    <w:rsid w:val="00AA4698"/>
    <w:rsid w:val="00AA4712"/>
    <w:rsid w:val="00AA475A"/>
    <w:rsid w:val="00AA4D22"/>
    <w:rsid w:val="00AA50C4"/>
    <w:rsid w:val="00AA521B"/>
    <w:rsid w:val="00AA526C"/>
    <w:rsid w:val="00AA55FC"/>
    <w:rsid w:val="00AA59B5"/>
    <w:rsid w:val="00AA5B74"/>
    <w:rsid w:val="00AA5F32"/>
    <w:rsid w:val="00AA659D"/>
    <w:rsid w:val="00AA667B"/>
    <w:rsid w:val="00AA6821"/>
    <w:rsid w:val="00AA690A"/>
    <w:rsid w:val="00AA6B01"/>
    <w:rsid w:val="00AA6BE2"/>
    <w:rsid w:val="00AA702B"/>
    <w:rsid w:val="00AA7062"/>
    <w:rsid w:val="00AA772A"/>
    <w:rsid w:val="00AA7C1D"/>
    <w:rsid w:val="00AB0306"/>
    <w:rsid w:val="00AB0368"/>
    <w:rsid w:val="00AB03B7"/>
    <w:rsid w:val="00AB050D"/>
    <w:rsid w:val="00AB0690"/>
    <w:rsid w:val="00AB0A22"/>
    <w:rsid w:val="00AB0B16"/>
    <w:rsid w:val="00AB102B"/>
    <w:rsid w:val="00AB1048"/>
    <w:rsid w:val="00AB14BE"/>
    <w:rsid w:val="00AB176E"/>
    <w:rsid w:val="00AB1789"/>
    <w:rsid w:val="00AB17D1"/>
    <w:rsid w:val="00AB1863"/>
    <w:rsid w:val="00AB19E5"/>
    <w:rsid w:val="00AB1A54"/>
    <w:rsid w:val="00AB1B63"/>
    <w:rsid w:val="00AB2303"/>
    <w:rsid w:val="00AB2C00"/>
    <w:rsid w:val="00AB2E87"/>
    <w:rsid w:val="00AB30CC"/>
    <w:rsid w:val="00AB30D3"/>
    <w:rsid w:val="00AB36AB"/>
    <w:rsid w:val="00AB3D25"/>
    <w:rsid w:val="00AB3E0B"/>
    <w:rsid w:val="00AB41F5"/>
    <w:rsid w:val="00AB46E3"/>
    <w:rsid w:val="00AB4D3F"/>
    <w:rsid w:val="00AB4FCB"/>
    <w:rsid w:val="00AB50A0"/>
    <w:rsid w:val="00AB50BF"/>
    <w:rsid w:val="00AB53EE"/>
    <w:rsid w:val="00AB5525"/>
    <w:rsid w:val="00AB575C"/>
    <w:rsid w:val="00AB586B"/>
    <w:rsid w:val="00AB59DE"/>
    <w:rsid w:val="00AB5C36"/>
    <w:rsid w:val="00AB6191"/>
    <w:rsid w:val="00AB6650"/>
    <w:rsid w:val="00AB688D"/>
    <w:rsid w:val="00AB6C64"/>
    <w:rsid w:val="00AB6F1A"/>
    <w:rsid w:val="00AB701D"/>
    <w:rsid w:val="00AB71CA"/>
    <w:rsid w:val="00AB7237"/>
    <w:rsid w:val="00AB7FA2"/>
    <w:rsid w:val="00AC00BF"/>
    <w:rsid w:val="00AC00EB"/>
    <w:rsid w:val="00AC03D2"/>
    <w:rsid w:val="00AC03EC"/>
    <w:rsid w:val="00AC0769"/>
    <w:rsid w:val="00AC0842"/>
    <w:rsid w:val="00AC0C50"/>
    <w:rsid w:val="00AC0C84"/>
    <w:rsid w:val="00AC0E3A"/>
    <w:rsid w:val="00AC0F70"/>
    <w:rsid w:val="00AC1142"/>
    <w:rsid w:val="00AC141D"/>
    <w:rsid w:val="00AC14E6"/>
    <w:rsid w:val="00AC156A"/>
    <w:rsid w:val="00AC19E4"/>
    <w:rsid w:val="00AC1A51"/>
    <w:rsid w:val="00AC1B64"/>
    <w:rsid w:val="00AC1D21"/>
    <w:rsid w:val="00AC1D73"/>
    <w:rsid w:val="00AC22C6"/>
    <w:rsid w:val="00AC266C"/>
    <w:rsid w:val="00AC2CA6"/>
    <w:rsid w:val="00AC2E16"/>
    <w:rsid w:val="00AC3196"/>
    <w:rsid w:val="00AC31E9"/>
    <w:rsid w:val="00AC32A2"/>
    <w:rsid w:val="00AC330B"/>
    <w:rsid w:val="00AC3365"/>
    <w:rsid w:val="00AC3D55"/>
    <w:rsid w:val="00AC4065"/>
    <w:rsid w:val="00AC41D4"/>
    <w:rsid w:val="00AC4246"/>
    <w:rsid w:val="00AC42E4"/>
    <w:rsid w:val="00AC431F"/>
    <w:rsid w:val="00AC4450"/>
    <w:rsid w:val="00AC4494"/>
    <w:rsid w:val="00AC46F7"/>
    <w:rsid w:val="00AC4EBA"/>
    <w:rsid w:val="00AC50EC"/>
    <w:rsid w:val="00AC5360"/>
    <w:rsid w:val="00AC53CA"/>
    <w:rsid w:val="00AC5863"/>
    <w:rsid w:val="00AC5BE9"/>
    <w:rsid w:val="00AC5C7C"/>
    <w:rsid w:val="00AC6280"/>
    <w:rsid w:val="00AC6738"/>
    <w:rsid w:val="00AC6B71"/>
    <w:rsid w:val="00AC6D83"/>
    <w:rsid w:val="00AC6ECA"/>
    <w:rsid w:val="00AC6F80"/>
    <w:rsid w:val="00AC75E2"/>
    <w:rsid w:val="00AC7829"/>
    <w:rsid w:val="00AC7C8E"/>
    <w:rsid w:val="00AC7D87"/>
    <w:rsid w:val="00AC7DD6"/>
    <w:rsid w:val="00AD0217"/>
    <w:rsid w:val="00AD02A3"/>
    <w:rsid w:val="00AD0350"/>
    <w:rsid w:val="00AD0D27"/>
    <w:rsid w:val="00AD13DE"/>
    <w:rsid w:val="00AD176D"/>
    <w:rsid w:val="00AD1782"/>
    <w:rsid w:val="00AD179F"/>
    <w:rsid w:val="00AD17C9"/>
    <w:rsid w:val="00AD1B89"/>
    <w:rsid w:val="00AD25C8"/>
    <w:rsid w:val="00AD27DF"/>
    <w:rsid w:val="00AD2A20"/>
    <w:rsid w:val="00AD34C1"/>
    <w:rsid w:val="00AD35C3"/>
    <w:rsid w:val="00AD3659"/>
    <w:rsid w:val="00AD39FD"/>
    <w:rsid w:val="00AD3BB6"/>
    <w:rsid w:val="00AD40B7"/>
    <w:rsid w:val="00AD412B"/>
    <w:rsid w:val="00AD41A3"/>
    <w:rsid w:val="00AD4520"/>
    <w:rsid w:val="00AD4587"/>
    <w:rsid w:val="00AD461F"/>
    <w:rsid w:val="00AD4AFA"/>
    <w:rsid w:val="00AD5001"/>
    <w:rsid w:val="00AD50BF"/>
    <w:rsid w:val="00AD521C"/>
    <w:rsid w:val="00AD53B6"/>
    <w:rsid w:val="00AD556F"/>
    <w:rsid w:val="00AD5890"/>
    <w:rsid w:val="00AD5977"/>
    <w:rsid w:val="00AD5EDD"/>
    <w:rsid w:val="00AD5F6C"/>
    <w:rsid w:val="00AD6348"/>
    <w:rsid w:val="00AD6605"/>
    <w:rsid w:val="00AD6892"/>
    <w:rsid w:val="00AD6A1B"/>
    <w:rsid w:val="00AD6F8B"/>
    <w:rsid w:val="00AD735A"/>
    <w:rsid w:val="00AD7515"/>
    <w:rsid w:val="00AD774A"/>
    <w:rsid w:val="00AD7931"/>
    <w:rsid w:val="00AD7A8E"/>
    <w:rsid w:val="00AD7C2D"/>
    <w:rsid w:val="00AD7C79"/>
    <w:rsid w:val="00AD7F0A"/>
    <w:rsid w:val="00AE006B"/>
    <w:rsid w:val="00AE00DA"/>
    <w:rsid w:val="00AE01A1"/>
    <w:rsid w:val="00AE0340"/>
    <w:rsid w:val="00AE05FB"/>
    <w:rsid w:val="00AE0645"/>
    <w:rsid w:val="00AE0747"/>
    <w:rsid w:val="00AE08A4"/>
    <w:rsid w:val="00AE0992"/>
    <w:rsid w:val="00AE0DD5"/>
    <w:rsid w:val="00AE0E37"/>
    <w:rsid w:val="00AE13BA"/>
    <w:rsid w:val="00AE19C3"/>
    <w:rsid w:val="00AE1ADA"/>
    <w:rsid w:val="00AE1C7F"/>
    <w:rsid w:val="00AE1CEB"/>
    <w:rsid w:val="00AE24DA"/>
    <w:rsid w:val="00AE2A8A"/>
    <w:rsid w:val="00AE2B16"/>
    <w:rsid w:val="00AE2CEB"/>
    <w:rsid w:val="00AE2EAA"/>
    <w:rsid w:val="00AE2F90"/>
    <w:rsid w:val="00AE33B2"/>
    <w:rsid w:val="00AE33D0"/>
    <w:rsid w:val="00AE3490"/>
    <w:rsid w:val="00AE3571"/>
    <w:rsid w:val="00AE3877"/>
    <w:rsid w:val="00AE3B59"/>
    <w:rsid w:val="00AE4137"/>
    <w:rsid w:val="00AE4318"/>
    <w:rsid w:val="00AE432B"/>
    <w:rsid w:val="00AE48AD"/>
    <w:rsid w:val="00AE5116"/>
    <w:rsid w:val="00AE537D"/>
    <w:rsid w:val="00AE5C30"/>
    <w:rsid w:val="00AE5CF2"/>
    <w:rsid w:val="00AE5F5D"/>
    <w:rsid w:val="00AE638E"/>
    <w:rsid w:val="00AE6DF3"/>
    <w:rsid w:val="00AE6FAD"/>
    <w:rsid w:val="00AE74C6"/>
    <w:rsid w:val="00AE7823"/>
    <w:rsid w:val="00AE7966"/>
    <w:rsid w:val="00AE7988"/>
    <w:rsid w:val="00AE7F77"/>
    <w:rsid w:val="00AF00F6"/>
    <w:rsid w:val="00AF0114"/>
    <w:rsid w:val="00AF01FE"/>
    <w:rsid w:val="00AF068B"/>
    <w:rsid w:val="00AF06E4"/>
    <w:rsid w:val="00AF0817"/>
    <w:rsid w:val="00AF09A4"/>
    <w:rsid w:val="00AF0CDF"/>
    <w:rsid w:val="00AF0DC9"/>
    <w:rsid w:val="00AF10D7"/>
    <w:rsid w:val="00AF1219"/>
    <w:rsid w:val="00AF1718"/>
    <w:rsid w:val="00AF1876"/>
    <w:rsid w:val="00AF196F"/>
    <w:rsid w:val="00AF1C01"/>
    <w:rsid w:val="00AF1E82"/>
    <w:rsid w:val="00AF1F57"/>
    <w:rsid w:val="00AF1F7E"/>
    <w:rsid w:val="00AF1FD4"/>
    <w:rsid w:val="00AF2077"/>
    <w:rsid w:val="00AF268E"/>
    <w:rsid w:val="00AF272B"/>
    <w:rsid w:val="00AF29A0"/>
    <w:rsid w:val="00AF29B1"/>
    <w:rsid w:val="00AF2ADD"/>
    <w:rsid w:val="00AF2D05"/>
    <w:rsid w:val="00AF2E44"/>
    <w:rsid w:val="00AF2F1C"/>
    <w:rsid w:val="00AF3228"/>
    <w:rsid w:val="00AF329F"/>
    <w:rsid w:val="00AF3D37"/>
    <w:rsid w:val="00AF42B9"/>
    <w:rsid w:val="00AF4382"/>
    <w:rsid w:val="00AF45E0"/>
    <w:rsid w:val="00AF464B"/>
    <w:rsid w:val="00AF491A"/>
    <w:rsid w:val="00AF4D5E"/>
    <w:rsid w:val="00AF4DF9"/>
    <w:rsid w:val="00AF50B1"/>
    <w:rsid w:val="00AF50D6"/>
    <w:rsid w:val="00AF5152"/>
    <w:rsid w:val="00AF51A8"/>
    <w:rsid w:val="00AF5501"/>
    <w:rsid w:val="00AF550B"/>
    <w:rsid w:val="00AF554B"/>
    <w:rsid w:val="00AF5701"/>
    <w:rsid w:val="00AF5CE3"/>
    <w:rsid w:val="00AF5E48"/>
    <w:rsid w:val="00AF6292"/>
    <w:rsid w:val="00AF691A"/>
    <w:rsid w:val="00AF6AC6"/>
    <w:rsid w:val="00AF76C0"/>
    <w:rsid w:val="00AF7707"/>
    <w:rsid w:val="00AF7AF1"/>
    <w:rsid w:val="00B0050F"/>
    <w:rsid w:val="00B0067C"/>
    <w:rsid w:val="00B00875"/>
    <w:rsid w:val="00B00D51"/>
    <w:rsid w:val="00B00EC3"/>
    <w:rsid w:val="00B01272"/>
    <w:rsid w:val="00B0161E"/>
    <w:rsid w:val="00B017B8"/>
    <w:rsid w:val="00B01B1B"/>
    <w:rsid w:val="00B01D5E"/>
    <w:rsid w:val="00B026E1"/>
    <w:rsid w:val="00B02AA0"/>
    <w:rsid w:val="00B02B60"/>
    <w:rsid w:val="00B02E6D"/>
    <w:rsid w:val="00B02FF3"/>
    <w:rsid w:val="00B03188"/>
    <w:rsid w:val="00B034CB"/>
    <w:rsid w:val="00B03533"/>
    <w:rsid w:val="00B03739"/>
    <w:rsid w:val="00B037CF"/>
    <w:rsid w:val="00B03B24"/>
    <w:rsid w:val="00B03BB2"/>
    <w:rsid w:val="00B03DD6"/>
    <w:rsid w:val="00B04288"/>
    <w:rsid w:val="00B04328"/>
    <w:rsid w:val="00B043CF"/>
    <w:rsid w:val="00B04898"/>
    <w:rsid w:val="00B049AD"/>
    <w:rsid w:val="00B049C7"/>
    <w:rsid w:val="00B04FDD"/>
    <w:rsid w:val="00B05092"/>
    <w:rsid w:val="00B0520D"/>
    <w:rsid w:val="00B0544D"/>
    <w:rsid w:val="00B05B45"/>
    <w:rsid w:val="00B05BD9"/>
    <w:rsid w:val="00B05EA8"/>
    <w:rsid w:val="00B06382"/>
    <w:rsid w:val="00B06528"/>
    <w:rsid w:val="00B0655C"/>
    <w:rsid w:val="00B06A44"/>
    <w:rsid w:val="00B06E7A"/>
    <w:rsid w:val="00B06F1F"/>
    <w:rsid w:val="00B070B5"/>
    <w:rsid w:val="00B0718A"/>
    <w:rsid w:val="00B07358"/>
    <w:rsid w:val="00B074AD"/>
    <w:rsid w:val="00B077FF"/>
    <w:rsid w:val="00B07922"/>
    <w:rsid w:val="00B07928"/>
    <w:rsid w:val="00B10186"/>
    <w:rsid w:val="00B102BB"/>
    <w:rsid w:val="00B105F2"/>
    <w:rsid w:val="00B10643"/>
    <w:rsid w:val="00B106EA"/>
    <w:rsid w:val="00B108C2"/>
    <w:rsid w:val="00B10EB4"/>
    <w:rsid w:val="00B11106"/>
    <w:rsid w:val="00B1123D"/>
    <w:rsid w:val="00B112A6"/>
    <w:rsid w:val="00B1192D"/>
    <w:rsid w:val="00B11CB2"/>
    <w:rsid w:val="00B11CF1"/>
    <w:rsid w:val="00B11E85"/>
    <w:rsid w:val="00B122C2"/>
    <w:rsid w:val="00B128E9"/>
    <w:rsid w:val="00B12940"/>
    <w:rsid w:val="00B12B91"/>
    <w:rsid w:val="00B12FBF"/>
    <w:rsid w:val="00B1311B"/>
    <w:rsid w:val="00B1320D"/>
    <w:rsid w:val="00B133D6"/>
    <w:rsid w:val="00B13A3A"/>
    <w:rsid w:val="00B14052"/>
    <w:rsid w:val="00B14079"/>
    <w:rsid w:val="00B142ED"/>
    <w:rsid w:val="00B142F1"/>
    <w:rsid w:val="00B143E6"/>
    <w:rsid w:val="00B1451F"/>
    <w:rsid w:val="00B1457F"/>
    <w:rsid w:val="00B1469D"/>
    <w:rsid w:val="00B14B8D"/>
    <w:rsid w:val="00B14DF7"/>
    <w:rsid w:val="00B15199"/>
    <w:rsid w:val="00B15502"/>
    <w:rsid w:val="00B1556A"/>
    <w:rsid w:val="00B159C1"/>
    <w:rsid w:val="00B15E4A"/>
    <w:rsid w:val="00B1600D"/>
    <w:rsid w:val="00B16671"/>
    <w:rsid w:val="00B166C4"/>
    <w:rsid w:val="00B16995"/>
    <w:rsid w:val="00B16B98"/>
    <w:rsid w:val="00B16EF0"/>
    <w:rsid w:val="00B172AF"/>
    <w:rsid w:val="00B179CF"/>
    <w:rsid w:val="00B17AC5"/>
    <w:rsid w:val="00B17BAB"/>
    <w:rsid w:val="00B17D68"/>
    <w:rsid w:val="00B20166"/>
    <w:rsid w:val="00B2029C"/>
    <w:rsid w:val="00B2038C"/>
    <w:rsid w:val="00B2049B"/>
    <w:rsid w:val="00B20523"/>
    <w:rsid w:val="00B205CB"/>
    <w:rsid w:val="00B20729"/>
    <w:rsid w:val="00B208E4"/>
    <w:rsid w:val="00B20902"/>
    <w:rsid w:val="00B20933"/>
    <w:rsid w:val="00B20B51"/>
    <w:rsid w:val="00B20C18"/>
    <w:rsid w:val="00B20C96"/>
    <w:rsid w:val="00B20F4E"/>
    <w:rsid w:val="00B20F75"/>
    <w:rsid w:val="00B210C8"/>
    <w:rsid w:val="00B211B3"/>
    <w:rsid w:val="00B214C6"/>
    <w:rsid w:val="00B2158F"/>
    <w:rsid w:val="00B21C2C"/>
    <w:rsid w:val="00B21DB6"/>
    <w:rsid w:val="00B21EA3"/>
    <w:rsid w:val="00B2231E"/>
    <w:rsid w:val="00B22342"/>
    <w:rsid w:val="00B224D3"/>
    <w:rsid w:val="00B22614"/>
    <w:rsid w:val="00B226B9"/>
    <w:rsid w:val="00B2293D"/>
    <w:rsid w:val="00B229BC"/>
    <w:rsid w:val="00B22DBA"/>
    <w:rsid w:val="00B22E7D"/>
    <w:rsid w:val="00B22EB3"/>
    <w:rsid w:val="00B230D5"/>
    <w:rsid w:val="00B23161"/>
    <w:rsid w:val="00B2363D"/>
    <w:rsid w:val="00B23D8A"/>
    <w:rsid w:val="00B241CE"/>
    <w:rsid w:val="00B2459F"/>
    <w:rsid w:val="00B2463E"/>
    <w:rsid w:val="00B24E79"/>
    <w:rsid w:val="00B250A5"/>
    <w:rsid w:val="00B250BB"/>
    <w:rsid w:val="00B250F2"/>
    <w:rsid w:val="00B254C3"/>
    <w:rsid w:val="00B254F9"/>
    <w:rsid w:val="00B25539"/>
    <w:rsid w:val="00B2561A"/>
    <w:rsid w:val="00B25749"/>
    <w:rsid w:val="00B25A7B"/>
    <w:rsid w:val="00B25B18"/>
    <w:rsid w:val="00B25B58"/>
    <w:rsid w:val="00B25D8A"/>
    <w:rsid w:val="00B25DC9"/>
    <w:rsid w:val="00B26310"/>
    <w:rsid w:val="00B26555"/>
    <w:rsid w:val="00B26844"/>
    <w:rsid w:val="00B2691A"/>
    <w:rsid w:val="00B26AAB"/>
    <w:rsid w:val="00B26C74"/>
    <w:rsid w:val="00B26CAB"/>
    <w:rsid w:val="00B275C9"/>
    <w:rsid w:val="00B27704"/>
    <w:rsid w:val="00B27737"/>
    <w:rsid w:val="00B277BF"/>
    <w:rsid w:val="00B27812"/>
    <w:rsid w:val="00B27E1D"/>
    <w:rsid w:val="00B307B7"/>
    <w:rsid w:val="00B307FC"/>
    <w:rsid w:val="00B30A02"/>
    <w:rsid w:val="00B313E5"/>
    <w:rsid w:val="00B313E6"/>
    <w:rsid w:val="00B3141B"/>
    <w:rsid w:val="00B31504"/>
    <w:rsid w:val="00B3157C"/>
    <w:rsid w:val="00B315A1"/>
    <w:rsid w:val="00B31ECD"/>
    <w:rsid w:val="00B321D2"/>
    <w:rsid w:val="00B3239A"/>
    <w:rsid w:val="00B32446"/>
    <w:rsid w:val="00B32513"/>
    <w:rsid w:val="00B329C5"/>
    <w:rsid w:val="00B32EA7"/>
    <w:rsid w:val="00B33A57"/>
    <w:rsid w:val="00B33ED4"/>
    <w:rsid w:val="00B344BC"/>
    <w:rsid w:val="00B34518"/>
    <w:rsid w:val="00B349AD"/>
    <w:rsid w:val="00B34B74"/>
    <w:rsid w:val="00B34CFF"/>
    <w:rsid w:val="00B3522F"/>
    <w:rsid w:val="00B3524B"/>
    <w:rsid w:val="00B3547B"/>
    <w:rsid w:val="00B35806"/>
    <w:rsid w:val="00B3583B"/>
    <w:rsid w:val="00B35859"/>
    <w:rsid w:val="00B35B8D"/>
    <w:rsid w:val="00B3652B"/>
    <w:rsid w:val="00B36D61"/>
    <w:rsid w:val="00B36E80"/>
    <w:rsid w:val="00B36E82"/>
    <w:rsid w:val="00B36FA2"/>
    <w:rsid w:val="00B37081"/>
    <w:rsid w:val="00B3753A"/>
    <w:rsid w:val="00B3792A"/>
    <w:rsid w:val="00B37A2D"/>
    <w:rsid w:val="00B37A8F"/>
    <w:rsid w:val="00B37AFF"/>
    <w:rsid w:val="00B37FAF"/>
    <w:rsid w:val="00B40275"/>
    <w:rsid w:val="00B402AE"/>
    <w:rsid w:val="00B408A4"/>
    <w:rsid w:val="00B40984"/>
    <w:rsid w:val="00B40A66"/>
    <w:rsid w:val="00B40AA5"/>
    <w:rsid w:val="00B40D44"/>
    <w:rsid w:val="00B40EE1"/>
    <w:rsid w:val="00B40FA6"/>
    <w:rsid w:val="00B41393"/>
    <w:rsid w:val="00B416F7"/>
    <w:rsid w:val="00B419AB"/>
    <w:rsid w:val="00B41DE5"/>
    <w:rsid w:val="00B42217"/>
    <w:rsid w:val="00B42289"/>
    <w:rsid w:val="00B424B0"/>
    <w:rsid w:val="00B424B2"/>
    <w:rsid w:val="00B428DE"/>
    <w:rsid w:val="00B428E8"/>
    <w:rsid w:val="00B430D4"/>
    <w:rsid w:val="00B43266"/>
    <w:rsid w:val="00B432BB"/>
    <w:rsid w:val="00B43349"/>
    <w:rsid w:val="00B438F2"/>
    <w:rsid w:val="00B4397D"/>
    <w:rsid w:val="00B43D58"/>
    <w:rsid w:val="00B4412C"/>
    <w:rsid w:val="00B443FE"/>
    <w:rsid w:val="00B4457C"/>
    <w:rsid w:val="00B4464B"/>
    <w:rsid w:val="00B44727"/>
    <w:rsid w:val="00B44CC9"/>
    <w:rsid w:val="00B44FAB"/>
    <w:rsid w:val="00B44FD3"/>
    <w:rsid w:val="00B45087"/>
    <w:rsid w:val="00B45125"/>
    <w:rsid w:val="00B45528"/>
    <w:rsid w:val="00B45679"/>
    <w:rsid w:val="00B45757"/>
    <w:rsid w:val="00B4597B"/>
    <w:rsid w:val="00B45D70"/>
    <w:rsid w:val="00B46541"/>
    <w:rsid w:val="00B4684C"/>
    <w:rsid w:val="00B46B3B"/>
    <w:rsid w:val="00B471D7"/>
    <w:rsid w:val="00B4758D"/>
    <w:rsid w:val="00B500B2"/>
    <w:rsid w:val="00B504B3"/>
    <w:rsid w:val="00B5072A"/>
    <w:rsid w:val="00B508E0"/>
    <w:rsid w:val="00B50917"/>
    <w:rsid w:val="00B50C37"/>
    <w:rsid w:val="00B50E0B"/>
    <w:rsid w:val="00B511EB"/>
    <w:rsid w:val="00B51233"/>
    <w:rsid w:val="00B516AF"/>
    <w:rsid w:val="00B519EB"/>
    <w:rsid w:val="00B51A5C"/>
    <w:rsid w:val="00B51D7F"/>
    <w:rsid w:val="00B51E4D"/>
    <w:rsid w:val="00B52199"/>
    <w:rsid w:val="00B521C9"/>
    <w:rsid w:val="00B52561"/>
    <w:rsid w:val="00B5257B"/>
    <w:rsid w:val="00B525A6"/>
    <w:rsid w:val="00B527D1"/>
    <w:rsid w:val="00B52C91"/>
    <w:rsid w:val="00B52CEB"/>
    <w:rsid w:val="00B52D0A"/>
    <w:rsid w:val="00B52EAB"/>
    <w:rsid w:val="00B5309F"/>
    <w:rsid w:val="00B53266"/>
    <w:rsid w:val="00B53548"/>
    <w:rsid w:val="00B53977"/>
    <w:rsid w:val="00B53A08"/>
    <w:rsid w:val="00B53A23"/>
    <w:rsid w:val="00B53CA2"/>
    <w:rsid w:val="00B540E2"/>
    <w:rsid w:val="00B54233"/>
    <w:rsid w:val="00B547F0"/>
    <w:rsid w:val="00B548E4"/>
    <w:rsid w:val="00B548EF"/>
    <w:rsid w:val="00B54A42"/>
    <w:rsid w:val="00B54BAF"/>
    <w:rsid w:val="00B55203"/>
    <w:rsid w:val="00B552C4"/>
    <w:rsid w:val="00B553D5"/>
    <w:rsid w:val="00B55540"/>
    <w:rsid w:val="00B55870"/>
    <w:rsid w:val="00B55ACC"/>
    <w:rsid w:val="00B55B04"/>
    <w:rsid w:val="00B55C0D"/>
    <w:rsid w:val="00B55ECF"/>
    <w:rsid w:val="00B561F1"/>
    <w:rsid w:val="00B56740"/>
    <w:rsid w:val="00B5682F"/>
    <w:rsid w:val="00B568C0"/>
    <w:rsid w:val="00B56D68"/>
    <w:rsid w:val="00B56F96"/>
    <w:rsid w:val="00B570EE"/>
    <w:rsid w:val="00B5731E"/>
    <w:rsid w:val="00B577BC"/>
    <w:rsid w:val="00B5798B"/>
    <w:rsid w:val="00B57996"/>
    <w:rsid w:val="00B57B1E"/>
    <w:rsid w:val="00B57D03"/>
    <w:rsid w:val="00B6033C"/>
    <w:rsid w:val="00B6056C"/>
    <w:rsid w:val="00B606E2"/>
    <w:rsid w:val="00B607E0"/>
    <w:rsid w:val="00B60A1C"/>
    <w:rsid w:val="00B60E9A"/>
    <w:rsid w:val="00B61A28"/>
    <w:rsid w:val="00B61B81"/>
    <w:rsid w:val="00B61D3F"/>
    <w:rsid w:val="00B61D91"/>
    <w:rsid w:val="00B61EA2"/>
    <w:rsid w:val="00B62329"/>
    <w:rsid w:val="00B62519"/>
    <w:rsid w:val="00B62652"/>
    <w:rsid w:val="00B627B8"/>
    <w:rsid w:val="00B62997"/>
    <w:rsid w:val="00B62A13"/>
    <w:rsid w:val="00B6338D"/>
    <w:rsid w:val="00B63C0A"/>
    <w:rsid w:val="00B63D9A"/>
    <w:rsid w:val="00B6458A"/>
    <w:rsid w:val="00B646DE"/>
    <w:rsid w:val="00B64B84"/>
    <w:rsid w:val="00B64DF0"/>
    <w:rsid w:val="00B64FF8"/>
    <w:rsid w:val="00B6501E"/>
    <w:rsid w:val="00B65099"/>
    <w:rsid w:val="00B65346"/>
    <w:rsid w:val="00B65347"/>
    <w:rsid w:val="00B65432"/>
    <w:rsid w:val="00B65447"/>
    <w:rsid w:val="00B65800"/>
    <w:rsid w:val="00B658F1"/>
    <w:rsid w:val="00B65D25"/>
    <w:rsid w:val="00B65DE1"/>
    <w:rsid w:val="00B65FB1"/>
    <w:rsid w:val="00B66311"/>
    <w:rsid w:val="00B663B9"/>
    <w:rsid w:val="00B663E8"/>
    <w:rsid w:val="00B664E8"/>
    <w:rsid w:val="00B667DE"/>
    <w:rsid w:val="00B66885"/>
    <w:rsid w:val="00B67428"/>
    <w:rsid w:val="00B67AC8"/>
    <w:rsid w:val="00B67CB6"/>
    <w:rsid w:val="00B67D06"/>
    <w:rsid w:val="00B67D1B"/>
    <w:rsid w:val="00B67E4A"/>
    <w:rsid w:val="00B7024B"/>
    <w:rsid w:val="00B7025C"/>
    <w:rsid w:val="00B7028A"/>
    <w:rsid w:val="00B707E2"/>
    <w:rsid w:val="00B70EFA"/>
    <w:rsid w:val="00B70F97"/>
    <w:rsid w:val="00B710AB"/>
    <w:rsid w:val="00B713B5"/>
    <w:rsid w:val="00B71540"/>
    <w:rsid w:val="00B715E4"/>
    <w:rsid w:val="00B71629"/>
    <w:rsid w:val="00B7170B"/>
    <w:rsid w:val="00B71D91"/>
    <w:rsid w:val="00B71FFB"/>
    <w:rsid w:val="00B7211B"/>
    <w:rsid w:val="00B7267E"/>
    <w:rsid w:val="00B726E1"/>
    <w:rsid w:val="00B72813"/>
    <w:rsid w:val="00B72A54"/>
    <w:rsid w:val="00B72AF0"/>
    <w:rsid w:val="00B72B0E"/>
    <w:rsid w:val="00B72D34"/>
    <w:rsid w:val="00B72DEE"/>
    <w:rsid w:val="00B732A5"/>
    <w:rsid w:val="00B73437"/>
    <w:rsid w:val="00B734FB"/>
    <w:rsid w:val="00B73774"/>
    <w:rsid w:val="00B737EB"/>
    <w:rsid w:val="00B73893"/>
    <w:rsid w:val="00B73A91"/>
    <w:rsid w:val="00B73B3F"/>
    <w:rsid w:val="00B73D5A"/>
    <w:rsid w:val="00B74053"/>
    <w:rsid w:val="00B74427"/>
    <w:rsid w:val="00B7446A"/>
    <w:rsid w:val="00B74679"/>
    <w:rsid w:val="00B74A1F"/>
    <w:rsid w:val="00B74B49"/>
    <w:rsid w:val="00B74C0B"/>
    <w:rsid w:val="00B74C1F"/>
    <w:rsid w:val="00B7532F"/>
    <w:rsid w:val="00B753A5"/>
    <w:rsid w:val="00B754A6"/>
    <w:rsid w:val="00B75700"/>
    <w:rsid w:val="00B7598E"/>
    <w:rsid w:val="00B75B92"/>
    <w:rsid w:val="00B75F01"/>
    <w:rsid w:val="00B760E5"/>
    <w:rsid w:val="00B76179"/>
    <w:rsid w:val="00B762C8"/>
    <w:rsid w:val="00B7630D"/>
    <w:rsid w:val="00B765F7"/>
    <w:rsid w:val="00B7701C"/>
    <w:rsid w:val="00B77027"/>
    <w:rsid w:val="00B77170"/>
    <w:rsid w:val="00B775EE"/>
    <w:rsid w:val="00B7791A"/>
    <w:rsid w:val="00B779CB"/>
    <w:rsid w:val="00B77BF8"/>
    <w:rsid w:val="00B77C48"/>
    <w:rsid w:val="00B77FCC"/>
    <w:rsid w:val="00B8028F"/>
    <w:rsid w:val="00B804BF"/>
    <w:rsid w:val="00B8091B"/>
    <w:rsid w:val="00B80AB8"/>
    <w:rsid w:val="00B80C0D"/>
    <w:rsid w:val="00B81193"/>
    <w:rsid w:val="00B813B0"/>
    <w:rsid w:val="00B81839"/>
    <w:rsid w:val="00B818E4"/>
    <w:rsid w:val="00B81B1D"/>
    <w:rsid w:val="00B81BB2"/>
    <w:rsid w:val="00B82198"/>
    <w:rsid w:val="00B825F0"/>
    <w:rsid w:val="00B8263A"/>
    <w:rsid w:val="00B828DC"/>
    <w:rsid w:val="00B828E9"/>
    <w:rsid w:val="00B829AD"/>
    <w:rsid w:val="00B82B2B"/>
    <w:rsid w:val="00B83322"/>
    <w:rsid w:val="00B8357E"/>
    <w:rsid w:val="00B83618"/>
    <w:rsid w:val="00B8379A"/>
    <w:rsid w:val="00B83810"/>
    <w:rsid w:val="00B83A88"/>
    <w:rsid w:val="00B83B00"/>
    <w:rsid w:val="00B83F01"/>
    <w:rsid w:val="00B840F7"/>
    <w:rsid w:val="00B846B2"/>
    <w:rsid w:val="00B8483C"/>
    <w:rsid w:val="00B84B72"/>
    <w:rsid w:val="00B84C58"/>
    <w:rsid w:val="00B84CEF"/>
    <w:rsid w:val="00B84D85"/>
    <w:rsid w:val="00B855E6"/>
    <w:rsid w:val="00B85629"/>
    <w:rsid w:val="00B85BF0"/>
    <w:rsid w:val="00B85C90"/>
    <w:rsid w:val="00B85CB3"/>
    <w:rsid w:val="00B861CC"/>
    <w:rsid w:val="00B862E4"/>
    <w:rsid w:val="00B8638A"/>
    <w:rsid w:val="00B863B4"/>
    <w:rsid w:val="00B865CE"/>
    <w:rsid w:val="00B8686B"/>
    <w:rsid w:val="00B86BB5"/>
    <w:rsid w:val="00B87366"/>
    <w:rsid w:val="00B873BC"/>
    <w:rsid w:val="00B876FD"/>
    <w:rsid w:val="00B87856"/>
    <w:rsid w:val="00B87927"/>
    <w:rsid w:val="00B87BB0"/>
    <w:rsid w:val="00B87C28"/>
    <w:rsid w:val="00B87EF1"/>
    <w:rsid w:val="00B902A4"/>
    <w:rsid w:val="00B904E2"/>
    <w:rsid w:val="00B9056F"/>
    <w:rsid w:val="00B90751"/>
    <w:rsid w:val="00B90C0D"/>
    <w:rsid w:val="00B90EE4"/>
    <w:rsid w:val="00B90F72"/>
    <w:rsid w:val="00B90FC5"/>
    <w:rsid w:val="00B91102"/>
    <w:rsid w:val="00B911A6"/>
    <w:rsid w:val="00B915EF"/>
    <w:rsid w:val="00B91695"/>
    <w:rsid w:val="00B917C7"/>
    <w:rsid w:val="00B91860"/>
    <w:rsid w:val="00B91978"/>
    <w:rsid w:val="00B91B44"/>
    <w:rsid w:val="00B91C1D"/>
    <w:rsid w:val="00B92033"/>
    <w:rsid w:val="00B92119"/>
    <w:rsid w:val="00B922D9"/>
    <w:rsid w:val="00B9237E"/>
    <w:rsid w:val="00B92599"/>
    <w:rsid w:val="00B92673"/>
    <w:rsid w:val="00B92F3C"/>
    <w:rsid w:val="00B93146"/>
    <w:rsid w:val="00B9321A"/>
    <w:rsid w:val="00B9321D"/>
    <w:rsid w:val="00B9323F"/>
    <w:rsid w:val="00B9340F"/>
    <w:rsid w:val="00B9348E"/>
    <w:rsid w:val="00B93830"/>
    <w:rsid w:val="00B939E4"/>
    <w:rsid w:val="00B93BB5"/>
    <w:rsid w:val="00B93CC2"/>
    <w:rsid w:val="00B93E92"/>
    <w:rsid w:val="00B94134"/>
    <w:rsid w:val="00B9419E"/>
    <w:rsid w:val="00B945F1"/>
    <w:rsid w:val="00B948FB"/>
    <w:rsid w:val="00B94FFF"/>
    <w:rsid w:val="00B955E3"/>
    <w:rsid w:val="00B957F7"/>
    <w:rsid w:val="00B95871"/>
    <w:rsid w:val="00B95931"/>
    <w:rsid w:val="00B95B97"/>
    <w:rsid w:val="00B9625F"/>
    <w:rsid w:val="00B96650"/>
    <w:rsid w:val="00B971D7"/>
    <w:rsid w:val="00B97280"/>
    <w:rsid w:val="00B9729B"/>
    <w:rsid w:val="00B97847"/>
    <w:rsid w:val="00B97AB9"/>
    <w:rsid w:val="00BA0048"/>
    <w:rsid w:val="00BA0701"/>
    <w:rsid w:val="00BA08A8"/>
    <w:rsid w:val="00BA0A08"/>
    <w:rsid w:val="00BA0A96"/>
    <w:rsid w:val="00BA0CD3"/>
    <w:rsid w:val="00BA0D69"/>
    <w:rsid w:val="00BA1275"/>
    <w:rsid w:val="00BA149C"/>
    <w:rsid w:val="00BA17A7"/>
    <w:rsid w:val="00BA1CD8"/>
    <w:rsid w:val="00BA2183"/>
    <w:rsid w:val="00BA26B8"/>
    <w:rsid w:val="00BA2951"/>
    <w:rsid w:val="00BA2A97"/>
    <w:rsid w:val="00BA2D12"/>
    <w:rsid w:val="00BA3281"/>
    <w:rsid w:val="00BA32A3"/>
    <w:rsid w:val="00BA34DD"/>
    <w:rsid w:val="00BA3585"/>
    <w:rsid w:val="00BA36CC"/>
    <w:rsid w:val="00BA375A"/>
    <w:rsid w:val="00BA3960"/>
    <w:rsid w:val="00BA3F5C"/>
    <w:rsid w:val="00BA426C"/>
    <w:rsid w:val="00BA4413"/>
    <w:rsid w:val="00BA449D"/>
    <w:rsid w:val="00BA44AF"/>
    <w:rsid w:val="00BA4AAE"/>
    <w:rsid w:val="00BA4D3D"/>
    <w:rsid w:val="00BA4F20"/>
    <w:rsid w:val="00BA4F2F"/>
    <w:rsid w:val="00BA5333"/>
    <w:rsid w:val="00BA5644"/>
    <w:rsid w:val="00BA57D0"/>
    <w:rsid w:val="00BA57E9"/>
    <w:rsid w:val="00BA59F9"/>
    <w:rsid w:val="00BA5B9F"/>
    <w:rsid w:val="00BA5C35"/>
    <w:rsid w:val="00BA61CA"/>
    <w:rsid w:val="00BA64CE"/>
    <w:rsid w:val="00BA64CF"/>
    <w:rsid w:val="00BA6832"/>
    <w:rsid w:val="00BA6880"/>
    <w:rsid w:val="00BA70A1"/>
    <w:rsid w:val="00BA713B"/>
    <w:rsid w:val="00BA737A"/>
    <w:rsid w:val="00BA739F"/>
    <w:rsid w:val="00BA762F"/>
    <w:rsid w:val="00BA766D"/>
    <w:rsid w:val="00BA78C2"/>
    <w:rsid w:val="00BA7F21"/>
    <w:rsid w:val="00BA7F67"/>
    <w:rsid w:val="00BB00DE"/>
    <w:rsid w:val="00BB00F3"/>
    <w:rsid w:val="00BB01E3"/>
    <w:rsid w:val="00BB0755"/>
    <w:rsid w:val="00BB0808"/>
    <w:rsid w:val="00BB086D"/>
    <w:rsid w:val="00BB0BAE"/>
    <w:rsid w:val="00BB0C1F"/>
    <w:rsid w:val="00BB0C4B"/>
    <w:rsid w:val="00BB117A"/>
    <w:rsid w:val="00BB129D"/>
    <w:rsid w:val="00BB14B0"/>
    <w:rsid w:val="00BB17CB"/>
    <w:rsid w:val="00BB1827"/>
    <w:rsid w:val="00BB1A4B"/>
    <w:rsid w:val="00BB1AF0"/>
    <w:rsid w:val="00BB1DB6"/>
    <w:rsid w:val="00BB1F4D"/>
    <w:rsid w:val="00BB2055"/>
    <w:rsid w:val="00BB20EC"/>
    <w:rsid w:val="00BB21E4"/>
    <w:rsid w:val="00BB22CC"/>
    <w:rsid w:val="00BB2468"/>
    <w:rsid w:val="00BB3041"/>
    <w:rsid w:val="00BB3752"/>
    <w:rsid w:val="00BB3FFF"/>
    <w:rsid w:val="00BB4193"/>
    <w:rsid w:val="00BB4435"/>
    <w:rsid w:val="00BB447F"/>
    <w:rsid w:val="00BB469E"/>
    <w:rsid w:val="00BB46B3"/>
    <w:rsid w:val="00BB48F3"/>
    <w:rsid w:val="00BB5743"/>
    <w:rsid w:val="00BB5777"/>
    <w:rsid w:val="00BB584B"/>
    <w:rsid w:val="00BB6711"/>
    <w:rsid w:val="00BB6EB9"/>
    <w:rsid w:val="00BB6EC3"/>
    <w:rsid w:val="00BB7041"/>
    <w:rsid w:val="00BB7477"/>
    <w:rsid w:val="00BB757C"/>
    <w:rsid w:val="00BB7826"/>
    <w:rsid w:val="00BB7921"/>
    <w:rsid w:val="00BB7DB6"/>
    <w:rsid w:val="00BC0183"/>
    <w:rsid w:val="00BC027B"/>
    <w:rsid w:val="00BC0566"/>
    <w:rsid w:val="00BC0BAA"/>
    <w:rsid w:val="00BC129F"/>
    <w:rsid w:val="00BC13B0"/>
    <w:rsid w:val="00BC17CD"/>
    <w:rsid w:val="00BC1968"/>
    <w:rsid w:val="00BC19DF"/>
    <w:rsid w:val="00BC1A79"/>
    <w:rsid w:val="00BC1CAC"/>
    <w:rsid w:val="00BC1DEB"/>
    <w:rsid w:val="00BC24B5"/>
    <w:rsid w:val="00BC2868"/>
    <w:rsid w:val="00BC2B4C"/>
    <w:rsid w:val="00BC2C0B"/>
    <w:rsid w:val="00BC2F98"/>
    <w:rsid w:val="00BC2FAC"/>
    <w:rsid w:val="00BC3795"/>
    <w:rsid w:val="00BC3D93"/>
    <w:rsid w:val="00BC3FC3"/>
    <w:rsid w:val="00BC40DF"/>
    <w:rsid w:val="00BC4164"/>
    <w:rsid w:val="00BC42D0"/>
    <w:rsid w:val="00BC430D"/>
    <w:rsid w:val="00BC4409"/>
    <w:rsid w:val="00BC4689"/>
    <w:rsid w:val="00BC4692"/>
    <w:rsid w:val="00BC48D0"/>
    <w:rsid w:val="00BC4B16"/>
    <w:rsid w:val="00BC4C18"/>
    <w:rsid w:val="00BC4C1B"/>
    <w:rsid w:val="00BC4DC6"/>
    <w:rsid w:val="00BC4EFB"/>
    <w:rsid w:val="00BC5172"/>
    <w:rsid w:val="00BC51FE"/>
    <w:rsid w:val="00BC52A7"/>
    <w:rsid w:val="00BC535D"/>
    <w:rsid w:val="00BC5888"/>
    <w:rsid w:val="00BC5899"/>
    <w:rsid w:val="00BC58BC"/>
    <w:rsid w:val="00BC5BC7"/>
    <w:rsid w:val="00BC5C30"/>
    <w:rsid w:val="00BC5C37"/>
    <w:rsid w:val="00BC5DA3"/>
    <w:rsid w:val="00BC5E83"/>
    <w:rsid w:val="00BC6286"/>
    <w:rsid w:val="00BC6353"/>
    <w:rsid w:val="00BC640C"/>
    <w:rsid w:val="00BC6431"/>
    <w:rsid w:val="00BC6723"/>
    <w:rsid w:val="00BC67FB"/>
    <w:rsid w:val="00BC6868"/>
    <w:rsid w:val="00BC68E3"/>
    <w:rsid w:val="00BC6E69"/>
    <w:rsid w:val="00BC734A"/>
    <w:rsid w:val="00BC74CA"/>
    <w:rsid w:val="00BC7D1E"/>
    <w:rsid w:val="00BC7F91"/>
    <w:rsid w:val="00BC7F98"/>
    <w:rsid w:val="00BD0080"/>
    <w:rsid w:val="00BD00A1"/>
    <w:rsid w:val="00BD01A9"/>
    <w:rsid w:val="00BD01AD"/>
    <w:rsid w:val="00BD085C"/>
    <w:rsid w:val="00BD0B44"/>
    <w:rsid w:val="00BD0D00"/>
    <w:rsid w:val="00BD0EEF"/>
    <w:rsid w:val="00BD0F8F"/>
    <w:rsid w:val="00BD10A2"/>
    <w:rsid w:val="00BD13B3"/>
    <w:rsid w:val="00BD1480"/>
    <w:rsid w:val="00BD1D23"/>
    <w:rsid w:val="00BD2150"/>
    <w:rsid w:val="00BD2542"/>
    <w:rsid w:val="00BD2577"/>
    <w:rsid w:val="00BD26AA"/>
    <w:rsid w:val="00BD28B6"/>
    <w:rsid w:val="00BD2B12"/>
    <w:rsid w:val="00BD2BA1"/>
    <w:rsid w:val="00BD2C1E"/>
    <w:rsid w:val="00BD3092"/>
    <w:rsid w:val="00BD310B"/>
    <w:rsid w:val="00BD31D8"/>
    <w:rsid w:val="00BD331B"/>
    <w:rsid w:val="00BD342A"/>
    <w:rsid w:val="00BD344B"/>
    <w:rsid w:val="00BD366F"/>
    <w:rsid w:val="00BD38A3"/>
    <w:rsid w:val="00BD3962"/>
    <w:rsid w:val="00BD3C36"/>
    <w:rsid w:val="00BD407D"/>
    <w:rsid w:val="00BD4277"/>
    <w:rsid w:val="00BD4313"/>
    <w:rsid w:val="00BD454F"/>
    <w:rsid w:val="00BD49D1"/>
    <w:rsid w:val="00BD50E3"/>
    <w:rsid w:val="00BD511D"/>
    <w:rsid w:val="00BD524D"/>
    <w:rsid w:val="00BD5554"/>
    <w:rsid w:val="00BD57BB"/>
    <w:rsid w:val="00BD5840"/>
    <w:rsid w:val="00BD5968"/>
    <w:rsid w:val="00BD5DCF"/>
    <w:rsid w:val="00BD5E0D"/>
    <w:rsid w:val="00BD5EAD"/>
    <w:rsid w:val="00BD6252"/>
    <w:rsid w:val="00BD6798"/>
    <w:rsid w:val="00BD6CB4"/>
    <w:rsid w:val="00BD6ED9"/>
    <w:rsid w:val="00BD7191"/>
    <w:rsid w:val="00BD71E7"/>
    <w:rsid w:val="00BD72D1"/>
    <w:rsid w:val="00BD73B1"/>
    <w:rsid w:val="00BD76E2"/>
    <w:rsid w:val="00BD7D06"/>
    <w:rsid w:val="00BD7E4B"/>
    <w:rsid w:val="00BD7F98"/>
    <w:rsid w:val="00BE010D"/>
    <w:rsid w:val="00BE0578"/>
    <w:rsid w:val="00BE0EE3"/>
    <w:rsid w:val="00BE0F58"/>
    <w:rsid w:val="00BE1390"/>
    <w:rsid w:val="00BE1640"/>
    <w:rsid w:val="00BE178E"/>
    <w:rsid w:val="00BE1862"/>
    <w:rsid w:val="00BE197C"/>
    <w:rsid w:val="00BE19AA"/>
    <w:rsid w:val="00BE1B58"/>
    <w:rsid w:val="00BE1B64"/>
    <w:rsid w:val="00BE1C1C"/>
    <w:rsid w:val="00BE1DC9"/>
    <w:rsid w:val="00BE26A7"/>
    <w:rsid w:val="00BE2788"/>
    <w:rsid w:val="00BE28BE"/>
    <w:rsid w:val="00BE2993"/>
    <w:rsid w:val="00BE29A6"/>
    <w:rsid w:val="00BE2AC5"/>
    <w:rsid w:val="00BE2B71"/>
    <w:rsid w:val="00BE2BB0"/>
    <w:rsid w:val="00BE2DFB"/>
    <w:rsid w:val="00BE2EC0"/>
    <w:rsid w:val="00BE308B"/>
    <w:rsid w:val="00BE3696"/>
    <w:rsid w:val="00BE3AD3"/>
    <w:rsid w:val="00BE3B42"/>
    <w:rsid w:val="00BE3B83"/>
    <w:rsid w:val="00BE3C57"/>
    <w:rsid w:val="00BE3FA1"/>
    <w:rsid w:val="00BE429D"/>
    <w:rsid w:val="00BE4D18"/>
    <w:rsid w:val="00BE4F68"/>
    <w:rsid w:val="00BE5791"/>
    <w:rsid w:val="00BE5879"/>
    <w:rsid w:val="00BE5B50"/>
    <w:rsid w:val="00BE5EB5"/>
    <w:rsid w:val="00BE5EC7"/>
    <w:rsid w:val="00BE5FE5"/>
    <w:rsid w:val="00BE6035"/>
    <w:rsid w:val="00BE6369"/>
    <w:rsid w:val="00BE63CF"/>
    <w:rsid w:val="00BE69BF"/>
    <w:rsid w:val="00BE6B4D"/>
    <w:rsid w:val="00BE6EA7"/>
    <w:rsid w:val="00BE70AB"/>
    <w:rsid w:val="00BE713D"/>
    <w:rsid w:val="00BE7230"/>
    <w:rsid w:val="00BE7486"/>
    <w:rsid w:val="00BE7763"/>
    <w:rsid w:val="00BE7785"/>
    <w:rsid w:val="00BE791A"/>
    <w:rsid w:val="00BE7AB5"/>
    <w:rsid w:val="00BE7EA5"/>
    <w:rsid w:val="00BF01F7"/>
    <w:rsid w:val="00BF0396"/>
    <w:rsid w:val="00BF0496"/>
    <w:rsid w:val="00BF0512"/>
    <w:rsid w:val="00BF08AC"/>
    <w:rsid w:val="00BF0AA5"/>
    <w:rsid w:val="00BF0BB6"/>
    <w:rsid w:val="00BF0F08"/>
    <w:rsid w:val="00BF1019"/>
    <w:rsid w:val="00BF1106"/>
    <w:rsid w:val="00BF12BF"/>
    <w:rsid w:val="00BF14F9"/>
    <w:rsid w:val="00BF1653"/>
    <w:rsid w:val="00BF17BE"/>
    <w:rsid w:val="00BF17FF"/>
    <w:rsid w:val="00BF1947"/>
    <w:rsid w:val="00BF22B9"/>
    <w:rsid w:val="00BF282D"/>
    <w:rsid w:val="00BF2974"/>
    <w:rsid w:val="00BF2D9C"/>
    <w:rsid w:val="00BF3247"/>
    <w:rsid w:val="00BF354F"/>
    <w:rsid w:val="00BF371E"/>
    <w:rsid w:val="00BF40A4"/>
    <w:rsid w:val="00BF4155"/>
    <w:rsid w:val="00BF4A48"/>
    <w:rsid w:val="00BF4D13"/>
    <w:rsid w:val="00BF4FC1"/>
    <w:rsid w:val="00BF5215"/>
    <w:rsid w:val="00BF5655"/>
    <w:rsid w:val="00BF5717"/>
    <w:rsid w:val="00BF599A"/>
    <w:rsid w:val="00BF5A61"/>
    <w:rsid w:val="00BF5FC1"/>
    <w:rsid w:val="00BF6272"/>
    <w:rsid w:val="00BF62F0"/>
    <w:rsid w:val="00BF67F8"/>
    <w:rsid w:val="00BF6899"/>
    <w:rsid w:val="00BF6C2E"/>
    <w:rsid w:val="00BF6DC4"/>
    <w:rsid w:val="00BF6DDB"/>
    <w:rsid w:val="00BF6F3B"/>
    <w:rsid w:val="00BF70A9"/>
    <w:rsid w:val="00BF7111"/>
    <w:rsid w:val="00BF717A"/>
    <w:rsid w:val="00BF717B"/>
    <w:rsid w:val="00BF7181"/>
    <w:rsid w:val="00BF743F"/>
    <w:rsid w:val="00BF76AA"/>
    <w:rsid w:val="00BF787C"/>
    <w:rsid w:val="00BF7929"/>
    <w:rsid w:val="00C00249"/>
    <w:rsid w:val="00C00691"/>
    <w:rsid w:val="00C009F6"/>
    <w:rsid w:val="00C00B20"/>
    <w:rsid w:val="00C00F9A"/>
    <w:rsid w:val="00C00FD0"/>
    <w:rsid w:val="00C00FF5"/>
    <w:rsid w:val="00C01333"/>
    <w:rsid w:val="00C01891"/>
    <w:rsid w:val="00C019FB"/>
    <w:rsid w:val="00C01D18"/>
    <w:rsid w:val="00C01D73"/>
    <w:rsid w:val="00C01DCC"/>
    <w:rsid w:val="00C020FD"/>
    <w:rsid w:val="00C0213D"/>
    <w:rsid w:val="00C022F5"/>
    <w:rsid w:val="00C026FE"/>
    <w:rsid w:val="00C027F2"/>
    <w:rsid w:val="00C02F77"/>
    <w:rsid w:val="00C03053"/>
    <w:rsid w:val="00C031FC"/>
    <w:rsid w:val="00C032E9"/>
    <w:rsid w:val="00C03365"/>
    <w:rsid w:val="00C03BA7"/>
    <w:rsid w:val="00C03DE1"/>
    <w:rsid w:val="00C04202"/>
    <w:rsid w:val="00C04311"/>
    <w:rsid w:val="00C0482B"/>
    <w:rsid w:val="00C04886"/>
    <w:rsid w:val="00C049C0"/>
    <w:rsid w:val="00C04B0E"/>
    <w:rsid w:val="00C051E6"/>
    <w:rsid w:val="00C05254"/>
    <w:rsid w:val="00C054CA"/>
    <w:rsid w:val="00C05731"/>
    <w:rsid w:val="00C0576E"/>
    <w:rsid w:val="00C05BFD"/>
    <w:rsid w:val="00C05FE8"/>
    <w:rsid w:val="00C06163"/>
    <w:rsid w:val="00C065A1"/>
    <w:rsid w:val="00C075F6"/>
    <w:rsid w:val="00C0762F"/>
    <w:rsid w:val="00C07866"/>
    <w:rsid w:val="00C07C2E"/>
    <w:rsid w:val="00C07C77"/>
    <w:rsid w:val="00C07D15"/>
    <w:rsid w:val="00C10280"/>
    <w:rsid w:val="00C106B7"/>
    <w:rsid w:val="00C107EC"/>
    <w:rsid w:val="00C10828"/>
    <w:rsid w:val="00C10915"/>
    <w:rsid w:val="00C10A6D"/>
    <w:rsid w:val="00C10B2A"/>
    <w:rsid w:val="00C10DFF"/>
    <w:rsid w:val="00C10F29"/>
    <w:rsid w:val="00C10F81"/>
    <w:rsid w:val="00C11261"/>
    <w:rsid w:val="00C117C8"/>
    <w:rsid w:val="00C119EE"/>
    <w:rsid w:val="00C11CFE"/>
    <w:rsid w:val="00C11F0E"/>
    <w:rsid w:val="00C120C6"/>
    <w:rsid w:val="00C122D9"/>
    <w:rsid w:val="00C124DA"/>
    <w:rsid w:val="00C1261B"/>
    <w:rsid w:val="00C1273C"/>
    <w:rsid w:val="00C12789"/>
    <w:rsid w:val="00C1301E"/>
    <w:rsid w:val="00C1332D"/>
    <w:rsid w:val="00C13557"/>
    <w:rsid w:val="00C136AB"/>
    <w:rsid w:val="00C139A4"/>
    <w:rsid w:val="00C13C59"/>
    <w:rsid w:val="00C13DB4"/>
    <w:rsid w:val="00C13EA4"/>
    <w:rsid w:val="00C13F66"/>
    <w:rsid w:val="00C142E3"/>
    <w:rsid w:val="00C145D6"/>
    <w:rsid w:val="00C14765"/>
    <w:rsid w:val="00C14DBE"/>
    <w:rsid w:val="00C151C8"/>
    <w:rsid w:val="00C15270"/>
    <w:rsid w:val="00C1559C"/>
    <w:rsid w:val="00C155CA"/>
    <w:rsid w:val="00C1593C"/>
    <w:rsid w:val="00C15A44"/>
    <w:rsid w:val="00C1631C"/>
    <w:rsid w:val="00C170B6"/>
    <w:rsid w:val="00C175A4"/>
    <w:rsid w:val="00C177B1"/>
    <w:rsid w:val="00C20093"/>
    <w:rsid w:val="00C202B3"/>
    <w:rsid w:val="00C2067F"/>
    <w:rsid w:val="00C20F7C"/>
    <w:rsid w:val="00C2124D"/>
    <w:rsid w:val="00C21647"/>
    <w:rsid w:val="00C216D8"/>
    <w:rsid w:val="00C21B71"/>
    <w:rsid w:val="00C21EE0"/>
    <w:rsid w:val="00C21FC0"/>
    <w:rsid w:val="00C2209A"/>
    <w:rsid w:val="00C22165"/>
    <w:rsid w:val="00C225C8"/>
    <w:rsid w:val="00C2271C"/>
    <w:rsid w:val="00C22924"/>
    <w:rsid w:val="00C22EB9"/>
    <w:rsid w:val="00C22FCB"/>
    <w:rsid w:val="00C2304D"/>
    <w:rsid w:val="00C23092"/>
    <w:rsid w:val="00C233FA"/>
    <w:rsid w:val="00C2341D"/>
    <w:rsid w:val="00C235A5"/>
    <w:rsid w:val="00C245D3"/>
    <w:rsid w:val="00C248FC"/>
    <w:rsid w:val="00C24CAB"/>
    <w:rsid w:val="00C24D85"/>
    <w:rsid w:val="00C24E6F"/>
    <w:rsid w:val="00C25242"/>
    <w:rsid w:val="00C255BD"/>
    <w:rsid w:val="00C259A4"/>
    <w:rsid w:val="00C25D2E"/>
    <w:rsid w:val="00C25DF4"/>
    <w:rsid w:val="00C25F10"/>
    <w:rsid w:val="00C25F40"/>
    <w:rsid w:val="00C2626B"/>
    <w:rsid w:val="00C26332"/>
    <w:rsid w:val="00C26A52"/>
    <w:rsid w:val="00C26DBA"/>
    <w:rsid w:val="00C26DEA"/>
    <w:rsid w:val="00C26E55"/>
    <w:rsid w:val="00C270C5"/>
    <w:rsid w:val="00C274A7"/>
    <w:rsid w:val="00C27998"/>
    <w:rsid w:val="00C27B6B"/>
    <w:rsid w:val="00C27DAC"/>
    <w:rsid w:val="00C30036"/>
    <w:rsid w:val="00C30297"/>
    <w:rsid w:val="00C30319"/>
    <w:rsid w:val="00C3037E"/>
    <w:rsid w:val="00C303D2"/>
    <w:rsid w:val="00C30468"/>
    <w:rsid w:val="00C3073A"/>
    <w:rsid w:val="00C30D3B"/>
    <w:rsid w:val="00C30ED9"/>
    <w:rsid w:val="00C3144B"/>
    <w:rsid w:val="00C31710"/>
    <w:rsid w:val="00C31788"/>
    <w:rsid w:val="00C3191B"/>
    <w:rsid w:val="00C31EE8"/>
    <w:rsid w:val="00C3209E"/>
    <w:rsid w:val="00C32375"/>
    <w:rsid w:val="00C32BF1"/>
    <w:rsid w:val="00C32D59"/>
    <w:rsid w:val="00C32E09"/>
    <w:rsid w:val="00C33041"/>
    <w:rsid w:val="00C3314B"/>
    <w:rsid w:val="00C33198"/>
    <w:rsid w:val="00C3321D"/>
    <w:rsid w:val="00C3341B"/>
    <w:rsid w:val="00C335D8"/>
    <w:rsid w:val="00C336A3"/>
    <w:rsid w:val="00C33883"/>
    <w:rsid w:val="00C33B5E"/>
    <w:rsid w:val="00C33C3E"/>
    <w:rsid w:val="00C33F1D"/>
    <w:rsid w:val="00C34381"/>
    <w:rsid w:val="00C343A5"/>
    <w:rsid w:val="00C3481C"/>
    <w:rsid w:val="00C34C69"/>
    <w:rsid w:val="00C34C93"/>
    <w:rsid w:val="00C34D0A"/>
    <w:rsid w:val="00C34D6D"/>
    <w:rsid w:val="00C34DAF"/>
    <w:rsid w:val="00C34DB7"/>
    <w:rsid w:val="00C3504F"/>
    <w:rsid w:val="00C35255"/>
    <w:rsid w:val="00C352F5"/>
    <w:rsid w:val="00C353C6"/>
    <w:rsid w:val="00C35722"/>
    <w:rsid w:val="00C35D17"/>
    <w:rsid w:val="00C35D44"/>
    <w:rsid w:val="00C35E76"/>
    <w:rsid w:val="00C35F7D"/>
    <w:rsid w:val="00C36AFC"/>
    <w:rsid w:val="00C37274"/>
    <w:rsid w:val="00C37874"/>
    <w:rsid w:val="00C37A5E"/>
    <w:rsid w:val="00C37B2B"/>
    <w:rsid w:val="00C37E14"/>
    <w:rsid w:val="00C40197"/>
    <w:rsid w:val="00C40281"/>
    <w:rsid w:val="00C4033B"/>
    <w:rsid w:val="00C4069D"/>
    <w:rsid w:val="00C40891"/>
    <w:rsid w:val="00C40BB5"/>
    <w:rsid w:val="00C40EF7"/>
    <w:rsid w:val="00C40F74"/>
    <w:rsid w:val="00C41059"/>
    <w:rsid w:val="00C41215"/>
    <w:rsid w:val="00C41453"/>
    <w:rsid w:val="00C41692"/>
    <w:rsid w:val="00C41A15"/>
    <w:rsid w:val="00C41C67"/>
    <w:rsid w:val="00C41FD7"/>
    <w:rsid w:val="00C41FE9"/>
    <w:rsid w:val="00C42055"/>
    <w:rsid w:val="00C42187"/>
    <w:rsid w:val="00C4221B"/>
    <w:rsid w:val="00C42274"/>
    <w:rsid w:val="00C42458"/>
    <w:rsid w:val="00C429E1"/>
    <w:rsid w:val="00C42D2C"/>
    <w:rsid w:val="00C4330A"/>
    <w:rsid w:val="00C433AA"/>
    <w:rsid w:val="00C434D6"/>
    <w:rsid w:val="00C4360A"/>
    <w:rsid w:val="00C437CB"/>
    <w:rsid w:val="00C43913"/>
    <w:rsid w:val="00C43BB4"/>
    <w:rsid w:val="00C43E0F"/>
    <w:rsid w:val="00C43F08"/>
    <w:rsid w:val="00C44628"/>
    <w:rsid w:val="00C44923"/>
    <w:rsid w:val="00C45058"/>
    <w:rsid w:val="00C4515D"/>
    <w:rsid w:val="00C45304"/>
    <w:rsid w:val="00C45CC5"/>
    <w:rsid w:val="00C45D15"/>
    <w:rsid w:val="00C45E10"/>
    <w:rsid w:val="00C45F5E"/>
    <w:rsid w:val="00C4610D"/>
    <w:rsid w:val="00C46828"/>
    <w:rsid w:val="00C46B61"/>
    <w:rsid w:val="00C46BBF"/>
    <w:rsid w:val="00C46C17"/>
    <w:rsid w:val="00C46F78"/>
    <w:rsid w:val="00C471D0"/>
    <w:rsid w:val="00C47477"/>
    <w:rsid w:val="00C4762D"/>
    <w:rsid w:val="00C47636"/>
    <w:rsid w:val="00C476C9"/>
    <w:rsid w:val="00C47797"/>
    <w:rsid w:val="00C479EE"/>
    <w:rsid w:val="00C47E8B"/>
    <w:rsid w:val="00C47EB4"/>
    <w:rsid w:val="00C50151"/>
    <w:rsid w:val="00C505FB"/>
    <w:rsid w:val="00C50B48"/>
    <w:rsid w:val="00C50D97"/>
    <w:rsid w:val="00C50DB6"/>
    <w:rsid w:val="00C51056"/>
    <w:rsid w:val="00C51483"/>
    <w:rsid w:val="00C514FC"/>
    <w:rsid w:val="00C517E8"/>
    <w:rsid w:val="00C5198D"/>
    <w:rsid w:val="00C51EA1"/>
    <w:rsid w:val="00C51F5C"/>
    <w:rsid w:val="00C523D6"/>
    <w:rsid w:val="00C526D4"/>
    <w:rsid w:val="00C52842"/>
    <w:rsid w:val="00C52A61"/>
    <w:rsid w:val="00C52D3D"/>
    <w:rsid w:val="00C52EC9"/>
    <w:rsid w:val="00C531DE"/>
    <w:rsid w:val="00C53371"/>
    <w:rsid w:val="00C53391"/>
    <w:rsid w:val="00C537EF"/>
    <w:rsid w:val="00C53810"/>
    <w:rsid w:val="00C539C2"/>
    <w:rsid w:val="00C53C10"/>
    <w:rsid w:val="00C53E41"/>
    <w:rsid w:val="00C53F93"/>
    <w:rsid w:val="00C53FA3"/>
    <w:rsid w:val="00C53FC9"/>
    <w:rsid w:val="00C543B3"/>
    <w:rsid w:val="00C544CA"/>
    <w:rsid w:val="00C54987"/>
    <w:rsid w:val="00C54E53"/>
    <w:rsid w:val="00C552A8"/>
    <w:rsid w:val="00C555AC"/>
    <w:rsid w:val="00C555B2"/>
    <w:rsid w:val="00C55643"/>
    <w:rsid w:val="00C559C9"/>
    <w:rsid w:val="00C55A3F"/>
    <w:rsid w:val="00C56308"/>
    <w:rsid w:val="00C56754"/>
    <w:rsid w:val="00C56A3F"/>
    <w:rsid w:val="00C56B19"/>
    <w:rsid w:val="00C56B2B"/>
    <w:rsid w:val="00C57149"/>
    <w:rsid w:val="00C5736C"/>
    <w:rsid w:val="00C574F1"/>
    <w:rsid w:val="00C57506"/>
    <w:rsid w:val="00C57BEE"/>
    <w:rsid w:val="00C57EC1"/>
    <w:rsid w:val="00C57FAA"/>
    <w:rsid w:val="00C6037A"/>
    <w:rsid w:val="00C6039C"/>
    <w:rsid w:val="00C61420"/>
    <w:rsid w:val="00C6155A"/>
    <w:rsid w:val="00C61647"/>
    <w:rsid w:val="00C61BCC"/>
    <w:rsid w:val="00C61D4B"/>
    <w:rsid w:val="00C62156"/>
    <w:rsid w:val="00C6234C"/>
    <w:rsid w:val="00C6249C"/>
    <w:rsid w:val="00C62527"/>
    <w:rsid w:val="00C62741"/>
    <w:rsid w:val="00C6277B"/>
    <w:rsid w:val="00C629FB"/>
    <w:rsid w:val="00C62A1C"/>
    <w:rsid w:val="00C62BAF"/>
    <w:rsid w:val="00C62CFC"/>
    <w:rsid w:val="00C62E56"/>
    <w:rsid w:val="00C62F3B"/>
    <w:rsid w:val="00C633E8"/>
    <w:rsid w:val="00C637E9"/>
    <w:rsid w:val="00C638AD"/>
    <w:rsid w:val="00C63C3A"/>
    <w:rsid w:val="00C63D10"/>
    <w:rsid w:val="00C63E4B"/>
    <w:rsid w:val="00C6448F"/>
    <w:rsid w:val="00C645A9"/>
    <w:rsid w:val="00C64824"/>
    <w:rsid w:val="00C64E13"/>
    <w:rsid w:val="00C65101"/>
    <w:rsid w:val="00C653F5"/>
    <w:rsid w:val="00C654BE"/>
    <w:rsid w:val="00C6554E"/>
    <w:rsid w:val="00C656A3"/>
    <w:rsid w:val="00C65A3C"/>
    <w:rsid w:val="00C65CF0"/>
    <w:rsid w:val="00C65E6D"/>
    <w:rsid w:val="00C65EB5"/>
    <w:rsid w:val="00C65EE3"/>
    <w:rsid w:val="00C661BC"/>
    <w:rsid w:val="00C661F3"/>
    <w:rsid w:val="00C6625F"/>
    <w:rsid w:val="00C66316"/>
    <w:rsid w:val="00C66317"/>
    <w:rsid w:val="00C663C5"/>
    <w:rsid w:val="00C66498"/>
    <w:rsid w:val="00C66659"/>
    <w:rsid w:val="00C668F8"/>
    <w:rsid w:val="00C66DAA"/>
    <w:rsid w:val="00C66F58"/>
    <w:rsid w:val="00C670D8"/>
    <w:rsid w:val="00C670DD"/>
    <w:rsid w:val="00C67105"/>
    <w:rsid w:val="00C67442"/>
    <w:rsid w:val="00C67B7E"/>
    <w:rsid w:val="00C67EEF"/>
    <w:rsid w:val="00C702D7"/>
    <w:rsid w:val="00C7030E"/>
    <w:rsid w:val="00C706D8"/>
    <w:rsid w:val="00C7080C"/>
    <w:rsid w:val="00C7114F"/>
    <w:rsid w:val="00C713ED"/>
    <w:rsid w:val="00C719B8"/>
    <w:rsid w:val="00C71ECE"/>
    <w:rsid w:val="00C72318"/>
    <w:rsid w:val="00C72361"/>
    <w:rsid w:val="00C724E6"/>
    <w:rsid w:val="00C726D7"/>
    <w:rsid w:val="00C72B55"/>
    <w:rsid w:val="00C731F2"/>
    <w:rsid w:val="00C73700"/>
    <w:rsid w:val="00C738AA"/>
    <w:rsid w:val="00C73A5F"/>
    <w:rsid w:val="00C73B8D"/>
    <w:rsid w:val="00C74031"/>
    <w:rsid w:val="00C7411A"/>
    <w:rsid w:val="00C74398"/>
    <w:rsid w:val="00C7448C"/>
    <w:rsid w:val="00C747A5"/>
    <w:rsid w:val="00C74E14"/>
    <w:rsid w:val="00C750D7"/>
    <w:rsid w:val="00C75699"/>
    <w:rsid w:val="00C759A7"/>
    <w:rsid w:val="00C75A8A"/>
    <w:rsid w:val="00C75B14"/>
    <w:rsid w:val="00C76131"/>
    <w:rsid w:val="00C7628C"/>
    <w:rsid w:val="00C7646D"/>
    <w:rsid w:val="00C76471"/>
    <w:rsid w:val="00C767CA"/>
    <w:rsid w:val="00C76B91"/>
    <w:rsid w:val="00C76E01"/>
    <w:rsid w:val="00C76E61"/>
    <w:rsid w:val="00C76EB7"/>
    <w:rsid w:val="00C77119"/>
    <w:rsid w:val="00C7713B"/>
    <w:rsid w:val="00C77255"/>
    <w:rsid w:val="00C77822"/>
    <w:rsid w:val="00C778CB"/>
    <w:rsid w:val="00C77978"/>
    <w:rsid w:val="00C77B17"/>
    <w:rsid w:val="00C77D96"/>
    <w:rsid w:val="00C77F76"/>
    <w:rsid w:val="00C80125"/>
    <w:rsid w:val="00C811A0"/>
    <w:rsid w:val="00C8125E"/>
    <w:rsid w:val="00C81AB1"/>
    <w:rsid w:val="00C81BF1"/>
    <w:rsid w:val="00C81CCA"/>
    <w:rsid w:val="00C82212"/>
    <w:rsid w:val="00C82384"/>
    <w:rsid w:val="00C82703"/>
    <w:rsid w:val="00C8296F"/>
    <w:rsid w:val="00C829E7"/>
    <w:rsid w:val="00C82B60"/>
    <w:rsid w:val="00C82EF6"/>
    <w:rsid w:val="00C83016"/>
    <w:rsid w:val="00C831B9"/>
    <w:rsid w:val="00C831D3"/>
    <w:rsid w:val="00C83234"/>
    <w:rsid w:val="00C833DC"/>
    <w:rsid w:val="00C837DA"/>
    <w:rsid w:val="00C83897"/>
    <w:rsid w:val="00C839C0"/>
    <w:rsid w:val="00C83A83"/>
    <w:rsid w:val="00C83B03"/>
    <w:rsid w:val="00C84125"/>
    <w:rsid w:val="00C84183"/>
    <w:rsid w:val="00C84248"/>
    <w:rsid w:val="00C844D6"/>
    <w:rsid w:val="00C84672"/>
    <w:rsid w:val="00C848F6"/>
    <w:rsid w:val="00C84A75"/>
    <w:rsid w:val="00C85071"/>
    <w:rsid w:val="00C85314"/>
    <w:rsid w:val="00C8540B"/>
    <w:rsid w:val="00C85453"/>
    <w:rsid w:val="00C85639"/>
    <w:rsid w:val="00C85789"/>
    <w:rsid w:val="00C85978"/>
    <w:rsid w:val="00C85AED"/>
    <w:rsid w:val="00C85C74"/>
    <w:rsid w:val="00C85F6E"/>
    <w:rsid w:val="00C86861"/>
    <w:rsid w:val="00C86999"/>
    <w:rsid w:val="00C86B37"/>
    <w:rsid w:val="00C86B7A"/>
    <w:rsid w:val="00C86F6F"/>
    <w:rsid w:val="00C86FD1"/>
    <w:rsid w:val="00C86FD4"/>
    <w:rsid w:val="00C87277"/>
    <w:rsid w:val="00C872FE"/>
    <w:rsid w:val="00C87741"/>
    <w:rsid w:val="00C87A8A"/>
    <w:rsid w:val="00C87B2F"/>
    <w:rsid w:val="00C87B71"/>
    <w:rsid w:val="00C87C94"/>
    <w:rsid w:val="00C9006C"/>
    <w:rsid w:val="00C9008D"/>
    <w:rsid w:val="00C9047D"/>
    <w:rsid w:val="00C911A5"/>
    <w:rsid w:val="00C912A8"/>
    <w:rsid w:val="00C912FB"/>
    <w:rsid w:val="00C914E5"/>
    <w:rsid w:val="00C916A0"/>
    <w:rsid w:val="00C91B6B"/>
    <w:rsid w:val="00C91FF2"/>
    <w:rsid w:val="00C9201B"/>
    <w:rsid w:val="00C92408"/>
    <w:rsid w:val="00C92456"/>
    <w:rsid w:val="00C92544"/>
    <w:rsid w:val="00C925E9"/>
    <w:rsid w:val="00C92872"/>
    <w:rsid w:val="00C9318D"/>
    <w:rsid w:val="00C932A2"/>
    <w:rsid w:val="00C9349E"/>
    <w:rsid w:val="00C936F8"/>
    <w:rsid w:val="00C937F8"/>
    <w:rsid w:val="00C93994"/>
    <w:rsid w:val="00C93BE2"/>
    <w:rsid w:val="00C94405"/>
    <w:rsid w:val="00C94452"/>
    <w:rsid w:val="00C9451D"/>
    <w:rsid w:val="00C9480F"/>
    <w:rsid w:val="00C948A2"/>
    <w:rsid w:val="00C9497B"/>
    <w:rsid w:val="00C94B0C"/>
    <w:rsid w:val="00C94F41"/>
    <w:rsid w:val="00C94FE1"/>
    <w:rsid w:val="00C9500D"/>
    <w:rsid w:val="00C9508C"/>
    <w:rsid w:val="00C950E3"/>
    <w:rsid w:val="00C9533B"/>
    <w:rsid w:val="00C95346"/>
    <w:rsid w:val="00C95395"/>
    <w:rsid w:val="00C95725"/>
    <w:rsid w:val="00C959A2"/>
    <w:rsid w:val="00C95B5B"/>
    <w:rsid w:val="00C95C21"/>
    <w:rsid w:val="00C95C53"/>
    <w:rsid w:val="00C964E0"/>
    <w:rsid w:val="00C9695C"/>
    <w:rsid w:val="00C96DB0"/>
    <w:rsid w:val="00C96DD7"/>
    <w:rsid w:val="00C96FAB"/>
    <w:rsid w:val="00C970A4"/>
    <w:rsid w:val="00C9710E"/>
    <w:rsid w:val="00C97282"/>
    <w:rsid w:val="00C9756A"/>
    <w:rsid w:val="00C97677"/>
    <w:rsid w:val="00C978B8"/>
    <w:rsid w:val="00C97A29"/>
    <w:rsid w:val="00C97BAF"/>
    <w:rsid w:val="00C97D0B"/>
    <w:rsid w:val="00CA008C"/>
    <w:rsid w:val="00CA0116"/>
    <w:rsid w:val="00CA05B9"/>
    <w:rsid w:val="00CA0961"/>
    <w:rsid w:val="00CA113A"/>
    <w:rsid w:val="00CA11D0"/>
    <w:rsid w:val="00CA17A7"/>
    <w:rsid w:val="00CA1982"/>
    <w:rsid w:val="00CA199F"/>
    <w:rsid w:val="00CA1C58"/>
    <w:rsid w:val="00CA1D34"/>
    <w:rsid w:val="00CA1E64"/>
    <w:rsid w:val="00CA22C1"/>
    <w:rsid w:val="00CA26DE"/>
    <w:rsid w:val="00CA29D1"/>
    <w:rsid w:val="00CA2B39"/>
    <w:rsid w:val="00CA2D69"/>
    <w:rsid w:val="00CA307F"/>
    <w:rsid w:val="00CA33ED"/>
    <w:rsid w:val="00CA3508"/>
    <w:rsid w:val="00CA39D0"/>
    <w:rsid w:val="00CA3A0C"/>
    <w:rsid w:val="00CA3BF9"/>
    <w:rsid w:val="00CA3EDB"/>
    <w:rsid w:val="00CA3F19"/>
    <w:rsid w:val="00CA3F2D"/>
    <w:rsid w:val="00CA4BC0"/>
    <w:rsid w:val="00CA4F26"/>
    <w:rsid w:val="00CA4FA1"/>
    <w:rsid w:val="00CA4FAB"/>
    <w:rsid w:val="00CA4FEE"/>
    <w:rsid w:val="00CA51A5"/>
    <w:rsid w:val="00CA5364"/>
    <w:rsid w:val="00CA545D"/>
    <w:rsid w:val="00CA57AB"/>
    <w:rsid w:val="00CA59A2"/>
    <w:rsid w:val="00CA59BE"/>
    <w:rsid w:val="00CA5A6A"/>
    <w:rsid w:val="00CA5ABA"/>
    <w:rsid w:val="00CA5CA8"/>
    <w:rsid w:val="00CA5CD2"/>
    <w:rsid w:val="00CA600D"/>
    <w:rsid w:val="00CA658D"/>
    <w:rsid w:val="00CA6945"/>
    <w:rsid w:val="00CA6BB3"/>
    <w:rsid w:val="00CA6D81"/>
    <w:rsid w:val="00CA7643"/>
    <w:rsid w:val="00CA7A15"/>
    <w:rsid w:val="00CA7DA8"/>
    <w:rsid w:val="00CB0157"/>
    <w:rsid w:val="00CB02B9"/>
    <w:rsid w:val="00CB0347"/>
    <w:rsid w:val="00CB0630"/>
    <w:rsid w:val="00CB081E"/>
    <w:rsid w:val="00CB0854"/>
    <w:rsid w:val="00CB090D"/>
    <w:rsid w:val="00CB0A7E"/>
    <w:rsid w:val="00CB0B7C"/>
    <w:rsid w:val="00CB0C1D"/>
    <w:rsid w:val="00CB0CE5"/>
    <w:rsid w:val="00CB11B3"/>
    <w:rsid w:val="00CB146F"/>
    <w:rsid w:val="00CB157D"/>
    <w:rsid w:val="00CB1638"/>
    <w:rsid w:val="00CB16FB"/>
    <w:rsid w:val="00CB1720"/>
    <w:rsid w:val="00CB181B"/>
    <w:rsid w:val="00CB18E8"/>
    <w:rsid w:val="00CB1946"/>
    <w:rsid w:val="00CB1B8A"/>
    <w:rsid w:val="00CB2283"/>
    <w:rsid w:val="00CB22B0"/>
    <w:rsid w:val="00CB2450"/>
    <w:rsid w:val="00CB28E9"/>
    <w:rsid w:val="00CB29D4"/>
    <w:rsid w:val="00CB29EA"/>
    <w:rsid w:val="00CB2A7F"/>
    <w:rsid w:val="00CB31EB"/>
    <w:rsid w:val="00CB35B9"/>
    <w:rsid w:val="00CB35D6"/>
    <w:rsid w:val="00CB3797"/>
    <w:rsid w:val="00CB37DA"/>
    <w:rsid w:val="00CB3B83"/>
    <w:rsid w:val="00CB3E9A"/>
    <w:rsid w:val="00CB3EE1"/>
    <w:rsid w:val="00CB45BD"/>
    <w:rsid w:val="00CB48C5"/>
    <w:rsid w:val="00CB49F0"/>
    <w:rsid w:val="00CB4B79"/>
    <w:rsid w:val="00CB4F76"/>
    <w:rsid w:val="00CB4F91"/>
    <w:rsid w:val="00CB5205"/>
    <w:rsid w:val="00CB5308"/>
    <w:rsid w:val="00CB53A6"/>
    <w:rsid w:val="00CB55D6"/>
    <w:rsid w:val="00CB5869"/>
    <w:rsid w:val="00CB5F2E"/>
    <w:rsid w:val="00CB638E"/>
    <w:rsid w:val="00CB64B4"/>
    <w:rsid w:val="00CB6500"/>
    <w:rsid w:val="00CB684A"/>
    <w:rsid w:val="00CB688B"/>
    <w:rsid w:val="00CB6BE9"/>
    <w:rsid w:val="00CB7180"/>
    <w:rsid w:val="00CB74DA"/>
    <w:rsid w:val="00CC0A95"/>
    <w:rsid w:val="00CC0B9E"/>
    <w:rsid w:val="00CC0C61"/>
    <w:rsid w:val="00CC0E62"/>
    <w:rsid w:val="00CC13FD"/>
    <w:rsid w:val="00CC1865"/>
    <w:rsid w:val="00CC198D"/>
    <w:rsid w:val="00CC1BDD"/>
    <w:rsid w:val="00CC1DED"/>
    <w:rsid w:val="00CC216C"/>
    <w:rsid w:val="00CC24B6"/>
    <w:rsid w:val="00CC24DD"/>
    <w:rsid w:val="00CC2579"/>
    <w:rsid w:val="00CC2777"/>
    <w:rsid w:val="00CC2798"/>
    <w:rsid w:val="00CC2AD8"/>
    <w:rsid w:val="00CC2C3C"/>
    <w:rsid w:val="00CC2C9E"/>
    <w:rsid w:val="00CC2CD6"/>
    <w:rsid w:val="00CC3670"/>
    <w:rsid w:val="00CC38AC"/>
    <w:rsid w:val="00CC3C3B"/>
    <w:rsid w:val="00CC3E3C"/>
    <w:rsid w:val="00CC4349"/>
    <w:rsid w:val="00CC4927"/>
    <w:rsid w:val="00CC4ECB"/>
    <w:rsid w:val="00CC51EC"/>
    <w:rsid w:val="00CC523C"/>
    <w:rsid w:val="00CC5419"/>
    <w:rsid w:val="00CC54FE"/>
    <w:rsid w:val="00CC559D"/>
    <w:rsid w:val="00CC589F"/>
    <w:rsid w:val="00CC5FAB"/>
    <w:rsid w:val="00CC6175"/>
    <w:rsid w:val="00CC6889"/>
    <w:rsid w:val="00CC708A"/>
    <w:rsid w:val="00CC710E"/>
    <w:rsid w:val="00CC713C"/>
    <w:rsid w:val="00CC72FB"/>
    <w:rsid w:val="00CC77DC"/>
    <w:rsid w:val="00CC7F7F"/>
    <w:rsid w:val="00CD01AD"/>
    <w:rsid w:val="00CD0514"/>
    <w:rsid w:val="00CD05E2"/>
    <w:rsid w:val="00CD0B3B"/>
    <w:rsid w:val="00CD0C13"/>
    <w:rsid w:val="00CD0E25"/>
    <w:rsid w:val="00CD113A"/>
    <w:rsid w:val="00CD1415"/>
    <w:rsid w:val="00CD1C17"/>
    <w:rsid w:val="00CD1D24"/>
    <w:rsid w:val="00CD2679"/>
    <w:rsid w:val="00CD2D36"/>
    <w:rsid w:val="00CD2ED1"/>
    <w:rsid w:val="00CD3072"/>
    <w:rsid w:val="00CD31F6"/>
    <w:rsid w:val="00CD348C"/>
    <w:rsid w:val="00CD360B"/>
    <w:rsid w:val="00CD3773"/>
    <w:rsid w:val="00CD37E8"/>
    <w:rsid w:val="00CD3C3C"/>
    <w:rsid w:val="00CD3CA9"/>
    <w:rsid w:val="00CD3E46"/>
    <w:rsid w:val="00CD3ED6"/>
    <w:rsid w:val="00CD4290"/>
    <w:rsid w:val="00CD441A"/>
    <w:rsid w:val="00CD4B9B"/>
    <w:rsid w:val="00CD4BE2"/>
    <w:rsid w:val="00CD52B8"/>
    <w:rsid w:val="00CD58F4"/>
    <w:rsid w:val="00CD5AC7"/>
    <w:rsid w:val="00CD6081"/>
    <w:rsid w:val="00CD654B"/>
    <w:rsid w:val="00CD6676"/>
    <w:rsid w:val="00CD6752"/>
    <w:rsid w:val="00CD67E8"/>
    <w:rsid w:val="00CD7174"/>
    <w:rsid w:val="00CD7202"/>
    <w:rsid w:val="00CD7529"/>
    <w:rsid w:val="00CD7B9D"/>
    <w:rsid w:val="00CD7C3A"/>
    <w:rsid w:val="00CD7C77"/>
    <w:rsid w:val="00CD7C9E"/>
    <w:rsid w:val="00CD7D84"/>
    <w:rsid w:val="00CD7E27"/>
    <w:rsid w:val="00CD7E46"/>
    <w:rsid w:val="00CE022E"/>
    <w:rsid w:val="00CE02E6"/>
    <w:rsid w:val="00CE07D5"/>
    <w:rsid w:val="00CE0986"/>
    <w:rsid w:val="00CE09D6"/>
    <w:rsid w:val="00CE0FE7"/>
    <w:rsid w:val="00CE1029"/>
    <w:rsid w:val="00CE11F7"/>
    <w:rsid w:val="00CE151C"/>
    <w:rsid w:val="00CE173F"/>
    <w:rsid w:val="00CE21A3"/>
    <w:rsid w:val="00CE223E"/>
    <w:rsid w:val="00CE2C90"/>
    <w:rsid w:val="00CE2D31"/>
    <w:rsid w:val="00CE2FD9"/>
    <w:rsid w:val="00CE3073"/>
    <w:rsid w:val="00CE3128"/>
    <w:rsid w:val="00CE3399"/>
    <w:rsid w:val="00CE33B1"/>
    <w:rsid w:val="00CE3772"/>
    <w:rsid w:val="00CE3A63"/>
    <w:rsid w:val="00CE3D4C"/>
    <w:rsid w:val="00CE3DEE"/>
    <w:rsid w:val="00CE3DF5"/>
    <w:rsid w:val="00CE3E5F"/>
    <w:rsid w:val="00CE3F44"/>
    <w:rsid w:val="00CE4379"/>
    <w:rsid w:val="00CE484E"/>
    <w:rsid w:val="00CE4CF7"/>
    <w:rsid w:val="00CE4E50"/>
    <w:rsid w:val="00CE50AE"/>
    <w:rsid w:val="00CE51D3"/>
    <w:rsid w:val="00CE53CB"/>
    <w:rsid w:val="00CE5896"/>
    <w:rsid w:val="00CE6454"/>
    <w:rsid w:val="00CE664C"/>
    <w:rsid w:val="00CE6795"/>
    <w:rsid w:val="00CE69D4"/>
    <w:rsid w:val="00CE6D45"/>
    <w:rsid w:val="00CE6F09"/>
    <w:rsid w:val="00CE6F99"/>
    <w:rsid w:val="00CE7A39"/>
    <w:rsid w:val="00CE7A48"/>
    <w:rsid w:val="00CE7A5E"/>
    <w:rsid w:val="00CE7A72"/>
    <w:rsid w:val="00CF14EE"/>
    <w:rsid w:val="00CF1535"/>
    <w:rsid w:val="00CF1771"/>
    <w:rsid w:val="00CF1C7F"/>
    <w:rsid w:val="00CF1CFC"/>
    <w:rsid w:val="00CF1DA3"/>
    <w:rsid w:val="00CF2357"/>
    <w:rsid w:val="00CF243C"/>
    <w:rsid w:val="00CF27A0"/>
    <w:rsid w:val="00CF2A27"/>
    <w:rsid w:val="00CF2CC5"/>
    <w:rsid w:val="00CF321F"/>
    <w:rsid w:val="00CF3278"/>
    <w:rsid w:val="00CF332C"/>
    <w:rsid w:val="00CF33A3"/>
    <w:rsid w:val="00CF3897"/>
    <w:rsid w:val="00CF39C4"/>
    <w:rsid w:val="00CF3B50"/>
    <w:rsid w:val="00CF3D5F"/>
    <w:rsid w:val="00CF3F0D"/>
    <w:rsid w:val="00CF48AD"/>
    <w:rsid w:val="00CF4A40"/>
    <w:rsid w:val="00CF4ABF"/>
    <w:rsid w:val="00CF4CFE"/>
    <w:rsid w:val="00CF4E88"/>
    <w:rsid w:val="00CF513D"/>
    <w:rsid w:val="00CF52C4"/>
    <w:rsid w:val="00CF53D2"/>
    <w:rsid w:val="00CF56CF"/>
    <w:rsid w:val="00CF5A58"/>
    <w:rsid w:val="00CF5E7B"/>
    <w:rsid w:val="00CF6099"/>
    <w:rsid w:val="00CF6A47"/>
    <w:rsid w:val="00CF6E09"/>
    <w:rsid w:val="00CF6E81"/>
    <w:rsid w:val="00CF6F1A"/>
    <w:rsid w:val="00CF737B"/>
    <w:rsid w:val="00CF79C9"/>
    <w:rsid w:val="00CF7B39"/>
    <w:rsid w:val="00CF7C76"/>
    <w:rsid w:val="00CF7E7D"/>
    <w:rsid w:val="00D001DB"/>
    <w:rsid w:val="00D00517"/>
    <w:rsid w:val="00D00680"/>
    <w:rsid w:val="00D00769"/>
    <w:rsid w:val="00D00940"/>
    <w:rsid w:val="00D00BD1"/>
    <w:rsid w:val="00D00D6E"/>
    <w:rsid w:val="00D01056"/>
    <w:rsid w:val="00D018A3"/>
    <w:rsid w:val="00D018EB"/>
    <w:rsid w:val="00D0198E"/>
    <w:rsid w:val="00D020B3"/>
    <w:rsid w:val="00D021D5"/>
    <w:rsid w:val="00D021DE"/>
    <w:rsid w:val="00D029EF"/>
    <w:rsid w:val="00D031A9"/>
    <w:rsid w:val="00D036B5"/>
    <w:rsid w:val="00D03739"/>
    <w:rsid w:val="00D03921"/>
    <w:rsid w:val="00D03B83"/>
    <w:rsid w:val="00D03D18"/>
    <w:rsid w:val="00D03F85"/>
    <w:rsid w:val="00D04130"/>
    <w:rsid w:val="00D04401"/>
    <w:rsid w:val="00D0478F"/>
    <w:rsid w:val="00D0490D"/>
    <w:rsid w:val="00D04A6F"/>
    <w:rsid w:val="00D04EF0"/>
    <w:rsid w:val="00D05034"/>
    <w:rsid w:val="00D05630"/>
    <w:rsid w:val="00D0620C"/>
    <w:rsid w:val="00D062FB"/>
    <w:rsid w:val="00D06714"/>
    <w:rsid w:val="00D06950"/>
    <w:rsid w:val="00D069F1"/>
    <w:rsid w:val="00D06A2E"/>
    <w:rsid w:val="00D06D60"/>
    <w:rsid w:val="00D071BE"/>
    <w:rsid w:val="00D07377"/>
    <w:rsid w:val="00D073B8"/>
    <w:rsid w:val="00D07576"/>
    <w:rsid w:val="00D077C8"/>
    <w:rsid w:val="00D07948"/>
    <w:rsid w:val="00D07BFD"/>
    <w:rsid w:val="00D07D35"/>
    <w:rsid w:val="00D07F9A"/>
    <w:rsid w:val="00D10019"/>
    <w:rsid w:val="00D1010F"/>
    <w:rsid w:val="00D10131"/>
    <w:rsid w:val="00D101CC"/>
    <w:rsid w:val="00D101F7"/>
    <w:rsid w:val="00D10206"/>
    <w:rsid w:val="00D107A6"/>
    <w:rsid w:val="00D108E7"/>
    <w:rsid w:val="00D11179"/>
    <w:rsid w:val="00D11253"/>
    <w:rsid w:val="00D11403"/>
    <w:rsid w:val="00D11655"/>
    <w:rsid w:val="00D11F6F"/>
    <w:rsid w:val="00D12079"/>
    <w:rsid w:val="00D120A0"/>
    <w:rsid w:val="00D1227E"/>
    <w:rsid w:val="00D123C9"/>
    <w:rsid w:val="00D1241E"/>
    <w:rsid w:val="00D12492"/>
    <w:rsid w:val="00D127A0"/>
    <w:rsid w:val="00D127BE"/>
    <w:rsid w:val="00D1290C"/>
    <w:rsid w:val="00D12D68"/>
    <w:rsid w:val="00D12F8F"/>
    <w:rsid w:val="00D13229"/>
    <w:rsid w:val="00D133DE"/>
    <w:rsid w:val="00D1382E"/>
    <w:rsid w:val="00D13D57"/>
    <w:rsid w:val="00D142C7"/>
    <w:rsid w:val="00D143EC"/>
    <w:rsid w:val="00D1442A"/>
    <w:rsid w:val="00D14552"/>
    <w:rsid w:val="00D145F5"/>
    <w:rsid w:val="00D14D1C"/>
    <w:rsid w:val="00D14D2D"/>
    <w:rsid w:val="00D14E16"/>
    <w:rsid w:val="00D14E7A"/>
    <w:rsid w:val="00D1526E"/>
    <w:rsid w:val="00D1539E"/>
    <w:rsid w:val="00D15843"/>
    <w:rsid w:val="00D15873"/>
    <w:rsid w:val="00D159B4"/>
    <w:rsid w:val="00D15BD6"/>
    <w:rsid w:val="00D16039"/>
    <w:rsid w:val="00D160D4"/>
    <w:rsid w:val="00D161E7"/>
    <w:rsid w:val="00D1655D"/>
    <w:rsid w:val="00D1665E"/>
    <w:rsid w:val="00D1666A"/>
    <w:rsid w:val="00D16838"/>
    <w:rsid w:val="00D16933"/>
    <w:rsid w:val="00D169E6"/>
    <w:rsid w:val="00D17177"/>
    <w:rsid w:val="00D171AD"/>
    <w:rsid w:val="00D175EF"/>
    <w:rsid w:val="00D17B78"/>
    <w:rsid w:val="00D17F92"/>
    <w:rsid w:val="00D2023C"/>
    <w:rsid w:val="00D207BC"/>
    <w:rsid w:val="00D207EC"/>
    <w:rsid w:val="00D208DE"/>
    <w:rsid w:val="00D20902"/>
    <w:rsid w:val="00D20B2E"/>
    <w:rsid w:val="00D20BC1"/>
    <w:rsid w:val="00D20BD5"/>
    <w:rsid w:val="00D20F59"/>
    <w:rsid w:val="00D21214"/>
    <w:rsid w:val="00D21246"/>
    <w:rsid w:val="00D2147F"/>
    <w:rsid w:val="00D214C4"/>
    <w:rsid w:val="00D2160D"/>
    <w:rsid w:val="00D2177A"/>
    <w:rsid w:val="00D21A76"/>
    <w:rsid w:val="00D21DD1"/>
    <w:rsid w:val="00D21FBD"/>
    <w:rsid w:val="00D222BA"/>
    <w:rsid w:val="00D224EC"/>
    <w:rsid w:val="00D22796"/>
    <w:rsid w:val="00D22BF9"/>
    <w:rsid w:val="00D22E7F"/>
    <w:rsid w:val="00D23160"/>
    <w:rsid w:val="00D231B4"/>
    <w:rsid w:val="00D23554"/>
    <w:rsid w:val="00D238DA"/>
    <w:rsid w:val="00D23B6F"/>
    <w:rsid w:val="00D23C31"/>
    <w:rsid w:val="00D23C59"/>
    <w:rsid w:val="00D23D85"/>
    <w:rsid w:val="00D23E88"/>
    <w:rsid w:val="00D23EDB"/>
    <w:rsid w:val="00D23F20"/>
    <w:rsid w:val="00D2411A"/>
    <w:rsid w:val="00D2467E"/>
    <w:rsid w:val="00D249C3"/>
    <w:rsid w:val="00D24D41"/>
    <w:rsid w:val="00D24DE1"/>
    <w:rsid w:val="00D24ED9"/>
    <w:rsid w:val="00D2513B"/>
    <w:rsid w:val="00D25225"/>
    <w:rsid w:val="00D25319"/>
    <w:rsid w:val="00D255C5"/>
    <w:rsid w:val="00D255EB"/>
    <w:rsid w:val="00D2573A"/>
    <w:rsid w:val="00D257C5"/>
    <w:rsid w:val="00D258AF"/>
    <w:rsid w:val="00D25CC7"/>
    <w:rsid w:val="00D266C4"/>
    <w:rsid w:val="00D269B1"/>
    <w:rsid w:val="00D26B70"/>
    <w:rsid w:val="00D26D14"/>
    <w:rsid w:val="00D26E26"/>
    <w:rsid w:val="00D26F3C"/>
    <w:rsid w:val="00D272C6"/>
    <w:rsid w:val="00D27394"/>
    <w:rsid w:val="00D27503"/>
    <w:rsid w:val="00D275FA"/>
    <w:rsid w:val="00D276DF"/>
    <w:rsid w:val="00D277D2"/>
    <w:rsid w:val="00D27901"/>
    <w:rsid w:val="00D27A77"/>
    <w:rsid w:val="00D27B51"/>
    <w:rsid w:val="00D27C3C"/>
    <w:rsid w:val="00D27F63"/>
    <w:rsid w:val="00D301D0"/>
    <w:rsid w:val="00D30790"/>
    <w:rsid w:val="00D307FC"/>
    <w:rsid w:val="00D30847"/>
    <w:rsid w:val="00D30919"/>
    <w:rsid w:val="00D309F2"/>
    <w:rsid w:val="00D30B03"/>
    <w:rsid w:val="00D30C74"/>
    <w:rsid w:val="00D30DE8"/>
    <w:rsid w:val="00D30F60"/>
    <w:rsid w:val="00D31318"/>
    <w:rsid w:val="00D313AB"/>
    <w:rsid w:val="00D313E4"/>
    <w:rsid w:val="00D316A1"/>
    <w:rsid w:val="00D320DF"/>
    <w:rsid w:val="00D32709"/>
    <w:rsid w:val="00D329F1"/>
    <w:rsid w:val="00D32C8D"/>
    <w:rsid w:val="00D32CA1"/>
    <w:rsid w:val="00D32CBB"/>
    <w:rsid w:val="00D333D2"/>
    <w:rsid w:val="00D33408"/>
    <w:rsid w:val="00D33496"/>
    <w:rsid w:val="00D33B9F"/>
    <w:rsid w:val="00D33C03"/>
    <w:rsid w:val="00D33CEA"/>
    <w:rsid w:val="00D340CE"/>
    <w:rsid w:val="00D3419E"/>
    <w:rsid w:val="00D345D3"/>
    <w:rsid w:val="00D347F6"/>
    <w:rsid w:val="00D34D17"/>
    <w:rsid w:val="00D34EDB"/>
    <w:rsid w:val="00D352C0"/>
    <w:rsid w:val="00D352C4"/>
    <w:rsid w:val="00D353D7"/>
    <w:rsid w:val="00D355F0"/>
    <w:rsid w:val="00D35746"/>
    <w:rsid w:val="00D35ABA"/>
    <w:rsid w:val="00D35E0F"/>
    <w:rsid w:val="00D35F75"/>
    <w:rsid w:val="00D3615A"/>
    <w:rsid w:val="00D36189"/>
    <w:rsid w:val="00D36273"/>
    <w:rsid w:val="00D36624"/>
    <w:rsid w:val="00D36813"/>
    <w:rsid w:val="00D36B8D"/>
    <w:rsid w:val="00D36CE4"/>
    <w:rsid w:val="00D36D13"/>
    <w:rsid w:val="00D37103"/>
    <w:rsid w:val="00D37484"/>
    <w:rsid w:val="00D37519"/>
    <w:rsid w:val="00D37766"/>
    <w:rsid w:val="00D379B3"/>
    <w:rsid w:val="00D37A40"/>
    <w:rsid w:val="00D40362"/>
    <w:rsid w:val="00D40A79"/>
    <w:rsid w:val="00D40AF5"/>
    <w:rsid w:val="00D40BDF"/>
    <w:rsid w:val="00D40C1B"/>
    <w:rsid w:val="00D40CB3"/>
    <w:rsid w:val="00D4135D"/>
    <w:rsid w:val="00D4137D"/>
    <w:rsid w:val="00D413D8"/>
    <w:rsid w:val="00D4146C"/>
    <w:rsid w:val="00D416F2"/>
    <w:rsid w:val="00D42046"/>
    <w:rsid w:val="00D4285D"/>
    <w:rsid w:val="00D43032"/>
    <w:rsid w:val="00D433D6"/>
    <w:rsid w:val="00D43440"/>
    <w:rsid w:val="00D435B7"/>
    <w:rsid w:val="00D43AC8"/>
    <w:rsid w:val="00D43B14"/>
    <w:rsid w:val="00D43C2A"/>
    <w:rsid w:val="00D43C94"/>
    <w:rsid w:val="00D44152"/>
    <w:rsid w:val="00D44390"/>
    <w:rsid w:val="00D4451F"/>
    <w:rsid w:val="00D44A46"/>
    <w:rsid w:val="00D45039"/>
    <w:rsid w:val="00D455FE"/>
    <w:rsid w:val="00D45685"/>
    <w:rsid w:val="00D45ABC"/>
    <w:rsid w:val="00D462CF"/>
    <w:rsid w:val="00D4649D"/>
    <w:rsid w:val="00D465F3"/>
    <w:rsid w:val="00D46A18"/>
    <w:rsid w:val="00D46C08"/>
    <w:rsid w:val="00D46DA4"/>
    <w:rsid w:val="00D472C0"/>
    <w:rsid w:val="00D474A8"/>
    <w:rsid w:val="00D47636"/>
    <w:rsid w:val="00D477FF"/>
    <w:rsid w:val="00D479FB"/>
    <w:rsid w:val="00D47EB0"/>
    <w:rsid w:val="00D5027A"/>
    <w:rsid w:val="00D50314"/>
    <w:rsid w:val="00D50879"/>
    <w:rsid w:val="00D50B68"/>
    <w:rsid w:val="00D50BEB"/>
    <w:rsid w:val="00D513D0"/>
    <w:rsid w:val="00D51464"/>
    <w:rsid w:val="00D51610"/>
    <w:rsid w:val="00D51766"/>
    <w:rsid w:val="00D51791"/>
    <w:rsid w:val="00D51886"/>
    <w:rsid w:val="00D519E8"/>
    <w:rsid w:val="00D51A37"/>
    <w:rsid w:val="00D51F4F"/>
    <w:rsid w:val="00D526C9"/>
    <w:rsid w:val="00D526E5"/>
    <w:rsid w:val="00D529E9"/>
    <w:rsid w:val="00D52C69"/>
    <w:rsid w:val="00D539BB"/>
    <w:rsid w:val="00D5416D"/>
    <w:rsid w:val="00D54373"/>
    <w:rsid w:val="00D5453E"/>
    <w:rsid w:val="00D545F8"/>
    <w:rsid w:val="00D546D8"/>
    <w:rsid w:val="00D54841"/>
    <w:rsid w:val="00D5490F"/>
    <w:rsid w:val="00D5492A"/>
    <w:rsid w:val="00D55271"/>
    <w:rsid w:val="00D55393"/>
    <w:rsid w:val="00D557FD"/>
    <w:rsid w:val="00D55B36"/>
    <w:rsid w:val="00D55BA3"/>
    <w:rsid w:val="00D55DE4"/>
    <w:rsid w:val="00D56113"/>
    <w:rsid w:val="00D56261"/>
    <w:rsid w:val="00D5641D"/>
    <w:rsid w:val="00D568AF"/>
    <w:rsid w:val="00D568F4"/>
    <w:rsid w:val="00D569A1"/>
    <w:rsid w:val="00D5729E"/>
    <w:rsid w:val="00D573F7"/>
    <w:rsid w:val="00D57497"/>
    <w:rsid w:val="00D574D4"/>
    <w:rsid w:val="00D600BB"/>
    <w:rsid w:val="00D60188"/>
    <w:rsid w:val="00D60484"/>
    <w:rsid w:val="00D60503"/>
    <w:rsid w:val="00D60725"/>
    <w:rsid w:val="00D6078B"/>
    <w:rsid w:val="00D60895"/>
    <w:rsid w:val="00D608E3"/>
    <w:rsid w:val="00D6091E"/>
    <w:rsid w:val="00D609BB"/>
    <w:rsid w:val="00D60BF7"/>
    <w:rsid w:val="00D60C4E"/>
    <w:rsid w:val="00D60C7D"/>
    <w:rsid w:val="00D61194"/>
    <w:rsid w:val="00D61473"/>
    <w:rsid w:val="00D6147B"/>
    <w:rsid w:val="00D617F0"/>
    <w:rsid w:val="00D61A12"/>
    <w:rsid w:val="00D61BB4"/>
    <w:rsid w:val="00D61BCD"/>
    <w:rsid w:val="00D61D03"/>
    <w:rsid w:val="00D61FA3"/>
    <w:rsid w:val="00D6275E"/>
    <w:rsid w:val="00D63618"/>
    <w:rsid w:val="00D639D7"/>
    <w:rsid w:val="00D641F3"/>
    <w:rsid w:val="00D643F4"/>
    <w:rsid w:val="00D64499"/>
    <w:rsid w:val="00D644A2"/>
    <w:rsid w:val="00D64618"/>
    <w:rsid w:val="00D64721"/>
    <w:rsid w:val="00D648AE"/>
    <w:rsid w:val="00D649B6"/>
    <w:rsid w:val="00D64B10"/>
    <w:rsid w:val="00D64CEC"/>
    <w:rsid w:val="00D650B9"/>
    <w:rsid w:val="00D65425"/>
    <w:rsid w:val="00D6560C"/>
    <w:rsid w:val="00D657C3"/>
    <w:rsid w:val="00D657DD"/>
    <w:rsid w:val="00D65844"/>
    <w:rsid w:val="00D66527"/>
    <w:rsid w:val="00D667F5"/>
    <w:rsid w:val="00D669FF"/>
    <w:rsid w:val="00D66CF9"/>
    <w:rsid w:val="00D670EF"/>
    <w:rsid w:val="00D671FC"/>
    <w:rsid w:val="00D675BC"/>
    <w:rsid w:val="00D675CE"/>
    <w:rsid w:val="00D6795A"/>
    <w:rsid w:val="00D67BA8"/>
    <w:rsid w:val="00D67BF7"/>
    <w:rsid w:val="00D67EC0"/>
    <w:rsid w:val="00D7024C"/>
    <w:rsid w:val="00D702A8"/>
    <w:rsid w:val="00D705E9"/>
    <w:rsid w:val="00D7088A"/>
    <w:rsid w:val="00D70DD9"/>
    <w:rsid w:val="00D71100"/>
    <w:rsid w:val="00D71210"/>
    <w:rsid w:val="00D712DD"/>
    <w:rsid w:val="00D71727"/>
    <w:rsid w:val="00D719AD"/>
    <w:rsid w:val="00D71A79"/>
    <w:rsid w:val="00D71B5C"/>
    <w:rsid w:val="00D71BEE"/>
    <w:rsid w:val="00D71BFE"/>
    <w:rsid w:val="00D71D0F"/>
    <w:rsid w:val="00D71E18"/>
    <w:rsid w:val="00D71EFD"/>
    <w:rsid w:val="00D72150"/>
    <w:rsid w:val="00D721B5"/>
    <w:rsid w:val="00D721E2"/>
    <w:rsid w:val="00D72A30"/>
    <w:rsid w:val="00D72AE9"/>
    <w:rsid w:val="00D72B26"/>
    <w:rsid w:val="00D72C6F"/>
    <w:rsid w:val="00D72E1E"/>
    <w:rsid w:val="00D73329"/>
    <w:rsid w:val="00D7355F"/>
    <w:rsid w:val="00D73601"/>
    <w:rsid w:val="00D73898"/>
    <w:rsid w:val="00D73AC3"/>
    <w:rsid w:val="00D73C1A"/>
    <w:rsid w:val="00D73E1A"/>
    <w:rsid w:val="00D73E59"/>
    <w:rsid w:val="00D7406C"/>
    <w:rsid w:val="00D740D3"/>
    <w:rsid w:val="00D741F4"/>
    <w:rsid w:val="00D74220"/>
    <w:rsid w:val="00D74C93"/>
    <w:rsid w:val="00D752B9"/>
    <w:rsid w:val="00D754F3"/>
    <w:rsid w:val="00D75534"/>
    <w:rsid w:val="00D756D7"/>
    <w:rsid w:val="00D7604C"/>
    <w:rsid w:val="00D76100"/>
    <w:rsid w:val="00D76162"/>
    <w:rsid w:val="00D7633D"/>
    <w:rsid w:val="00D76B0E"/>
    <w:rsid w:val="00D76B48"/>
    <w:rsid w:val="00D76D58"/>
    <w:rsid w:val="00D76DC9"/>
    <w:rsid w:val="00D7742B"/>
    <w:rsid w:val="00D777F7"/>
    <w:rsid w:val="00D77A2B"/>
    <w:rsid w:val="00D77A83"/>
    <w:rsid w:val="00D77EC3"/>
    <w:rsid w:val="00D77F89"/>
    <w:rsid w:val="00D801EE"/>
    <w:rsid w:val="00D80519"/>
    <w:rsid w:val="00D80792"/>
    <w:rsid w:val="00D80916"/>
    <w:rsid w:val="00D811BB"/>
    <w:rsid w:val="00D81613"/>
    <w:rsid w:val="00D818FE"/>
    <w:rsid w:val="00D81907"/>
    <w:rsid w:val="00D81D8F"/>
    <w:rsid w:val="00D820E5"/>
    <w:rsid w:val="00D82A9E"/>
    <w:rsid w:val="00D82AEA"/>
    <w:rsid w:val="00D82DDC"/>
    <w:rsid w:val="00D831E7"/>
    <w:rsid w:val="00D8335A"/>
    <w:rsid w:val="00D833D9"/>
    <w:rsid w:val="00D838C4"/>
    <w:rsid w:val="00D83A4B"/>
    <w:rsid w:val="00D83BD9"/>
    <w:rsid w:val="00D83C7A"/>
    <w:rsid w:val="00D83DED"/>
    <w:rsid w:val="00D841FC"/>
    <w:rsid w:val="00D8421A"/>
    <w:rsid w:val="00D842A8"/>
    <w:rsid w:val="00D842F9"/>
    <w:rsid w:val="00D8455A"/>
    <w:rsid w:val="00D846F6"/>
    <w:rsid w:val="00D84905"/>
    <w:rsid w:val="00D8498C"/>
    <w:rsid w:val="00D849B9"/>
    <w:rsid w:val="00D84D71"/>
    <w:rsid w:val="00D8512A"/>
    <w:rsid w:val="00D851C9"/>
    <w:rsid w:val="00D851FE"/>
    <w:rsid w:val="00D8524E"/>
    <w:rsid w:val="00D85275"/>
    <w:rsid w:val="00D857E8"/>
    <w:rsid w:val="00D858E5"/>
    <w:rsid w:val="00D85A05"/>
    <w:rsid w:val="00D85B15"/>
    <w:rsid w:val="00D85B86"/>
    <w:rsid w:val="00D85C76"/>
    <w:rsid w:val="00D85C77"/>
    <w:rsid w:val="00D8606F"/>
    <w:rsid w:val="00D8615D"/>
    <w:rsid w:val="00D8669A"/>
    <w:rsid w:val="00D86C62"/>
    <w:rsid w:val="00D87145"/>
    <w:rsid w:val="00D87234"/>
    <w:rsid w:val="00D873E5"/>
    <w:rsid w:val="00D876AD"/>
    <w:rsid w:val="00D87747"/>
    <w:rsid w:val="00D8775B"/>
    <w:rsid w:val="00D877A2"/>
    <w:rsid w:val="00D87A9B"/>
    <w:rsid w:val="00D87C3D"/>
    <w:rsid w:val="00D9007E"/>
    <w:rsid w:val="00D90132"/>
    <w:rsid w:val="00D90351"/>
    <w:rsid w:val="00D90B60"/>
    <w:rsid w:val="00D913FE"/>
    <w:rsid w:val="00D914FA"/>
    <w:rsid w:val="00D9153E"/>
    <w:rsid w:val="00D916AC"/>
    <w:rsid w:val="00D92130"/>
    <w:rsid w:val="00D9290C"/>
    <w:rsid w:val="00D92A7A"/>
    <w:rsid w:val="00D92B39"/>
    <w:rsid w:val="00D92ECC"/>
    <w:rsid w:val="00D93016"/>
    <w:rsid w:val="00D93186"/>
    <w:rsid w:val="00D9373A"/>
    <w:rsid w:val="00D93806"/>
    <w:rsid w:val="00D938E0"/>
    <w:rsid w:val="00D93BAB"/>
    <w:rsid w:val="00D93C67"/>
    <w:rsid w:val="00D93D18"/>
    <w:rsid w:val="00D93D3A"/>
    <w:rsid w:val="00D93FC5"/>
    <w:rsid w:val="00D942C5"/>
    <w:rsid w:val="00D94368"/>
    <w:rsid w:val="00D9475F"/>
    <w:rsid w:val="00D947C2"/>
    <w:rsid w:val="00D9489A"/>
    <w:rsid w:val="00D949EA"/>
    <w:rsid w:val="00D94CE1"/>
    <w:rsid w:val="00D94DCF"/>
    <w:rsid w:val="00D94EAE"/>
    <w:rsid w:val="00D94FB0"/>
    <w:rsid w:val="00D95072"/>
    <w:rsid w:val="00D95486"/>
    <w:rsid w:val="00D9564B"/>
    <w:rsid w:val="00D960AA"/>
    <w:rsid w:val="00D9620E"/>
    <w:rsid w:val="00D96245"/>
    <w:rsid w:val="00D96333"/>
    <w:rsid w:val="00D964CC"/>
    <w:rsid w:val="00D965CB"/>
    <w:rsid w:val="00D967C6"/>
    <w:rsid w:val="00D9699A"/>
    <w:rsid w:val="00D96A52"/>
    <w:rsid w:val="00D96A7C"/>
    <w:rsid w:val="00D96C7A"/>
    <w:rsid w:val="00D97908"/>
    <w:rsid w:val="00D97AF6"/>
    <w:rsid w:val="00D97AF7"/>
    <w:rsid w:val="00D97C3A"/>
    <w:rsid w:val="00D97EEC"/>
    <w:rsid w:val="00DA043D"/>
    <w:rsid w:val="00DA0C94"/>
    <w:rsid w:val="00DA0E37"/>
    <w:rsid w:val="00DA0F20"/>
    <w:rsid w:val="00DA1124"/>
    <w:rsid w:val="00DA1420"/>
    <w:rsid w:val="00DA18B3"/>
    <w:rsid w:val="00DA1999"/>
    <w:rsid w:val="00DA1D4A"/>
    <w:rsid w:val="00DA1D63"/>
    <w:rsid w:val="00DA1E5B"/>
    <w:rsid w:val="00DA261A"/>
    <w:rsid w:val="00DA2635"/>
    <w:rsid w:val="00DA2A69"/>
    <w:rsid w:val="00DA2DD9"/>
    <w:rsid w:val="00DA30A9"/>
    <w:rsid w:val="00DA3350"/>
    <w:rsid w:val="00DA3712"/>
    <w:rsid w:val="00DA3713"/>
    <w:rsid w:val="00DA3C95"/>
    <w:rsid w:val="00DA4294"/>
    <w:rsid w:val="00DA42E1"/>
    <w:rsid w:val="00DA4324"/>
    <w:rsid w:val="00DA43FA"/>
    <w:rsid w:val="00DA4929"/>
    <w:rsid w:val="00DA4CC5"/>
    <w:rsid w:val="00DA4EF4"/>
    <w:rsid w:val="00DA4FAC"/>
    <w:rsid w:val="00DA5764"/>
    <w:rsid w:val="00DA586F"/>
    <w:rsid w:val="00DA5919"/>
    <w:rsid w:val="00DA5BDD"/>
    <w:rsid w:val="00DA5CCB"/>
    <w:rsid w:val="00DA6138"/>
    <w:rsid w:val="00DA614E"/>
    <w:rsid w:val="00DA65CC"/>
    <w:rsid w:val="00DA669E"/>
    <w:rsid w:val="00DA66D0"/>
    <w:rsid w:val="00DA67BD"/>
    <w:rsid w:val="00DA69A5"/>
    <w:rsid w:val="00DA6C52"/>
    <w:rsid w:val="00DA6C79"/>
    <w:rsid w:val="00DA6E59"/>
    <w:rsid w:val="00DA7260"/>
    <w:rsid w:val="00DA7549"/>
    <w:rsid w:val="00DA7A06"/>
    <w:rsid w:val="00DA7AA7"/>
    <w:rsid w:val="00DA7D44"/>
    <w:rsid w:val="00DA7DA0"/>
    <w:rsid w:val="00DA7E05"/>
    <w:rsid w:val="00DA7E90"/>
    <w:rsid w:val="00DB003D"/>
    <w:rsid w:val="00DB05F5"/>
    <w:rsid w:val="00DB07DD"/>
    <w:rsid w:val="00DB08DA"/>
    <w:rsid w:val="00DB0BF8"/>
    <w:rsid w:val="00DB1086"/>
    <w:rsid w:val="00DB11BF"/>
    <w:rsid w:val="00DB157A"/>
    <w:rsid w:val="00DB1651"/>
    <w:rsid w:val="00DB1770"/>
    <w:rsid w:val="00DB1941"/>
    <w:rsid w:val="00DB1B43"/>
    <w:rsid w:val="00DB1BD4"/>
    <w:rsid w:val="00DB1C20"/>
    <w:rsid w:val="00DB1C5D"/>
    <w:rsid w:val="00DB1D9E"/>
    <w:rsid w:val="00DB1DD1"/>
    <w:rsid w:val="00DB241A"/>
    <w:rsid w:val="00DB2480"/>
    <w:rsid w:val="00DB258A"/>
    <w:rsid w:val="00DB26B4"/>
    <w:rsid w:val="00DB27D8"/>
    <w:rsid w:val="00DB2A79"/>
    <w:rsid w:val="00DB2C6A"/>
    <w:rsid w:val="00DB31FB"/>
    <w:rsid w:val="00DB34F5"/>
    <w:rsid w:val="00DB35AA"/>
    <w:rsid w:val="00DB3744"/>
    <w:rsid w:val="00DB375D"/>
    <w:rsid w:val="00DB3838"/>
    <w:rsid w:val="00DB3B2F"/>
    <w:rsid w:val="00DB3C37"/>
    <w:rsid w:val="00DB3C96"/>
    <w:rsid w:val="00DB3EBA"/>
    <w:rsid w:val="00DB4261"/>
    <w:rsid w:val="00DB4350"/>
    <w:rsid w:val="00DB459F"/>
    <w:rsid w:val="00DB45AB"/>
    <w:rsid w:val="00DB4AD2"/>
    <w:rsid w:val="00DB4BF8"/>
    <w:rsid w:val="00DB4C8C"/>
    <w:rsid w:val="00DB4D98"/>
    <w:rsid w:val="00DB4DEE"/>
    <w:rsid w:val="00DB53C4"/>
    <w:rsid w:val="00DB55A2"/>
    <w:rsid w:val="00DB5B3B"/>
    <w:rsid w:val="00DB5DE7"/>
    <w:rsid w:val="00DB5EDA"/>
    <w:rsid w:val="00DB5EDF"/>
    <w:rsid w:val="00DB626B"/>
    <w:rsid w:val="00DB63B4"/>
    <w:rsid w:val="00DB667F"/>
    <w:rsid w:val="00DB67AE"/>
    <w:rsid w:val="00DB6A40"/>
    <w:rsid w:val="00DB6B24"/>
    <w:rsid w:val="00DB6D49"/>
    <w:rsid w:val="00DB6EDB"/>
    <w:rsid w:val="00DB73A0"/>
    <w:rsid w:val="00DB740B"/>
    <w:rsid w:val="00DB7432"/>
    <w:rsid w:val="00DB74C6"/>
    <w:rsid w:val="00DB75F6"/>
    <w:rsid w:val="00DB786A"/>
    <w:rsid w:val="00DB7A26"/>
    <w:rsid w:val="00DB7E53"/>
    <w:rsid w:val="00DB7F09"/>
    <w:rsid w:val="00DC00B5"/>
    <w:rsid w:val="00DC00E8"/>
    <w:rsid w:val="00DC0481"/>
    <w:rsid w:val="00DC05EA"/>
    <w:rsid w:val="00DC08BC"/>
    <w:rsid w:val="00DC0D2A"/>
    <w:rsid w:val="00DC0D8B"/>
    <w:rsid w:val="00DC0E38"/>
    <w:rsid w:val="00DC102C"/>
    <w:rsid w:val="00DC1154"/>
    <w:rsid w:val="00DC1443"/>
    <w:rsid w:val="00DC15D1"/>
    <w:rsid w:val="00DC165B"/>
    <w:rsid w:val="00DC1755"/>
    <w:rsid w:val="00DC1BAF"/>
    <w:rsid w:val="00DC1C56"/>
    <w:rsid w:val="00DC1FC7"/>
    <w:rsid w:val="00DC200A"/>
    <w:rsid w:val="00DC2288"/>
    <w:rsid w:val="00DC2367"/>
    <w:rsid w:val="00DC2AED"/>
    <w:rsid w:val="00DC2B10"/>
    <w:rsid w:val="00DC301D"/>
    <w:rsid w:val="00DC3164"/>
    <w:rsid w:val="00DC32A0"/>
    <w:rsid w:val="00DC3510"/>
    <w:rsid w:val="00DC35C6"/>
    <w:rsid w:val="00DC37CD"/>
    <w:rsid w:val="00DC38B6"/>
    <w:rsid w:val="00DC38C4"/>
    <w:rsid w:val="00DC3BF4"/>
    <w:rsid w:val="00DC446F"/>
    <w:rsid w:val="00DC4595"/>
    <w:rsid w:val="00DC4756"/>
    <w:rsid w:val="00DC4C94"/>
    <w:rsid w:val="00DC4FC3"/>
    <w:rsid w:val="00DC559D"/>
    <w:rsid w:val="00DC55BE"/>
    <w:rsid w:val="00DC5C25"/>
    <w:rsid w:val="00DC5C37"/>
    <w:rsid w:val="00DC5E57"/>
    <w:rsid w:val="00DC5FF5"/>
    <w:rsid w:val="00DC6032"/>
    <w:rsid w:val="00DC6097"/>
    <w:rsid w:val="00DC6379"/>
    <w:rsid w:val="00DC6A91"/>
    <w:rsid w:val="00DC6AAD"/>
    <w:rsid w:val="00DC6D34"/>
    <w:rsid w:val="00DC6FC7"/>
    <w:rsid w:val="00DC7136"/>
    <w:rsid w:val="00DC713F"/>
    <w:rsid w:val="00DC741A"/>
    <w:rsid w:val="00DC746F"/>
    <w:rsid w:val="00DC761E"/>
    <w:rsid w:val="00DD03E5"/>
    <w:rsid w:val="00DD0654"/>
    <w:rsid w:val="00DD06DE"/>
    <w:rsid w:val="00DD0AC9"/>
    <w:rsid w:val="00DD0E18"/>
    <w:rsid w:val="00DD1158"/>
    <w:rsid w:val="00DD122F"/>
    <w:rsid w:val="00DD16BC"/>
    <w:rsid w:val="00DD17AB"/>
    <w:rsid w:val="00DD1827"/>
    <w:rsid w:val="00DD18C5"/>
    <w:rsid w:val="00DD1A78"/>
    <w:rsid w:val="00DD1D7F"/>
    <w:rsid w:val="00DD2211"/>
    <w:rsid w:val="00DD249A"/>
    <w:rsid w:val="00DD2592"/>
    <w:rsid w:val="00DD26F3"/>
    <w:rsid w:val="00DD2830"/>
    <w:rsid w:val="00DD2920"/>
    <w:rsid w:val="00DD2E3E"/>
    <w:rsid w:val="00DD2ECD"/>
    <w:rsid w:val="00DD2FB4"/>
    <w:rsid w:val="00DD310C"/>
    <w:rsid w:val="00DD3642"/>
    <w:rsid w:val="00DD368F"/>
    <w:rsid w:val="00DD39B1"/>
    <w:rsid w:val="00DD3ADD"/>
    <w:rsid w:val="00DD434A"/>
    <w:rsid w:val="00DD45E3"/>
    <w:rsid w:val="00DD46BD"/>
    <w:rsid w:val="00DD46E6"/>
    <w:rsid w:val="00DD4821"/>
    <w:rsid w:val="00DD4920"/>
    <w:rsid w:val="00DD50E3"/>
    <w:rsid w:val="00DD5119"/>
    <w:rsid w:val="00DD5A89"/>
    <w:rsid w:val="00DD5B7C"/>
    <w:rsid w:val="00DD5BE5"/>
    <w:rsid w:val="00DD5CB8"/>
    <w:rsid w:val="00DD5D3D"/>
    <w:rsid w:val="00DD5DA5"/>
    <w:rsid w:val="00DD5E3B"/>
    <w:rsid w:val="00DD5FA2"/>
    <w:rsid w:val="00DD6381"/>
    <w:rsid w:val="00DD6485"/>
    <w:rsid w:val="00DD67A3"/>
    <w:rsid w:val="00DD69A9"/>
    <w:rsid w:val="00DD6B74"/>
    <w:rsid w:val="00DD75D9"/>
    <w:rsid w:val="00DD76E0"/>
    <w:rsid w:val="00DD788A"/>
    <w:rsid w:val="00DD7A85"/>
    <w:rsid w:val="00DD7AC4"/>
    <w:rsid w:val="00DD7C81"/>
    <w:rsid w:val="00DD7E15"/>
    <w:rsid w:val="00DD7F77"/>
    <w:rsid w:val="00DE005A"/>
    <w:rsid w:val="00DE00C0"/>
    <w:rsid w:val="00DE024D"/>
    <w:rsid w:val="00DE07B6"/>
    <w:rsid w:val="00DE0845"/>
    <w:rsid w:val="00DE087F"/>
    <w:rsid w:val="00DE0D2B"/>
    <w:rsid w:val="00DE14D6"/>
    <w:rsid w:val="00DE1632"/>
    <w:rsid w:val="00DE16CE"/>
    <w:rsid w:val="00DE1721"/>
    <w:rsid w:val="00DE176B"/>
    <w:rsid w:val="00DE1903"/>
    <w:rsid w:val="00DE1A12"/>
    <w:rsid w:val="00DE20B2"/>
    <w:rsid w:val="00DE226D"/>
    <w:rsid w:val="00DE24AA"/>
    <w:rsid w:val="00DE26B9"/>
    <w:rsid w:val="00DE2763"/>
    <w:rsid w:val="00DE2E16"/>
    <w:rsid w:val="00DE3031"/>
    <w:rsid w:val="00DE3447"/>
    <w:rsid w:val="00DE35BA"/>
    <w:rsid w:val="00DE3662"/>
    <w:rsid w:val="00DE3803"/>
    <w:rsid w:val="00DE3A35"/>
    <w:rsid w:val="00DE3A53"/>
    <w:rsid w:val="00DE3BE4"/>
    <w:rsid w:val="00DE3C0C"/>
    <w:rsid w:val="00DE3C77"/>
    <w:rsid w:val="00DE4082"/>
    <w:rsid w:val="00DE43C5"/>
    <w:rsid w:val="00DE4466"/>
    <w:rsid w:val="00DE44EF"/>
    <w:rsid w:val="00DE4786"/>
    <w:rsid w:val="00DE49AC"/>
    <w:rsid w:val="00DE4A7C"/>
    <w:rsid w:val="00DE4AFF"/>
    <w:rsid w:val="00DE4F24"/>
    <w:rsid w:val="00DE4F5C"/>
    <w:rsid w:val="00DE5173"/>
    <w:rsid w:val="00DE5256"/>
    <w:rsid w:val="00DE534A"/>
    <w:rsid w:val="00DE567E"/>
    <w:rsid w:val="00DE586F"/>
    <w:rsid w:val="00DE5A7D"/>
    <w:rsid w:val="00DE5B70"/>
    <w:rsid w:val="00DE5D42"/>
    <w:rsid w:val="00DE5F10"/>
    <w:rsid w:val="00DE6160"/>
    <w:rsid w:val="00DE61C1"/>
    <w:rsid w:val="00DE61EF"/>
    <w:rsid w:val="00DE622C"/>
    <w:rsid w:val="00DE6EF1"/>
    <w:rsid w:val="00DE6FAE"/>
    <w:rsid w:val="00DE70F1"/>
    <w:rsid w:val="00DE7170"/>
    <w:rsid w:val="00DE77BD"/>
    <w:rsid w:val="00DE7838"/>
    <w:rsid w:val="00DE795C"/>
    <w:rsid w:val="00DE7C87"/>
    <w:rsid w:val="00DE7D1D"/>
    <w:rsid w:val="00DF01D3"/>
    <w:rsid w:val="00DF03AD"/>
    <w:rsid w:val="00DF04BA"/>
    <w:rsid w:val="00DF04CD"/>
    <w:rsid w:val="00DF0679"/>
    <w:rsid w:val="00DF0879"/>
    <w:rsid w:val="00DF0889"/>
    <w:rsid w:val="00DF0961"/>
    <w:rsid w:val="00DF19A0"/>
    <w:rsid w:val="00DF21B6"/>
    <w:rsid w:val="00DF21E2"/>
    <w:rsid w:val="00DF242F"/>
    <w:rsid w:val="00DF26B8"/>
    <w:rsid w:val="00DF274A"/>
    <w:rsid w:val="00DF27EE"/>
    <w:rsid w:val="00DF288C"/>
    <w:rsid w:val="00DF28DA"/>
    <w:rsid w:val="00DF29F3"/>
    <w:rsid w:val="00DF2D92"/>
    <w:rsid w:val="00DF345F"/>
    <w:rsid w:val="00DF37FE"/>
    <w:rsid w:val="00DF3B8E"/>
    <w:rsid w:val="00DF3C8F"/>
    <w:rsid w:val="00DF3DED"/>
    <w:rsid w:val="00DF407E"/>
    <w:rsid w:val="00DF4226"/>
    <w:rsid w:val="00DF4344"/>
    <w:rsid w:val="00DF469A"/>
    <w:rsid w:val="00DF4BD7"/>
    <w:rsid w:val="00DF4C69"/>
    <w:rsid w:val="00DF52B3"/>
    <w:rsid w:val="00DF5365"/>
    <w:rsid w:val="00DF5547"/>
    <w:rsid w:val="00DF55A2"/>
    <w:rsid w:val="00DF565F"/>
    <w:rsid w:val="00DF5802"/>
    <w:rsid w:val="00DF5829"/>
    <w:rsid w:val="00DF588B"/>
    <w:rsid w:val="00DF593E"/>
    <w:rsid w:val="00DF5B63"/>
    <w:rsid w:val="00DF5C19"/>
    <w:rsid w:val="00DF5D8C"/>
    <w:rsid w:val="00DF643F"/>
    <w:rsid w:val="00DF6461"/>
    <w:rsid w:val="00DF6584"/>
    <w:rsid w:val="00DF673C"/>
    <w:rsid w:val="00DF677C"/>
    <w:rsid w:val="00DF69B6"/>
    <w:rsid w:val="00DF6ABD"/>
    <w:rsid w:val="00DF6AFF"/>
    <w:rsid w:val="00DF6F61"/>
    <w:rsid w:val="00DF725C"/>
    <w:rsid w:val="00DF75D5"/>
    <w:rsid w:val="00DF763D"/>
    <w:rsid w:val="00DF7A70"/>
    <w:rsid w:val="00DF7A72"/>
    <w:rsid w:val="00DF7BB9"/>
    <w:rsid w:val="00DF7CBD"/>
    <w:rsid w:val="00DF7CE6"/>
    <w:rsid w:val="00DF7DD6"/>
    <w:rsid w:val="00DF7E5F"/>
    <w:rsid w:val="00E00065"/>
    <w:rsid w:val="00E0020F"/>
    <w:rsid w:val="00E00577"/>
    <w:rsid w:val="00E00A2F"/>
    <w:rsid w:val="00E00D53"/>
    <w:rsid w:val="00E00F56"/>
    <w:rsid w:val="00E00F99"/>
    <w:rsid w:val="00E0119A"/>
    <w:rsid w:val="00E012F8"/>
    <w:rsid w:val="00E01535"/>
    <w:rsid w:val="00E01915"/>
    <w:rsid w:val="00E01B05"/>
    <w:rsid w:val="00E01C6E"/>
    <w:rsid w:val="00E01F29"/>
    <w:rsid w:val="00E02929"/>
    <w:rsid w:val="00E0294B"/>
    <w:rsid w:val="00E02BEB"/>
    <w:rsid w:val="00E02C19"/>
    <w:rsid w:val="00E030A6"/>
    <w:rsid w:val="00E031FC"/>
    <w:rsid w:val="00E03201"/>
    <w:rsid w:val="00E032F5"/>
    <w:rsid w:val="00E03573"/>
    <w:rsid w:val="00E03652"/>
    <w:rsid w:val="00E03832"/>
    <w:rsid w:val="00E03C1F"/>
    <w:rsid w:val="00E03C70"/>
    <w:rsid w:val="00E03C7E"/>
    <w:rsid w:val="00E03EF0"/>
    <w:rsid w:val="00E0427C"/>
    <w:rsid w:val="00E042FB"/>
    <w:rsid w:val="00E045C6"/>
    <w:rsid w:val="00E046C6"/>
    <w:rsid w:val="00E046CC"/>
    <w:rsid w:val="00E0479A"/>
    <w:rsid w:val="00E048C1"/>
    <w:rsid w:val="00E04BB0"/>
    <w:rsid w:val="00E054AD"/>
    <w:rsid w:val="00E05845"/>
    <w:rsid w:val="00E05D88"/>
    <w:rsid w:val="00E05F3B"/>
    <w:rsid w:val="00E06509"/>
    <w:rsid w:val="00E0655C"/>
    <w:rsid w:val="00E06684"/>
    <w:rsid w:val="00E06929"/>
    <w:rsid w:val="00E06BD3"/>
    <w:rsid w:val="00E06E7A"/>
    <w:rsid w:val="00E06EC1"/>
    <w:rsid w:val="00E06F72"/>
    <w:rsid w:val="00E072F2"/>
    <w:rsid w:val="00E073BB"/>
    <w:rsid w:val="00E07A42"/>
    <w:rsid w:val="00E07A7B"/>
    <w:rsid w:val="00E07B81"/>
    <w:rsid w:val="00E07D65"/>
    <w:rsid w:val="00E1003C"/>
    <w:rsid w:val="00E1008E"/>
    <w:rsid w:val="00E101C6"/>
    <w:rsid w:val="00E108DF"/>
    <w:rsid w:val="00E10C3D"/>
    <w:rsid w:val="00E10EC6"/>
    <w:rsid w:val="00E10F4A"/>
    <w:rsid w:val="00E1108C"/>
    <w:rsid w:val="00E11486"/>
    <w:rsid w:val="00E1154F"/>
    <w:rsid w:val="00E11862"/>
    <w:rsid w:val="00E11969"/>
    <w:rsid w:val="00E11AE4"/>
    <w:rsid w:val="00E11FAD"/>
    <w:rsid w:val="00E1206E"/>
    <w:rsid w:val="00E12A51"/>
    <w:rsid w:val="00E12A98"/>
    <w:rsid w:val="00E12AAB"/>
    <w:rsid w:val="00E12B7C"/>
    <w:rsid w:val="00E12E60"/>
    <w:rsid w:val="00E13425"/>
    <w:rsid w:val="00E1345E"/>
    <w:rsid w:val="00E1378F"/>
    <w:rsid w:val="00E13A2E"/>
    <w:rsid w:val="00E13BEC"/>
    <w:rsid w:val="00E13C00"/>
    <w:rsid w:val="00E13D1C"/>
    <w:rsid w:val="00E13D47"/>
    <w:rsid w:val="00E13ED4"/>
    <w:rsid w:val="00E13F97"/>
    <w:rsid w:val="00E13FC7"/>
    <w:rsid w:val="00E14357"/>
    <w:rsid w:val="00E14454"/>
    <w:rsid w:val="00E145CF"/>
    <w:rsid w:val="00E14686"/>
    <w:rsid w:val="00E146E2"/>
    <w:rsid w:val="00E147E7"/>
    <w:rsid w:val="00E1486D"/>
    <w:rsid w:val="00E14A0B"/>
    <w:rsid w:val="00E14E24"/>
    <w:rsid w:val="00E14E53"/>
    <w:rsid w:val="00E153EA"/>
    <w:rsid w:val="00E154FB"/>
    <w:rsid w:val="00E1564D"/>
    <w:rsid w:val="00E15A5A"/>
    <w:rsid w:val="00E1608A"/>
    <w:rsid w:val="00E1624C"/>
    <w:rsid w:val="00E16836"/>
    <w:rsid w:val="00E1684D"/>
    <w:rsid w:val="00E172A5"/>
    <w:rsid w:val="00E173E8"/>
    <w:rsid w:val="00E1760C"/>
    <w:rsid w:val="00E17783"/>
    <w:rsid w:val="00E1789D"/>
    <w:rsid w:val="00E17FAD"/>
    <w:rsid w:val="00E20045"/>
    <w:rsid w:val="00E20459"/>
    <w:rsid w:val="00E20765"/>
    <w:rsid w:val="00E209F7"/>
    <w:rsid w:val="00E20ACC"/>
    <w:rsid w:val="00E20C06"/>
    <w:rsid w:val="00E20C35"/>
    <w:rsid w:val="00E20C3F"/>
    <w:rsid w:val="00E20D8B"/>
    <w:rsid w:val="00E2107B"/>
    <w:rsid w:val="00E21175"/>
    <w:rsid w:val="00E2167A"/>
    <w:rsid w:val="00E21859"/>
    <w:rsid w:val="00E219F8"/>
    <w:rsid w:val="00E21CCB"/>
    <w:rsid w:val="00E21DE0"/>
    <w:rsid w:val="00E22BFB"/>
    <w:rsid w:val="00E22D51"/>
    <w:rsid w:val="00E22E3D"/>
    <w:rsid w:val="00E23202"/>
    <w:rsid w:val="00E234EA"/>
    <w:rsid w:val="00E239D2"/>
    <w:rsid w:val="00E23BC4"/>
    <w:rsid w:val="00E23D6F"/>
    <w:rsid w:val="00E23E3C"/>
    <w:rsid w:val="00E23E86"/>
    <w:rsid w:val="00E23EFD"/>
    <w:rsid w:val="00E240F8"/>
    <w:rsid w:val="00E241C5"/>
    <w:rsid w:val="00E243B6"/>
    <w:rsid w:val="00E243BE"/>
    <w:rsid w:val="00E24779"/>
    <w:rsid w:val="00E249AD"/>
    <w:rsid w:val="00E249E5"/>
    <w:rsid w:val="00E24A31"/>
    <w:rsid w:val="00E24B00"/>
    <w:rsid w:val="00E24E3C"/>
    <w:rsid w:val="00E24FEE"/>
    <w:rsid w:val="00E250C4"/>
    <w:rsid w:val="00E251BD"/>
    <w:rsid w:val="00E253D6"/>
    <w:rsid w:val="00E256B4"/>
    <w:rsid w:val="00E2592A"/>
    <w:rsid w:val="00E25D48"/>
    <w:rsid w:val="00E26625"/>
    <w:rsid w:val="00E266A2"/>
    <w:rsid w:val="00E26E7A"/>
    <w:rsid w:val="00E27180"/>
    <w:rsid w:val="00E2746F"/>
    <w:rsid w:val="00E27660"/>
    <w:rsid w:val="00E277DD"/>
    <w:rsid w:val="00E279FA"/>
    <w:rsid w:val="00E27B15"/>
    <w:rsid w:val="00E27B26"/>
    <w:rsid w:val="00E30003"/>
    <w:rsid w:val="00E301E3"/>
    <w:rsid w:val="00E30411"/>
    <w:rsid w:val="00E308B9"/>
    <w:rsid w:val="00E309F2"/>
    <w:rsid w:val="00E30C6F"/>
    <w:rsid w:val="00E30FE7"/>
    <w:rsid w:val="00E31401"/>
    <w:rsid w:val="00E3141A"/>
    <w:rsid w:val="00E317BE"/>
    <w:rsid w:val="00E318DD"/>
    <w:rsid w:val="00E31D41"/>
    <w:rsid w:val="00E3205C"/>
    <w:rsid w:val="00E32080"/>
    <w:rsid w:val="00E321F3"/>
    <w:rsid w:val="00E32231"/>
    <w:rsid w:val="00E3229A"/>
    <w:rsid w:val="00E325A2"/>
    <w:rsid w:val="00E325D2"/>
    <w:rsid w:val="00E3266F"/>
    <w:rsid w:val="00E32C9A"/>
    <w:rsid w:val="00E32FEB"/>
    <w:rsid w:val="00E33461"/>
    <w:rsid w:val="00E334B4"/>
    <w:rsid w:val="00E335EE"/>
    <w:rsid w:val="00E33628"/>
    <w:rsid w:val="00E336FA"/>
    <w:rsid w:val="00E3399A"/>
    <w:rsid w:val="00E33AB1"/>
    <w:rsid w:val="00E33DCD"/>
    <w:rsid w:val="00E33E70"/>
    <w:rsid w:val="00E34030"/>
    <w:rsid w:val="00E3432C"/>
    <w:rsid w:val="00E34354"/>
    <w:rsid w:val="00E343C3"/>
    <w:rsid w:val="00E34411"/>
    <w:rsid w:val="00E34473"/>
    <w:rsid w:val="00E3447D"/>
    <w:rsid w:val="00E345DD"/>
    <w:rsid w:val="00E34633"/>
    <w:rsid w:val="00E347AB"/>
    <w:rsid w:val="00E348F1"/>
    <w:rsid w:val="00E34906"/>
    <w:rsid w:val="00E349A7"/>
    <w:rsid w:val="00E34DF8"/>
    <w:rsid w:val="00E352B8"/>
    <w:rsid w:val="00E3538E"/>
    <w:rsid w:val="00E3561A"/>
    <w:rsid w:val="00E35865"/>
    <w:rsid w:val="00E35BF5"/>
    <w:rsid w:val="00E35D85"/>
    <w:rsid w:val="00E35FDF"/>
    <w:rsid w:val="00E365B9"/>
    <w:rsid w:val="00E36ABF"/>
    <w:rsid w:val="00E36CFB"/>
    <w:rsid w:val="00E36F28"/>
    <w:rsid w:val="00E373AF"/>
    <w:rsid w:val="00E37646"/>
    <w:rsid w:val="00E37C75"/>
    <w:rsid w:val="00E37D60"/>
    <w:rsid w:val="00E40153"/>
    <w:rsid w:val="00E40398"/>
    <w:rsid w:val="00E4054B"/>
    <w:rsid w:val="00E40796"/>
    <w:rsid w:val="00E408E2"/>
    <w:rsid w:val="00E40A72"/>
    <w:rsid w:val="00E40AE3"/>
    <w:rsid w:val="00E40B10"/>
    <w:rsid w:val="00E40D27"/>
    <w:rsid w:val="00E40E6B"/>
    <w:rsid w:val="00E40F19"/>
    <w:rsid w:val="00E40F34"/>
    <w:rsid w:val="00E41054"/>
    <w:rsid w:val="00E417D4"/>
    <w:rsid w:val="00E417F4"/>
    <w:rsid w:val="00E4188A"/>
    <w:rsid w:val="00E4188D"/>
    <w:rsid w:val="00E419CB"/>
    <w:rsid w:val="00E41B72"/>
    <w:rsid w:val="00E41C26"/>
    <w:rsid w:val="00E41EF0"/>
    <w:rsid w:val="00E41F53"/>
    <w:rsid w:val="00E42221"/>
    <w:rsid w:val="00E4225F"/>
    <w:rsid w:val="00E42278"/>
    <w:rsid w:val="00E422CC"/>
    <w:rsid w:val="00E42529"/>
    <w:rsid w:val="00E4252F"/>
    <w:rsid w:val="00E426AE"/>
    <w:rsid w:val="00E427A0"/>
    <w:rsid w:val="00E429A9"/>
    <w:rsid w:val="00E42BCF"/>
    <w:rsid w:val="00E42FB2"/>
    <w:rsid w:val="00E43188"/>
    <w:rsid w:val="00E4354E"/>
    <w:rsid w:val="00E435D0"/>
    <w:rsid w:val="00E43680"/>
    <w:rsid w:val="00E436B3"/>
    <w:rsid w:val="00E43C54"/>
    <w:rsid w:val="00E43D2E"/>
    <w:rsid w:val="00E4460A"/>
    <w:rsid w:val="00E4485A"/>
    <w:rsid w:val="00E44EBD"/>
    <w:rsid w:val="00E45832"/>
    <w:rsid w:val="00E45892"/>
    <w:rsid w:val="00E4597E"/>
    <w:rsid w:val="00E45BCA"/>
    <w:rsid w:val="00E460DC"/>
    <w:rsid w:val="00E46164"/>
    <w:rsid w:val="00E46BC6"/>
    <w:rsid w:val="00E46D22"/>
    <w:rsid w:val="00E46EB4"/>
    <w:rsid w:val="00E46F60"/>
    <w:rsid w:val="00E47BA4"/>
    <w:rsid w:val="00E47DDE"/>
    <w:rsid w:val="00E5028D"/>
    <w:rsid w:val="00E50677"/>
    <w:rsid w:val="00E508E3"/>
    <w:rsid w:val="00E50D6A"/>
    <w:rsid w:val="00E50DFA"/>
    <w:rsid w:val="00E50E7C"/>
    <w:rsid w:val="00E50FF3"/>
    <w:rsid w:val="00E511BC"/>
    <w:rsid w:val="00E51545"/>
    <w:rsid w:val="00E51649"/>
    <w:rsid w:val="00E5186E"/>
    <w:rsid w:val="00E518EF"/>
    <w:rsid w:val="00E51A7C"/>
    <w:rsid w:val="00E51D9E"/>
    <w:rsid w:val="00E51E93"/>
    <w:rsid w:val="00E51EA4"/>
    <w:rsid w:val="00E523E6"/>
    <w:rsid w:val="00E5245E"/>
    <w:rsid w:val="00E52757"/>
    <w:rsid w:val="00E52DF0"/>
    <w:rsid w:val="00E52F6C"/>
    <w:rsid w:val="00E531A1"/>
    <w:rsid w:val="00E5321E"/>
    <w:rsid w:val="00E5335C"/>
    <w:rsid w:val="00E5350C"/>
    <w:rsid w:val="00E537D1"/>
    <w:rsid w:val="00E541D4"/>
    <w:rsid w:val="00E54202"/>
    <w:rsid w:val="00E5422D"/>
    <w:rsid w:val="00E54540"/>
    <w:rsid w:val="00E54B89"/>
    <w:rsid w:val="00E54FB1"/>
    <w:rsid w:val="00E54FE4"/>
    <w:rsid w:val="00E5517F"/>
    <w:rsid w:val="00E55CB0"/>
    <w:rsid w:val="00E55D4D"/>
    <w:rsid w:val="00E55D8A"/>
    <w:rsid w:val="00E56084"/>
    <w:rsid w:val="00E563A3"/>
    <w:rsid w:val="00E565B0"/>
    <w:rsid w:val="00E56640"/>
    <w:rsid w:val="00E567E6"/>
    <w:rsid w:val="00E56971"/>
    <w:rsid w:val="00E56EA3"/>
    <w:rsid w:val="00E570F0"/>
    <w:rsid w:val="00E57134"/>
    <w:rsid w:val="00E57293"/>
    <w:rsid w:val="00E5739E"/>
    <w:rsid w:val="00E575F8"/>
    <w:rsid w:val="00E577E5"/>
    <w:rsid w:val="00E578B6"/>
    <w:rsid w:val="00E57A01"/>
    <w:rsid w:val="00E57DF2"/>
    <w:rsid w:val="00E603BF"/>
    <w:rsid w:val="00E604AD"/>
    <w:rsid w:val="00E604DD"/>
    <w:rsid w:val="00E605E8"/>
    <w:rsid w:val="00E60695"/>
    <w:rsid w:val="00E6084A"/>
    <w:rsid w:val="00E6085A"/>
    <w:rsid w:val="00E60CCF"/>
    <w:rsid w:val="00E610C9"/>
    <w:rsid w:val="00E61484"/>
    <w:rsid w:val="00E61669"/>
    <w:rsid w:val="00E6182D"/>
    <w:rsid w:val="00E61A35"/>
    <w:rsid w:val="00E61F31"/>
    <w:rsid w:val="00E625E9"/>
    <w:rsid w:val="00E62742"/>
    <w:rsid w:val="00E627A8"/>
    <w:rsid w:val="00E629D1"/>
    <w:rsid w:val="00E62B26"/>
    <w:rsid w:val="00E62CE2"/>
    <w:rsid w:val="00E62FA0"/>
    <w:rsid w:val="00E6304A"/>
    <w:rsid w:val="00E63191"/>
    <w:rsid w:val="00E63323"/>
    <w:rsid w:val="00E636F9"/>
    <w:rsid w:val="00E6374C"/>
    <w:rsid w:val="00E637AF"/>
    <w:rsid w:val="00E63B84"/>
    <w:rsid w:val="00E63F8A"/>
    <w:rsid w:val="00E642D0"/>
    <w:rsid w:val="00E6476B"/>
    <w:rsid w:val="00E647A1"/>
    <w:rsid w:val="00E64AD7"/>
    <w:rsid w:val="00E64F1E"/>
    <w:rsid w:val="00E655D6"/>
    <w:rsid w:val="00E65AED"/>
    <w:rsid w:val="00E65BC2"/>
    <w:rsid w:val="00E66134"/>
    <w:rsid w:val="00E6648F"/>
    <w:rsid w:val="00E6662C"/>
    <w:rsid w:val="00E6669F"/>
    <w:rsid w:val="00E6699F"/>
    <w:rsid w:val="00E669B4"/>
    <w:rsid w:val="00E66E71"/>
    <w:rsid w:val="00E66ED5"/>
    <w:rsid w:val="00E6711A"/>
    <w:rsid w:val="00E67507"/>
    <w:rsid w:val="00E67564"/>
    <w:rsid w:val="00E676A9"/>
    <w:rsid w:val="00E679D3"/>
    <w:rsid w:val="00E67B6F"/>
    <w:rsid w:val="00E67BDB"/>
    <w:rsid w:val="00E67F3C"/>
    <w:rsid w:val="00E67F5A"/>
    <w:rsid w:val="00E70068"/>
    <w:rsid w:val="00E70134"/>
    <w:rsid w:val="00E7017C"/>
    <w:rsid w:val="00E7036A"/>
    <w:rsid w:val="00E70821"/>
    <w:rsid w:val="00E70DEE"/>
    <w:rsid w:val="00E70FC2"/>
    <w:rsid w:val="00E711D7"/>
    <w:rsid w:val="00E712E2"/>
    <w:rsid w:val="00E717C8"/>
    <w:rsid w:val="00E71977"/>
    <w:rsid w:val="00E71A10"/>
    <w:rsid w:val="00E71A98"/>
    <w:rsid w:val="00E71B2C"/>
    <w:rsid w:val="00E71BB6"/>
    <w:rsid w:val="00E71D41"/>
    <w:rsid w:val="00E7201E"/>
    <w:rsid w:val="00E72060"/>
    <w:rsid w:val="00E7225A"/>
    <w:rsid w:val="00E724E8"/>
    <w:rsid w:val="00E727CB"/>
    <w:rsid w:val="00E72B5B"/>
    <w:rsid w:val="00E72BF7"/>
    <w:rsid w:val="00E72DFB"/>
    <w:rsid w:val="00E72F98"/>
    <w:rsid w:val="00E72FA1"/>
    <w:rsid w:val="00E7308D"/>
    <w:rsid w:val="00E7318A"/>
    <w:rsid w:val="00E73353"/>
    <w:rsid w:val="00E738FF"/>
    <w:rsid w:val="00E73B73"/>
    <w:rsid w:val="00E73EE0"/>
    <w:rsid w:val="00E7459F"/>
    <w:rsid w:val="00E746E1"/>
    <w:rsid w:val="00E74973"/>
    <w:rsid w:val="00E74AF3"/>
    <w:rsid w:val="00E74F0D"/>
    <w:rsid w:val="00E7534E"/>
    <w:rsid w:val="00E75463"/>
    <w:rsid w:val="00E7551F"/>
    <w:rsid w:val="00E755B1"/>
    <w:rsid w:val="00E75637"/>
    <w:rsid w:val="00E75886"/>
    <w:rsid w:val="00E75B7C"/>
    <w:rsid w:val="00E75F1A"/>
    <w:rsid w:val="00E75F71"/>
    <w:rsid w:val="00E76294"/>
    <w:rsid w:val="00E763F2"/>
    <w:rsid w:val="00E76826"/>
    <w:rsid w:val="00E76DB0"/>
    <w:rsid w:val="00E76F9F"/>
    <w:rsid w:val="00E770B2"/>
    <w:rsid w:val="00E77211"/>
    <w:rsid w:val="00E77793"/>
    <w:rsid w:val="00E7794B"/>
    <w:rsid w:val="00E77B02"/>
    <w:rsid w:val="00E77CFF"/>
    <w:rsid w:val="00E77FF4"/>
    <w:rsid w:val="00E80095"/>
    <w:rsid w:val="00E8035E"/>
    <w:rsid w:val="00E8047E"/>
    <w:rsid w:val="00E804F2"/>
    <w:rsid w:val="00E8075F"/>
    <w:rsid w:val="00E8096E"/>
    <w:rsid w:val="00E80B8E"/>
    <w:rsid w:val="00E80ED1"/>
    <w:rsid w:val="00E811BE"/>
    <w:rsid w:val="00E814D5"/>
    <w:rsid w:val="00E815E1"/>
    <w:rsid w:val="00E81846"/>
    <w:rsid w:val="00E81C1D"/>
    <w:rsid w:val="00E81CCD"/>
    <w:rsid w:val="00E81E97"/>
    <w:rsid w:val="00E828E8"/>
    <w:rsid w:val="00E82918"/>
    <w:rsid w:val="00E82DE5"/>
    <w:rsid w:val="00E82F1F"/>
    <w:rsid w:val="00E82F51"/>
    <w:rsid w:val="00E83429"/>
    <w:rsid w:val="00E83610"/>
    <w:rsid w:val="00E83D28"/>
    <w:rsid w:val="00E84319"/>
    <w:rsid w:val="00E84342"/>
    <w:rsid w:val="00E84696"/>
    <w:rsid w:val="00E847F0"/>
    <w:rsid w:val="00E84CD6"/>
    <w:rsid w:val="00E84E28"/>
    <w:rsid w:val="00E84E9E"/>
    <w:rsid w:val="00E84F43"/>
    <w:rsid w:val="00E850B1"/>
    <w:rsid w:val="00E85294"/>
    <w:rsid w:val="00E8557F"/>
    <w:rsid w:val="00E85654"/>
    <w:rsid w:val="00E8567D"/>
    <w:rsid w:val="00E85819"/>
    <w:rsid w:val="00E85940"/>
    <w:rsid w:val="00E85C25"/>
    <w:rsid w:val="00E85E39"/>
    <w:rsid w:val="00E85F48"/>
    <w:rsid w:val="00E8637F"/>
    <w:rsid w:val="00E864BD"/>
    <w:rsid w:val="00E86728"/>
    <w:rsid w:val="00E867DC"/>
    <w:rsid w:val="00E868FC"/>
    <w:rsid w:val="00E86AC1"/>
    <w:rsid w:val="00E86C5D"/>
    <w:rsid w:val="00E87141"/>
    <w:rsid w:val="00E874CF"/>
    <w:rsid w:val="00E87734"/>
    <w:rsid w:val="00E87BE3"/>
    <w:rsid w:val="00E87DCF"/>
    <w:rsid w:val="00E87EED"/>
    <w:rsid w:val="00E87F58"/>
    <w:rsid w:val="00E900C2"/>
    <w:rsid w:val="00E900F7"/>
    <w:rsid w:val="00E902B0"/>
    <w:rsid w:val="00E902E8"/>
    <w:rsid w:val="00E904D7"/>
    <w:rsid w:val="00E905F6"/>
    <w:rsid w:val="00E906E6"/>
    <w:rsid w:val="00E907FA"/>
    <w:rsid w:val="00E90A4B"/>
    <w:rsid w:val="00E90B70"/>
    <w:rsid w:val="00E90E27"/>
    <w:rsid w:val="00E912AF"/>
    <w:rsid w:val="00E91373"/>
    <w:rsid w:val="00E91378"/>
    <w:rsid w:val="00E914A4"/>
    <w:rsid w:val="00E9188B"/>
    <w:rsid w:val="00E91DEA"/>
    <w:rsid w:val="00E92028"/>
    <w:rsid w:val="00E920FE"/>
    <w:rsid w:val="00E921BE"/>
    <w:rsid w:val="00E92250"/>
    <w:rsid w:val="00E92391"/>
    <w:rsid w:val="00E925C7"/>
    <w:rsid w:val="00E9296B"/>
    <w:rsid w:val="00E92AB2"/>
    <w:rsid w:val="00E92E32"/>
    <w:rsid w:val="00E92F5A"/>
    <w:rsid w:val="00E9305D"/>
    <w:rsid w:val="00E9309E"/>
    <w:rsid w:val="00E937DA"/>
    <w:rsid w:val="00E93884"/>
    <w:rsid w:val="00E939E1"/>
    <w:rsid w:val="00E93E3C"/>
    <w:rsid w:val="00E93EFE"/>
    <w:rsid w:val="00E93F49"/>
    <w:rsid w:val="00E940E5"/>
    <w:rsid w:val="00E941FD"/>
    <w:rsid w:val="00E944DE"/>
    <w:rsid w:val="00E94671"/>
    <w:rsid w:val="00E9489D"/>
    <w:rsid w:val="00E94C5F"/>
    <w:rsid w:val="00E94E63"/>
    <w:rsid w:val="00E94E7D"/>
    <w:rsid w:val="00E954D8"/>
    <w:rsid w:val="00E9557C"/>
    <w:rsid w:val="00E9592D"/>
    <w:rsid w:val="00E95938"/>
    <w:rsid w:val="00E959B7"/>
    <w:rsid w:val="00E962B8"/>
    <w:rsid w:val="00E96C1D"/>
    <w:rsid w:val="00E96F17"/>
    <w:rsid w:val="00E96F33"/>
    <w:rsid w:val="00E97079"/>
    <w:rsid w:val="00E975C6"/>
    <w:rsid w:val="00E97806"/>
    <w:rsid w:val="00E97B26"/>
    <w:rsid w:val="00E97C19"/>
    <w:rsid w:val="00E97C5E"/>
    <w:rsid w:val="00EA021C"/>
    <w:rsid w:val="00EA048E"/>
    <w:rsid w:val="00EA088C"/>
    <w:rsid w:val="00EA08C9"/>
    <w:rsid w:val="00EA0C3B"/>
    <w:rsid w:val="00EA11D6"/>
    <w:rsid w:val="00EA14B0"/>
    <w:rsid w:val="00EA15B7"/>
    <w:rsid w:val="00EA1A10"/>
    <w:rsid w:val="00EA1D31"/>
    <w:rsid w:val="00EA1DEA"/>
    <w:rsid w:val="00EA1E79"/>
    <w:rsid w:val="00EA2065"/>
    <w:rsid w:val="00EA2128"/>
    <w:rsid w:val="00EA2177"/>
    <w:rsid w:val="00EA23AC"/>
    <w:rsid w:val="00EA2D55"/>
    <w:rsid w:val="00EA2DB8"/>
    <w:rsid w:val="00EA2E51"/>
    <w:rsid w:val="00EA3048"/>
    <w:rsid w:val="00EA33A7"/>
    <w:rsid w:val="00EA398F"/>
    <w:rsid w:val="00EA39D5"/>
    <w:rsid w:val="00EA3D80"/>
    <w:rsid w:val="00EA3FA9"/>
    <w:rsid w:val="00EA41A9"/>
    <w:rsid w:val="00EA42FB"/>
    <w:rsid w:val="00EA45F1"/>
    <w:rsid w:val="00EA4B20"/>
    <w:rsid w:val="00EA4D8C"/>
    <w:rsid w:val="00EA4D9C"/>
    <w:rsid w:val="00EA4F8C"/>
    <w:rsid w:val="00EA515D"/>
    <w:rsid w:val="00EA5412"/>
    <w:rsid w:val="00EA5417"/>
    <w:rsid w:val="00EA5547"/>
    <w:rsid w:val="00EA56EF"/>
    <w:rsid w:val="00EA592B"/>
    <w:rsid w:val="00EA593D"/>
    <w:rsid w:val="00EA5E9F"/>
    <w:rsid w:val="00EA5F20"/>
    <w:rsid w:val="00EA672B"/>
    <w:rsid w:val="00EA68D8"/>
    <w:rsid w:val="00EA6A6A"/>
    <w:rsid w:val="00EA6C68"/>
    <w:rsid w:val="00EA729E"/>
    <w:rsid w:val="00EA7570"/>
    <w:rsid w:val="00EA77F1"/>
    <w:rsid w:val="00EA7B35"/>
    <w:rsid w:val="00EA7C3D"/>
    <w:rsid w:val="00EA7D23"/>
    <w:rsid w:val="00EA7D28"/>
    <w:rsid w:val="00EA7F93"/>
    <w:rsid w:val="00EB00C0"/>
    <w:rsid w:val="00EB0362"/>
    <w:rsid w:val="00EB03FC"/>
    <w:rsid w:val="00EB04BA"/>
    <w:rsid w:val="00EB05F0"/>
    <w:rsid w:val="00EB0799"/>
    <w:rsid w:val="00EB0AC1"/>
    <w:rsid w:val="00EB0C75"/>
    <w:rsid w:val="00EB0C94"/>
    <w:rsid w:val="00EB139B"/>
    <w:rsid w:val="00EB18BB"/>
    <w:rsid w:val="00EB1B8C"/>
    <w:rsid w:val="00EB1C48"/>
    <w:rsid w:val="00EB1D05"/>
    <w:rsid w:val="00EB1D49"/>
    <w:rsid w:val="00EB1F5B"/>
    <w:rsid w:val="00EB2642"/>
    <w:rsid w:val="00EB2720"/>
    <w:rsid w:val="00EB2982"/>
    <w:rsid w:val="00EB29CF"/>
    <w:rsid w:val="00EB2E36"/>
    <w:rsid w:val="00EB2EB5"/>
    <w:rsid w:val="00EB2F25"/>
    <w:rsid w:val="00EB318F"/>
    <w:rsid w:val="00EB32CE"/>
    <w:rsid w:val="00EB33A0"/>
    <w:rsid w:val="00EB3610"/>
    <w:rsid w:val="00EB388B"/>
    <w:rsid w:val="00EB3A77"/>
    <w:rsid w:val="00EB3E35"/>
    <w:rsid w:val="00EB3EF7"/>
    <w:rsid w:val="00EB41FD"/>
    <w:rsid w:val="00EB4463"/>
    <w:rsid w:val="00EB4669"/>
    <w:rsid w:val="00EB4777"/>
    <w:rsid w:val="00EB49C4"/>
    <w:rsid w:val="00EB4B0B"/>
    <w:rsid w:val="00EB4B44"/>
    <w:rsid w:val="00EB4C04"/>
    <w:rsid w:val="00EB4C72"/>
    <w:rsid w:val="00EB5202"/>
    <w:rsid w:val="00EB5627"/>
    <w:rsid w:val="00EB5A5F"/>
    <w:rsid w:val="00EB5B37"/>
    <w:rsid w:val="00EB5BEB"/>
    <w:rsid w:val="00EB5C33"/>
    <w:rsid w:val="00EB5CE2"/>
    <w:rsid w:val="00EB5DD4"/>
    <w:rsid w:val="00EB5EAD"/>
    <w:rsid w:val="00EB6170"/>
    <w:rsid w:val="00EB6215"/>
    <w:rsid w:val="00EB6368"/>
    <w:rsid w:val="00EB6413"/>
    <w:rsid w:val="00EB65A2"/>
    <w:rsid w:val="00EB6878"/>
    <w:rsid w:val="00EB697E"/>
    <w:rsid w:val="00EB69F7"/>
    <w:rsid w:val="00EB6A80"/>
    <w:rsid w:val="00EB6FAC"/>
    <w:rsid w:val="00EB700D"/>
    <w:rsid w:val="00EB705A"/>
    <w:rsid w:val="00EB7177"/>
    <w:rsid w:val="00EB75C9"/>
    <w:rsid w:val="00EB77A4"/>
    <w:rsid w:val="00EB77FE"/>
    <w:rsid w:val="00EB7891"/>
    <w:rsid w:val="00EB7D27"/>
    <w:rsid w:val="00EB7F15"/>
    <w:rsid w:val="00EC0141"/>
    <w:rsid w:val="00EC02DB"/>
    <w:rsid w:val="00EC02F1"/>
    <w:rsid w:val="00EC0396"/>
    <w:rsid w:val="00EC04C6"/>
    <w:rsid w:val="00EC04DA"/>
    <w:rsid w:val="00EC0633"/>
    <w:rsid w:val="00EC1189"/>
    <w:rsid w:val="00EC1222"/>
    <w:rsid w:val="00EC1326"/>
    <w:rsid w:val="00EC16D2"/>
    <w:rsid w:val="00EC1711"/>
    <w:rsid w:val="00EC1932"/>
    <w:rsid w:val="00EC1CD5"/>
    <w:rsid w:val="00EC1E0E"/>
    <w:rsid w:val="00EC1E42"/>
    <w:rsid w:val="00EC234C"/>
    <w:rsid w:val="00EC236D"/>
    <w:rsid w:val="00EC24A3"/>
    <w:rsid w:val="00EC27C7"/>
    <w:rsid w:val="00EC2944"/>
    <w:rsid w:val="00EC2A0C"/>
    <w:rsid w:val="00EC2AA6"/>
    <w:rsid w:val="00EC2B0A"/>
    <w:rsid w:val="00EC3668"/>
    <w:rsid w:val="00EC3BA1"/>
    <w:rsid w:val="00EC3D9E"/>
    <w:rsid w:val="00EC3DF5"/>
    <w:rsid w:val="00EC3F58"/>
    <w:rsid w:val="00EC4523"/>
    <w:rsid w:val="00EC468A"/>
    <w:rsid w:val="00EC475F"/>
    <w:rsid w:val="00EC49E0"/>
    <w:rsid w:val="00EC49E1"/>
    <w:rsid w:val="00EC4BFB"/>
    <w:rsid w:val="00EC4DB6"/>
    <w:rsid w:val="00EC4ECD"/>
    <w:rsid w:val="00EC523B"/>
    <w:rsid w:val="00EC53E3"/>
    <w:rsid w:val="00EC5413"/>
    <w:rsid w:val="00EC5976"/>
    <w:rsid w:val="00EC5D06"/>
    <w:rsid w:val="00EC65B5"/>
    <w:rsid w:val="00EC660B"/>
    <w:rsid w:val="00EC68B5"/>
    <w:rsid w:val="00EC6B16"/>
    <w:rsid w:val="00EC6B5B"/>
    <w:rsid w:val="00EC7561"/>
    <w:rsid w:val="00EC7618"/>
    <w:rsid w:val="00EC77EE"/>
    <w:rsid w:val="00EC7851"/>
    <w:rsid w:val="00EC790A"/>
    <w:rsid w:val="00EC7BEB"/>
    <w:rsid w:val="00EC7CCE"/>
    <w:rsid w:val="00EC7FFB"/>
    <w:rsid w:val="00ED00B3"/>
    <w:rsid w:val="00ED029D"/>
    <w:rsid w:val="00ED05A9"/>
    <w:rsid w:val="00ED0686"/>
    <w:rsid w:val="00ED0D9A"/>
    <w:rsid w:val="00ED1252"/>
    <w:rsid w:val="00ED16F7"/>
    <w:rsid w:val="00ED17BD"/>
    <w:rsid w:val="00ED19E5"/>
    <w:rsid w:val="00ED1B12"/>
    <w:rsid w:val="00ED1BC8"/>
    <w:rsid w:val="00ED1D4B"/>
    <w:rsid w:val="00ED2227"/>
    <w:rsid w:val="00ED259B"/>
    <w:rsid w:val="00ED28E0"/>
    <w:rsid w:val="00ED28E3"/>
    <w:rsid w:val="00ED29E5"/>
    <w:rsid w:val="00ED2A82"/>
    <w:rsid w:val="00ED2CCA"/>
    <w:rsid w:val="00ED2D08"/>
    <w:rsid w:val="00ED2DB0"/>
    <w:rsid w:val="00ED2E08"/>
    <w:rsid w:val="00ED3192"/>
    <w:rsid w:val="00ED3275"/>
    <w:rsid w:val="00ED38BC"/>
    <w:rsid w:val="00ED3EF9"/>
    <w:rsid w:val="00ED430B"/>
    <w:rsid w:val="00ED455E"/>
    <w:rsid w:val="00ED4657"/>
    <w:rsid w:val="00ED4A47"/>
    <w:rsid w:val="00ED4E89"/>
    <w:rsid w:val="00ED4E8A"/>
    <w:rsid w:val="00ED4EF8"/>
    <w:rsid w:val="00ED4F26"/>
    <w:rsid w:val="00ED503B"/>
    <w:rsid w:val="00ED516D"/>
    <w:rsid w:val="00ED5923"/>
    <w:rsid w:val="00ED5A20"/>
    <w:rsid w:val="00ED5B9B"/>
    <w:rsid w:val="00ED5C2E"/>
    <w:rsid w:val="00ED5C7A"/>
    <w:rsid w:val="00ED6820"/>
    <w:rsid w:val="00ED6881"/>
    <w:rsid w:val="00ED695A"/>
    <w:rsid w:val="00ED6AEA"/>
    <w:rsid w:val="00ED6B0C"/>
    <w:rsid w:val="00ED6B40"/>
    <w:rsid w:val="00ED6B7D"/>
    <w:rsid w:val="00ED6C2A"/>
    <w:rsid w:val="00ED6EB7"/>
    <w:rsid w:val="00ED733B"/>
    <w:rsid w:val="00ED7431"/>
    <w:rsid w:val="00ED7479"/>
    <w:rsid w:val="00ED7753"/>
    <w:rsid w:val="00ED7BCC"/>
    <w:rsid w:val="00ED7C3E"/>
    <w:rsid w:val="00ED7CCD"/>
    <w:rsid w:val="00ED7EBF"/>
    <w:rsid w:val="00ED7FB4"/>
    <w:rsid w:val="00ED7FEC"/>
    <w:rsid w:val="00EE0560"/>
    <w:rsid w:val="00EE0645"/>
    <w:rsid w:val="00EE07B8"/>
    <w:rsid w:val="00EE07DB"/>
    <w:rsid w:val="00EE0979"/>
    <w:rsid w:val="00EE0A27"/>
    <w:rsid w:val="00EE0BB5"/>
    <w:rsid w:val="00EE0F2E"/>
    <w:rsid w:val="00EE1261"/>
    <w:rsid w:val="00EE1334"/>
    <w:rsid w:val="00EE1447"/>
    <w:rsid w:val="00EE17CD"/>
    <w:rsid w:val="00EE182D"/>
    <w:rsid w:val="00EE195A"/>
    <w:rsid w:val="00EE1BF1"/>
    <w:rsid w:val="00EE1C50"/>
    <w:rsid w:val="00EE1D27"/>
    <w:rsid w:val="00EE1F81"/>
    <w:rsid w:val="00EE20AC"/>
    <w:rsid w:val="00EE2521"/>
    <w:rsid w:val="00EE2963"/>
    <w:rsid w:val="00EE2DB3"/>
    <w:rsid w:val="00EE2DF5"/>
    <w:rsid w:val="00EE302B"/>
    <w:rsid w:val="00EE32F0"/>
    <w:rsid w:val="00EE3803"/>
    <w:rsid w:val="00EE3A3F"/>
    <w:rsid w:val="00EE3A90"/>
    <w:rsid w:val="00EE3B70"/>
    <w:rsid w:val="00EE3C83"/>
    <w:rsid w:val="00EE3D94"/>
    <w:rsid w:val="00EE3FC4"/>
    <w:rsid w:val="00EE4128"/>
    <w:rsid w:val="00EE45DA"/>
    <w:rsid w:val="00EE482B"/>
    <w:rsid w:val="00EE4864"/>
    <w:rsid w:val="00EE49C4"/>
    <w:rsid w:val="00EE4BE0"/>
    <w:rsid w:val="00EE4C31"/>
    <w:rsid w:val="00EE502C"/>
    <w:rsid w:val="00EE5117"/>
    <w:rsid w:val="00EE5317"/>
    <w:rsid w:val="00EE5395"/>
    <w:rsid w:val="00EE549D"/>
    <w:rsid w:val="00EE5756"/>
    <w:rsid w:val="00EE5811"/>
    <w:rsid w:val="00EE6053"/>
    <w:rsid w:val="00EE61FE"/>
    <w:rsid w:val="00EE67CD"/>
    <w:rsid w:val="00EE67F0"/>
    <w:rsid w:val="00EE6C33"/>
    <w:rsid w:val="00EE6D5D"/>
    <w:rsid w:val="00EE71D3"/>
    <w:rsid w:val="00EE7211"/>
    <w:rsid w:val="00EE7443"/>
    <w:rsid w:val="00EE76A6"/>
    <w:rsid w:val="00EE7744"/>
    <w:rsid w:val="00EE78C8"/>
    <w:rsid w:val="00EE7AC5"/>
    <w:rsid w:val="00EE7AFE"/>
    <w:rsid w:val="00EF03E1"/>
    <w:rsid w:val="00EF050A"/>
    <w:rsid w:val="00EF062B"/>
    <w:rsid w:val="00EF0834"/>
    <w:rsid w:val="00EF08DA"/>
    <w:rsid w:val="00EF0B37"/>
    <w:rsid w:val="00EF0B67"/>
    <w:rsid w:val="00EF0E0E"/>
    <w:rsid w:val="00EF0F60"/>
    <w:rsid w:val="00EF0FE7"/>
    <w:rsid w:val="00EF145E"/>
    <w:rsid w:val="00EF14E0"/>
    <w:rsid w:val="00EF1817"/>
    <w:rsid w:val="00EF18BC"/>
    <w:rsid w:val="00EF193E"/>
    <w:rsid w:val="00EF1B3A"/>
    <w:rsid w:val="00EF1EC1"/>
    <w:rsid w:val="00EF2080"/>
    <w:rsid w:val="00EF20A8"/>
    <w:rsid w:val="00EF2171"/>
    <w:rsid w:val="00EF21DF"/>
    <w:rsid w:val="00EF25C9"/>
    <w:rsid w:val="00EF28FD"/>
    <w:rsid w:val="00EF2BBB"/>
    <w:rsid w:val="00EF2D9B"/>
    <w:rsid w:val="00EF2DAB"/>
    <w:rsid w:val="00EF2E94"/>
    <w:rsid w:val="00EF30E6"/>
    <w:rsid w:val="00EF335B"/>
    <w:rsid w:val="00EF3363"/>
    <w:rsid w:val="00EF33E0"/>
    <w:rsid w:val="00EF33E8"/>
    <w:rsid w:val="00EF3463"/>
    <w:rsid w:val="00EF3D04"/>
    <w:rsid w:val="00EF3FB8"/>
    <w:rsid w:val="00EF40BD"/>
    <w:rsid w:val="00EF41E8"/>
    <w:rsid w:val="00EF427C"/>
    <w:rsid w:val="00EF4672"/>
    <w:rsid w:val="00EF48EA"/>
    <w:rsid w:val="00EF49FC"/>
    <w:rsid w:val="00EF4BF1"/>
    <w:rsid w:val="00EF4D58"/>
    <w:rsid w:val="00EF5072"/>
    <w:rsid w:val="00EF53F6"/>
    <w:rsid w:val="00EF5829"/>
    <w:rsid w:val="00EF5D29"/>
    <w:rsid w:val="00EF5DD0"/>
    <w:rsid w:val="00EF665C"/>
    <w:rsid w:val="00EF68B4"/>
    <w:rsid w:val="00EF68EC"/>
    <w:rsid w:val="00EF6956"/>
    <w:rsid w:val="00EF6B81"/>
    <w:rsid w:val="00EF6FB8"/>
    <w:rsid w:val="00EF7092"/>
    <w:rsid w:val="00EF729B"/>
    <w:rsid w:val="00EF7476"/>
    <w:rsid w:val="00EF7ECB"/>
    <w:rsid w:val="00EF7F3A"/>
    <w:rsid w:val="00EF7F9D"/>
    <w:rsid w:val="00F0006E"/>
    <w:rsid w:val="00F00201"/>
    <w:rsid w:val="00F003F1"/>
    <w:rsid w:val="00F0054E"/>
    <w:rsid w:val="00F006EA"/>
    <w:rsid w:val="00F007B2"/>
    <w:rsid w:val="00F0082D"/>
    <w:rsid w:val="00F00930"/>
    <w:rsid w:val="00F00C17"/>
    <w:rsid w:val="00F015AB"/>
    <w:rsid w:val="00F0187F"/>
    <w:rsid w:val="00F01AC0"/>
    <w:rsid w:val="00F01B67"/>
    <w:rsid w:val="00F01B7A"/>
    <w:rsid w:val="00F01B7C"/>
    <w:rsid w:val="00F0200A"/>
    <w:rsid w:val="00F021DD"/>
    <w:rsid w:val="00F0237B"/>
    <w:rsid w:val="00F025AA"/>
    <w:rsid w:val="00F02B64"/>
    <w:rsid w:val="00F02F69"/>
    <w:rsid w:val="00F03033"/>
    <w:rsid w:val="00F03366"/>
    <w:rsid w:val="00F0377B"/>
    <w:rsid w:val="00F03787"/>
    <w:rsid w:val="00F03A08"/>
    <w:rsid w:val="00F041D6"/>
    <w:rsid w:val="00F0424B"/>
    <w:rsid w:val="00F045E0"/>
    <w:rsid w:val="00F046E3"/>
    <w:rsid w:val="00F04B09"/>
    <w:rsid w:val="00F051A3"/>
    <w:rsid w:val="00F052E0"/>
    <w:rsid w:val="00F05456"/>
    <w:rsid w:val="00F055DC"/>
    <w:rsid w:val="00F05607"/>
    <w:rsid w:val="00F05902"/>
    <w:rsid w:val="00F05F52"/>
    <w:rsid w:val="00F06342"/>
    <w:rsid w:val="00F06446"/>
    <w:rsid w:val="00F0645E"/>
    <w:rsid w:val="00F0662F"/>
    <w:rsid w:val="00F075DB"/>
    <w:rsid w:val="00F076D8"/>
    <w:rsid w:val="00F07C5F"/>
    <w:rsid w:val="00F07C90"/>
    <w:rsid w:val="00F07DD3"/>
    <w:rsid w:val="00F07E0A"/>
    <w:rsid w:val="00F07EA3"/>
    <w:rsid w:val="00F102D8"/>
    <w:rsid w:val="00F102EC"/>
    <w:rsid w:val="00F10556"/>
    <w:rsid w:val="00F105EF"/>
    <w:rsid w:val="00F1072E"/>
    <w:rsid w:val="00F10747"/>
    <w:rsid w:val="00F109FB"/>
    <w:rsid w:val="00F10ECF"/>
    <w:rsid w:val="00F111A7"/>
    <w:rsid w:val="00F113F2"/>
    <w:rsid w:val="00F11595"/>
    <w:rsid w:val="00F11864"/>
    <w:rsid w:val="00F11902"/>
    <w:rsid w:val="00F11D64"/>
    <w:rsid w:val="00F11D88"/>
    <w:rsid w:val="00F11DD3"/>
    <w:rsid w:val="00F121A5"/>
    <w:rsid w:val="00F121BD"/>
    <w:rsid w:val="00F122C3"/>
    <w:rsid w:val="00F122CB"/>
    <w:rsid w:val="00F12380"/>
    <w:rsid w:val="00F12585"/>
    <w:rsid w:val="00F12679"/>
    <w:rsid w:val="00F12A46"/>
    <w:rsid w:val="00F12CB4"/>
    <w:rsid w:val="00F12D14"/>
    <w:rsid w:val="00F13386"/>
    <w:rsid w:val="00F1348C"/>
    <w:rsid w:val="00F136B6"/>
    <w:rsid w:val="00F136D8"/>
    <w:rsid w:val="00F13B36"/>
    <w:rsid w:val="00F13DEB"/>
    <w:rsid w:val="00F13EAB"/>
    <w:rsid w:val="00F1404E"/>
    <w:rsid w:val="00F1472B"/>
    <w:rsid w:val="00F14C0C"/>
    <w:rsid w:val="00F14EAA"/>
    <w:rsid w:val="00F1507D"/>
    <w:rsid w:val="00F151B8"/>
    <w:rsid w:val="00F15281"/>
    <w:rsid w:val="00F15403"/>
    <w:rsid w:val="00F1568A"/>
    <w:rsid w:val="00F1591A"/>
    <w:rsid w:val="00F15A0C"/>
    <w:rsid w:val="00F15B65"/>
    <w:rsid w:val="00F15F2F"/>
    <w:rsid w:val="00F161E9"/>
    <w:rsid w:val="00F16870"/>
    <w:rsid w:val="00F16883"/>
    <w:rsid w:val="00F16998"/>
    <w:rsid w:val="00F169A2"/>
    <w:rsid w:val="00F16A2C"/>
    <w:rsid w:val="00F170D2"/>
    <w:rsid w:val="00F17375"/>
    <w:rsid w:val="00F1740E"/>
    <w:rsid w:val="00F1759C"/>
    <w:rsid w:val="00F1763C"/>
    <w:rsid w:val="00F176E3"/>
    <w:rsid w:val="00F17965"/>
    <w:rsid w:val="00F179DA"/>
    <w:rsid w:val="00F17C28"/>
    <w:rsid w:val="00F20AA8"/>
    <w:rsid w:val="00F20AB4"/>
    <w:rsid w:val="00F20B63"/>
    <w:rsid w:val="00F20E13"/>
    <w:rsid w:val="00F20F8A"/>
    <w:rsid w:val="00F216AE"/>
    <w:rsid w:val="00F2171B"/>
    <w:rsid w:val="00F21846"/>
    <w:rsid w:val="00F21C75"/>
    <w:rsid w:val="00F21DA7"/>
    <w:rsid w:val="00F21ED1"/>
    <w:rsid w:val="00F22002"/>
    <w:rsid w:val="00F2231B"/>
    <w:rsid w:val="00F2290E"/>
    <w:rsid w:val="00F22B93"/>
    <w:rsid w:val="00F22C7C"/>
    <w:rsid w:val="00F22DF5"/>
    <w:rsid w:val="00F22E36"/>
    <w:rsid w:val="00F22EA2"/>
    <w:rsid w:val="00F22F20"/>
    <w:rsid w:val="00F2300E"/>
    <w:rsid w:val="00F2320F"/>
    <w:rsid w:val="00F237A4"/>
    <w:rsid w:val="00F23857"/>
    <w:rsid w:val="00F23AC1"/>
    <w:rsid w:val="00F23B79"/>
    <w:rsid w:val="00F23C5F"/>
    <w:rsid w:val="00F24073"/>
    <w:rsid w:val="00F243BF"/>
    <w:rsid w:val="00F24701"/>
    <w:rsid w:val="00F24E31"/>
    <w:rsid w:val="00F25618"/>
    <w:rsid w:val="00F25632"/>
    <w:rsid w:val="00F25763"/>
    <w:rsid w:val="00F258EF"/>
    <w:rsid w:val="00F25A62"/>
    <w:rsid w:val="00F25D50"/>
    <w:rsid w:val="00F25FB9"/>
    <w:rsid w:val="00F26041"/>
    <w:rsid w:val="00F260B0"/>
    <w:rsid w:val="00F265D3"/>
    <w:rsid w:val="00F26665"/>
    <w:rsid w:val="00F267CB"/>
    <w:rsid w:val="00F26A04"/>
    <w:rsid w:val="00F26EAB"/>
    <w:rsid w:val="00F270D1"/>
    <w:rsid w:val="00F27224"/>
    <w:rsid w:val="00F272B6"/>
    <w:rsid w:val="00F276F1"/>
    <w:rsid w:val="00F278CE"/>
    <w:rsid w:val="00F279B3"/>
    <w:rsid w:val="00F27DC2"/>
    <w:rsid w:val="00F30260"/>
    <w:rsid w:val="00F3026F"/>
    <w:rsid w:val="00F304A4"/>
    <w:rsid w:val="00F30853"/>
    <w:rsid w:val="00F30AB1"/>
    <w:rsid w:val="00F30B39"/>
    <w:rsid w:val="00F30B91"/>
    <w:rsid w:val="00F30C66"/>
    <w:rsid w:val="00F30D36"/>
    <w:rsid w:val="00F30D81"/>
    <w:rsid w:val="00F31024"/>
    <w:rsid w:val="00F31646"/>
    <w:rsid w:val="00F3196C"/>
    <w:rsid w:val="00F319BC"/>
    <w:rsid w:val="00F321B6"/>
    <w:rsid w:val="00F32568"/>
    <w:rsid w:val="00F328AD"/>
    <w:rsid w:val="00F32946"/>
    <w:rsid w:val="00F3294B"/>
    <w:rsid w:val="00F32CBD"/>
    <w:rsid w:val="00F32FED"/>
    <w:rsid w:val="00F3308A"/>
    <w:rsid w:val="00F330F8"/>
    <w:rsid w:val="00F3360C"/>
    <w:rsid w:val="00F33A30"/>
    <w:rsid w:val="00F33AAA"/>
    <w:rsid w:val="00F33B5A"/>
    <w:rsid w:val="00F33DB8"/>
    <w:rsid w:val="00F345AE"/>
    <w:rsid w:val="00F3484B"/>
    <w:rsid w:val="00F34BCC"/>
    <w:rsid w:val="00F35715"/>
    <w:rsid w:val="00F3592D"/>
    <w:rsid w:val="00F3593D"/>
    <w:rsid w:val="00F359E0"/>
    <w:rsid w:val="00F35A8A"/>
    <w:rsid w:val="00F35ADF"/>
    <w:rsid w:val="00F35AF5"/>
    <w:rsid w:val="00F35D2B"/>
    <w:rsid w:val="00F3642D"/>
    <w:rsid w:val="00F368A8"/>
    <w:rsid w:val="00F3692D"/>
    <w:rsid w:val="00F36E50"/>
    <w:rsid w:val="00F3773F"/>
    <w:rsid w:val="00F4029D"/>
    <w:rsid w:val="00F40354"/>
    <w:rsid w:val="00F4040D"/>
    <w:rsid w:val="00F404FB"/>
    <w:rsid w:val="00F40946"/>
    <w:rsid w:val="00F40949"/>
    <w:rsid w:val="00F40A5D"/>
    <w:rsid w:val="00F40C76"/>
    <w:rsid w:val="00F4106D"/>
    <w:rsid w:val="00F410D9"/>
    <w:rsid w:val="00F411E1"/>
    <w:rsid w:val="00F41332"/>
    <w:rsid w:val="00F4141D"/>
    <w:rsid w:val="00F41648"/>
    <w:rsid w:val="00F41A3F"/>
    <w:rsid w:val="00F41B37"/>
    <w:rsid w:val="00F4218B"/>
    <w:rsid w:val="00F4219C"/>
    <w:rsid w:val="00F42457"/>
    <w:rsid w:val="00F424DC"/>
    <w:rsid w:val="00F42612"/>
    <w:rsid w:val="00F429D5"/>
    <w:rsid w:val="00F42CDC"/>
    <w:rsid w:val="00F43372"/>
    <w:rsid w:val="00F43477"/>
    <w:rsid w:val="00F43486"/>
    <w:rsid w:val="00F4367C"/>
    <w:rsid w:val="00F436B7"/>
    <w:rsid w:val="00F43721"/>
    <w:rsid w:val="00F438F1"/>
    <w:rsid w:val="00F4434C"/>
    <w:rsid w:val="00F4464C"/>
    <w:rsid w:val="00F44650"/>
    <w:rsid w:val="00F4480D"/>
    <w:rsid w:val="00F4481D"/>
    <w:rsid w:val="00F448EE"/>
    <w:rsid w:val="00F44974"/>
    <w:rsid w:val="00F44D58"/>
    <w:rsid w:val="00F44F2F"/>
    <w:rsid w:val="00F45262"/>
    <w:rsid w:val="00F45354"/>
    <w:rsid w:val="00F455DF"/>
    <w:rsid w:val="00F45CD1"/>
    <w:rsid w:val="00F45D6D"/>
    <w:rsid w:val="00F45D7C"/>
    <w:rsid w:val="00F465EA"/>
    <w:rsid w:val="00F4672A"/>
    <w:rsid w:val="00F46834"/>
    <w:rsid w:val="00F469A1"/>
    <w:rsid w:val="00F46B76"/>
    <w:rsid w:val="00F46EE2"/>
    <w:rsid w:val="00F47342"/>
    <w:rsid w:val="00F47527"/>
    <w:rsid w:val="00F47713"/>
    <w:rsid w:val="00F4775D"/>
    <w:rsid w:val="00F47822"/>
    <w:rsid w:val="00F4782D"/>
    <w:rsid w:val="00F5009F"/>
    <w:rsid w:val="00F50185"/>
    <w:rsid w:val="00F50B5A"/>
    <w:rsid w:val="00F50F73"/>
    <w:rsid w:val="00F50F78"/>
    <w:rsid w:val="00F5108E"/>
    <w:rsid w:val="00F5126C"/>
    <w:rsid w:val="00F51520"/>
    <w:rsid w:val="00F51603"/>
    <w:rsid w:val="00F51B4E"/>
    <w:rsid w:val="00F51BD0"/>
    <w:rsid w:val="00F51D7F"/>
    <w:rsid w:val="00F525C4"/>
    <w:rsid w:val="00F5274A"/>
    <w:rsid w:val="00F52773"/>
    <w:rsid w:val="00F5304A"/>
    <w:rsid w:val="00F53103"/>
    <w:rsid w:val="00F5323D"/>
    <w:rsid w:val="00F5365A"/>
    <w:rsid w:val="00F53740"/>
    <w:rsid w:val="00F537CC"/>
    <w:rsid w:val="00F53A92"/>
    <w:rsid w:val="00F53ACA"/>
    <w:rsid w:val="00F53BE5"/>
    <w:rsid w:val="00F542FD"/>
    <w:rsid w:val="00F544C8"/>
    <w:rsid w:val="00F544F2"/>
    <w:rsid w:val="00F54CBD"/>
    <w:rsid w:val="00F54E1E"/>
    <w:rsid w:val="00F54EC5"/>
    <w:rsid w:val="00F54F1B"/>
    <w:rsid w:val="00F5549A"/>
    <w:rsid w:val="00F55C3F"/>
    <w:rsid w:val="00F562FF"/>
    <w:rsid w:val="00F5632D"/>
    <w:rsid w:val="00F56B80"/>
    <w:rsid w:val="00F56EE5"/>
    <w:rsid w:val="00F56F4C"/>
    <w:rsid w:val="00F57028"/>
    <w:rsid w:val="00F57038"/>
    <w:rsid w:val="00F571FC"/>
    <w:rsid w:val="00F5730B"/>
    <w:rsid w:val="00F5757B"/>
    <w:rsid w:val="00F5762D"/>
    <w:rsid w:val="00F57B5D"/>
    <w:rsid w:val="00F57BED"/>
    <w:rsid w:val="00F57EEF"/>
    <w:rsid w:val="00F60198"/>
    <w:rsid w:val="00F6037A"/>
    <w:rsid w:val="00F606CC"/>
    <w:rsid w:val="00F60B1F"/>
    <w:rsid w:val="00F60D80"/>
    <w:rsid w:val="00F61136"/>
    <w:rsid w:val="00F61776"/>
    <w:rsid w:val="00F619B1"/>
    <w:rsid w:val="00F61A3C"/>
    <w:rsid w:val="00F61A9B"/>
    <w:rsid w:val="00F61F40"/>
    <w:rsid w:val="00F62684"/>
    <w:rsid w:val="00F628EB"/>
    <w:rsid w:val="00F62B43"/>
    <w:rsid w:val="00F62C5D"/>
    <w:rsid w:val="00F62D25"/>
    <w:rsid w:val="00F62D68"/>
    <w:rsid w:val="00F62DF5"/>
    <w:rsid w:val="00F630F7"/>
    <w:rsid w:val="00F6344C"/>
    <w:rsid w:val="00F63BFC"/>
    <w:rsid w:val="00F63CF6"/>
    <w:rsid w:val="00F63FAE"/>
    <w:rsid w:val="00F64919"/>
    <w:rsid w:val="00F64AF0"/>
    <w:rsid w:val="00F64C65"/>
    <w:rsid w:val="00F64E90"/>
    <w:rsid w:val="00F6506D"/>
    <w:rsid w:val="00F65177"/>
    <w:rsid w:val="00F6586B"/>
    <w:rsid w:val="00F65AC2"/>
    <w:rsid w:val="00F65CB8"/>
    <w:rsid w:val="00F65EA5"/>
    <w:rsid w:val="00F65EE0"/>
    <w:rsid w:val="00F65FD2"/>
    <w:rsid w:val="00F667FA"/>
    <w:rsid w:val="00F6682E"/>
    <w:rsid w:val="00F6688E"/>
    <w:rsid w:val="00F669CD"/>
    <w:rsid w:val="00F66A45"/>
    <w:rsid w:val="00F6703E"/>
    <w:rsid w:val="00F67061"/>
    <w:rsid w:val="00F67066"/>
    <w:rsid w:val="00F67547"/>
    <w:rsid w:val="00F6754A"/>
    <w:rsid w:val="00F6762E"/>
    <w:rsid w:val="00F6791A"/>
    <w:rsid w:val="00F700B9"/>
    <w:rsid w:val="00F70112"/>
    <w:rsid w:val="00F70276"/>
    <w:rsid w:val="00F70823"/>
    <w:rsid w:val="00F7097C"/>
    <w:rsid w:val="00F70A2A"/>
    <w:rsid w:val="00F70BA1"/>
    <w:rsid w:val="00F70C7E"/>
    <w:rsid w:val="00F70C8E"/>
    <w:rsid w:val="00F71057"/>
    <w:rsid w:val="00F7121C"/>
    <w:rsid w:val="00F715F6"/>
    <w:rsid w:val="00F7164A"/>
    <w:rsid w:val="00F71736"/>
    <w:rsid w:val="00F71B26"/>
    <w:rsid w:val="00F71D60"/>
    <w:rsid w:val="00F71E7C"/>
    <w:rsid w:val="00F7200D"/>
    <w:rsid w:val="00F72346"/>
    <w:rsid w:val="00F72436"/>
    <w:rsid w:val="00F7255D"/>
    <w:rsid w:val="00F7266F"/>
    <w:rsid w:val="00F729EC"/>
    <w:rsid w:val="00F72DAA"/>
    <w:rsid w:val="00F72DAB"/>
    <w:rsid w:val="00F72F59"/>
    <w:rsid w:val="00F73385"/>
    <w:rsid w:val="00F737A2"/>
    <w:rsid w:val="00F737DB"/>
    <w:rsid w:val="00F73983"/>
    <w:rsid w:val="00F73A18"/>
    <w:rsid w:val="00F74032"/>
    <w:rsid w:val="00F742DA"/>
    <w:rsid w:val="00F744DB"/>
    <w:rsid w:val="00F74650"/>
    <w:rsid w:val="00F7469F"/>
    <w:rsid w:val="00F746BF"/>
    <w:rsid w:val="00F74843"/>
    <w:rsid w:val="00F74CB3"/>
    <w:rsid w:val="00F75163"/>
    <w:rsid w:val="00F751F8"/>
    <w:rsid w:val="00F7613A"/>
    <w:rsid w:val="00F76588"/>
    <w:rsid w:val="00F767A1"/>
    <w:rsid w:val="00F76B9B"/>
    <w:rsid w:val="00F76BC7"/>
    <w:rsid w:val="00F76C3E"/>
    <w:rsid w:val="00F77038"/>
    <w:rsid w:val="00F7714E"/>
    <w:rsid w:val="00F77CD8"/>
    <w:rsid w:val="00F77DCF"/>
    <w:rsid w:val="00F805A1"/>
    <w:rsid w:val="00F809EB"/>
    <w:rsid w:val="00F80AB0"/>
    <w:rsid w:val="00F80FF1"/>
    <w:rsid w:val="00F81838"/>
    <w:rsid w:val="00F81978"/>
    <w:rsid w:val="00F81AB0"/>
    <w:rsid w:val="00F81CE7"/>
    <w:rsid w:val="00F81E5B"/>
    <w:rsid w:val="00F82746"/>
    <w:rsid w:val="00F82784"/>
    <w:rsid w:val="00F828C4"/>
    <w:rsid w:val="00F82B1F"/>
    <w:rsid w:val="00F82CAF"/>
    <w:rsid w:val="00F82FA0"/>
    <w:rsid w:val="00F83117"/>
    <w:rsid w:val="00F83200"/>
    <w:rsid w:val="00F834E9"/>
    <w:rsid w:val="00F83519"/>
    <w:rsid w:val="00F836F9"/>
    <w:rsid w:val="00F8392A"/>
    <w:rsid w:val="00F841E4"/>
    <w:rsid w:val="00F842E6"/>
    <w:rsid w:val="00F845D7"/>
    <w:rsid w:val="00F8463B"/>
    <w:rsid w:val="00F846BA"/>
    <w:rsid w:val="00F84B5C"/>
    <w:rsid w:val="00F84D18"/>
    <w:rsid w:val="00F851F8"/>
    <w:rsid w:val="00F858AE"/>
    <w:rsid w:val="00F8596E"/>
    <w:rsid w:val="00F85ABA"/>
    <w:rsid w:val="00F8616B"/>
    <w:rsid w:val="00F863DF"/>
    <w:rsid w:val="00F864DE"/>
    <w:rsid w:val="00F86835"/>
    <w:rsid w:val="00F86EB7"/>
    <w:rsid w:val="00F87059"/>
    <w:rsid w:val="00F8715F"/>
    <w:rsid w:val="00F8720E"/>
    <w:rsid w:val="00F8762E"/>
    <w:rsid w:val="00F87973"/>
    <w:rsid w:val="00F87E52"/>
    <w:rsid w:val="00F900D9"/>
    <w:rsid w:val="00F902AD"/>
    <w:rsid w:val="00F90605"/>
    <w:rsid w:val="00F906AE"/>
    <w:rsid w:val="00F9075F"/>
    <w:rsid w:val="00F907AE"/>
    <w:rsid w:val="00F908D2"/>
    <w:rsid w:val="00F90977"/>
    <w:rsid w:val="00F909D6"/>
    <w:rsid w:val="00F90A3A"/>
    <w:rsid w:val="00F90AA7"/>
    <w:rsid w:val="00F919B9"/>
    <w:rsid w:val="00F91A03"/>
    <w:rsid w:val="00F91C4D"/>
    <w:rsid w:val="00F91C4F"/>
    <w:rsid w:val="00F91EA0"/>
    <w:rsid w:val="00F92279"/>
    <w:rsid w:val="00F9253B"/>
    <w:rsid w:val="00F9268E"/>
    <w:rsid w:val="00F927CA"/>
    <w:rsid w:val="00F92A99"/>
    <w:rsid w:val="00F92B09"/>
    <w:rsid w:val="00F92D26"/>
    <w:rsid w:val="00F92F8B"/>
    <w:rsid w:val="00F9318B"/>
    <w:rsid w:val="00F9321D"/>
    <w:rsid w:val="00F937AA"/>
    <w:rsid w:val="00F937BC"/>
    <w:rsid w:val="00F93CB1"/>
    <w:rsid w:val="00F93CFB"/>
    <w:rsid w:val="00F9452A"/>
    <w:rsid w:val="00F94927"/>
    <w:rsid w:val="00F9494A"/>
    <w:rsid w:val="00F94CFB"/>
    <w:rsid w:val="00F94D1E"/>
    <w:rsid w:val="00F94F7C"/>
    <w:rsid w:val="00F95354"/>
    <w:rsid w:val="00F95409"/>
    <w:rsid w:val="00F95B51"/>
    <w:rsid w:val="00F9612B"/>
    <w:rsid w:val="00F961D8"/>
    <w:rsid w:val="00F964B1"/>
    <w:rsid w:val="00F96812"/>
    <w:rsid w:val="00F96814"/>
    <w:rsid w:val="00F96A79"/>
    <w:rsid w:val="00F96AA0"/>
    <w:rsid w:val="00F96B84"/>
    <w:rsid w:val="00F96C0B"/>
    <w:rsid w:val="00F974E2"/>
    <w:rsid w:val="00F97A0E"/>
    <w:rsid w:val="00F97B41"/>
    <w:rsid w:val="00FA011B"/>
    <w:rsid w:val="00FA03CF"/>
    <w:rsid w:val="00FA0897"/>
    <w:rsid w:val="00FA0B41"/>
    <w:rsid w:val="00FA0C0D"/>
    <w:rsid w:val="00FA0E13"/>
    <w:rsid w:val="00FA11C3"/>
    <w:rsid w:val="00FA138B"/>
    <w:rsid w:val="00FA14C2"/>
    <w:rsid w:val="00FA170B"/>
    <w:rsid w:val="00FA19C1"/>
    <w:rsid w:val="00FA1E3D"/>
    <w:rsid w:val="00FA1FFF"/>
    <w:rsid w:val="00FA24EF"/>
    <w:rsid w:val="00FA2511"/>
    <w:rsid w:val="00FA2706"/>
    <w:rsid w:val="00FA2712"/>
    <w:rsid w:val="00FA2846"/>
    <w:rsid w:val="00FA2F5A"/>
    <w:rsid w:val="00FA31ED"/>
    <w:rsid w:val="00FA34BA"/>
    <w:rsid w:val="00FA3841"/>
    <w:rsid w:val="00FA3957"/>
    <w:rsid w:val="00FA396F"/>
    <w:rsid w:val="00FA3A23"/>
    <w:rsid w:val="00FA3B53"/>
    <w:rsid w:val="00FA3D10"/>
    <w:rsid w:val="00FA3D71"/>
    <w:rsid w:val="00FA3E5E"/>
    <w:rsid w:val="00FA3F50"/>
    <w:rsid w:val="00FA431E"/>
    <w:rsid w:val="00FA4366"/>
    <w:rsid w:val="00FA4375"/>
    <w:rsid w:val="00FA4379"/>
    <w:rsid w:val="00FA4EAF"/>
    <w:rsid w:val="00FA532E"/>
    <w:rsid w:val="00FA5362"/>
    <w:rsid w:val="00FA55AB"/>
    <w:rsid w:val="00FA5DB2"/>
    <w:rsid w:val="00FA5F4F"/>
    <w:rsid w:val="00FA5F92"/>
    <w:rsid w:val="00FA5FA9"/>
    <w:rsid w:val="00FA606B"/>
    <w:rsid w:val="00FA61E8"/>
    <w:rsid w:val="00FA6394"/>
    <w:rsid w:val="00FA6CF7"/>
    <w:rsid w:val="00FA6FC4"/>
    <w:rsid w:val="00FA7B3D"/>
    <w:rsid w:val="00FA7B7F"/>
    <w:rsid w:val="00FA7D43"/>
    <w:rsid w:val="00FA7DB0"/>
    <w:rsid w:val="00FA7DD1"/>
    <w:rsid w:val="00FB0000"/>
    <w:rsid w:val="00FB08E1"/>
    <w:rsid w:val="00FB0BC3"/>
    <w:rsid w:val="00FB0F62"/>
    <w:rsid w:val="00FB1343"/>
    <w:rsid w:val="00FB1467"/>
    <w:rsid w:val="00FB146C"/>
    <w:rsid w:val="00FB163F"/>
    <w:rsid w:val="00FB1809"/>
    <w:rsid w:val="00FB1C5D"/>
    <w:rsid w:val="00FB2032"/>
    <w:rsid w:val="00FB219D"/>
    <w:rsid w:val="00FB221D"/>
    <w:rsid w:val="00FB2538"/>
    <w:rsid w:val="00FB2672"/>
    <w:rsid w:val="00FB27EC"/>
    <w:rsid w:val="00FB28F1"/>
    <w:rsid w:val="00FB2D3E"/>
    <w:rsid w:val="00FB30A7"/>
    <w:rsid w:val="00FB3162"/>
    <w:rsid w:val="00FB35CA"/>
    <w:rsid w:val="00FB3683"/>
    <w:rsid w:val="00FB36C4"/>
    <w:rsid w:val="00FB3870"/>
    <w:rsid w:val="00FB39F5"/>
    <w:rsid w:val="00FB3C10"/>
    <w:rsid w:val="00FB43E6"/>
    <w:rsid w:val="00FB4903"/>
    <w:rsid w:val="00FB4962"/>
    <w:rsid w:val="00FB4C3C"/>
    <w:rsid w:val="00FB4D21"/>
    <w:rsid w:val="00FB4E06"/>
    <w:rsid w:val="00FB4F5B"/>
    <w:rsid w:val="00FB5377"/>
    <w:rsid w:val="00FB5470"/>
    <w:rsid w:val="00FB58DC"/>
    <w:rsid w:val="00FB621F"/>
    <w:rsid w:val="00FB63EF"/>
    <w:rsid w:val="00FB64A8"/>
    <w:rsid w:val="00FB64AF"/>
    <w:rsid w:val="00FB6865"/>
    <w:rsid w:val="00FB69DA"/>
    <w:rsid w:val="00FB6BB6"/>
    <w:rsid w:val="00FB6E20"/>
    <w:rsid w:val="00FB71FC"/>
    <w:rsid w:val="00FB720B"/>
    <w:rsid w:val="00FB762B"/>
    <w:rsid w:val="00FB768E"/>
    <w:rsid w:val="00FB7855"/>
    <w:rsid w:val="00FB78F9"/>
    <w:rsid w:val="00FB798D"/>
    <w:rsid w:val="00FB7D6E"/>
    <w:rsid w:val="00FB7EA4"/>
    <w:rsid w:val="00FB7FB7"/>
    <w:rsid w:val="00FC002D"/>
    <w:rsid w:val="00FC0100"/>
    <w:rsid w:val="00FC0427"/>
    <w:rsid w:val="00FC0458"/>
    <w:rsid w:val="00FC08B6"/>
    <w:rsid w:val="00FC0EC5"/>
    <w:rsid w:val="00FC0F2E"/>
    <w:rsid w:val="00FC10B2"/>
    <w:rsid w:val="00FC142C"/>
    <w:rsid w:val="00FC16C4"/>
    <w:rsid w:val="00FC16DF"/>
    <w:rsid w:val="00FC1A64"/>
    <w:rsid w:val="00FC2601"/>
    <w:rsid w:val="00FC2926"/>
    <w:rsid w:val="00FC2AAF"/>
    <w:rsid w:val="00FC2E1E"/>
    <w:rsid w:val="00FC3008"/>
    <w:rsid w:val="00FC3023"/>
    <w:rsid w:val="00FC31FE"/>
    <w:rsid w:val="00FC3B64"/>
    <w:rsid w:val="00FC3CCD"/>
    <w:rsid w:val="00FC40F2"/>
    <w:rsid w:val="00FC4249"/>
    <w:rsid w:val="00FC43B3"/>
    <w:rsid w:val="00FC4A7E"/>
    <w:rsid w:val="00FC4A92"/>
    <w:rsid w:val="00FC4ABF"/>
    <w:rsid w:val="00FC4BD4"/>
    <w:rsid w:val="00FC4DD7"/>
    <w:rsid w:val="00FC521C"/>
    <w:rsid w:val="00FC546A"/>
    <w:rsid w:val="00FC559C"/>
    <w:rsid w:val="00FC55F3"/>
    <w:rsid w:val="00FC568C"/>
    <w:rsid w:val="00FC5713"/>
    <w:rsid w:val="00FC5959"/>
    <w:rsid w:val="00FC5994"/>
    <w:rsid w:val="00FC5A99"/>
    <w:rsid w:val="00FC5C5E"/>
    <w:rsid w:val="00FC5C9A"/>
    <w:rsid w:val="00FC5EC2"/>
    <w:rsid w:val="00FC650B"/>
    <w:rsid w:val="00FC65AF"/>
    <w:rsid w:val="00FC6ADA"/>
    <w:rsid w:val="00FC6CBF"/>
    <w:rsid w:val="00FC6D0C"/>
    <w:rsid w:val="00FC6D45"/>
    <w:rsid w:val="00FC6F9C"/>
    <w:rsid w:val="00FC73AB"/>
    <w:rsid w:val="00FC77FA"/>
    <w:rsid w:val="00FC7C12"/>
    <w:rsid w:val="00FD002A"/>
    <w:rsid w:val="00FD04B4"/>
    <w:rsid w:val="00FD0608"/>
    <w:rsid w:val="00FD084D"/>
    <w:rsid w:val="00FD0A3C"/>
    <w:rsid w:val="00FD0F21"/>
    <w:rsid w:val="00FD14C8"/>
    <w:rsid w:val="00FD170B"/>
    <w:rsid w:val="00FD1865"/>
    <w:rsid w:val="00FD1918"/>
    <w:rsid w:val="00FD191C"/>
    <w:rsid w:val="00FD1949"/>
    <w:rsid w:val="00FD1A7E"/>
    <w:rsid w:val="00FD1B24"/>
    <w:rsid w:val="00FD2086"/>
    <w:rsid w:val="00FD24BA"/>
    <w:rsid w:val="00FD266B"/>
    <w:rsid w:val="00FD273C"/>
    <w:rsid w:val="00FD27E1"/>
    <w:rsid w:val="00FD28A3"/>
    <w:rsid w:val="00FD2915"/>
    <w:rsid w:val="00FD2B63"/>
    <w:rsid w:val="00FD2C40"/>
    <w:rsid w:val="00FD2D48"/>
    <w:rsid w:val="00FD2E9D"/>
    <w:rsid w:val="00FD3482"/>
    <w:rsid w:val="00FD3764"/>
    <w:rsid w:val="00FD381A"/>
    <w:rsid w:val="00FD3874"/>
    <w:rsid w:val="00FD3A11"/>
    <w:rsid w:val="00FD3D26"/>
    <w:rsid w:val="00FD44E3"/>
    <w:rsid w:val="00FD4BF5"/>
    <w:rsid w:val="00FD5075"/>
    <w:rsid w:val="00FD5415"/>
    <w:rsid w:val="00FD5506"/>
    <w:rsid w:val="00FD588E"/>
    <w:rsid w:val="00FD5B1A"/>
    <w:rsid w:val="00FD5ECC"/>
    <w:rsid w:val="00FD61E1"/>
    <w:rsid w:val="00FD64E5"/>
    <w:rsid w:val="00FD67CB"/>
    <w:rsid w:val="00FD6809"/>
    <w:rsid w:val="00FD6851"/>
    <w:rsid w:val="00FD686A"/>
    <w:rsid w:val="00FD68F3"/>
    <w:rsid w:val="00FD6CB4"/>
    <w:rsid w:val="00FD7231"/>
    <w:rsid w:val="00FD73CF"/>
    <w:rsid w:val="00FD7AEC"/>
    <w:rsid w:val="00FD7B60"/>
    <w:rsid w:val="00FD7CDB"/>
    <w:rsid w:val="00FD7E93"/>
    <w:rsid w:val="00FD7F02"/>
    <w:rsid w:val="00FE006A"/>
    <w:rsid w:val="00FE0269"/>
    <w:rsid w:val="00FE0348"/>
    <w:rsid w:val="00FE06B8"/>
    <w:rsid w:val="00FE07BC"/>
    <w:rsid w:val="00FE089C"/>
    <w:rsid w:val="00FE0B91"/>
    <w:rsid w:val="00FE0E00"/>
    <w:rsid w:val="00FE0E30"/>
    <w:rsid w:val="00FE1053"/>
    <w:rsid w:val="00FE105D"/>
    <w:rsid w:val="00FE1201"/>
    <w:rsid w:val="00FE1B13"/>
    <w:rsid w:val="00FE1F11"/>
    <w:rsid w:val="00FE1F8E"/>
    <w:rsid w:val="00FE2DB2"/>
    <w:rsid w:val="00FE2EA7"/>
    <w:rsid w:val="00FE31DF"/>
    <w:rsid w:val="00FE3BCD"/>
    <w:rsid w:val="00FE3EA0"/>
    <w:rsid w:val="00FE4446"/>
    <w:rsid w:val="00FE45DF"/>
    <w:rsid w:val="00FE4C8D"/>
    <w:rsid w:val="00FE51F6"/>
    <w:rsid w:val="00FE540F"/>
    <w:rsid w:val="00FE5475"/>
    <w:rsid w:val="00FE5603"/>
    <w:rsid w:val="00FE56A6"/>
    <w:rsid w:val="00FE5843"/>
    <w:rsid w:val="00FE5927"/>
    <w:rsid w:val="00FE5ACD"/>
    <w:rsid w:val="00FE5ACE"/>
    <w:rsid w:val="00FE5CA1"/>
    <w:rsid w:val="00FE5D84"/>
    <w:rsid w:val="00FE5EE1"/>
    <w:rsid w:val="00FE6150"/>
    <w:rsid w:val="00FE6187"/>
    <w:rsid w:val="00FE6362"/>
    <w:rsid w:val="00FE646B"/>
    <w:rsid w:val="00FE76D8"/>
    <w:rsid w:val="00FE7970"/>
    <w:rsid w:val="00FE7D61"/>
    <w:rsid w:val="00FF0B18"/>
    <w:rsid w:val="00FF0C19"/>
    <w:rsid w:val="00FF0E69"/>
    <w:rsid w:val="00FF0FAF"/>
    <w:rsid w:val="00FF1030"/>
    <w:rsid w:val="00FF136A"/>
    <w:rsid w:val="00FF148D"/>
    <w:rsid w:val="00FF17F7"/>
    <w:rsid w:val="00FF191A"/>
    <w:rsid w:val="00FF1B8C"/>
    <w:rsid w:val="00FF1CAB"/>
    <w:rsid w:val="00FF2019"/>
    <w:rsid w:val="00FF219A"/>
    <w:rsid w:val="00FF2275"/>
    <w:rsid w:val="00FF28AE"/>
    <w:rsid w:val="00FF2C4F"/>
    <w:rsid w:val="00FF2CCF"/>
    <w:rsid w:val="00FF2D4F"/>
    <w:rsid w:val="00FF2E4A"/>
    <w:rsid w:val="00FF316A"/>
    <w:rsid w:val="00FF3194"/>
    <w:rsid w:val="00FF33A1"/>
    <w:rsid w:val="00FF36CB"/>
    <w:rsid w:val="00FF37D2"/>
    <w:rsid w:val="00FF3976"/>
    <w:rsid w:val="00FF3A44"/>
    <w:rsid w:val="00FF3D08"/>
    <w:rsid w:val="00FF4072"/>
    <w:rsid w:val="00FF40FD"/>
    <w:rsid w:val="00FF417D"/>
    <w:rsid w:val="00FF4453"/>
    <w:rsid w:val="00FF484E"/>
    <w:rsid w:val="00FF48EB"/>
    <w:rsid w:val="00FF4DF0"/>
    <w:rsid w:val="00FF4EA9"/>
    <w:rsid w:val="00FF4FC6"/>
    <w:rsid w:val="00FF50E7"/>
    <w:rsid w:val="00FF52BA"/>
    <w:rsid w:val="00FF54B3"/>
    <w:rsid w:val="00FF5683"/>
    <w:rsid w:val="00FF5D7D"/>
    <w:rsid w:val="00FF62B6"/>
    <w:rsid w:val="00FF63D1"/>
    <w:rsid w:val="00FF654E"/>
    <w:rsid w:val="00FF66C4"/>
    <w:rsid w:val="00FF6795"/>
    <w:rsid w:val="00FF680C"/>
    <w:rsid w:val="00FF68DE"/>
    <w:rsid w:val="00FF68EC"/>
    <w:rsid w:val="00FF72E9"/>
    <w:rsid w:val="00FF7483"/>
    <w:rsid w:val="00FF74A4"/>
    <w:rsid w:val="00FF76C2"/>
    <w:rsid w:val="00FF799F"/>
    <w:rsid w:val="00FF7B6A"/>
    <w:rsid w:val="00FF7D65"/>
    <w:rsid w:val="00FF7E53"/>
    <w:rsid w:val="0C474817"/>
    <w:rsid w:val="2F6215FB"/>
    <w:rsid w:val="359302F1"/>
    <w:rsid w:val="42087BDD"/>
    <w:rsid w:val="566E69E2"/>
    <w:rsid w:val="5F6FE6DD"/>
    <w:rsid w:val="680A9DD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0FB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49A7"/>
    <w:pPr>
      <w:spacing w:before="120" w:after="120" w:line="240" w:lineRule="auto"/>
    </w:pPr>
    <w:rPr>
      <w:rFonts w:ascii="Calibri Light" w:eastAsia="Times New Roman" w:hAnsi="Calibri Light" w:cs="Times New Roman"/>
      <w:szCs w:val="20"/>
      <w:lang w:eastAsia="en-AU"/>
    </w:rPr>
  </w:style>
  <w:style w:type="paragraph" w:styleId="Heading1">
    <w:name w:val="heading 1"/>
    <w:basedOn w:val="HeadingBase"/>
    <w:next w:val="Normal"/>
    <w:link w:val="Heading1Char"/>
    <w:qFormat/>
    <w:rsid w:val="00ED5A20"/>
    <w:pPr>
      <w:spacing w:before="600" w:line="460" w:lineRule="exact"/>
      <w:outlineLvl w:val="0"/>
    </w:pPr>
    <w:rPr>
      <w:b/>
      <w:bCs w:val="0"/>
      <w:color w:val="5D779D" w:themeColor="accent3"/>
      <w:sz w:val="44"/>
    </w:rPr>
  </w:style>
  <w:style w:type="paragraph" w:styleId="Heading2">
    <w:name w:val="heading 2"/>
    <w:basedOn w:val="HeadingBase"/>
    <w:next w:val="Normal"/>
    <w:link w:val="Heading2Char"/>
    <w:qFormat/>
    <w:rsid w:val="00386297"/>
    <w:pPr>
      <w:spacing w:before="360" w:line="460" w:lineRule="exact"/>
      <w:outlineLvl w:val="1"/>
    </w:pPr>
    <w:rPr>
      <w:bCs w:val="0"/>
      <w:iCs/>
      <w:color w:val="2C384A" w:themeColor="accent1"/>
      <w:sz w:val="36"/>
      <w:szCs w:val="28"/>
    </w:rPr>
  </w:style>
  <w:style w:type="paragraph" w:styleId="Heading3">
    <w:name w:val="heading 3"/>
    <w:basedOn w:val="HeadingBase"/>
    <w:next w:val="Normal"/>
    <w:link w:val="Heading3Char"/>
    <w:qFormat/>
    <w:rsid w:val="00ED5A20"/>
    <w:pPr>
      <w:spacing w:before="320" w:after="0" w:line="276" w:lineRule="auto"/>
      <w:outlineLvl w:val="2"/>
    </w:pPr>
    <w:rPr>
      <w:b/>
      <w:bCs w:val="0"/>
      <w:color w:val="4D7861" w:themeColor="accent2"/>
      <w:sz w:val="28"/>
      <w:szCs w:val="26"/>
    </w:rPr>
  </w:style>
  <w:style w:type="paragraph" w:styleId="Heading4">
    <w:name w:val="heading 4"/>
    <w:basedOn w:val="HeadingBase"/>
    <w:next w:val="Normal"/>
    <w:link w:val="Heading4Char"/>
    <w:qFormat/>
    <w:rsid w:val="00ED5A20"/>
    <w:pPr>
      <w:spacing w:before="280" w:after="0" w:line="276" w:lineRule="auto"/>
      <w:outlineLvl w:val="3"/>
    </w:pPr>
    <w:rPr>
      <w:rFonts w:ascii="Calibri Light" w:hAnsi="Calibri Light"/>
      <w:bCs w:val="0"/>
      <w:color w:val="4D7861" w:themeColor="accent2"/>
      <w:sz w:val="24"/>
      <w:szCs w:val="26"/>
    </w:rPr>
  </w:style>
  <w:style w:type="paragraph" w:styleId="Heading5">
    <w:name w:val="heading 5"/>
    <w:basedOn w:val="HeadingBase"/>
    <w:next w:val="Normal"/>
    <w:link w:val="Heading5Char"/>
    <w:rsid w:val="00E349A7"/>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rsid w:val="00E349A7"/>
    <w:pPr>
      <w:spacing w:before="120" w:after="0" w:line="276" w:lineRule="auto"/>
      <w:outlineLvl w:val="5"/>
    </w:pPr>
    <w:rPr>
      <w:rFonts w:ascii="Calibri Light" w:hAnsi="Calibri Light"/>
      <w:bCs w:val="0"/>
      <w:color w:val="000000" w:themeColor="tex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5A20"/>
    <w:rPr>
      <w:rFonts w:ascii="Calibri" w:eastAsia="Times New Roman" w:hAnsi="Calibri" w:cs="Arial"/>
      <w:b/>
      <w:color w:val="5D779D" w:themeColor="accent3"/>
      <w:kern w:val="32"/>
      <w:sz w:val="44"/>
      <w:szCs w:val="36"/>
      <w:lang w:eastAsia="en-AU"/>
    </w:rPr>
  </w:style>
  <w:style w:type="character" w:customStyle="1" w:styleId="Heading2Char">
    <w:name w:val="Heading 2 Char"/>
    <w:basedOn w:val="DefaultParagraphFont"/>
    <w:link w:val="Heading2"/>
    <w:rsid w:val="00386297"/>
    <w:rPr>
      <w:rFonts w:ascii="Calibri" w:eastAsia="Times New Roman" w:hAnsi="Calibri" w:cs="Arial"/>
      <w:iCs/>
      <w:color w:val="2C384A" w:themeColor="accent1"/>
      <w:kern w:val="32"/>
      <w:sz w:val="36"/>
      <w:szCs w:val="28"/>
      <w:lang w:eastAsia="en-AU"/>
    </w:rPr>
  </w:style>
  <w:style w:type="character" w:customStyle="1" w:styleId="Heading3Char">
    <w:name w:val="Heading 3 Char"/>
    <w:basedOn w:val="DefaultParagraphFont"/>
    <w:link w:val="Heading3"/>
    <w:rsid w:val="00ED5A20"/>
    <w:rPr>
      <w:rFonts w:ascii="Calibri" w:eastAsia="Times New Roman" w:hAnsi="Calibri" w:cs="Arial"/>
      <w:b/>
      <w:color w:val="4D7861" w:themeColor="accent2"/>
      <w:kern w:val="32"/>
      <w:sz w:val="28"/>
      <w:szCs w:val="26"/>
      <w:lang w:eastAsia="en-AU"/>
    </w:rPr>
  </w:style>
  <w:style w:type="character" w:customStyle="1" w:styleId="Heading4Char">
    <w:name w:val="Heading 4 Char"/>
    <w:basedOn w:val="DefaultParagraphFont"/>
    <w:link w:val="Heading4"/>
    <w:rsid w:val="00ED5A20"/>
    <w:rPr>
      <w:rFonts w:ascii="Calibri Light" w:eastAsia="Times New Roman" w:hAnsi="Calibri Light" w:cs="Arial"/>
      <w:color w:val="4D7861" w:themeColor="accent2"/>
      <w:kern w:val="32"/>
      <w:sz w:val="24"/>
      <w:szCs w:val="26"/>
      <w:lang w:eastAsia="en-AU"/>
    </w:rPr>
  </w:style>
  <w:style w:type="character" w:customStyle="1" w:styleId="Heading5Char">
    <w:name w:val="Heading 5 Char"/>
    <w:basedOn w:val="DefaultParagraphFont"/>
    <w:link w:val="Heading5"/>
    <w:rsid w:val="00E349A7"/>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rsid w:val="00E349A7"/>
    <w:rPr>
      <w:rFonts w:ascii="Calibri Light" w:eastAsia="Times New Roman" w:hAnsi="Calibri Light" w:cs="Arial"/>
      <w:color w:val="000000" w:themeColor="text1"/>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10"/>
      </w:numPr>
      <w:spacing w:before="0"/>
    </w:pPr>
  </w:style>
  <w:style w:type="character" w:customStyle="1" w:styleId="DashChar">
    <w:name w:val="Dash Char"/>
    <w:basedOn w:val="DefaultParagraphFont"/>
    <w:link w:val="Dash"/>
    <w:locked/>
    <w:rsid w:val="00E349A7"/>
    <w:rPr>
      <w:rFonts w:ascii="Calibri Light" w:eastAsia="Times New Roman" w:hAnsi="Calibri Light" w:cs="Times New Roman"/>
      <w:szCs w:val="20"/>
      <w:lang w:eastAsia="en-AU"/>
    </w:rPr>
  </w:style>
  <w:style w:type="character" w:customStyle="1" w:styleId="DoubleDotChar">
    <w:name w:val="Double Dot Char"/>
    <w:basedOn w:val="DefaultParagraphFont"/>
    <w:link w:val="DoubleDot"/>
    <w:uiPriority w:val="99"/>
    <w:locked/>
    <w:rsid w:val="00E349A7"/>
    <w:rPr>
      <w:rFonts w:ascii="Calibri Light" w:eastAsia="Times New Roman" w:hAnsi="Calibri Light" w:cs="Times New Roman"/>
      <w:szCs w:val="20"/>
      <w:lang w:eastAsia="en-AU"/>
    </w:rPr>
  </w:style>
  <w:style w:type="character" w:customStyle="1" w:styleId="BulletChar">
    <w:name w:val="Bullet Char"/>
    <w:basedOn w:val="DefaultParagraphFont"/>
    <w:link w:val="Bullet"/>
    <w:locked/>
    <w:rsid w:val="009E0CA5"/>
    <w:rPr>
      <w:rFonts w:ascii="Calibri Light" w:eastAsia="Times New Roman" w:hAnsi="Calibri Light" w:cs="Times New Roman"/>
      <w:szCs w:val="20"/>
      <w:lang w:eastAsia="en-AU"/>
    </w:rPr>
  </w:style>
  <w:style w:type="paragraph" w:customStyle="1" w:styleId="BoxHeading">
    <w:name w:val="Box Heading"/>
    <w:basedOn w:val="Normal"/>
    <w:next w:val="Normal"/>
    <w:qFormat/>
    <w:rsid w:val="00EB4B0B"/>
    <w:pPr>
      <w:keepNext/>
      <w:spacing w:before="240"/>
    </w:pPr>
    <w:rPr>
      <w:b/>
      <w:color w:val="2C384A" w:themeColor="accent1"/>
      <w:sz w:val="26"/>
      <w:szCs w:val="26"/>
    </w:rPr>
  </w:style>
  <w:style w:type="paragraph" w:customStyle="1" w:styleId="BoxText">
    <w:name w:val="Box Text"/>
    <w:basedOn w:val="Normal"/>
    <w:link w:val="BoxTextChar"/>
    <w:rsid w:val="00E349A7"/>
  </w:style>
  <w:style w:type="paragraph" w:customStyle="1" w:styleId="Bullet">
    <w:name w:val="Bullet"/>
    <w:aliases w:val="Body,BodyNum,Bullet + line,Bullet Char1,Bullet Char1 Char Char Char,Bullet Char1 Char Char Char Char,Bullet Char1 Char Char Char Char Char,b,b + line,b1,b1 Char Char Char,bulleted,level 1"/>
    <w:basedOn w:val="Normal"/>
    <w:link w:val="BulletChar"/>
    <w:qFormat/>
    <w:rsid w:val="009E0CA5"/>
    <w:pPr>
      <w:numPr>
        <w:numId w:val="24"/>
      </w:numPr>
      <w:tabs>
        <w:tab w:val="left" w:pos="720"/>
      </w:tabs>
      <w:spacing w:before="0" w:line="276" w:lineRule="auto"/>
    </w:pPr>
  </w:style>
  <w:style w:type="paragraph" w:customStyle="1" w:styleId="ChartandTableFootnoteAlpha">
    <w:name w:val="Chart and Table Footnote Alpha"/>
    <w:rsid w:val="0023305C"/>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E97C19"/>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9D2CFF"/>
    <w:pPr>
      <w:jc w:val="center"/>
    </w:pPr>
    <w:rPr>
      <w:b w:val="0"/>
      <w:bCs/>
    </w:rPr>
  </w:style>
  <w:style w:type="paragraph" w:customStyle="1" w:styleId="ReportDate">
    <w:name w:val="Report Date"/>
    <w:basedOn w:val="Normal"/>
    <w:link w:val="ReportDateChar"/>
    <w:rsid w:val="002A7A31"/>
    <w:pPr>
      <w:keepNext/>
      <w:spacing w:before="0" w:after="360"/>
    </w:pPr>
    <w:rPr>
      <w:color w:val="90B6F0"/>
      <w:sz w:val="32"/>
    </w:rPr>
  </w:style>
  <w:style w:type="paragraph" w:customStyle="1" w:styleId="Dash">
    <w:name w:val="Dash"/>
    <w:basedOn w:val="Normal"/>
    <w:link w:val="DashChar"/>
    <w:qFormat/>
    <w:rsid w:val="000E0B74"/>
    <w:pPr>
      <w:numPr>
        <w:ilvl w:val="1"/>
        <w:numId w:val="24"/>
      </w:numPr>
      <w:spacing w:before="0"/>
    </w:pPr>
  </w:style>
  <w:style w:type="paragraph" w:customStyle="1" w:styleId="DoubleDot">
    <w:name w:val="Double Dot"/>
    <w:basedOn w:val="Normal"/>
    <w:link w:val="DoubleDotChar"/>
    <w:qFormat/>
    <w:rsid w:val="000E0B74"/>
    <w:pPr>
      <w:numPr>
        <w:ilvl w:val="2"/>
        <w:numId w:val="24"/>
      </w:numPr>
      <w:spacing w:before="0"/>
    </w:pPr>
  </w:style>
  <w:style w:type="paragraph" w:customStyle="1" w:styleId="TableMainHeading">
    <w:name w:val="Table Main Heading"/>
    <w:basedOn w:val="Heading3"/>
    <w:next w:val="Normal"/>
    <w:rsid w:val="00E97C19"/>
    <w:pPr>
      <w:spacing w:before="120"/>
    </w:pPr>
    <w:rPr>
      <w:b w:val="0"/>
      <w:sz w:val="26"/>
    </w:rPr>
  </w:style>
  <w:style w:type="paragraph" w:customStyle="1" w:styleId="FooterEven">
    <w:name w:val="Footer Even"/>
    <w:basedOn w:val="Footer"/>
    <w:rsid w:val="00103F3C"/>
    <w:pPr>
      <w:keepNext/>
      <w:tabs>
        <w:tab w:val="clear" w:pos="4513"/>
        <w:tab w:val="clear" w:pos="9026"/>
        <w:tab w:val="right" w:pos="9072"/>
      </w:tabs>
      <w:jc w:val="left"/>
    </w:pPr>
    <w:rPr>
      <w:noProof/>
      <w:color w:val="2C384A" w:themeColor="accent1"/>
    </w:rPr>
  </w:style>
  <w:style w:type="paragraph" w:customStyle="1" w:styleId="FooterOdd">
    <w:name w:val="Footer Odd"/>
    <w:basedOn w:val="Footer"/>
    <w:rsid w:val="00103F3C"/>
    <w:pPr>
      <w:keepNext/>
      <w:tabs>
        <w:tab w:val="clear" w:pos="4513"/>
        <w:tab w:val="clear" w:pos="9026"/>
        <w:tab w:val="right" w:pos="9072"/>
      </w:tabs>
      <w:jc w:val="right"/>
    </w:pPr>
    <w:rPr>
      <w:color w:val="2C384A" w:themeColor="accent1"/>
    </w:r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rsid w:val="000E0B74"/>
    <w:pPr>
      <w:numPr>
        <w:numId w:val="6"/>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SingleParagraph">
    <w:name w:val="Single Paragraph"/>
    <w:basedOn w:val="Normal"/>
    <w:next w:val="Normal"/>
    <w:link w:val="SingleParagraphChar"/>
    <w:rsid w:val="000E0B74"/>
    <w:pPr>
      <w:spacing w:before="0" w:after="0"/>
    </w:pPr>
  </w:style>
  <w:style w:type="paragraph" w:customStyle="1" w:styleId="TableSecondHeading">
    <w:name w:val="Table Second Heading"/>
    <w:basedOn w:val="Normal"/>
    <w:next w:val="Normal"/>
    <w:rsid w:val="000E0B74"/>
    <w:pPr>
      <w:keepNext/>
      <w:spacing w:before="0" w:after="20"/>
    </w:pPr>
    <w:rPr>
      <w:b/>
      <w:color w:val="004A7F"/>
    </w:rPr>
  </w:style>
  <w:style w:type="paragraph" w:customStyle="1" w:styleId="TableColumnHeadingCentred">
    <w:name w:val="Table Column Heading Centred"/>
    <w:basedOn w:val="TableTextLeft"/>
    <w:rsid w:val="00A7236C"/>
    <w:pPr>
      <w:jc w:val="center"/>
    </w:pPr>
    <w:rPr>
      <w:b/>
      <w:color w:val="2C384A" w:themeColor="accent1"/>
      <w:sz w:val="20"/>
    </w:rPr>
  </w:style>
  <w:style w:type="paragraph" w:customStyle="1" w:styleId="TableColumnHeadingLeft">
    <w:name w:val="Table Column Heading Left"/>
    <w:basedOn w:val="TableTextLeft"/>
    <w:rsid w:val="00A7236C"/>
    <w:rPr>
      <w:b/>
      <w:color w:val="2C384A" w:themeColor="accent1"/>
      <w:sz w:val="20"/>
    </w:rPr>
  </w:style>
  <w:style w:type="paragraph" w:customStyle="1" w:styleId="TableColumnHeadingRight">
    <w:name w:val="Table Column Heading Right"/>
    <w:basedOn w:val="TableTextLeft"/>
    <w:rsid w:val="00A7236C"/>
    <w:pPr>
      <w:jc w:val="right"/>
    </w:pPr>
    <w:rPr>
      <w:b/>
      <w:color w:val="2C384A" w:themeColor="accent1"/>
      <w:sz w:val="20"/>
    </w:rPr>
  </w:style>
  <w:style w:type="table" w:styleId="TableGrid">
    <w:name w:val="Table Grid"/>
    <w:basedOn w:val="TableNormal"/>
    <w:rsid w:val="00D316A1"/>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themeColor="accent1"/>
        <w:sz w:val="20"/>
      </w:rPr>
      <w:tblPr/>
      <w:tcPr>
        <w:shd w:val="clear" w:color="auto" w:fill="EEEEEE" w:themeFill="background2"/>
      </w:tcPr>
    </w:tblStyle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rsid w:val="00A7236C"/>
    <w:pPr>
      <w:keepNext/>
      <w:tabs>
        <w:tab w:val="right" w:leader="dot" w:pos="9072"/>
      </w:tabs>
      <w:spacing w:before="180" w:after="0"/>
      <w:ind w:right="-2"/>
    </w:pPr>
    <w:rPr>
      <w:b/>
      <w:noProof/>
      <w:color w:val="2C384A" w:themeColor="accent1"/>
      <w:szCs w:val="22"/>
    </w:rPr>
  </w:style>
  <w:style w:type="paragraph" w:styleId="TOC2">
    <w:name w:val="toc 2"/>
    <w:basedOn w:val="Normal"/>
    <w:next w:val="Normal"/>
    <w:uiPriority w:val="39"/>
    <w:rsid w:val="00A7236C"/>
    <w:pPr>
      <w:keepNext/>
      <w:tabs>
        <w:tab w:val="right" w:leader="dot" w:pos="9072"/>
      </w:tabs>
      <w:spacing w:before="40" w:after="20"/>
      <w:ind w:right="-2"/>
    </w:pPr>
    <w:rPr>
      <w:noProof/>
      <w:color w:val="5D779D" w:themeColor="accent3"/>
    </w:rPr>
  </w:style>
  <w:style w:type="paragraph" w:styleId="TOC3">
    <w:name w:val="toc 3"/>
    <w:basedOn w:val="Normal"/>
    <w:next w:val="Normal"/>
    <w:uiPriority w:val="39"/>
    <w:rsid w:val="0025652F"/>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Heading1Numbered">
    <w:name w:val="Heading 1 Numbered"/>
    <w:basedOn w:val="Heading1"/>
    <w:next w:val="Normal"/>
    <w:rsid w:val="000C567A"/>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rsid w:val="00EE1BF1"/>
    <w:pPr>
      <w:numPr>
        <w:ilvl w:val="2"/>
        <w:numId w:val="8"/>
      </w:numPr>
      <w:ind w:left="284" w:hanging="284"/>
    </w:pPr>
  </w:style>
  <w:style w:type="paragraph" w:styleId="Title">
    <w:name w:val="Title"/>
    <w:basedOn w:val="Normal"/>
    <w:next w:val="Normal"/>
    <w:link w:val="TitleChar"/>
    <w:uiPriority w:val="10"/>
    <w:rsid w:val="00EE1BF1"/>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EE1BF1"/>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rsid w:val="00CB28E9"/>
    <w:pPr>
      <w:numPr>
        <w:ilvl w:val="1"/>
      </w:numPr>
    </w:pPr>
    <w:rPr>
      <w:rFonts w:eastAsiaTheme="majorEastAsia" w:cstheme="majorBidi"/>
      <w:iCs/>
      <w:color w:val="EEEEEE"/>
      <w:sz w:val="44"/>
      <w:szCs w:val="44"/>
    </w:rPr>
  </w:style>
  <w:style w:type="character" w:customStyle="1" w:styleId="SubtitleChar">
    <w:name w:val="Subtitle Char"/>
    <w:basedOn w:val="DefaultParagraphFont"/>
    <w:link w:val="Subtitle"/>
    <w:uiPriority w:val="11"/>
    <w:rsid w:val="00CB28E9"/>
    <w:rPr>
      <w:rFonts w:ascii="Calibri" w:eastAsiaTheme="majorEastAsia" w:hAnsi="Calibri" w:cstheme="majorBidi"/>
      <w:iCs/>
      <w:color w:val="EEEEEE"/>
      <w:sz w:val="44"/>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nhideWhenUsed/>
    <w:rsid w:val="00F60198"/>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rsid w:val="00F60198"/>
    <w:rPr>
      <w:rFonts w:ascii="Calibri" w:eastAsia="Times New Roman" w:hAnsi="Calibri" w:cs="Times New Roman"/>
      <w:color w:val="002C47"/>
      <w:sz w:val="20"/>
      <w:szCs w:val="20"/>
      <w:lang w:eastAsia="en-AU"/>
    </w:rPr>
  </w:style>
  <w:style w:type="paragraph" w:styleId="Header">
    <w:name w:val="header"/>
    <w:basedOn w:val="Normal"/>
    <w:link w:val="HeaderChar"/>
    <w:uiPriority w:val="99"/>
    <w:unhideWhenUsed/>
    <w:rsid w:val="001606CF"/>
    <w:pPr>
      <w:keepNext/>
      <w:spacing w:before="0"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6923DF"/>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2A7A31"/>
    <w:rPr>
      <w:rFonts w:ascii="Calibri" w:eastAsia="Times New Roman" w:hAnsi="Calibri" w:cs="Times New Roman"/>
      <w:color w:val="90B6F0"/>
      <w:sz w:val="32"/>
      <w:szCs w:val="20"/>
      <w:lang w:eastAsia="en-AU"/>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styleId="ListParagraph">
    <w:name w:val="List Paragraph"/>
    <w:aliases w:val="CAB - List Bullet,List Bullet Cab,1 heading,Bullet point,Bulletr List Paragraph,Dot point 1.5 line spacing,Dot pt,FooterText,L,List Paragraph - bullets,List Paragraph1,List Paragraph11,List Paragraph2,List Paragraph21,NFP GP Bulleted List"/>
    <w:basedOn w:val="Normal"/>
    <w:link w:val="ListParagraphChar"/>
    <w:uiPriority w:val="34"/>
    <w:qFormat/>
    <w:rsid w:val="006469CC"/>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F60198"/>
    <w:pPr>
      <w:jc w:val="left"/>
    </w:pPr>
    <w:rPr>
      <w:color w:val="002C47"/>
    </w:rPr>
  </w:style>
  <w:style w:type="paragraph" w:customStyle="1" w:styleId="HeaderOdd">
    <w:name w:val="Header Odd"/>
    <w:basedOn w:val="Header"/>
    <w:qFormat/>
    <w:rsid w:val="00F60198"/>
    <w:rPr>
      <w:color w:val="002C47"/>
    </w:rPr>
  </w:style>
  <w:style w:type="paragraph" w:styleId="FootnoteText">
    <w:name w:val="footnote text"/>
    <w:basedOn w:val="Normal"/>
    <w:link w:val="FootnoteTextChar"/>
    <w:uiPriority w:val="99"/>
    <w:rsid w:val="00744484"/>
    <w:pPr>
      <w:spacing w:before="0" w:after="0"/>
      <w:ind w:left="397" w:hanging="397"/>
    </w:pPr>
    <w:rPr>
      <w:sz w:val="20"/>
    </w:rPr>
  </w:style>
  <w:style w:type="character" w:customStyle="1" w:styleId="FootnoteTextChar">
    <w:name w:val="Footnote Text Char"/>
    <w:basedOn w:val="DefaultParagraphFont"/>
    <w:link w:val="FootnoteText"/>
    <w:uiPriority w:val="99"/>
    <w:rsid w:val="00744484"/>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906809"/>
    <w:rPr>
      <w:sz w:val="18"/>
      <w:vertAlign w:val="superscript"/>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E349A7"/>
    <w:rPr>
      <w:rFonts w:ascii="Calibri Light" w:eastAsia="Times New Roman" w:hAnsi="Calibri Light" w:cs="Times New Roman"/>
      <w:szCs w:val="20"/>
      <w:lang w:eastAsia="en-AU"/>
    </w:rPr>
  </w:style>
  <w:style w:type="paragraph" w:customStyle="1" w:styleId="Boxbullet">
    <w:name w:val="Box bullet"/>
    <w:basedOn w:val="Bullet"/>
    <w:rsid w:val="00E349A7"/>
    <w:pPr>
      <w:numPr>
        <w:numId w:val="22"/>
      </w:numPr>
      <w:tabs>
        <w:tab w:val="clear" w:pos="283"/>
        <w:tab w:val="num" w:pos="284"/>
        <w:tab w:val="num" w:pos="520"/>
      </w:tabs>
      <w:spacing w:before="60"/>
    </w:pPr>
    <w:rPr>
      <w:color w:val="0D0D0D" w:themeColor="text1" w:themeTint="F2"/>
    </w:rPr>
  </w:style>
  <w:style w:type="paragraph" w:customStyle="1" w:styleId="Boxdash">
    <w:name w:val="Box dash"/>
    <w:basedOn w:val="Dash"/>
    <w:rsid w:val="00E349A7"/>
    <w:pPr>
      <w:numPr>
        <w:numId w:val="22"/>
      </w:numPr>
      <w:tabs>
        <w:tab w:val="clear" w:pos="567"/>
        <w:tab w:val="num" w:pos="1040"/>
      </w:tabs>
      <w:spacing w:before="60" w:after="0" w:line="276" w:lineRule="auto"/>
    </w:pPr>
    <w:rPr>
      <w:rFonts w:eastAsiaTheme="minorHAnsi"/>
      <w:color w:val="0D0D0D" w:themeColor="text1" w:themeTint="F2"/>
      <w:lang w:eastAsia="en-US"/>
    </w:rPr>
  </w:style>
  <w:style w:type="paragraph" w:customStyle="1" w:styleId="Boxdoubledot">
    <w:name w:val="Box double dot"/>
    <w:basedOn w:val="DoubleDot"/>
    <w:rsid w:val="00E349A7"/>
    <w:pPr>
      <w:numPr>
        <w:numId w:val="22"/>
      </w:numPr>
      <w:tabs>
        <w:tab w:val="clear" w:pos="851"/>
        <w:tab w:val="left" w:pos="567"/>
        <w:tab w:val="num" w:pos="1560"/>
      </w:tabs>
      <w:spacing w:before="60" w:after="0" w:line="276" w:lineRule="auto"/>
    </w:pPr>
    <w:rPr>
      <w:rFonts w:eastAsiaTheme="minorHAnsi"/>
      <w:color w:val="0D0D0D" w:themeColor="text1" w:themeTint="F2"/>
      <w:lang w:eastAsia="en-US"/>
    </w:rPr>
  </w:style>
  <w:style w:type="paragraph" w:customStyle="1" w:styleId="Instructions">
    <w:name w:val="Instructions"/>
    <w:basedOn w:val="Normal"/>
    <w:uiPriority w:val="1"/>
    <w:qFormat/>
    <w:rsid w:val="00BE7EA5"/>
    <w:pPr>
      <w:shd w:val="clear" w:color="auto" w:fill="FFFF00"/>
      <w:ind w:left="170" w:hanging="170"/>
    </w:pPr>
    <w:rPr>
      <w:rFonts w:asciiTheme="minorHAnsi" w:hAnsiTheme="minorHAnsi"/>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customStyle="1" w:styleId="SecurityClassificationHeader">
    <w:name w:val="Security Classification Header"/>
    <w:link w:val="SecurityClassificationHeaderChar"/>
    <w:rsid w:val="00F5365A"/>
    <w:pPr>
      <w:spacing w:before="360" w:after="60"/>
      <w:jc w:val="center"/>
    </w:pPr>
    <w:rPr>
      <w:rFonts w:ascii="Calibri" w:eastAsia="Times New Roman" w:hAnsi="Calibri" w:cs="Calibri"/>
      <w:b/>
      <w:color w:val="FF0000"/>
      <w:sz w:val="24"/>
      <w:szCs w:val="20"/>
      <w:lang w:eastAsia="en-AU"/>
    </w:rPr>
  </w:style>
  <w:style w:type="character" w:customStyle="1" w:styleId="SecurityClassificationHeaderChar">
    <w:name w:val="Security Classification Header Char"/>
    <w:basedOn w:val="HeaderChar"/>
    <w:link w:val="SecurityClassificationHeader"/>
    <w:rsid w:val="00F5365A"/>
    <w:rPr>
      <w:rFonts w:ascii="Calibri" w:eastAsia="Times New Roman" w:hAnsi="Calibri" w:cs="Calibri"/>
      <w:b/>
      <w:color w:val="FF0000"/>
      <w:sz w:val="24"/>
      <w:szCs w:val="20"/>
      <w:lang w:eastAsia="en-AU"/>
    </w:rPr>
  </w:style>
  <w:style w:type="paragraph" w:customStyle="1" w:styleId="SecurityClassificationFooter">
    <w:name w:val="Security Classification Footer"/>
    <w:link w:val="SecurityClassificationFooterChar"/>
    <w:rsid w:val="00F5365A"/>
    <w:pPr>
      <w:spacing w:before="360" w:after="60"/>
      <w:jc w:val="center"/>
    </w:pPr>
    <w:rPr>
      <w:rFonts w:ascii="Calibri" w:eastAsia="Times New Roman" w:hAnsi="Calibri" w:cs="Calibri"/>
      <w:b/>
      <w:color w:val="FF0000"/>
      <w:sz w:val="24"/>
      <w:szCs w:val="20"/>
      <w:lang w:eastAsia="en-AU"/>
    </w:rPr>
  </w:style>
  <w:style w:type="character" w:customStyle="1" w:styleId="SecurityClassificationFooterChar">
    <w:name w:val="Security Classification Footer Char"/>
    <w:basedOn w:val="HeaderChar"/>
    <w:link w:val="SecurityClassificationFooter"/>
    <w:rsid w:val="00F5365A"/>
    <w:rPr>
      <w:rFonts w:ascii="Calibri" w:eastAsia="Times New Roman" w:hAnsi="Calibri" w:cs="Calibri"/>
      <w:b/>
      <w:color w:val="FF0000"/>
      <w:sz w:val="24"/>
      <w:szCs w:val="20"/>
      <w:lang w:eastAsia="en-AU"/>
    </w:rPr>
  </w:style>
  <w:style w:type="paragraph" w:customStyle="1" w:styleId="DLMSecurityHeader">
    <w:name w:val="DLM Security Header"/>
    <w:link w:val="DLMSecurityHeaderChar"/>
    <w:rsid w:val="00F5365A"/>
    <w:pPr>
      <w:spacing w:before="60" w:after="240"/>
      <w:jc w:val="center"/>
    </w:pPr>
    <w:rPr>
      <w:rFonts w:ascii="Calibri" w:eastAsia="Times New Roman" w:hAnsi="Calibri" w:cs="Calibri"/>
      <w:b/>
      <w:color w:val="FF0000"/>
      <w:sz w:val="24"/>
      <w:szCs w:val="20"/>
      <w:lang w:eastAsia="en-AU"/>
    </w:rPr>
  </w:style>
  <w:style w:type="character" w:customStyle="1" w:styleId="DLMSecurityHeaderChar">
    <w:name w:val="DLM Security Header Char"/>
    <w:basedOn w:val="HeaderChar"/>
    <w:link w:val="DLMSecurityHeader"/>
    <w:rsid w:val="00F5365A"/>
    <w:rPr>
      <w:rFonts w:ascii="Calibri" w:eastAsia="Times New Roman" w:hAnsi="Calibri" w:cs="Calibri"/>
      <w:b/>
      <w:color w:val="FF0000"/>
      <w:sz w:val="24"/>
      <w:szCs w:val="20"/>
      <w:lang w:eastAsia="en-AU"/>
    </w:rPr>
  </w:style>
  <w:style w:type="paragraph" w:customStyle="1" w:styleId="DLMSecurityFooter">
    <w:name w:val="DLM Security Footer"/>
    <w:link w:val="DLMSecurityFooterChar"/>
    <w:rsid w:val="00F5365A"/>
    <w:pPr>
      <w:spacing w:before="240" w:after="60"/>
      <w:jc w:val="center"/>
    </w:pPr>
    <w:rPr>
      <w:rFonts w:ascii="Calibri" w:eastAsia="Times New Roman" w:hAnsi="Calibri" w:cs="Calibri"/>
      <w:b/>
      <w:color w:val="FF0000"/>
      <w:sz w:val="24"/>
      <w:szCs w:val="20"/>
      <w:lang w:eastAsia="en-AU"/>
    </w:rPr>
  </w:style>
  <w:style w:type="character" w:customStyle="1" w:styleId="DLMSecurityFooterChar">
    <w:name w:val="DLM Security Footer Char"/>
    <w:basedOn w:val="HeaderChar"/>
    <w:link w:val="DLMSecurityFooter"/>
    <w:rsid w:val="00F5365A"/>
    <w:rPr>
      <w:rFonts w:ascii="Calibri" w:eastAsia="Times New Roman" w:hAnsi="Calibri" w:cs="Calibri"/>
      <w:b/>
      <w:color w:val="FF0000"/>
      <w:sz w:val="24"/>
      <w:szCs w:val="20"/>
      <w:lang w:eastAsia="en-AU"/>
    </w:rPr>
  </w:style>
  <w:style w:type="character" w:styleId="Emphasis">
    <w:name w:val="Emphasis"/>
    <w:basedOn w:val="DefaultParagraphFont"/>
    <w:uiPriority w:val="20"/>
    <w:qFormat/>
    <w:rsid w:val="00444CDB"/>
    <w:rPr>
      <w:i/>
      <w:iCs/>
    </w:rPr>
  </w:style>
  <w:style w:type="character" w:styleId="Strong">
    <w:name w:val="Strong"/>
    <w:basedOn w:val="DefaultParagraphFont"/>
    <w:uiPriority w:val="22"/>
    <w:qFormat/>
    <w:rsid w:val="00444CDB"/>
    <w:rPr>
      <w:b/>
      <w:bCs/>
    </w:rPr>
  </w:style>
  <w:style w:type="table" w:styleId="TableGridLight">
    <w:name w:val="Grid Table Light"/>
    <w:basedOn w:val="TableNormal"/>
    <w:uiPriority w:val="40"/>
    <w:rsid w:val="000B496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CAB - List Bullet Char,List Bullet Cab Char,1 heading Char,Bullet point Char,Bulletr List Paragraph Char,Dot point 1.5 line spacing Char,Dot pt Char,FooterText Char,L Char,List Paragraph - bullets Char,List Paragraph1 Char"/>
    <w:link w:val="ListParagraph"/>
    <w:uiPriority w:val="34"/>
    <w:qFormat/>
    <w:locked/>
    <w:rsid w:val="00B818E4"/>
    <w:rPr>
      <w:rFonts w:ascii="Calibri Light" w:eastAsia="Times New Roman" w:hAnsi="Calibri Light" w:cs="Times New Roman"/>
      <w:szCs w:val="20"/>
      <w:lang w:eastAsia="en-AU"/>
    </w:rPr>
  </w:style>
  <w:style w:type="paragraph" w:styleId="NormalIndent">
    <w:name w:val="Normal Indent"/>
    <w:basedOn w:val="Normal"/>
    <w:uiPriority w:val="99"/>
    <w:unhideWhenUsed/>
    <w:rsid w:val="00CF1C7F"/>
    <w:pPr>
      <w:ind w:left="720"/>
    </w:pPr>
  </w:style>
  <w:style w:type="character" w:styleId="UnresolvedMention">
    <w:name w:val="Unresolved Mention"/>
    <w:basedOn w:val="DefaultParagraphFont"/>
    <w:uiPriority w:val="99"/>
    <w:semiHidden/>
    <w:unhideWhenUsed/>
    <w:rsid w:val="00511B56"/>
    <w:rPr>
      <w:color w:val="605E5C"/>
      <w:shd w:val="clear" w:color="auto" w:fill="E1DFDD"/>
    </w:rPr>
  </w:style>
  <w:style w:type="character" w:styleId="FollowedHyperlink">
    <w:name w:val="FollowedHyperlink"/>
    <w:basedOn w:val="DefaultParagraphFont"/>
    <w:uiPriority w:val="99"/>
    <w:semiHidden/>
    <w:unhideWhenUsed/>
    <w:rsid w:val="00B2049B"/>
    <w:rPr>
      <w:color w:val="844D9E" w:themeColor="followedHyperlink"/>
      <w:u w:val="single"/>
    </w:rPr>
  </w:style>
  <w:style w:type="paragraph" w:styleId="Revision">
    <w:name w:val="Revision"/>
    <w:hidden/>
    <w:uiPriority w:val="99"/>
    <w:semiHidden/>
    <w:rsid w:val="00854F39"/>
    <w:pPr>
      <w:spacing w:after="0" w:line="240" w:lineRule="auto"/>
    </w:pPr>
    <w:rPr>
      <w:rFonts w:ascii="Calibri Light" w:eastAsia="Times New Roman" w:hAnsi="Calibri Light" w:cs="Times New Roman"/>
      <w:szCs w:val="20"/>
      <w:lang w:eastAsia="en-AU"/>
    </w:rPr>
  </w:style>
  <w:style w:type="paragraph" w:styleId="CommentSubject">
    <w:name w:val="annotation subject"/>
    <w:basedOn w:val="CommentText"/>
    <w:next w:val="CommentText"/>
    <w:link w:val="CommentSubjectChar"/>
    <w:uiPriority w:val="99"/>
    <w:semiHidden/>
    <w:unhideWhenUsed/>
    <w:rsid w:val="007117AA"/>
    <w:rPr>
      <w:rFonts w:ascii="Calibri Light" w:hAnsi="Calibri Light"/>
      <w:b/>
      <w:bCs/>
    </w:rPr>
  </w:style>
  <w:style w:type="character" w:customStyle="1" w:styleId="CommentSubjectChar">
    <w:name w:val="Comment Subject Char"/>
    <w:basedOn w:val="CommentTextChar"/>
    <w:link w:val="CommentSubject"/>
    <w:uiPriority w:val="99"/>
    <w:semiHidden/>
    <w:rsid w:val="007117AA"/>
    <w:rPr>
      <w:rFonts w:ascii="Calibri Light" w:eastAsia="Times New Roman" w:hAnsi="Calibri Light" w:cs="Times New Roman"/>
      <w:b/>
      <w:bCs/>
      <w:sz w:val="20"/>
      <w:szCs w:val="20"/>
      <w:lang w:eastAsia="en-AU"/>
    </w:rPr>
  </w:style>
  <w:style w:type="paragraph" w:customStyle="1" w:styleId="pf0">
    <w:name w:val="pf0"/>
    <w:basedOn w:val="Normal"/>
    <w:rsid w:val="00BE3FA1"/>
    <w:pPr>
      <w:spacing w:before="100" w:beforeAutospacing="1" w:after="100" w:afterAutospacing="1"/>
    </w:pPr>
    <w:rPr>
      <w:rFonts w:ascii="Times New Roman" w:hAnsi="Times New Roman"/>
      <w:sz w:val="24"/>
      <w:szCs w:val="24"/>
    </w:rPr>
  </w:style>
  <w:style w:type="character" w:customStyle="1" w:styleId="cf01">
    <w:name w:val="cf01"/>
    <w:basedOn w:val="DefaultParagraphFont"/>
    <w:rsid w:val="00BE3FA1"/>
    <w:rPr>
      <w:rFonts w:ascii="Segoe UI" w:hAnsi="Segoe UI" w:cs="Segoe UI" w:hint="default"/>
      <w:b/>
      <w:bCs/>
      <w:color w:val="FF0000"/>
      <w:sz w:val="18"/>
      <w:szCs w:val="18"/>
    </w:rPr>
  </w:style>
  <w:style w:type="character" w:customStyle="1" w:styleId="cf11">
    <w:name w:val="cf11"/>
    <w:basedOn w:val="DefaultParagraphFont"/>
    <w:rsid w:val="00BE3FA1"/>
    <w:rPr>
      <w:rFonts w:ascii="Segoe UI" w:hAnsi="Segoe UI" w:cs="Segoe UI" w:hint="default"/>
      <w:color w:val="FF0000"/>
      <w:sz w:val="18"/>
      <w:szCs w:val="18"/>
    </w:rPr>
  </w:style>
  <w:style w:type="paragraph" w:styleId="NormalWeb">
    <w:name w:val="Normal (Web)"/>
    <w:basedOn w:val="Normal"/>
    <w:uiPriority w:val="99"/>
    <w:semiHidden/>
    <w:unhideWhenUsed/>
    <w:rsid w:val="002F3704"/>
    <w:rPr>
      <w:rFonts w:ascii="Times New Roman" w:hAnsi="Times New Roman"/>
      <w:sz w:val="24"/>
      <w:szCs w:val="24"/>
    </w:rPr>
  </w:style>
  <w:style w:type="character" w:styleId="Mention">
    <w:name w:val="Mention"/>
    <w:basedOn w:val="DefaultParagraphFont"/>
    <w:uiPriority w:val="99"/>
    <w:unhideWhenUsed/>
    <w:rsid w:val="00A300C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803043355">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976422256">
      <w:bodyDiv w:val="1"/>
      <w:marLeft w:val="0"/>
      <w:marRight w:val="0"/>
      <w:marTop w:val="0"/>
      <w:marBottom w:val="0"/>
      <w:divBdr>
        <w:top w:val="none" w:sz="0" w:space="0" w:color="auto"/>
        <w:left w:val="none" w:sz="0" w:space="0" w:color="auto"/>
        <w:bottom w:val="none" w:sz="0" w:space="0" w:color="auto"/>
        <w:right w:val="none" w:sz="0" w:space="0" w:color="auto"/>
      </w:divBdr>
    </w:div>
    <w:div w:id="990405744">
      <w:bodyDiv w:val="1"/>
      <w:marLeft w:val="0"/>
      <w:marRight w:val="0"/>
      <w:marTop w:val="0"/>
      <w:marBottom w:val="0"/>
      <w:divBdr>
        <w:top w:val="none" w:sz="0" w:space="0" w:color="auto"/>
        <w:left w:val="none" w:sz="0" w:space="0" w:color="auto"/>
        <w:bottom w:val="none" w:sz="0" w:space="0" w:color="auto"/>
        <w:right w:val="none" w:sz="0" w:space="0" w:color="auto"/>
      </w:divBdr>
    </w:div>
    <w:div w:id="1015880752">
      <w:bodyDiv w:val="1"/>
      <w:marLeft w:val="0"/>
      <w:marRight w:val="0"/>
      <w:marTop w:val="0"/>
      <w:marBottom w:val="0"/>
      <w:divBdr>
        <w:top w:val="none" w:sz="0" w:space="0" w:color="auto"/>
        <w:left w:val="none" w:sz="0" w:space="0" w:color="auto"/>
        <w:bottom w:val="none" w:sz="0" w:space="0" w:color="auto"/>
        <w:right w:val="none" w:sz="0" w:space="0" w:color="auto"/>
      </w:divBdr>
    </w:div>
    <w:div w:id="1125849286">
      <w:bodyDiv w:val="1"/>
      <w:marLeft w:val="0"/>
      <w:marRight w:val="0"/>
      <w:marTop w:val="0"/>
      <w:marBottom w:val="0"/>
      <w:divBdr>
        <w:top w:val="none" w:sz="0" w:space="0" w:color="auto"/>
        <w:left w:val="none" w:sz="0" w:space="0" w:color="auto"/>
        <w:bottom w:val="none" w:sz="0" w:space="0" w:color="auto"/>
        <w:right w:val="none" w:sz="0" w:space="0" w:color="auto"/>
      </w:divBdr>
    </w:div>
    <w:div w:id="1292974415">
      <w:bodyDiv w:val="1"/>
      <w:marLeft w:val="0"/>
      <w:marRight w:val="0"/>
      <w:marTop w:val="0"/>
      <w:marBottom w:val="0"/>
      <w:divBdr>
        <w:top w:val="none" w:sz="0" w:space="0" w:color="auto"/>
        <w:left w:val="none" w:sz="0" w:space="0" w:color="auto"/>
        <w:bottom w:val="none" w:sz="0" w:space="0" w:color="auto"/>
        <w:right w:val="none" w:sz="0" w:space="0" w:color="auto"/>
      </w:divBdr>
    </w:div>
    <w:div w:id="1341666475">
      <w:bodyDiv w:val="1"/>
      <w:marLeft w:val="0"/>
      <w:marRight w:val="0"/>
      <w:marTop w:val="0"/>
      <w:marBottom w:val="0"/>
      <w:divBdr>
        <w:top w:val="none" w:sz="0" w:space="0" w:color="auto"/>
        <w:left w:val="none" w:sz="0" w:space="0" w:color="auto"/>
        <w:bottom w:val="none" w:sz="0" w:space="0" w:color="auto"/>
        <w:right w:val="none" w:sz="0" w:space="0" w:color="auto"/>
      </w:divBdr>
    </w:div>
    <w:div w:id="1496724414">
      <w:bodyDiv w:val="1"/>
      <w:marLeft w:val="0"/>
      <w:marRight w:val="0"/>
      <w:marTop w:val="0"/>
      <w:marBottom w:val="0"/>
      <w:divBdr>
        <w:top w:val="none" w:sz="0" w:space="0" w:color="auto"/>
        <w:left w:val="none" w:sz="0" w:space="0" w:color="auto"/>
        <w:bottom w:val="none" w:sz="0" w:space="0" w:color="auto"/>
        <w:right w:val="none" w:sz="0" w:space="0" w:color="auto"/>
      </w:divBdr>
    </w:div>
    <w:div w:id="1827696944">
      <w:bodyDiv w:val="1"/>
      <w:marLeft w:val="0"/>
      <w:marRight w:val="0"/>
      <w:marTop w:val="0"/>
      <w:marBottom w:val="0"/>
      <w:divBdr>
        <w:top w:val="none" w:sz="0" w:space="0" w:color="auto"/>
        <w:left w:val="none" w:sz="0" w:space="0" w:color="auto"/>
        <w:bottom w:val="none" w:sz="0" w:space="0" w:color="auto"/>
        <w:right w:val="none" w:sz="0" w:space="0" w:color="auto"/>
      </w:divBdr>
    </w:div>
    <w:div w:id="1896745287">
      <w:bodyDiv w:val="1"/>
      <w:marLeft w:val="0"/>
      <w:marRight w:val="0"/>
      <w:marTop w:val="0"/>
      <w:marBottom w:val="0"/>
      <w:divBdr>
        <w:top w:val="none" w:sz="0" w:space="0" w:color="auto"/>
        <w:left w:val="none" w:sz="0" w:space="0" w:color="auto"/>
        <w:bottom w:val="none" w:sz="0" w:space="0" w:color="auto"/>
        <w:right w:val="none" w:sz="0" w:space="0" w:color="auto"/>
      </w:divBdr>
    </w:div>
    <w:div w:id="2015952920">
      <w:bodyDiv w:val="1"/>
      <w:marLeft w:val="0"/>
      <w:marRight w:val="0"/>
      <w:marTop w:val="0"/>
      <w:marBottom w:val="0"/>
      <w:divBdr>
        <w:top w:val="none" w:sz="0" w:space="0" w:color="auto"/>
        <w:left w:val="none" w:sz="0" w:space="0" w:color="auto"/>
        <w:bottom w:val="none" w:sz="0" w:space="0" w:color="auto"/>
        <w:right w:val="none" w:sz="0" w:space="0" w:color="auto"/>
      </w:divBdr>
    </w:div>
    <w:div w:id="2021395362">
      <w:bodyDiv w:val="1"/>
      <w:marLeft w:val="0"/>
      <w:marRight w:val="0"/>
      <w:marTop w:val="0"/>
      <w:marBottom w:val="0"/>
      <w:divBdr>
        <w:top w:val="none" w:sz="0" w:space="0" w:color="auto"/>
        <w:left w:val="none" w:sz="0" w:space="0" w:color="auto"/>
        <w:bottom w:val="none" w:sz="0" w:space="0" w:color="auto"/>
        <w:right w:val="none" w:sz="0" w:space="0" w:color="auto"/>
      </w:divBdr>
    </w:div>
    <w:div w:id="2098746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eader" Target="header4.xml"/><Relationship Id="rId34" Type="http://schemas.openxmlformats.org/officeDocument/2006/relationships/image" Target="media/image15.png"/><Relationship Id="rId42" Type="http://schemas.openxmlformats.org/officeDocument/2006/relationships/hyperlink" Target="https://eur-lex.europa.eu/eli/dir/2011/83/oj/eng" TargetMode="External"/><Relationship Id="rId47" Type="http://schemas.openxmlformats.org/officeDocument/2006/relationships/hyperlink" Target="https://eur-lex.europa.eu/eli/dir/2011/83/oj/eng" TargetMode="External"/><Relationship Id="rId50" Type="http://schemas.openxmlformats.org/officeDocument/2006/relationships/hyperlink" Target="https://eur-lex.europa.eu/eli/dir/2019/770/oj/eng" TargetMode="External"/><Relationship Id="rId55" Type="http://schemas.openxmlformats.org/officeDocument/2006/relationships/hyperlink" Target="https://www.legislation.gov.uk/ukpga/2015/15/contents" TargetMode="External"/><Relationship Id="rId63" Type="http://schemas.openxmlformats.org/officeDocument/2006/relationships/hyperlink" Target="https://sso.agc.gov.sg/act/cpfta2003"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image" Target="media/image10.svg"/><Relationship Id="rId11" Type="http://schemas.openxmlformats.org/officeDocument/2006/relationships/hyperlink" Target="https://creativecommons.org/licenses/by/4.0/legalcode" TargetMode="External"/><Relationship Id="rId24" Type="http://schemas.openxmlformats.org/officeDocument/2006/relationships/header" Target="header5.xml"/><Relationship Id="rId32" Type="http://schemas.openxmlformats.org/officeDocument/2006/relationships/image" Target="media/image13.png"/><Relationship Id="rId37" Type="http://schemas.openxmlformats.org/officeDocument/2006/relationships/footer" Target="footer7.xml"/><Relationship Id="rId40" Type="http://schemas.openxmlformats.org/officeDocument/2006/relationships/hyperlink" Target="https://eur-lex.europa.eu/eli/dir/2005/29/oj/eng" TargetMode="External"/><Relationship Id="rId45" Type="http://schemas.openxmlformats.org/officeDocument/2006/relationships/hyperlink" Target="https://eur-lex.europa.eu/eli/dir/2005/29/oj/eng" TargetMode="External"/><Relationship Id="rId53" Type="http://schemas.openxmlformats.org/officeDocument/2006/relationships/hyperlink" Target="https://www.legislation.gov.uk/uksi/2008/1277/contents" TargetMode="External"/><Relationship Id="rId58" Type="http://schemas.openxmlformats.org/officeDocument/2006/relationships/hyperlink" Target="https://www.legislation.gov.uk/ukpga/1987/43"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sso.agc.gov.sg/Act/UCTA1977" TargetMode="External"/><Relationship Id="rId19" Type="http://schemas.openxmlformats.org/officeDocument/2006/relationships/header" Target="header3.xml"/><Relationship Id="rId14" Type="http://schemas.openxmlformats.org/officeDocument/2006/relationships/hyperlink" Target="http://www.pmc.gov.au/government/commonwealth-coat-arms" TargetMode="External"/><Relationship Id="rId22" Type="http://schemas.openxmlformats.org/officeDocument/2006/relationships/footer" Target="footer3.xml"/><Relationship Id="rId27" Type="http://schemas.openxmlformats.org/officeDocument/2006/relationships/image" Target="media/image8.svg"/><Relationship Id="rId30" Type="http://schemas.openxmlformats.org/officeDocument/2006/relationships/image" Target="media/image11.png"/><Relationship Id="rId35" Type="http://schemas.openxmlformats.org/officeDocument/2006/relationships/image" Target="media/image16.svg"/><Relationship Id="rId43" Type="http://schemas.openxmlformats.org/officeDocument/2006/relationships/hyperlink" Target="https://eur-lex.europa.eu/eli/dir/2019/2161/oj/eng" TargetMode="External"/><Relationship Id="rId48" Type="http://schemas.openxmlformats.org/officeDocument/2006/relationships/hyperlink" Target="https://eur-lex.europa.eu/eli/dir/2019/2161/oj/eng" TargetMode="External"/><Relationship Id="rId56" Type="http://schemas.openxmlformats.org/officeDocument/2006/relationships/hyperlink" Target="https://www.legislation.gov.uk/ukpga/2015/15/contents" TargetMode="External"/><Relationship Id="rId64" Type="http://schemas.openxmlformats.org/officeDocument/2006/relationships/footer" Target="footer9.xml"/><Relationship Id="rId8" Type="http://schemas.openxmlformats.org/officeDocument/2006/relationships/image" Target="media/image2.png"/><Relationship Id="rId51" Type="http://schemas.openxmlformats.org/officeDocument/2006/relationships/hyperlink" Target="https://eur-lex.europa.eu/eli/dir/2019/771/oj/eng" TargetMode="External"/><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image" Target="media/image14.svg"/><Relationship Id="rId38" Type="http://schemas.openxmlformats.org/officeDocument/2006/relationships/footer" Target="footer8.xml"/><Relationship Id="rId46" Type="http://schemas.openxmlformats.org/officeDocument/2006/relationships/hyperlink" Target="https://eur-lex.europa.eu/eli/dir/2006/114/oj/eng" TargetMode="External"/><Relationship Id="rId59" Type="http://schemas.openxmlformats.org/officeDocument/2006/relationships/hyperlink" Target="https://sso.agc.gov.sg/act/cpfta2003?ProvIds=Sc2-" TargetMode="External"/><Relationship Id="rId67"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hyperlink" Target="https://eur-lex.europa.eu/eli/dir/2006/114/oj/eng" TargetMode="External"/><Relationship Id="rId54" Type="http://schemas.openxmlformats.org/officeDocument/2006/relationships/hyperlink" Target="https://www.legislation.gov.uk/uksi/2008/1277/contents" TargetMode="External"/><Relationship Id="rId62" Type="http://schemas.openxmlformats.org/officeDocument/2006/relationships/hyperlink" Target="https://sso.agc.gov.sg/Act/SGA1979"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media@treasury.gov.au" TargetMode="External"/><Relationship Id="rId23" Type="http://schemas.openxmlformats.org/officeDocument/2006/relationships/footer" Target="footer4.xml"/><Relationship Id="rId28" Type="http://schemas.openxmlformats.org/officeDocument/2006/relationships/image" Target="media/image9.png"/><Relationship Id="rId36" Type="http://schemas.openxmlformats.org/officeDocument/2006/relationships/footer" Target="footer6.xml"/><Relationship Id="rId49" Type="http://schemas.openxmlformats.org/officeDocument/2006/relationships/hyperlink" Target="https://eur-lex.europa.eu/eli/dir/1993/13/oj/eng" TargetMode="External"/><Relationship Id="rId57" Type="http://schemas.openxmlformats.org/officeDocument/2006/relationships/hyperlink" Target="https://www.legislation.gov.uk/uksi/2005/1803/contents" TargetMode="External"/><Relationship Id="rId10" Type="http://schemas.openxmlformats.org/officeDocument/2006/relationships/hyperlink" Target="https://creativecommons.org/licenses/by/4.0/" TargetMode="External"/><Relationship Id="rId31" Type="http://schemas.openxmlformats.org/officeDocument/2006/relationships/image" Target="media/image12.svg"/><Relationship Id="rId44" Type="http://schemas.openxmlformats.org/officeDocument/2006/relationships/hyperlink" Target="https://eur-lex.europa.eu/eli/dir/1998/6/oj/eng" TargetMode="External"/><Relationship Id="rId52" Type="http://schemas.openxmlformats.org/officeDocument/2006/relationships/hyperlink" Target="https://eur-lex.europa.eu/eli/dir/2024/2853/oj/eng" TargetMode="External"/><Relationship Id="rId60" Type="http://schemas.openxmlformats.org/officeDocument/2006/relationships/hyperlink" Target="https://sso.agc.gov.sg/act/cpfta2003?ProvIds=Sc2-" TargetMode="External"/><Relationship Id="rId65"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creativecommons.org/licenses/by/4.0/" TargetMode="External"/><Relationship Id="rId18" Type="http://schemas.openxmlformats.org/officeDocument/2006/relationships/footer" Target="footer1.xml"/><Relationship Id="rId39" Type="http://schemas.openxmlformats.org/officeDocument/2006/relationships/hyperlink" Target="https://eur-lex.europa.eu/eli/dir/1998/6/oj/en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10.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5.png"/></Relationships>
</file>

<file path=word/_rels/footer9.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3" Type="http://schemas.openxmlformats.org/officeDocument/2006/relationships/hyperlink" Target="https://www.accc.gov.au/about-us/accc-priorities/compliance-and-enforcement-priorities" TargetMode="External"/><Relationship Id="rId18" Type="http://schemas.openxmlformats.org/officeDocument/2006/relationships/hyperlink" Target="https://www.legislation.gov.uk/ukpga/2015/15/notes/division/3/1/4" TargetMode="External"/><Relationship Id="rId26" Type="http://schemas.openxmlformats.org/officeDocument/2006/relationships/hyperlink" Target="https://eur-lex.europa.eu/eli/reg/2024/1689/oj/eng" TargetMode="External"/><Relationship Id="rId3" Type="http://schemas.openxmlformats.org/officeDocument/2006/relationships/hyperlink" Target="https://ministers.treasury.gov.au/ministers/stephen-jones-2022/media-releases/consumer-affairs-ministers-renew-commitment-protecting" TargetMode="External"/><Relationship Id="rId21" Type="http://schemas.openxmlformats.org/officeDocument/2006/relationships/hyperlink" Target="https://consumer.gov.au/sites/consumer/files/inline-files/acl-aust-consumer-survey-2023.pdf" TargetMode="External"/><Relationship Id="rId34" Type="http://schemas.openxmlformats.org/officeDocument/2006/relationships/hyperlink" Target="https://eur-lex.europa.eu/eli/dir/2019/770/oj/eng" TargetMode="External"/><Relationship Id="rId7" Type="http://schemas.openxmlformats.org/officeDocument/2006/relationships/hyperlink" Target="https://www.homeaffairs.gov.au/about-us/our-portfolios/cyber-security/strategy/2023-2030-australian-cyber-security-strategy" TargetMode="External"/><Relationship Id="rId12" Type="http://schemas.openxmlformats.org/officeDocument/2006/relationships/hyperlink" Target="https://www.industry.gov.au/publications/voluntary-ai-safety-standard" TargetMode="External"/><Relationship Id="rId17" Type="http://schemas.openxmlformats.org/officeDocument/2006/relationships/hyperlink" Target="https://minister.infrastructure.gov.au/rowland/media-release/new-duty-care-obligations-platforms-will-keep-australians-safer-online" TargetMode="External"/><Relationship Id="rId25" Type="http://schemas.openxmlformats.org/officeDocument/2006/relationships/hyperlink" Target="https://eur-lex.europa.eu/eli/reg/2023/2854/oj/eng" TargetMode="External"/><Relationship Id="rId33" Type="http://schemas.openxmlformats.org/officeDocument/2006/relationships/hyperlink" Target="https://www.pdpc.gov.sg/guidelines-and-consultation/2024/02/advisory-guidelines-on-use-of-personal-data-in-ai-recommendation-and-decision-systems" TargetMode="External"/><Relationship Id="rId2" Type="http://schemas.openxmlformats.org/officeDocument/2006/relationships/hyperlink" Target="https://consult.industry.gov.au/ai-mandatory-guardrails" TargetMode="External"/><Relationship Id="rId16" Type="http://schemas.openxmlformats.org/officeDocument/2006/relationships/hyperlink" Target="https://treasury.gov.au/consultation/c2024-602157" TargetMode="External"/><Relationship Id="rId20" Type="http://schemas.openxmlformats.org/officeDocument/2006/relationships/hyperlink" Target="https://www.acma.gov.au/sites/default/files/2023-03/HOWWEU~1.PDF" TargetMode="External"/><Relationship Id="rId29" Type="http://schemas.openxmlformats.org/officeDocument/2006/relationships/hyperlink" Target="https://www.accc.gov.au/inquiries-and-consultations/digital-platform-services-inquiry-2020-25" TargetMode="External"/><Relationship Id="rId1" Type="http://schemas.openxmlformats.org/officeDocument/2006/relationships/hyperlink" Target="https://consult.industry.gov.au/supporting-responsible-ai" TargetMode="External"/><Relationship Id="rId6" Type="http://schemas.openxmlformats.org/officeDocument/2006/relationships/hyperlink" Target="https://treasury.gov.au/consultation/c2024-583535" TargetMode="External"/><Relationship Id="rId11" Type="http://schemas.openxmlformats.org/officeDocument/2006/relationships/hyperlink" Target="https://www.productsafety.gov.au/about-us/online-product-safety-pledge" TargetMode="External"/><Relationship Id="rId24" Type="http://schemas.openxmlformats.org/officeDocument/2006/relationships/hyperlink" Target="https://www.alrc.gov.au/publication/corporate-criminal-responsibility/" TargetMode="External"/><Relationship Id="rId32" Type="http://schemas.openxmlformats.org/officeDocument/2006/relationships/hyperlink" Target="https://aiverifyfoundation.sg/wp-content/uploads/2024/05/Model-AI-Governance-Framework-for-Generative-AI-May-2024-1-1.pdf." TargetMode="External"/><Relationship Id="rId5" Type="http://schemas.openxmlformats.org/officeDocument/2006/relationships/hyperlink" Target="https://treasury.gov.au/consultation/c2024-602157" TargetMode="External"/><Relationship Id="rId15" Type="http://schemas.openxmlformats.org/officeDocument/2006/relationships/hyperlink" Target="https://www.pm.gov.au/media/albanese-government-stop-rip-offs-unfair-trading-practices" TargetMode="External"/><Relationship Id="rId23" Type="http://schemas.openxmlformats.org/officeDocument/2006/relationships/hyperlink" Target="https://www.alrc.gov.au/publication/discussion-paper-87/" TargetMode="External"/><Relationship Id="rId28" Type="http://schemas.openxmlformats.org/officeDocument/2006/relationships/hyperlink" Target="https://eur-lex.europa.eu/eli/reg/2022/1925/oj/eng" TargetMode="External"/><Relationship Id="rId36" Type="http://schemas.openxmlformats.org/officeDocument/2006/relationships/hyperlink" Target="https://eur-lex.europa.eu/eli/dir/2024/2853/oj/eng" TargetMode="External"/><Relationship Id="rId10" Type="http://schemas.openxmlformats.org/officeDocument/2006/relationships/hyperlink" Target="https://minister.infrastructure.gov.au/rowland/media-release/new-duty-care-obligations-platforms-will-keep-australians-safer-online" TargetMode="External"/><Relationship Id="rId19" Type="http://schemas.openxmlformats.org/officeDocument/2006/relationships/hyperlink" Target="https://treasury.gov.au/sites/default/files/2024-10/c2021-224294-accc.pdf" TargetMode="External"/><Relationship Id="rId31" Type="http://schemas.openxmlformats.org/officeDocument/2006/relationships/hyperlink" Target="https://hansard.parliament.uk/lords/2024-07-17/debates/CC6B5513-FCF7-4377-A9FA-4080C676DBEA/King%E2%80%99SSpeech" TargetMode="External"/><Relationship Id="rId4" Type="http://schemas.openxmlformats.org/officeDocument/2006/relationships/hyperlink" Target="https://treasury.gov.au/consultation/c2024-584560" TargetMode="External"/><Relationship Id="rId9" Type="http://schemas.openxmlformats.org/officeDocument/2006/relationships/hyperlink" Target="https://treasury.gov.au/publication/p2025-623966" TargetMode="External"/><Relationship Id="rId14" Type="http://schemas.openxmlformats.org/officeDocument/2006/relationships/hyperlink" Target="https://www.accc.gov.au/about-us/accc-priorities/compliance-and-enforcement-priorities" TargetMode="External"/><Relationship Id="rId22" Type="http://schemas.openxmlformats.org/officeDocument/2006/relationships/hyperlink" Target="https://eur-lex.europa.eu/legal-content/EN/TXT/?uri=celex:52022PC0496" TargetMode="External"/><Relationship Id="rId27" Type="http://schemas.openxmlformats.org/officeDocument/2006/relationships/hyperlink" Target="https://eur-lex.europa.eu/legal-content/EN/TXT/?uri=CELEX%3A32022R2065" TargetMode="External"/><Relationship Id="rId30" Type="http://schemas.openxmlformats.org/officeDocument/2006/relationships/hyperlink" Target="https://www.gov.uk/government/publications/cma-ai-strategic-update/cma-ai-strategic-update" TargetMode="External"/><Relationship Id="rId35" Type="http://schemas.openxmlformats.org/officeDocument/2006/relationships/hyperlink" Target="https://eur-lex.europa.eu/eli/dir/2019/771/oj/eng" TargetMode="External"/><Relationship Id="rId8" Type="http://schemas.openxmlformats.org/officeDocument/2006/relationships/hyperlink" Target="https://www.ag.gov.au/rights-and-protections/publications/government-response-privacy-act-review-report"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SYBrand">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19114</Words>
  <Characters>100928</Characters>
  <Application>Microsoft Office Word</Application>
  <DocSecurity>0</DocSecurity>
  <Lines>6728</Lines>
  <Paragraphs>5001</Paragraphs>
  <ScaleCrop>false</ScaleCrop>
  <HeadingPairs>
    <vt:vector size="2" baseType="variant">
      <vt:variant>
        <vt:lpstr>Title</vt:lpstr>
      </vt:variant>
      <vt:variant>
        <vt:i4>1</vt:i4>
      </vt:variant>
    </vt:vector>
  </HeadingPairs>
  <TitlesOfParts>
    <vt:vector size="1" baseType="lpstr">
      <vt:lpstr>Final report: Review of AI and the Australian Consumer Law</vt:lpstr>
    </vt:vector>
  </TitlesOfParts>
  <Company/>
  <LinksUpToDate>false</LinksUpToDate>
  <CharactersWithSpaces>115041</CharactersWithSpaces>
  <SharedDoc>false</SharedDoc>
  <HLinks>
    <vt:vector size="528" baseType="variant">
      <vt:variant>
        <vt:i4>5308505</vt:i4>
      </vt:variant>
      <vt:variant>
        <vt:i4>243</vt:i4>
      </vt:variant>
      <vt:variant>
        <vt:i4>0</vt:i4>
      </vt:variant>
      <vt:variant>
        <vt:i4>5</vt:i4>
      </vt:variant>
      <vt:variant>
        <vt:lpwstr>https://sso.agc.gov.sg/act/cpfta2003</vt:lpwstr>
      </vt:variant>
      <vt:variant>
        <vt:lpwstr/>
      </vt:variant>
      <vt:variant>
        <vt:i4>2359358</vt:i4>
      </vt:variant>
      <vt:variant>
        <vt:i4>240</vt:i4>
      </vt:variant>
      <vt:variant>
        <vt:i4>0</vt:i4>
      </vt:variant>
      <vt:variant>
        <vt:i4>5</vt:i4>
      </vt:variant>
      <vt:variant>
        <vt:lpwstr>https://sso.agc.gov.sg/Act/SGA1979</vt:lpwstr>
      </vt:variant>
      <vt:variant>
        <vt:lpwstr/>
      </vt:variant>
      <vt:variant>
        <vt:i4>3211364</vt:i4>
      </vt:variant>
      <vt:variant>
        <vt:i4>237</vt:i4>
      </vt:variant>
      <vt:variant>
        <vt:i4>0</vt:i4>
      </vt:variant>
      <vt:variant>
        <vt:i4>5</vt:i4>
      </vt:variant>
      <vt:variant>
        <vt:lpwstr>https://sso.agc.gov.sg/Act/UCTA1977</vt:lpwstr>
      </vt:variant>
      <vt:variant>
        <vt:lpwstr/>
      </vt:variant>
      <vt:variant>
        <vt:i4>1376344</vt:i4>
      </vt:variant>
      <vt:variant>
        <vt:i4>234</vt:i4>
      </vt:variant>
      <vt:variant>
        <vt:i4>0</vt:i4>
      </vt:variant>
      <vt:variant>
        <vt:i4>5</vt:i4>
      </vt:variant>
      <vt:variant>
        <vt:lpwstr>https://sso.agc.gov.sg/act/cpfta2003?ProvIds=Sc2-</vt:lpwstr>
      </vt:variant>
      <vt:variant>
        <vt:lpwstr/>
      </vt:variant>
      <vt:variant>
        <vt:i4>4587532</vt:i4>
      </vt:variant>
      <vt:variant>
        <vt:i4>231</vt:i4>
      </vt:variant>
      <vt:variant>
        <vt:i4>0</vt:i4>
      </vt:variant>
      <vt:variant>
        <vt:i4>5</vt:i4>
      </vt:variant>
      <vt:variant>
        <vt:lpwstr>https://www.legislation.gov.uk/ukpga/1987/43</vt:lpwstr>
      </vt:variant>
      <vt:variant>
        <vt:lpwstr/>
      </vt:variant>
      <vt:variant>
        <vt:i4>3342381</vt:i4>
      </vt:variant>
      <vt:variant>
        <vt:i4>228</vt:i4>
      </vt:variant>
      <vt:variant>
        <vt:i4>0</vt:i4>
      </vt:variant>
      <vt:variant>
        <vt:i4>5</vt:i4>
      </vt:variant>
      <vt:variant>
        <vt:lpwstr>https://www.legislation.gov.uk/uksi/2005/1803/contents</vt:lpwstr>
      </vt:variant>
      <vt:variant>
        <vt:lpwstr/>
      </vt:variant>
      <vt:variant>
        <vt:i4>5636184</vt:i4>
      </vt:variant>
      <vt:variant>
        <vt:i4>225</vt:i4>
      </vt:variant>
      <vt:variant>
        <vt:i4>0</vt:i4>
      </vt:variant>
      <vt:variant>
        <vt:i4>5</vt:i4>
      </vt:variant>
      <vt:variant>
        <vt:lpwstr>https://www.legislation.gov.uk/ukpga/2015/15/contents</vt:lpwstr>
      </vt:variant>
      <vt:variant>
        <vt:lpwstr/>
      </vt:variant>
      <vt:variant>
        <vt:i4>5636184</vt:i4>
      </vt:variant>
      <vt:variant>
        <vt:i4>222</vt:i4>
      </vt:variant>
      <vt:variant>
        <vt:i4>0</vt:i4>
      </vt:variant>
      <vt:variant>
        <vt:i4>5</vt:i4>
      </vt:variant>
      <vt:variant>
        <vt:lpwstr>https://www.legislation.gov.uk/ukpga/2015/15/contents</vt:lpwstr>
      </vt:variant>
      <vt:variant>
        <vt:lpwstr/>
      </vt:variant>
      <vt:variant>
        <vt:i4>3735587</vt:i4>
      </vt:variant>
      <vt:variant>
        <vt:i4>219</vt:i4>
      </vt:variant>
      <vt:variant>
        <vt:i4>0</vt:i4>
      </vt:variant>
      <vt:variant>
        <vt:i4>5</vt:i4>
      </vt:variant>
      <vt:variant>
        <vt:lpwstr>https://www.legislation.gov.uk/uksi/2008/1277/contents</vt:lpwstr>
      </vt:variant>
      <vt:variant>
        <vt:lpwstr/>
      </vt:variant>
      <vt:variant>
        <vt:i4>7471215</vt:i4>
      </vt:variant>
      <vt:variant>
        <vt:i4>216</vt:i4>
      </vt:variant>
      <vt:variant>
        <vt:i4>0</vt:i4>
      </vt:variant>
      <vt:variant>
        <vt:i4>5</vt:i4>
      </vt:variant>
      <vt:variant>
        <vt:lpwstr>https://eur-lex.europa.eu/eli/dir/2024/2853/oj/eng</vt:lpwstr>
      </vt:variant>
      <vt:variant>
        <vt:lpwstr/>
      </vt:variant>
      <vt:variant>
        <vt:i4>1507422</vt:i4>
      </vt:variant>
      <vt:variant>
        <vt:i4>213</vt:i4>
      </vt:variant>
      <vt:variant>
        <vt:i4>0</vt:i4>
      </vt:variant>
      <vt:variant>
        <vt:i4>5</vt:i4>
      </vt:variant>
      <vt:variant>
        <vt:lpwstr>https://eur-lex.europa.eu/eli/dir/2019/771/oj/eng</vt:lpwstr>
      </vt:variant>
      <vt:variant>
        <vt:lpwstr/>
      </vt:variant>
      <vt:variant>
        <vt:i4>1441886</vt:i4>
      </vt:variant>
      <vt:variant>
        <vt:i4>210</vt:i4>
      </vt:variant>
      <vt:variant>
        <vt:i4>0</vt:i4>
      </vt:variant>
      <vt:variant>
        <vt:i4>5</vt:i4>
      </vt:variant>
      <vt:variant>
        <vt:lpwstr>https://eur-lex.europa.eu/eli/dir/2019/770/oj/eng</vt:lpwstr>
      </vt:variant>
      <vt:variant>
        <vt:lpwstr/>
      </vt:variant>
      <vt:variant>
        <vt:i4>4849759</vt:i4>
      </vt:variant>
      <vt:variant>
        <vt:i4>207</vt:i4>
      </vt:variant>
      <vt:variant>
        <vt:i4>0</vt:i4>
      </vt:variant>
      <vt:variant>
        <vt:i4>5</vt:i4>
      </vt:variant>
      <vt:variant>
        <vt:lpwstr>https://eur-lex.europa.eu/eli/dir/1993/13/oj/eng</vt:lpwstr>
      </vt:variant>
      <vt:variant>
        <vt:lpwstr/>
      </vt:variant>
      <vt:variant>
        <vt:i4>8126567</vt:i4>
      </vt:variant>
      <vt:variant>
        <vt:i4>204</vt:i4>
      </vt:variant>
      <vt:variant>
        <vt:i4>0</vt:i4>
      </vt:variant>
      <vt:variant>
        <vt:i4>5</vt:i4>
      </vt:variant>
      <vt:variant>
        <vt:lpwstr>https://eur-lex.europa.eu/eli/dir/2019/2161/oj/eng</vt:lpwstr>
      </vt:variant>
      <vt:variant>
        <vt:lpwstr/>
      </vt:variant>
      <vt:variant>
        <vt:i4>4718676</vt:i4>
      </vt:variant>
      <vt:variant>
        <vt:i4>201</vt:i4>
      </vt:variant>
      <vt:variant>
        <vt:i4>0</vt:i4>
      </vt:variant>
      <vt:variant>
        <vt:i4>5</vt:i4>
      </vt:variant>
      <vt:variant>
        <vt:lpwstr>https://eur-lex.europa.eu/eli/dir/2011/83/oj/eng</vt:lpwstr>
      </vt:variant>
      <vt:variant>
        <vt:lpwstr/>
      </vt:variant>
      <vt:variant>
        <vt:i4>1769561</vt:i4>
      </vt:variant>
      <vt:variant>
        <vt:i4>198</vt:i4>
      </vt:variant>
      <vt:variant>
        <vt:i4>0</vt:i4>
      </vt:variant>
      <vt:variant>
        <vt:i4>5</vt:i4>
      </vt:variant>
      <vt:variant>
        <vt:lpwstr>https://eur-lex.europa.eu/eli/dir/2006/114/oj/eng</vt:lpwstr>
      </vt:variant>
      <vt:variant>
        <vt:lpwstr/>
      </vt:variant>
      <vt:variant>
        <vt:i4>4587615</vt:i4>
      </vt:variant>
      <vt:variant>
        <vt:i4>195</vt:i4>
      </vt:variant>
      <vt:variant>
        <vt:i4>0</vt:i4>
      </vt:variant>
      <vt:variant>
        <vt:i4>5</vt:i4>
      </vt:variant>
      <vt:variant>
        <vt:lpwstr>https://eur-lex.europa.eu/eli/dir/2005/29/oj/eng</vt:lpwstr>
      </vt:variant>
      <vt:variant>
        <vt:lpwstr/>
      </vt:variant>
      <vt:variant>
        <vt:i4>3080290</vt:i4>
      </vt:variant>
      <vt:variant>
        <vt:i4>192</vt:i4>
      </vt:variant>
      <vt:variant>
        <vt:i4>0</vt:i4>
      </vt:variant>
      <vt:variant>
        <vt:i4>5</vt:i4>
      </vt:variant>
      <vt:variant>
        <vt:lpwstr>https://eur-lex.europa.eu/eli/dir/1998/6/oj/eng</vt:lpwstr>
      </vt:variant>
      <vt:variant>
        <vt:lpwstr/>
      </vt:variant>
      <vt:variant>
        <vt:i4>1638448</vt:i4>
      </vt:variant>
      <vt:variant>
        <vt:i4>185</vt:i4>
      </vt:variant>
      <vt:variant>
        <vt:i4>0</vt:i4>
      </vt:variant>
      <vt:variant>
        <vt:i4>5</vt:i4>
      </vt:variant>
      <vt:variant>
        <vt:lpwstr/>
      </vt:variant>
      <vt:variant>
        <vt:lpwstr>_Toc192160567</vt:lpwstr>
      </vt:variant>
      <vt:variant>
        <vt:i4>1638448</vt:i4>
      </vt:variant>
      <vt:variant>
        <vt:i4>179</vt:i4>
      </vt:variant>
      <vt:variant>
        <vt:i4>0</vt:i4>
      </vt:variant>
      <vt:variant>
        <vt:i4>5</vt:i4>
      </vt:variant>
      <vt:variant>
        <vt:lpwstr/>
      </vt:variant>
      <vt:variant>
        <vt:lpwstr>_Toc192160566</vt:lpwstr>
      </vt:variant>
      <vt:variant>
        <vt:i4>1638448</vt:i4>
      </vt:variant>
      <vt:variant>
        <vt:i4>173</vt:i4>
      </vt:variant>
      <vt:variant>
        <vt:i4>0</vt:i4>
      </vt:variant>
      <vt:variant>
        <vt:i4>5</vt:i4>
      </vt:variant>
      <vt:variant>
        <vt:lpwstr/>
      </vt:variant>
      <vt:variant>
        <vt:lpwstr>_Toc192160565</vt:lpwstr>
      </vt:variant>
      <vt:variant>
        <vt:i4>1638448</vt:i4>
      </vt:variant>
      <vt:variant>
        <vt:i4>167</vt:i4>
      </vt:variant>
      <vt:variant>
        <vt:i4>0</vt:i4>
      </vt:variant>
      <vt:variant>
        <vt:i4>5</vt:i4>
      </vt:variant>
      <vt:variant>
        <vt:lpwstr/>
      </vt:variant>
      <vt:variant>
        <vt:lpwstr>_Toc192160564</vt:lpwstr>
      </vt:variant>
      <vt:variant>
        <vt:i4>1638448</vt:i4>
      </vt:variant>
      <vt:variant>
        <vt:i4>161</vt:i4>
      </vt:variant>
      <vt:variant>
        <vt:i4>0</vt:i4>
      </vt:variant>
      <vt:variant>
        <vt:i4>5</vt:i4>
      </vt:variant>
      <vt:variant>
        <vt:lpwstr/>
      </vt:variant>
      <vt:variant>
        <vt:lpwstr>_Toc192160563</vt:lpwstr>
      </vt:variant>
      <vt:variant>
        <vt:i4>1638448</vt:i4>
      </vt:variant>
      <vt:variant>
        <vt:i4>155</vt:i4>
      </vt:variant>
      <vt:variant>
        <vt:i4>0</vt:i4>
      </vt:variant>
      <vt:variant>
        <vt:i4>5</vt:i4>
      </vt:variant>
      <vt:variant>
        <vt:lpwstr/>
      </vt:variant>
      <vt:variant>
        <vt:lpwstr>_Toc192160562</vt:lpwstr>
      </vt:variant>
      <vt:variant>
        <vt:i4>1638448</vt:i4>
      </vt:variant>
      <vt:variant>
        <vt:i4>149</vt:i4>
      </vt:variant>
      <vt:variant>
        <vt:i4>0</vt:i4>
      </vt:variant>
      <vt:variant>
        <vt:i4>5</vt:i4>
      </vt:variant>
      <vt:variant>
        <vt:lpwstr/>
      </vt:variant>
      <vt:variant>
        <vt:lpwstr>_Toc192160561</vt:lpwstr>
      </vt:variant>
      <vt:variant>
        <vt:i4>1638448</vt:i4>
      </vt:variant>
      <vt:variant>
        <vt:i4>143</vt:i4>
      </vt:variant>
      <vt:variant>
        <vt:i4>0</vt:i4>
      </vt:variant>
      <vt:variant>
        <vt:i4>5</vt:i4>
      </vt:variant>
      <vt:variant>
        <vt:lpwstr/>
      </vt:variant>
      <vt:variant>
        <vt:lpwstr>_Toc192160560</vt:lpwstr>
      </vt:variant>
      <vt:variant>
        <vt:i4>1703984</vt:i4>
      </vt:variant>
      <vt:variant>
        <vt:i4>137</vt:i4>
      </vt:variant>
      <vt:variant>
        <vt:i4>0</vt:i4>
      </vt:variant>
      <vt:variant>
        <vt:i4>5</vt:i4>
      </vt:variant>
      <vt:variant>
        <vt:lpwstr/>
      </vt:variant>
      <vt:variant>
        <vt:lpwstr>_Toc192160559</vt:lpwstr>
      </vt:variant>
      <vt:variant>
        <vt:i4>1703984</vt:i4>
      </vt:variant>
      <vt:variant>
        <vt:i4>131</vt:i4>
      </vt:variant>
      <vt:variant>
        <vt:i4>0</vt:i4>
      </vt:variant>
      <vt:variant>
        <vt:i4>5</vt:i4>
      </vt:variant>
      <vt:variant>
        <vt:lpwstr/>
      </vt:variant>
      <vt:variant>
        <vt:lpwstr>_Toc192160558</vt:lpwstr>
      </vt:variant>
      <vt:variant>
        <vt:i4>1703984</vt:i4>
      </vt:variant>
      <vt:variant>
        <vt:i4>125</vt:i4>
      </vt:variant>
      <vt:variant>
        <vt:i4>0</vt:i4>
      </vt:variant>
      <vt:variant>
        <vt:i4>5</vt:i4>
      </vt:variant>
      <vt:variant>
        <vt:lpwstr/>
      </vt:variant>
      <vt:variant>
        <vt:lpwstr>_Toc192160557</vt:lpwstr>
      </vt:variant>
      <vt:variant>
        <vt:i4>1703984</vt:i4>
      </vt:variant>
      <vt:variant>
        <vt:i4>119</vt:i4>
      </vt:variant>
      <vt:variant>
        <vt:i4>0</vt:i4>
      </vt:variant>
      <vt:variant>
        <vt:i4>5</vt:i4>
      </vt:variant>
      <vt:variant>
        <vt:lpwstr/>
      </vt:variant>
      <vt:variant>
        <vt:lpwstr>_Toc192160556</vt:lpwstr>
      </vt:variant>
      <vt:variant>
        <vt:i4>1703984</vt:i4>
      </vt:variant>
      <vt:variant>
        <vt:i4>113</vt:i4>
      </vt:variant>
      <vt:variant>
        <vt:i4>0</vt:i4>
      </vt:variant>
      <vt:variant>
        <vt:i4>5</vt:i4>
      </vt:variant>
      <vt:variant>
        <vt:lpwstr/>
      </vt:variant>
      <vt:variant>
        <vt:lpwstr>_Toc192160555</vt:lpwstr>
      </vt:variant>
      <vt:variant>
        <vt:i4>1703984</vt:i4>
      </vt:variant>
      <vt:variant>
        <vt:i4>107</vt:i4>
      </vt:variant>
      <vt:variant>
        <vt:i4>0</vt:i4>
      </vt:variant>
      <vt:variant>
        <vt:i4>5</vt:i4>
      </vt:variant>
      <vt:variant>
        <vt:lpwstr/>
      </vt:variant>
      <vt:variant>
        <vt:lpwstr>_Toc192160554</vt:lpwstr>
      </vt:variant>
      <vt:variant>
        <vt:i4>1703984</vt:i4>
      </vt:variant>
      <vt:variant>
        <vt:i4>101</vt:i4>
      </vt:variant>
      <vt:variant>
        <vt:i4>0</vt:i4>
      </vt:variant>
      <vt:variant>
        <vt:i4>5</vt:i4>
      </vt:variant>
      <vt:variant>
        <vt:lpwstr/>
      </vt:variant>
      <vt:variant>
        <vt:lpwstr>_Toc192160553</vt:lpwstr>
      </vt:variant>
      <vt:variant>
        <vt:i4>1703984</vt:i4>
      </vt:variant>
      <vt:variant>
        <vt:i4>95</vt:i4>
      </vt:variant>
      <vt:variant>
        <vt:i4>0</vt:i4>
      </vt:variant>
      <vt:variant>
        <vt:i4>5</vt:i4>
      </vt:variant>
      <vt:variant>
        <vt:lpwstr/>
      </vt:variant>
      <vt:variant>
        <vt:lpwstr>_Toc192160552</vt:lpwstr>
      </vt:variant>
      <vt:variant>
        <vt:i4>1703984</vt:i4>
      </vt:variant>
      <vt:variant>
        <vt:i4>89</vt:i4>
      </vt:variant>
      <vt:variant>
        <vt:i4>0</vt:i4>
      </vt:variant>
      <vt:variant>
        <vt:i4>5</vt:i4>
      </vt:variant>
      <vt:variant>
        <vt:lpwstr/>
      </vt:variant>
      <vt:variant>
        <vt:lpwstr>_Toc192160551</vt:lpwstr>
      </vt:variant>
      <vt:variant>
        <vt:i4>1703984</vt:i4>
      </vt:variant>
      <vt:variant>
        <vt:i4>83</vt:i4>
      </vt:variant>
      <vt:variant>
        <vt:i4>0</vt:i4>
      </vt:variant>
      <vt:variant>
        <vt:i4>5</vt:i4>
      </vt:variant>
      <vt:variant>
        <vt:lpwstr/>
      </vt:variant>
      <vt:variant>
        <vt:lpwstr>_Toc192160550</vt:lpwstr>
      </vt:variant>
      <vt:variant>
        <vt:i4>1769520</vt:i4>
      </vt:variant>
      <vt:variant>
        <vt:i4>77</vt:i4>
      </vt:variant>
      <vt:variant>
        <vt:i4>0</vt:i4>
      </vt:variant>
      <vt:variant>
        <vt:i4>5</vt:i4>
      </vt:variant>
      <vt:variant>
        <vt:lpwstr/>
      </vt:variant>
      <vt:variant>
        <vt:lpwstr>_Toc192160549</vt:lpwstr>
      </vt:variant>
      <vt:variant>
        <vt:i4>1769520</vt:i4>
      </vt:variant>
      <vt:variant>
        <vt:i4>71</vt:i4>
      </vt:variant>
      <vt:variant>
        <vt:i4>0</vt:i4>
      </vt:variant>
      <vt:variant>
        <vt:i4>5</vt:i4>
      </vt:variant>
      <vt:variant>
        <vt:lpwstr/>
      </vt:variant>
      <vt:variant>
        <vt:lpwstr>_Toc192160548</vt:lpwstr>
      </vt:variant>
      <vt:variant>
        <vt:i4>1769520</vt:i4>
      </vt:variant>
      <vt:variant>
        <vt:i4>65</vt:i4>
      </vt:variant>
      <vt:variant>
        <vt:i4>0</vt:i4>
      </vt:variant>
      <vt:variant>
        <vt:i4>5</vt:i4>
      </vt:variant>
      <vt:variant>
        <vt:lpwstr/>
      </vt:variant>
      <vt:variant>
        <vt:lpwstr>_Toc192160547</vt:lpwstr>
      </vt:variant>
      <vt:variant>
        <vt:i4>1769520</vt:i4>
      </vt:variant>
      <vt:variant>
        <vt:i4>59</vt:i4>
      </vt:variant>
      <vt:variant>
        <vt:i4>0</vt:i4>
      </vt:variant>
      <vt:variant>
        <vt:i4>5</vt:i4>
      </vt:variant>
      <vt:variant>
        <vt:lpwstr/>
      </vt:variant>
      <vt:variant>
        <vt:lpwstr>_Toc192160546</vt:lpwstr>
      </vt:variant>
      <vt:variant>
        <vt:i4>1769520</vt:i4>
      </vt:variant>
      <vt:variant>
        <vt:i4>53</vt:i4>
      </vt:variant>
      <vt:variant>
        <vt:i4>0</vt:i4>
      </vt:variant>
      <vt:variant>
        <vt:i4>5</vt:i4>
      </vt:variant>
      <vt:variant>
        <vt:lpwstr/>
      </vt:variant>
      <vt:variant>
        <vt:lpwstr>_Toc192160545</vt:lpwstr>
      </vt:variant>
      <vt:variant>
        <vt:i4>1769520</vt:i4>
      </vt:variant>
      <vt:variant>
        <vt:i4>47</vt:i4>
      </vt:variant>
      <vt:variant>
        <vt:i4>0</vt:i4>
      </vt:variant>
      <vt:variant>
        <vt:i4>5</vt:i4>
      </vt:variant>
      <vt:variant>
        <vt:lpwstr/>
      </vt:variant>
      <vt:variant>
        <vt:lpwstr>_Toc192160544</vt:lpwstr>
      </vt:variant>
      <vt:variant>
        <vt:i4>1769520</vt:i4>
      </vt:variant>
      <vt:variant>
        <vt:i4>41</vt:i4>
      </vt:variant>
      <vt:variant>
        <vt:i4>0</vt:i4>
      </vt:variant>
      <vt:variant>
        <vt:i4>5</vt:i4>
      </vt:variant>
      <vt:variant>
        <vt:lpwstr/>
      </vt:variant>
      <vt:variant>
        <vt:lpwstr>_Toc192160543</vt:lpwstr>
      </vt:variant>
      <vt:variant>
        <vt:i4>1769520</vt:i4>
      </vt:variant>
      <vt:variant>
        <vt:i4>35</vt:i4>
      </vt:variant>
      <vt:variant>
        <vt:i4>0</vt:i4>
      </vt:variant>
      <vt:variant>
        <vt:i4>5</vt:i4>
      </vt:variant>
      <vt:variant>
        <vt:lpwstr/>
      </vt:variant>
      <vt:variant>
        <vt:lpwstr>_Toc192160542</vt:lpwstr>
      </vt:variant>
      <vt:variant>
        <vt:i4>1769520</vt:i4>
      </vt:variant>
      <vt:variant>
        <vt:i4>29</vt:i4>
      </vt:variant>
      <vt:variant>
        <vt:i4>0</vt:i4>
      </vt:variant>
      <vt:variant>
        <vt:i4>5</vt:i4>
      </vt:variant>
      <vt:variant>
        <vt:lpwstr/>
      </vt:variant>
      <vt:variant>
        <vt:lpwstr>_Toc192160541</vt:lpwstr>
      </vt:variant>
      <vt:variant>
        <vt:i4>1769520</vt:i4>
      </vt:variant>
      <vt:variant>
        <vt:i4>23</vt:i4>
      </vt:variant>
      <vt:variant>
        <vt:i4>0</vt:i4>
      </vt:variant>
      <vt:variant>
        <vt:i4>5</vt:i4>
      </vt:variant>
      <vt:variant>
        <vt:lpwstr/>
      </vt:variant>
      <vt:variant>
        <vt:lpwstr>_Toc192160540</vt:lpwstr>
      </vt:variant>
      <vt:variant>
        <vt:i4>1835056</vt:i4>
      </vt:variant>
      <vt:variant>
        <vt:i4>17</vt:i4>
      </vt:variant>
      <vt:variant>
        <vt:i4>0</vt:i4>
      </vt:variant>
      <vt:variant>
        <vt:i4>5</vt:i4>
      </vt:variant>
      <vt:variant>
        <vt:lpwstr/>
      </vt:variant>
      <vt:variant>
        <vt:lpwstr>_Toc192160539</vt:lpwstr>
      </vt:variant>
      <vt:variant>
        <vt:i4>105</vt:i4>
      </vt:variant>
      <vt:variant>
        <vt:i4>12</vt:i4>
      </vt:variant>
      <vt:variant>
        <vt:i4>0</vt:i4>
      </vt:variant>
      <vt:variant>
        <vt:i4>5</vt:i4>
      </vt:variant>
      <vt:variant>
        <vt:lpwstr>mailto:media@treasury.gov.au</vt:lpwstr>
      </vt:variant>
      <vt:variant>
        <vt:lpwstr/>
      </vt:variant>
      <vt:variant>
        <vt:i4>2818104</vt:i4>
      </vt:variant>
      <vt:variant>
        <vt:i4>9</vt:i4>
      </vt:variant>
      <vt:variant>
        <vt:i4>0</vt:i4>
      </vt:variant>
      <vt:variant>
        <vt:i4>5</vt:i4>
      </vt:variant>
      <vt:variant>
        <vt:lpwstr>http://www.pmc.gov.au/government/commonwealth-coat-arms</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7471215</vt:i4>
      </vt:variant>
      <vt:variant>
        <vt:i4>105</vt:i4>
      </vt:variant>
      <vt:variant>
        <vt:i4>0</vt:i4>
      </vt:variant>
      <vt:variant>
        <vt:i4>5</vt:i4>
      </vt:variant>
      <vt:variant>
        <vt:lpwstr>https://eur-lex.europa.eu/eli/dir/2024/2853/oj/eng</vt:lpwstr>
      </vt:variant>
      <vt:variant>
        <vt:lpwstr/>
      </vt:variant>
      <vt:variant>
        <vt:i4>1507422</vt:i4>
      </vt:variant>
      <vt:variant>
        <vt:i4>102</vt:i4>
      </vt:variant>
      <vt:variant>
        <vt:i4>0</vt:i4>
      </vt:variant>
      <vt:variant>
        <vt:i4>5</vt:i4>
      </vt:variant>
      <vt:variant>
        <vt:lpwstr>https://eur-lex.europa.eu/eli/dir/2019/771/oj/eng</vt:lpwstr>
      </vt:variant>
      <vt:variant>
        <vt:lpwstr/>
      </vt:variant>
      <vt:variant>
        <vt:i4>1441886</vt:i4>
      </vt:variant>
      <vt:variant>
        <vt:i4>99</vt:i4>
      </vt:variant>
      <vt:variant>
        <vt:i4>0</vt:i4>
      </vt:variant>
      <vt:variant>
        <vt:i4>5</vt:i4>
      </vt:variant>
      <vt:variant>
        <vt:lpwstr>https://eur-lex.europa.eu/eli/dir/2019/770/oj/eng</vt:lpwstr>
      </vt:variant>
      <vt:variant>
        <vt:lpwstr/>
      </vt:variant>
      <vt:variant>
        <vt:i4>7667811</vt:i4>
      </vt:variant>
      <vt:variant>
        <vt:i4>96</vt:i4>
      </vt:variant>
      <vt:variant>
        <vt:i4>0</vt:i4>
      </vt:variant>
      <vt:variant>
        <vt:i4>5</vt:i4>
      </vt:variant>
      <vt:variant>
        <vt:lpwstr>https://www.pdpc.gov.sg/-/media/files/pdpc/pdf-files/advisory-guidelines/advisory-guidelines-on-the-use-of-personal-data-in-ai-recommendation-and-decision-systems.pdf</vt:lpwstr>
      </vt:variant>
      <vt:variant>
        <vt:lpwstr/>
      </vt:variant>
      <vt:variant>
        <vt:i4>3276833</vt:i4>
      </vt:variant>
      <vt:variant>
        <vt:i4>93</vt:i4>
      </vt:variant>
      <vt:variant>
        <vt:i4>0</vt:i4>
      </vt:variant>
      <vt:variant>
        <vt:i4>5</vt:i4>
      </vt:variant>
      <vt:variant>
        <vt:lpwstr>https://aiverifyfoundation.sg/wp-content/uploads/2024/05/Model-AI-Governance-Framework-for-Generative-AI-May-2024-1-1.pdf.</vt:lpwstr>
      </vt:variant>
      <vt:variant>
        <vt:lpwstr/>
      </vt:variant>
      <vt:variant>
        <vt:i4>1179661</vt:i4>
      </vt:variant>
      <vt:variant>
        <vt:i4>90</vt:i4>
      </vt:variant>
      <vt:variant>
        <vt:i4>0</vt:i4>
      </vt:variant>
      <vt:variant>
        <vt:i4>5</vt:i4>
      </vt:variant>
      <vt:variant>
        <vt:lpwstr>https://hansard.parliament.uk/lords/2024-07-17/debates/CC6B5513-FCF7-4377-A9FA-4080C676DBEA/King%E2%80%99SSpeech</vt:lpwstr>
      </vt:variant>
      <vt:variant>
        <vt:lpwstr/>
      </vt:variant>
      <vt:variant>
        <vt:i4>4128867</vt:i4>
      </vt:variant>
      <vt:variant>
        <vt:i4>87</vt:i4>
      </vt:variant>
      <vt:variant>
        <vt:i4>0</vt:i4>
      </vt:variant>
      <vt:variant>
        <vt:i4>5</vt:i4>
      </vt:variant>
      <vt:variant>
        <vt:lpwstr>https://www.gov.uk/government/publications/cma-ai-strategic-update/cma-ai-strategic-update</vt:lpwstr>
      </vt:variant>
      <vt:variant>
        <vt:lpwstr/>
      </vt:variant>
      <vt:variant>
        <vt:i4>4980807</vt:i4>
      </vt:variant>
      <vt:variant>
        <vt:i4>84</vt:i4>
      </vt:variant>
      <vt:variant>
        <vt:i4>0</vt:i4>
      </vt:variant>
      <vt:variant>
        <vt:i4>5</vt:i4>
      </vt:variant>
      <vt:variant>
        <vt:lpwstr>https://www.accc.gov.au/inquiries-and-consultations/digital-platform-services-inquiry-2020-25</vt:lpwstr>
      </vt:variant>
      <vt:variant>
        <vt:lpwstr/>
      </vt:variant>
      <vt:variant>
        <vt:i4>8126571</vt:i4>
      </vt:variant>
      <vt:variant>
        <vt:i4>81</vt:i4>
      </vt:variant>
      <vt:variant>
        <vt:i4>0</vt:i4>
      </vt:variant>
      <vt:variant>
        <vt:i4>5</vt:i4>
      </vt:variant>
      <vt:variant>
        <vt:lpwstr>https://eur-lex.europa.eu/eli/reg/2022/1925/oj/eng</vt:lpwstr>
      </vt:variant>
      <vt:variant>
        <vt:lpwstr/>
      </vt:variant>
      <vt:variant>
        <vt:i4>7143540</vt:i4>
      </vt:variant>
      <vt:variant>
        <vt:i4>78</vt:i4>
      </vt:variant>
      <vt:variant>
        <vt:i4>0</vt:i4>
      </vt:variant>
      <vt:variant>
        <vt:i4>5</vt:i4>
      </vt:variant>
      <vt:variant>
        <vt:lpwstr>https://eur-lex.europa.eu/legal-content/EN/TXT/?uri=CELEX%3A32022R2065</vt:lpwstr>
      </vt:variant>
      <vt:variant>
        <vt:lpwstr/>
      </vt:variant>
      <vt:variant>
        <vt:i4>7340136</vt:i4>
      </vt:variant>
      <vt:variant>
        <vt:i4>75</vt:i4>
      </vt:variant>
      <vt:variant>
        <vt:i4>0</vt:i4>
      </vt:variant>
      <vt:variant>
        <vt:i4>5</vt:i4>
      </vt:variant>
      <vt:variant>
        <vt:lpwstr>https://eur-lex.europa.eu/eli/reg/2024/1689/oj/eng</vt:lpwstr>
      </vt:variant>
      <vt:variant>
        <vt:lpwstr/>
      </vt:variant>
      <vt:variant>
        <vt:i4>7929963</vt:i4>
      </vt:variant>
      <vt:variant>
        <vt:i4>72</vt:i4>
      </vt:variant>
      <vt:variant>
        <vt:i4>0</vt:i4>
      </vt:variant>
      <vt:variant>
        <vt:i4>5</vt:i4>
      </vt:variant>
      <vt:variant>
        <vt:lpwstr>https://eur-lex.europa.eu/eli/reg/2023/2854/oj/eng</vt:lpwstr>
      </vt:variant>
      <vt:variant>
        <vt:lpwstr/>
      </vt:variant>
      <vt:variant>
        <vt:i4>3604586</vt:i4>
      </vt:variant>
      <vt:variant>
        <vt:i4>69</vt:i4>
      </vt:variant>
      <vt:variant>
        <vt:i4>0</vt:i4>
      </vt:variant>
      <vt:variant>
        <vt:i4>5</vt:i4>
      </vt:variant>
      <vt:variant>
        <vt:lpwstr>https://www.alrc.gov.au/publication/corporate-criminal-responsibility/</vt:lpwstr>
      </vt:variant>
      <vt:variant>
        <vt:lpwstr/>
      </vt:variant>
      <vt:variant>
        <vt:i4>5046297</vt:i4>
      </vt:variant>
      <vt:variant>
        <vt:i4>66</vt:i4>
      </vt:variant>
      <vt:variant>
        <vt:i4>0</vt:i4>
      </vt:variant>
      <vt:variant>
        <vt:i4>5</vt:i4>
      </vt:variant>
      <vt:variant>
        <vt:lpwstr>https://www.alrc.gov.au/publication/discussion-paper-87/</vt:lpwstr>
      </vt:variant>
      <vt:variant>
        <vt:lpwstr/>
      </vt:variant>
      <vt:variant>
        <vt:i4>1900562</vt:i4>
      </vt:variant>
      <vt:variant>
        <vt:i4>63</vt:i4>
      </vt:variant>
      <vt:variant>
        <vt:i4>0</vt:i4>
      </vt:variant>
      <vt:variant>
        <vt:i4>5</vt:i4>
      </vt:variant>
      <vt:variant>
        <vt:lpwstr>https://eur-lex.europa.eu/legal-content/EN/TXT/?uri=celex:52022PC0496</vt:lpwstr>
      </vt:variant>
      <vt:variant>
        <vt:lpwstr/>
      </vt:variant>
      <vt:variant>
        <vt:i4>4063282</vt:i4>
      </vt:variant>
      <vt:variant>
        <vt:i4>60</vt:i4>
      </vt:variant>
      <vt:variant>
        <vt:i4>0</vt:i4>
      </vt:variant>
      <vt:variant>
        <vt:i4>5</vt:i4>
      </vt:variant>
      <vt:variant>
        <vt:lpwstr>https://consumer.gov.au/sites/consumer/files/inline-files/acl-aust-consumer-survey-2023.pdf</vt:lpwstr>
      </vt:variant>
      <vt:variant>
        <vt:lpwstr/>
      </vt:variant>
      <vt:variant>
        <vt:i4>262152</vt:i4>
      </vt:variant>
      <vt:variant>
        <vt:i4>57</vt:i4>
      </vt:variant>
      <vt:variant>
        <vt:i4>0</vt:i4>
      </vt:variant>
      <vt:variant>
        <vt:i4>5</vt:i4>
      </vt:variant>
      <vt:variant>
        <vt:lpwstr>https://www.acma.gov.au/sites/default/files/2023-03/HOWWEU~1.PDF</vt:lpwstr>
      </vt:variant>
      <vt:variant>
        <vt:lpwstr/>
      </vt:variant>
      <vt:variant>
        <vt:i4>6094937</vt:i4>
      </vt:variant>
      <vt:variant>
        <vt:i4>54</vt:i4>
      </vt:variant>
      <vt:variant>
        <vt:i4>0</vt:i4>
      </vt:variant>
      <vt:variant>
        <vt:i4>5</vt:i4>
      </vt:variant>
      <vt:variant>
        <vt:lpwstr>https://treasury.gov.au/sites/default/files/2024-10/c2021-224294-accc.pdf</vt:lpwstr>
      </vt:variant>
      <vt:variant>
        <vt:lpwstr/>
      </vt:variant>
      <vt:variant>
        <vt:i4>131085</vt:i4>
      </vt:variant>
      <vt:variant>
        <vt:i4>51</vt:i4>
      </vt:variant>
      <vt:variant>
        <vt:i4>0</vt:i4>
      </vt:variant>
      <vt:variant>
        <vt:i4>5</vt:i4>
      </vt:variant>
      <vt:variant>
        <vt:lpwstr>https://www.legislation.gov.uk/ukpga/2015/15/notes/division/3/1/4</vt:lpwstr>
      </vt:variant>
      <vt:variant>
        <vt:lpwstr/>
      </vt:variant>
      <vt:variant>
        <vt:i4>2818163</vt:i4>
      </vt:variant>
      <vt:variant>
        <vt:i4>48</vt:i4>
      </vt:variant>
      <vt:variant>
        <vt:i4>0</vt:i4>
      </vt:variant>
      <vt:variant>
        <vt:i4>5</vt:i4>
      </vt:variant>
      <vt:variant>
        <vt:lpwstr>https://minister.infrastructure.gov.au/rowland/media-release/new-duty-care-obligations-platforms-will-keep-australians-safer-online</vt:lpwstr>
      </vt:variant>
      <vt:variant>
        <vt:lpwstr>:~:text=The%20Digital%20Duty%20of%20Care,by%20Ms%20Delia%20Rickard%20PSM.</vt:lpwstr>
      </vt:variant>
      <vt:variant>
        <vt:i4>4063267</vt:i4>
      </vt:variant>
      <vt:variant>
        <vt:i4>45</vt:i4>
      </vt:variant>
      <vt:variant>
        <vt:i4>0</vt:i4>
      </vt:variant>
      <vt:variant>
        <vt:i4>5</vt:i4>
      </vt:variant>
      <vt:variant>
        <vt:lpwstr>https://treasury.gov.au/sites/default/files/2024-11/c2024-602157-cp.pdf</vt:lpwstr>
      </vt:variant>
      <vt:variant>
        <vt:lpwstr/>
      </vt:variant>
      <vt:variant>
        <vt:i4>2621563</vt:i4>
      </vt:variant>
      <vt:variant>
        <vt:i4>42</vt:i4>
      </vt:variant>
      <vt:variant>
        <vt:i4>0</vt:i4>
      </vt:variant>
      <vt:variant>
        <vt:i4>5</vt:i4>
      </vt:variant>
      <vt:variant>
        <vt:lpwstr>https://www.pm.gov.au/media/albanese-government-stop-rip-offs-unfair-trading-practices</vt:lpwstr>
      </vt:variant>
      <vt:variant>
        <vt:lpwstr/>
      </vt:variant>
      <vt:variant>
        <vt:i4>1835027</vt:i4>
      </vt:variant>
      <vt:variant>
        <vt:i4>39</vt:i4>
      </vt:variant>
      <vt:variant>
        <vt:i4>0</vt:i4>
      </vt:variant>
      <vt:variant>
        <vt:i4>5</vt:i4>
      </vt:variant>
      <vt:variant>
        <vt:lpwstr>https://www.accc.gov.au/about-us/accc-priorities/compliance-and-enforcement-priorities</vt:lpwstr>
      </vt:variant>
      <vt:variant>
        <vt:lpwstr>toc-this-year-s-priorities</vt:lpwstr>
      </vt:variant>
      <vt:variant>
        <vt:i4>3342378</vt:i4>
      </vt:variant>
      <vt:variant>
        <vt:i4>36</vt:i4>
      </vt:variant>
      <vt:variant>
        <vt:i4>0</vt:i4>
      </vt:variant>
      <vt:variant>
        <vt:i4>5</vt:i4>
      </vt:variant>
      <vt:variant>
        <vt:lpwstr>https://www.accc.gov.au/about-us/accc-priorities/compliance-and-enforcement-priorities</vt:lpwstr>
      </vt:variant>
      <vt:variant>
        <vt:lpwstr/>
      </vt:variant>
      <vt:variant>
        <vt:i4>4849675</vt:i4>
      </vt:variant>
      <vt:variant>
        <vt:i4>33</vt:i4>
      </vt:variant>
      <vt:variant>
        <vt:i4>0</vt:i4>
      </vt:variant>
      <vt:variant>
        <vt:i4>5</vt:i4>
      </vt:variant>
      <vt:variant>
        <vt:lpwstr>https://www.industry.gov.au/publications/voluntary-ai-safety-standard</vt:lpwstr>
      </vt:variant>
      <vt:variant>
        <vt:lpwstr/>
      </vt:variant>
      <vt:variant>
        <vt:i4>3866658</vt:i4>
      </vt:variant>
      <vt:variant>
        <vt:i4>30</vt:i4>
      </vt:variant>
      <vt:variant>
        <vt:i4>0</vt:i4>
      </vt:variant>
      <vt:variant>
        <vt:i4>5</vt:i4>
      </vt:variant>
      <vt:variant>
        <vt:lpwstr>https://www.productsafety.gov.au/about-us/online-product-safety-pledge</vt:lpwstr>
      </vt:variant>
      <vt:variant>
        <vt:lpwstr/>
      </vt:variant>
      <vt:variant>
        <vt:i4>2818163</vt:i4>
      </vt:variant>
      <vt:variant>
        <vt:i4>27</vt:i4>
      </vt:variant>
      <vt:variant>
        <vt:i4>0</vt:i4>
      </vt:variant>
      <vt:variant>
        <vt:i4>5</vt:i4>
      </vt:variant>
      <vt:variant>
        <vt:lpwstr>https://minister.infrastructure.gov.au/rowland/media-release/new-duty-care-obligations-platforms-will-keep-australians-safer-online</vt:lpwstr>
      </vt:variant>
      <vt:variant>
        <vt:lpwstr>:~:text=The%20Digital%20Duty%20of%20Care,by%20Ms%20Delia%20Rickard%20PSM.</vt:lpwstr>
      </vt:variant>
      <vt:variant>
        <vt:i4>983057</vt:i4>
      </vt:variant>
      <vt:variant>
        <vt:i4>24</vt:i4>
      </vt:variant>
      <vt:variant>
        <vt:i4>0</vt:i4>
      </vt:variant>
      <vt:variant>
        <vt:i4>5</vt:i4>
      </vt:variant>
      <vt:variant>
        <vt:lpwstr>https://treasury.gov.au/publication/p2025-623966</vt:lpwstr>
      </vt:variant>
      <vt:variant>
        <vt:lpwstr/>
      </vt:variant>
      <vt:variant>
        <vt:i4>7143530</vt:i4>
      </vt:variant>
      <vt:variant>
        <vt:i4>21</vt:i4>
      </vt:variant>
      <vt:variant>
        <vt:i4>0</vt:i4>
      </vt:variant>
      <vt:variant>
        <vt:i4>5</vt:i4>
      </vt:variant>
      <vt:variant>
        <vt:lpwstr>https://www.ag.gov.au/rights-and-protections/publications/government-response-privacy-act-review-report</vt:lpwstr>
      </vt:variant>
      <vt:variant>
        <vt:lpwstr/>
      </vt:variant>
      <vt:variant>
        <vt:i4>3539047</vt:i4>
      </vt:variant>
      <vt:variant>
        <vt:i4>18</vt:i4>
      </vt:variant>
      <vt:variant>
        <vt:i4>0</vt:i4>
      </vt:variant>
      <vt:variant>
        <vt:i4>5</vt:i4>
      </vt:variant>
      <vt:variant>
        <vt:lpwstr>https://www.homeaffairs.gov.au/about-us/our-portfolios/cyber-security/strategy/2023-2030-australian-cyber-security-strategy</vt:lpwstr>
      </vt:variant>
      <vt:variant>
        <vt:lpwstr/>
      </vt:variant>
      <vt:variant>
        <vt:i4>3145766</vt:i4>
      </vt:variant>
      <vt:variant>
        <vt:i4>15</vt:i4>
      </vt:variant>
      <vt:variant>
        <vt:i4>0</vt:i4>
      </vt:variant>
      <vt:variant>
        <vt:i4>5</vt:i4>
      </vt:variant>
      <vt:variant>
        <vt:lpwstr>https://treasury.gov.au/sites/default/files/2024-10/c2024-583535-cp.pdf</vt:lpwstr>
      </vt:variant>
      <vt:variant>
        <vt:lpwstr/>
      </vt:variant>
      <vt:variant>
        <vt:i4>4063267</vt:i4>
      </vt:variant>
      <vt:variant>
        <vt:i4>12</vt:i4>
      </vt:variant>
      <vt:variant>
        <vt:i4>0</vt:i4>
      </vt:variant>
      <vt:variant>
        <vt:i4>5</vt:i4>
      </vt:variant>
      <vt:variant>
        <vt:lpwstr>https://treasury.gov.au/sites/default/files/2024-11/c2024-602157-cp.pdf</vt:lpwstr>
      </vt:variant>
      <vt:variant>
        <vt:lpwstr/>
      </vt:variant>
      <vt:variant>
        <vt:i4>3276836</vt:i4>
      </vt:variant>
      <vt:variant>
        <vt:i4>9</vt:i4>
      </vt:variant>
      <vt:variant>
        <vt:i4>0</vt:i4>
      </vt:variant>
      <vt:variant>
        <vt:i4>5</vt:i4>
      </vt:variant>
      <vt:variant>
        <vt:lpwstr>https://treasury.gov.au/sites/default/files/2024-10/c2024-584560-dp.pdf</vt:lpwstr>
      </vt:variant>
      <vt:variant>
        <vt:lpwstr/>
      </vt:variant>
      <vt:variant>
        <vt:i4>5570634</vt:i4>
      </vt:variant>
      <vt:variant>
        <vt:i4>6</vt:i4>
      </vt:variant>
      <vt:variant>
        <vt:i4>0</vt:i4>
      </vt:variant>
      <vt:variant>
        <vt:i4>5</vt:i4>
      </vt:variant>
      <vt:variant>
        <vt:lpwstr>https://ministers.treasury.gov.au/ministers/stephen-jones-2022/media-releases/consumer-affairs-ministers-renew-commitment-protecting</vt:lpwstr>
      </vt:variant>
      <vt:variant>
        <vt:lpwstr/>
      </vt:variant>
      <vt:variant>
        <vt:i4>1900604</vt:i4>
      </vt:variant>
      <vt:variant>
        <vt:i4>3</vt:i4>
      </vt:variant>
      <vt:variant>
        <vt:i4>0</vt:i4>
      </vt:variant>
      <vt:variant>
        <vt:i4>5</vt:i4>
      </vt:variant>
      <vt:variant>
        <vt:lpwstr>https://storage.googleapis.com/converlens-au-industry/industry/p/prj2f6f02ebfe6a8190c7bdc/page/proposals_paper_for_introducing_mandatory_guardrails_for_ai_in_high_risk_settings.pdf</vt:lpwstr>
      </vt:variant>
      <vt:variant>
        <vt:lpwstr/>
      </vt:variant>
      <vt:variant>
        <vt:i4>6029347</vt:i4>
      </vt:variant>
      <vt:variant>
        <vt:i4>0</vt:i4>
      </vt:variant>
      <vt:variant>
        <vt:i4>0</vt:i4>
      </vt:variant>
      <vt:variant>
        <vt:i4>5</vt:i4>
      </vt:variant>
      <vt:variant>
        <vt:lpwstr>https://storage.googleapis.com/converlens-au-industry/industry/p/prj2452c8e24d7a400c72429/public_assets/Safe-and-responsible-AI-in-Australia-discussion-paper.pdf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Review of AI and the Australian Consumer Law</dc:title>
  <dc:subject/>
  <dc:creator>Treasury</dc:creator>
  <cp:keywords/>
  <cp:lastModifiedBy/>
  <cp:revision>1</cp:revision>
  <dcterms:created xsi:type="dcterms:W3CDTF">2025-10-02T04:20:00Z</dcterms:created>
  <dcterms:modified xsi:type="dcterms:W3CDTF">2025-10-02T04:20:00Z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2025-10-02T04:21:04Z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45d28520-9bd4-4f9f-b9dd-0d25f98c524d</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