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3923" w14:textId="77777777" w:rsidR="00E0012E" w:rsidRDefault="00E0012E" w:rsidP="00E0012E">
      <w:pPr>
        <w:pStyle w:val="Title"/>
        <w:jc w:val="center"/>
        <w:rPr>
          <w:color w:val="auto"/>
          <w:sz w:val="56"/>
          <w:szCs w:val="56"/>
        </w:rPr>
      </w:pPr>
      <w:r w:rsidRPr="00E0012E">
        <w:rPr>
          <w:color w:val="auto"/>
          <w:sz w:val="56"/>
          <w:szCs w:val="56"/>
        </w:rPr>
        <w:t>National Planning Reform Blueprint</w:t>
      </w:r>
    </w:p>
    <w:p w14:paraId="243425EC" w14:textId="1E1A9831" w:rsidR="00CF4181" w:rsidRDefault="00051754" w:rsidP="00E0012E">
      <w:pPr>
        <w:pStyle w:val="Title"/>
        <w:jc w:val="center"/>
        <w:rPr>
          <w:color w:val="auto"/>
          <w:sz w:val="56"/>
          <w:szCs w:val="56"/>
        </w:rPr>
      </w:pPr>
      <w:r>
        <w:rPr>
          <w:color w:val="auto"/>
          <w:sz w:val="56"/>
          <w:szCs w:val="56"/>
        </w:rPr>
        <w:t xml:space="preserve">Metrics </w:t>
      </w:r>
      <w:r w:rsidR="00E0012E" w:rsidRPr="00E0012E">
        <w:rPr>
          <w:color w:val="auto"/>
          <w:sz w:val="56"/>
          <w:szCs w:val="56"/>
        </w:rPr>
        <w:t>Implementation Plan</w:t>
      </w:r>
    </w:p>
    <w:p w14:paraId="161016EB" w14:textId="3CD3E7B9" w:rsidR="00E0012E" w:rsidRDefault="000071B0" w:rsidP="000071B0">
      <w:pPr>
        <w:pStyle w:val="Heading1"/>
      </w:pPr>
      <w:r>
        <w:t>Introduction</w:t>
      </w:r>
    </w:p>
    <w:p w14:paraId="4B758A92" w14:textId="0E21F5B8" w:rsidR="00BE1DEF" w:rsidRDefault="00BE1DEF" w:rsidP="00BE1DEF">
      <w:r>
        <w:t xml:space="preserve">On 16 August 2023 National Cabinet </w:t>
      </w:r>
      <w:r w:rsidRPr="00EB3928">
        <w:t xml:space="preserve">agreed to a National Planning Reform Blueprint </w:t>
      </w:r>
      <w:r w:rsidR="00686F88">
        <w:t xml:space="preserve">(Blueprint) </w:t>
      </w:r>
      <w:r>
        <w:t xml:space="preserve">with </w:t>
      </w:r>
      <w:r w:rsidRPr="00EB3928">
        <w:t>planning, zoning, land release and other measures to improve housing supply and affordability.</w:t>
      </w:r>
      <w:r>
        <w:t xml:space="preserve"> The Blueprint comprises 10 measures and 17 supporting actions. </w:t>
      </w:r>
    </w:p>
    <w:p w14:paraId="7751D216" w14:textId="77777777" w:rsidR="00BE1DEF" w:rsidRDefault="00BE1DEF" w:rsidP="00BE1DEF">
      <w:r>
        <w:t xml:space="preserve">The Blueprint is part of a package of initiatives governments have announced to support the national target to build 1.2 million well-located homes over five years, from 1 July 2024. </w:t>
      </w:r>
    </w:p>
    <w:p w14:paraId="6981F571" w14:textId="3CEC9C59" w:rsidR="000C4BE4" w:rsidRDefault="002051D6" w:rsidP="000C4BE4">
      <w:r>
        <w:t xml:space="preserve">In December 2024, Planning Ministers </w:t>
      </w:r>
      <w:r w:rsidR="00162526">
        <w:t xml:space="preserve">agreed in principle to a </w:t>
      </w:r>
      <w:r w:rsidR="000C4BE4">
        <w:t xml:space="preserve">Blueprint metrics framework </w:t>
      </w:r>
      <w:r w:rsidR="00162526">
        <w:t xml:space="preserve">and tasked </w:t>
      </w:r>
      <w:r w:rsidR="000C4BE4">
        <w:t>Commonwealth Treasury to develop an implementation plan for collecting and synthesising data to support metrics data collection.</w:t>
      </w:r>
    </w:p>
    <w:p w14:paraId="071AAC7E" w14:textId="295BFDBB" w:rsidR="00753142" w:rsidRDefault="00592EDD" w:rsidP="00BE1DEF">
      <w:r>
        <w:t>Following consultation with jurisdictions a</w:t>
      </w:r>
      <w:r w:rsidR="00BE1DEF">
        <w:t xml:space="preserve"> metrics framework has been developed to support twice</w:t>
      </w:r>
      <w:r w:rsidR="00DC1F36">
        <w:noBreakHyphen/>
      </w:r>
      <w:r w:rsidR="00BE1DEF">
        <w:t xml:space="preserve">yearly reporting of progress against the Blueprint measures. The metrics framework is intended to be a flexible national template to improve understanding of the impacts of the Blueprint on housing supply. </w:t>
      </w:r>
    </w:p>
    <w:p w14:paraId="7A112AAD" w14:textId="6F7FA4BA" w:rsidR="000A4FE1" w:rsidRDefault="00BE1DEF" w:rsidP="00BE1DEF">
      <w:r>
        <w:t>Reporting on metrics recognise</w:t>
      </w:r>
      <w:r w:rsidR="00334935">
        <w:t>s</w:t>
      </w:r>
      <w:r>
        <w:t xml:space="preserve"> variations across planning systems, such as classifications and concepts in regulatory systems, and data availability. </w:t>
      </w:r>
    </w:p>
    <w:p w14:paraId="177E2740" w14:textId="3A60773C" w:rsidR="000A4FE1" w:rsidRDefault="00E73486" w:rsidP="000A4FE1">
      <w:pPr>
        <w:pStyle w:val="Heading1"/>
      </w:pPr>
      <w:r>
        <w:t>Purpose and o</w:t>
      </w:r>
      <w:r w:rsidR="00AE7BCF">
        <w:t>bjectives</w:t>
      </w:r>
    </w:p>
    <w:p w14:paraId="6B89856B" w14:textId="48CB6F77" w:rsidR="00994476" w:rsidRDefault="00BB37A2" w:rsidP="00AE7BCF">
      <w:r>
        <w:t xml:space="preserve">The metrics </w:t>
      </w:r>
      <w:r w:rsidR="008E7BB6">
        <w:t xml:space="preserve">framework </w:t>
      </w:r>
      <w:r w:rsidR="004D3002">
        <w:t>aims</w:t>
      </w:r>
      <w:r>
        <w:t xml:space="preserve"> to </w:t>
      </w:r>
      <w:r w:rsidR="003014E7">
        <w:t xml:space="preserve">establish an evidence base for the performance of planning systems </w:t>
      </w:r>
      <w:r w:rsidR="006D2BA0">
        <w:t xml:space="preserve">and identify </w:t>
      </w:r>
      <w:r w:rsidR="00810BEE">
        <w:t>the need for</w:t>
      </w:r>
      <w:r w:rsidR="006D2BA0">
        <w:t xml:space="preserve"> further planning reforms</w:t>
      </w:r>
      <w:r w:rsidR="004D3002">
        <w:t>, in addition to the Blueprint</w:t>
      </w:r>
      <w:r w:rsidR="00147FCE">
        <w:t>.</w:t>
      </w:r>
      <w:r w:rsidR="00595A3D">
        <w:t xml:space="preserve"> </w:t>
      </w:r>
      <w:r w:rsidR="00136295">
        <w:t>The metrics provide informed, realistic</w:t>
      </w:r>
      <w:r w:rsidR="00553B06">
        <w:t xml:space="preserve"> and meaningful measures </w:t>
      </w:r>
      <w:r w:rsidR="00994476">
        <w:t xml:space="preserve">of planning, zoning and land release outcomes over the remainder of the National Housing Accord period. All </w:t>
      </w:r>
      <w:r w:rsidR="009E58B1">
        <w:t xml:space="preserve">jurisdictions have undertaken significant planning </w:t>
      </w:r>
      <w:r w:rsidR="00314706">
        <w:t>reforms,</w:t>
      </w:r>
      <w:r w:rsidR="009E58B1">
        <w:t xml:space="preserve"> and </w:t>
      </w:r>
      <w:r w:rsidR="00726C70">
        <w:t xml:space="preserve">these metrics </w:t>
      </w:r>
      <w:r w:rsidR="00D90F32">
        <w:t xml:space="preserve">should demonstrate that planning outcomes have </w:t>
      </w:r>
      <w:r w:rsidR="00087B1D">
        <w:t xml:space="preserve">improved </w:t>
      </w:r>
      <w:r w:rsidR="00883286">
        <w:t xml:space="preserve">since the beginning of the Blueprint. </w:t>
      </w:r>
      <w:r w:rsidR="003F3CC7">
        <w:t xml:space="preserve">As data is collected for </w:t>
      </w:r>
      <w:r w:rsidR="00DB73E2">
        <w:t>each 6-monthly reporting period</w:t>
      </w:r>
      <w:r w:rsidR="003F3CC7">
        <w:t xml:space="preserve">, </w:t>
      </w:r>
      <w:r w:rsidR="00EB2C2E">
        <w:t xml:space="preserve">it is anticipated that the </w:t>
      </w:r>
      <w:r w:rsidR="004F09DF">
        <w:t>full impact of these reforms will become clear</w:t>
      </w:r>
      <w:r w:rsidR="002E55DE">
        <w:t>er</w:t>
      </w:r>
      <w:r w:rsidR="004F09DF">
        <w:t>.</w:t>
      </w:r>
    </w:p>
    <w:p w14:paraId="030791E3" w14:textId="12B2429F" w:rsidR="00E73486" w:rsidRDefault="00E73486" w:rsidP="00AE7BCF">
      <w:r>
        <w:t xml:space="preserve">Objectives of this </w:t>
      </w:r>
      <w:r w:rsidR="00893746">
        <w:t xml:space="preserve">implementation </w:t>
      </w:r>
      <w:r>
        <w:t>plan are</w:t>
      </w:r>
      <w:r w:rsidR="00C95967">
        <w:t xml:space="preserve"> to</w:t>
      </w:r>
      <w:r w:rsidR="009946E1">
        <w:t xml:space="preserve"> </w:t>
      </w:r>
      <w:r w:rsidR="00162526">
        <w:t>deliver the</w:t>
      </w:r>
      <w:r w:rsidR="009946E1">
        <w:t xml:space="preserve"> metric framework by</w:t>
      </w:r>
      <w:r>
        <w:t>:</w:t>
      </w:r>
    </w:p>
    <w:p w14:paraId="764D8DD5" w14:textId="5BB29518" w:rsidR="00C87C41" w:rsidRDefault="003E7EB8" w:rsidP="0045662A">
      <w:pPr>
        <w:pStyle w:val="ListParagraph"/>
        <w:numPr>
          <w:ilvl w:val="0"/>
          <w:numId w:val="24"/>
        </w:numPr>
      </w:pPr>
      <w:r>
        <w:t>p</w:t>
      </w:r>
      <w:r w:rsidR="00C95967">
        <w:t>rovid</w:t>
      </w:r>
      <w:r w:rsidR="009946E1">
        <w:t>ing</w:t>
      </w:r>
      <w:r w:rsidR="00C95967">
        <w:t xml:space="preserve"> a </w:t>
      </w:r>
      <w:r w:rsidR="00DE2C37">
        <w:t xml:space="preserve">clear and </w:t>
      </w:r>
      <w:r w:rsidR="00D9431A">
        <w:t xml:space="preserve">predictable framework for collecting and publishing </w:t>
      </w:r>
      <w:r w:rsidR="00355054">
        <w:t>data</w:t>
      </w:r>
    </w:p>
    <w:p w14:paraId="30D52A4D" w14:textId="1AFBD884" w:rsidR="00024986" w:rsidRDefault="003E7EB8" w:rsidP="00024986">
      <w:pPr>
        <w:pStyle w:val="ListParagraph"/>
        <w:numPr>
          <w:ilvl w:val="0"/>
          <w:numId w:val="24"/>
        </w:numPr>
      </w:pPr>
      <w:r>
        <w:t>r</w:t>
      </w:r>
      <w:r w:rsidR="00024986">
        <w:t>ecognis</w:t>
      </w:r>
      <w:r w:rsidR="009946E1">
        <w:t>ing</w:t>
      </w:r>
      <w:r w:rsidR="00024986">
        <w:t xml:space="preserve"> diversity in planning system</w:t>
      </w:r>
      <w:r w:rsidR="002E55DE">
        <w:t>s</w:t>
      </w:r>
      <w:r w:rsidR="00024986">
        <w:t xml:space="preserve"> while supporting national reporting</w:t>
      </w:r>
    </w:p>
    <w:p w14:paraId="03EF77CD" w14:textId="15F7AB60" w:rsidR="009C675D" w:rsidRDefault="003E7EB8" w:rsidP="0045662A">
      <w:pPr>
        <w:pStyle w:val="ListParagraph"/>
        <w:numPr>
          <w:ilvl w:val="0"/>
          <w:numId w:val="24"/>
        </w:numPr>
      </w:pPr>
      <w:r>
        <w:t>e</w:t>
      </w:r>
      <w:r w:rsidR="00A66AEE">
        <w:t>fficiently collect</w:t>
      </w:r>
      <w:r w:rsidR="009946E1">
        <w:t>ing</w:t>
      </w:r>
      <w:r w:rsidR="00A66AEE">
        <w:t xml:space="preserve"> and report</w:t>
      </w:r>
      <w:r w:rsidR="009946E1">
        <w:t>ing</w:t>
      </w:r>
      <w:r w:rsidR="00A66AEE">
        <w:t xml:space="preserve"> data </w:t>
      </w:r>
    </w:p>
    <w:p w14:paraId="5C6D1BBF" w14:textId="62CCABCB" w:rsidR="00E73486" w:rsidRDefault="003E7EB8" w:rsidP="0045662A">
      <w:pPr>
        <w:pStyle w:val="ListParagraph"/>
        <w:numPr>
          <w:ilvl w:val="0"/>
          <w:numId w:val="24"/>
        </w:numPr>
      </w:pPr>
      <w:r>
        <w:t>e</w:t>
      </w:r>
      <w:r w:rsidR="009C675D">
        <w:t>nabl</w:t>
      </w:r>
      <w:r w:rsidR="009946E1">
        <w:t>ing</w:t>
      </w:r>
      <w:r w:rsidR="009C675D">
        <w:t xml:space="preserve"> flexibility in reporting based on changed circumstances</w:t>
      </w:r>
      <w:r w:rsidR="00893746">
        <w:t>.</w:t>
      </w:r>
      <w:r w:rsidR="009C675D">
        <w:t xml:space="preserve"> </w:t>
      </w:r>
    </w:p>
    <w:p w14:paraId="3089F1C0" w14:textId="20DF9FB5" w:rsidR="005374D6" w:rsidRDefault="005374D6" w:rsidP="00397EA2">
      <w:r>
        <w:lastRenderedPageBreak/>
        <w:t>This implementation plan should be read in conjunction with the metrics summary at Attachment 1 and data tables. These documents outline what and how data is collected and the proposed definitions and parameters for the metrics.</w:t>
      </w:r>
    </w:p>
    <w:p w14:paraId="75B2773A" w14:textId="46C45305" w:rsidR="00106CAA" w:rsidRDefault="00380B0E" w:rsidP="00891E17">
      <w:pPr>
        <w:pStyle w:val="Heading1"/>
      </w:pPr>
      <w:r>
        <w:t>Implementation</w:t>
      </w:r>
    </w:p>
    <w:p w14:paraId="7D4F54BC" w14:textId="52F688D3" w:rsidR="001C4D8A" w:rsidRDefault="001C4D8A" w:rsidP="002D008E">
      <w:pPr>
        <w:pStyle w:val="Bullet"/>
        <w:numPr>
          <w:ilvl w:val="0"/>
          <w:numId w:val="0"/>
        </w:numPr>
        <w:spacing w:line="240" w:lineRule="auto"/>
      </w:pPr>
      <w:r>
        <w:t xml:space="preserve">A thorough consultation process with jurisdictions has </w:t>
      </w:r>
      <w:r w:rsidR="002B1DA3">
        <w:t>led</w:t>
      </w:r>
      <w:r w:rsidR="008F7D56">
        <w:t xml:space="preserve"> to the development of a set of </w:t>
      </w:r>
      <w:r>
        <w:t xml:space="preserve">metrics </w:t>
      </w:r>
      <w:r w:rsidR="00E46F1B">
        <w:t>(</w:t>
      </w:r>
      <w:r w:rsidR="00CF6D16">
        <w:t>refer</w:t>
      </w:r>
      <w:r w:rsidR="00E46F1B">
        <w:t xml:space="preserve"> </w:t>
      </w:r>
      <w:r w:rsidR="001B03AF">
        <w:t>below</w:t>
      </w:r>
      <w:r w:rsidR="00E46F1B">
        <w:t xml:space="preserve">) </w:t>
      </w:r>
      <w:r>
        <w:t>that will complement the twice annual progress reports</w:t>
      </w:r>
      <w:r w:rsidR="00E46F1B">
        <w:t xml:space="preserve">. </w:t>
      </w:r>
      <w:r>
        <w:t>Discussions on the metric framework began in mid</w:t>
      </w:r>
      <w:r w:rsidR="5242A6B1">
        <w:t>-</w:t>
      </w:r>
      <w:r>
        <w:t>2024 with a formal document prepared for agreement in principle by Planning Ministers in late 2024. Most jurisdictions</w:t>
      </w:r>
      <w:r w:rsidR="0017627C">
        <w:t xml:space="preserve"> </w:t>
      </w:r>
      <w:r>
        <w:t>agreed in principle to continue developing a metric</w:t>
      </w:r>
      <w:r w:rsidR="00CF6D16">
        <w:t>s</w:t>
      </w:r>
      <w:r>
        <w:t xml:space="preserve"> framework</w:t>
      </w:r>
      <w:r>
        <w:rPr>
          <w:rStyle w:val="FootnoteReference"/>
        </w:rPr>
        <w:footnoteReference w:id="2"/>
      </w:r>
      <w:r>
        <w:t>.</w:t>
      </w:r>
    </w:p>
    <w:p w14:paraId="4392C9EB" w14:textId="31A364C8" w:rsidR="00E00862" w:rsidRDefault="004463C2" w:rsidP="009B3C1F">
      <w:r>
        <w:t>Jurisdictions</w:t>
      </w:r>
      <w:r w:rsidR="00563B26">
        <w:t xml:space="preserve"> </w:t>
      </w:r>
      <w:r>
        <w:t xml:space="preserve">are empowered to provide the data they consider best fits the parameters of the metric </w:t>
      </w:r>
      <w:r w:rsidR="007F1764">
        <w:t xml:space="preserve">and meets their data publication standards. </w:t>
      </w:r>
      <w:r w:rsidR="00A40A96">
        <w:t xml:space="preserve">The Commonwealth’s role </w:t>
      </w:r>
      <w:r w:rsidR="005D199B">
        <w:t xml:space="preserve">is to </w:t>
      </w:r>
      <w:r w:rsidR="009E1588">
        <w:t xml:space="preserve">collate the input from jurisdictions, include data prepared at the Commonwealth level and </w:t>
      </w:r>
      <w:r w:rsidR="00CB3C4A">
        <w:t>prepar</w:t>
      </w:r>
      <w:r w:rsidR="009E1588">
        <w:t>e</w:t>
      </w:r>
      <w:r w:rsidR="00CB3C4A">
        <w:t xml:space="preserve"> papers on the results for Planning Ministers</w:t>
      </w:r>
      <w:r w:rsidR="08702FBF">
        <w:t>’</w:t>
      </w:r>
      <w:r w:rsidR="00CB3C4A">
        <w:t xml:space="preserve"> </w:t>
      </w:r>
      <w:r w:rsidR="00867F18">
        <w:t xml:space="preserve">endorsement </w:t>
      </w:r>
      <w:r w:rsidR="00CB3C4A">
        <w:t xml:space="preserve">prior to publication. The </w:t>
      </w:r>
      <w:r w:rsidR="009E1588">
        <w:t xml:space="preserve">collection of data </w:t>
      </w:r>
      <w:r w:rsidR="00CB3C4A">
        <w:t xml:space="preserve">will be the responsibility of each </w:t>
      </w:r>
      <w:r w:rsidR="00836C66">
        <w:t>jurisdiction.</w:t>
      </w:r>
    </w:p>
    <w:p w14:paraId="117D3F80" w14:textId="39726302" w:rsidR="007B2219" w:rsidRDefault="008B0215" w:rsidP="009B3C1F">
      <w:r>
        <w:t xml:space="preserve">All </w:t>
      </w:r>
      <w:r w:rsidR="00ED40C9">
        <w:t>data included in the metrics will be reviewed by Planning Ministers prior to publication</w:t>
      </w:r>
      <w:r w:rsidR="005F7728">
        <w:t xml:space="preserve"> through </w:t>
      </w:r>
      <w:r w:rsidR="00DA4B28">
        <w:t>a</w:t>
      </w:r>
      <w:r w:rsidR="005F7728">
        <w:t xml:space="preserve"> Planning Ministers</w:t>
      </w:r>
      <w:r w:rsidR="421E9D3F">
        <w:t>’</w:t>
      </w:r>
      <w:r w:rsidR="005F7728">
        <w:t xml:space="preserve"> Meeting process. </w:t>
      </w:r>
      <w:r w:rsidR="00422270">
        <w:t>Planning officials wi</w:t>
      </w:r>
      <w:r w:rsidR="00B52D29">
        <w:t>ll</w:t>
      </w:r>
      <w:r w:rsidR="00836C66">
        <w:t>,</w:t>
      </w:r>
      <w:r w:rsidR="00422270">
        <w:t xml:space="preserve"> in the usual course of </w:t>
      </w:r>
      <w:r w:rsidR="003D0BCD">
        <w:t>business</w:t>
      </w:r>
      <w:r w:rsidR="00836C66">
        <w:t>,</w:t>
      </w:r>
      <w:r w:rsidR="003D0BCD">
        <w:t xml:space="preserve"> prepare progress reports and compile data for the metrics</w:t>
      </w:r>
      <w:r w:rsidR="00A06FF1">
        <w:t xml:space="preserve"> to meet the twice annual reporting requirement. </w:t>
      </w:r>
      <w:r w:rsidR="003D0BCD">
        <w:t xml:space="preserve"> </w:t>
      </w:r>
    </w:p>
    <w:p w14:paraId="7CF84A0F" w14:textId="068B2BBF" w:rsidR="00A971E8" w:rsidRPr="00527FFA" w:rsidRDefault="00D56B58" w:rsidP="00A85BC5">
      <w:pPr>
        <w:pStyle w:val="Bullet"/>
        <w:numPr>
          <w:ilvl w:val="0"/>
          <w:numId w:val="0"/>
        </w:numPr>
      </w:pPr>
      <w:r>
        <w:t xml:space="preserve">This </w:t>
      </w:r>
      <w:r w:rsidR="00276C36">
        <w:t>implementation plan</w:t>
      </w:r>
      <w:r>
        <w:t xml:space="preserve"> </w:t>
      </w:r>
      <w:r w:rsidR="002B1DA3">
        <w:t xml:space="preserve">has been </w:t>
      </w:r>
      <w:r w:rsidR="00276C36">
        <w:t>prepared for agreement</w:t>
      </w:r>
      <w:r w:rsidR="00943C90">
        <w:t xml:space="preserve"> by Planning Ministers along with </w:t>
      </w:r>
      <w:r w:rsidR="00A93F46">
        <w:t xml:space="preserve">data collection results and a sample data collection table. </w:t>
      </w:r>
      <w:r w:rsidR="008A4892">
        <w:t xml:space="preserve">With Planning Ministers’ </w:t>
      </w:r>
      <w:r w:rsidR="009B74D0">
        <w:t>agreement,</w:t>
      </w:r>
      <w:r w:rsidR="008A4892">
        <w:t xml:space="preserve"> </w:t>
      </w:r>
      <w:r w:rsidR="006126A4">
        <w:t>t</w:t>
      </w:r>
      <w:r w:rsidR="008A4892">
        <w:t xml:space="preserve">he first iteration of </w:t>
      </w:r>
      <w:r w:rsidR="009B74D0">
        <w:t>data will be published with the September 2025 progress reports as specified below.</w:t>
      </w:r>
      <w:r w:rsidR="00F3391F">
        <w:t xml:space="preserve"> T</w:t>
      </w:r>
      <w:r w:rsidR="006F5F0F">
        <w:t>he Commonwealth</w:t>
      </w:r>
      <w:r w:rsidR="00F3391F">
        <w:t xml:space="preserve"> will provide jurisdictions an updated </w:t>
      </w:r>
      <w:r w:rsidR="00B04D1F">
        <w:t>progress report template</w:t>
      </w:r>
      <w:r w:rsidR="00985F08">
        <w:t xml:space="preserve">, along with an empty series of data tables </w:t>
      </w:r>
      <w:r w:rsidR="00E92C53">
        <w:t xml:space="preserve">for completion. </w:t>
      </w:r>
    </w:p>
    <w:p w14:paraId="2DC81823" w14:textId="4F2DF25F" w:rsidR="00B71E0E" w:rsidRPr="00A45291" w:rsidRDefault="003E772C" w:rsidP="00F52967">
      <w:pPr>
        <w:pStyle w:val="Bullet"/>
        <w:numPr>
          <w:ilvl w:val="0"/>
          <w:numId w:val="0"/>
        </w:numPr>
      </w:pPr>
      <w:r w:rsidRPr="00A45291">
        <w:t xml:space="preserve">Further data collection </w:t>
      </w:r>
      <w:r w:rsidR="00F52967" w:rsidRPr="00A45291">
        <w:t xml:space="preserve">may be </w:t>
      </w:r>
      <w:r w:rsidR="00DE693B" w:rsidRPr="00A45291">
        <w:t>added in the future</w:t>
      </w:r>
      <w:r w:rsidR="00F52967" w:rsidRPr="00A45291">
        <w:t xml:space="preserve">. </w:t>
      </w:r>
      <w:r w:rsidR="002E07D0">
        <w:t>J</w:t>
      </w:r>
      <w:r w:rsidR="00F52967" w:rsidRPr="00A45291">
        <w:t xml:space="preserve">urisdictions </w:t>
      </w:r>
      <w:r w:rsidR="002E07D0">
        <w:t xml:space="preserve">will continue to work </w:t>
      </w:r>
      <w:r w:rsidR="00651DA4">
        <w:t>during</w:t>
      </w:r>
      <w:r w:rsidR="002763A0">
        <w:t xml:space="preserve"> the reporting </w:t>
      </w:r>
      <w:r w:rsidR="00651DA4">
        <w:t>period</w:t>
      </w:r>
      <w:r w:rsidR="002763A0">
        <w:t xml:space="preserve"> </w:t>
      </w:r>
      <w:r w:rsidR="00930D59" w:rsidRPr="00A45291">
        <w:t xml:space="preserve">to identify additional </w:t>
      </w:r>
      <w:r w:rsidR="00A45291" w:rsidRPr="00A45291">
        <w:t>opportunities</w:t>
      </w:r>
      <w:r w:rsidR="00930D59" w:rsidRPr="00A45291">
        <w:t xml:space="preserve"> </w:t>
      </w:r>
      <w:r w:rsidR="00A45291" w:rsidRPr="00A45291">
        <w:t>for data collection</w:t>
      </w:r>
      <w:r w:rsidR="00651DA4">
        <w:t xml:space="preserve">. Any further </w:t>
      </w:r>
      <w:r w:rsidR="00362FAA">
        <w:t xml:space="preserve">data points will be </w:t>
      </w:r>
      <w:r w:rsidR="00930D59" w:rsidRPr="00A45291">
        <w:t>present</w:t>
      </w:r>
      <w:r w:rsidR="00362FAA">
        <w:t>ed</w:t>
      </w:r>
      <w:r w:rsidR="00930D59" w:rsidRPr="00A45291">
        <w:t xml:space="preserve"> to Planning </w:t>
      </w:r>
      <w:r w:rsidR="00A45291" w:rsidRPr="00A45291">
        <w:t>Ministers for agreement.</w:t>
      </w:r>
    </w:p>
    <w:p w14:paraId="783EFEDE" w14:textId="73ECA12C" w:rsidR="00AE7BCF" w:rsidRDefault="00AE7BCF" w:rsidP="00AE7BCF">
      <w:pPr>
        <w:pStyle w:val="Heading1"/>
      </w:pPr>
      <w:r>
        <w:t>Timeframe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4677"/>
      </w:tblGrid>
      <w:tr w:rsidR="00BB4C72" w14:paraId="5B6A0469" w14:textId="77777777" w:rsidTr="00BC1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5E4A29" w14:textId="77F1CC64" w:rsidR="00BB4C72" w:rsidRDefault="00BC60CC" w:rsidP="00050C07">
            <w:pPr>
              <w:pStyle w:val="Bullet"/>
              <w:numPr>
                <w:ilvl w:val="0"/>
                <w:numId w:val="0"/>
              </w:numPr>
              <w:jc w:val="center"/>
            </w:pPr>
            <w:r>
              <w:t>Expected d</w:t>
            </w:r>
            <w:r w:rsidR="00050C07">
              <w:t>ate</w:t>
            </w:r>
          </w:p>
        </w:tc>
        <w:tc>
          <w:tcPr>
            <w:tcW w:w="2694" w:type="dxa"/>
          </w:tcPr>
          <w:p w14:paraId="4E4FCADB" w14:textId="7201A0A7" w:rsidR="00BB4C72" w:rsidRDefault="00BC60CC" w:rsidP="00050C07">
            <w:pPr>
              <w:pStyle w:val="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</w:t>
            </w:r>
          </w:p>
        </w:tc>
        <w:tc>
          <w:tcPr>
            <w:tcW w:w="4677" w:type="dxa"/>
          </w:tcPr>
          <w:p w14:paraId="662603BB" w14:textId="437D0D65" w:rsidR="00BB4C72" w:rsidRDefault="00E833C0" w:rsidP="00050C07">
            <w:pPr>
              <w:pStyle w:val="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</w:tr>
      <w:tr w:rsidR="00BB4C72" w14:paraId="66398D80" w14:textId="77777777" w:rsidTr="00BC1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380411" w14:textId="421381D4" w:rsidR="00BB4C72" w:rsidRDefault="00E833C0" w:rsidP="00902CAF">
            <w:pPr>
              <w:pStyle w:val="Bullet"/>
              <w:numPr>
                <w:ilvl w:val="0"/>
                <w:numId w:val="0"/>
              </w:numPr>
            </w:pPr>
            <w:r>
              <w:t>May 2025</w:t>
            </w:r>
          </w:p>
        </w:tc>
        <w:tc>
          <w:tcPr>
            <w:tcW w:w="2694" w:type="dxa"/>
          </w:tcPr>
          <w:p w14:paraId="3900C470" w14:textId="04BCBAF1" w:rsidR="00BB4C72" w:rsidRDefault="007D2C63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Agreement by jurisdiction planning officials</w:t>
            </w:r>
          </w:p>
        </w:tc>
        <w:tc>
          <w:tcPr>
            <w:tcW w:w="4677" w:type="dxa"/>
          </w:tcPr>
          <w:p w14:paraId="6D7CC25E" w14:textId="45700AA3" w:rsidR="00BB4C72" w:rsidRDefault="002E07D0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5A357A">
              <w:t xml:space="preserve">lanning officials </w:t>
            </w:r>
            <w:r w:rsidR="00CF7010">
              <w:t xml:space="preserve">met to </w:t>
            </w:r>
            <w:r w:rsidR="00780DAC">
              <w:t>discuss the</w:t>
            </w:r>
            <w:r w:rsidR="005A357A">
              <w:t xml:space="preserve"> metrics </w:t>
            </w:r>
            <w:r w:rsidR="00956C42">
              <w:t>and</w:t>
            </w:r>
            <w:r w:rsidR="005A357A">
              <w:t xml:space="preserve"> </w:t>
            </w:r>
            <w:r w:rsidR="00493D6F">
              <w:t xml:space="preserve">recommend to </w:t>
            </w:r>
            <w:r>
              <w:t>P</w:t>
            </w:r>
            <w:r w:rsidR="00493D6F">
              <w:t xml:space="preserve">lanning </w:t>
            </w:r>
            <w:r>
              <w:t>M</w:t>
            </w:r>
            <w:r w:rsidR="00493D6F">
              <w:t>inisters.</w:t>
            </w:r>
            <w:r w:rsidR="00995FC9">
              <w:t xml:space="preserve"> </w:t>
            </w:r>
          </w:p>
        </w:tc>
      </w:tr>
      <w:tr w:rsidR="00BB4C72" w14:paraId="017917EF" w14:textId="77777777" w:rsidTr="00BC1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5479967" w14:textId="7DA8B7B7" w:rsidR="00BB4C72" w:rsidRDefault="00064011" w:rsidP="00902CAF">
            <w:pPr>
              <w:pStyle w:val="Bullet"/>
              <w:numPr>
                <w:ilvl w:val="0"/>
                <w:numId w:val="0"/>
              </w:numPr>
            </w:pPr>
            <w:r>
              <w:t>August 2025</w:t>
            </w:r>
          </w:p>
        </w:tc>
        <w:tc>
          <w:tcPr>
            <w:tcW w:w="2694" w:type="dxa"/>
          </w:tcPr>
          <w:p w14:paraId="26D4BDE4" w14:textId="66E0B26B" w:rsidR="00BB4C72" w:rsidRDefault="002F7B19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Planning Ministers agree to </w:t>
            </w:r>
            <w:r w:rsidR="007E1EF3">
              <w:t>Blueprint metrics</w:t>
            </w:r>
          </w:p>
        </w:tc>
        <w:tc>
          <w:tcPr>
            <w:tcW w:w="4677" w:type="dxa"/>
          </w:tcPr>
          <w:p w14:paraId="4A859384" w14:textId="22421868" w:rsidR="00BB4C72" w:rsidRDefault="00144DBA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Ministers</w:t>
            </w:r>
            <w:r w:rsidR="009C1D1D">
              <w:t xml:space="preserve"> </w:t>
            </w:r>
            <w:r w:rsidR="0009327D">
              <w:t>endors</w:t>
            </w:r>
            <w:r w:rsidR="008C2D2C">
              <w:t>e</w:t>
            </w:r>
            <w:r w:rsidR="0009327D">
              <w:t xml:space="preserve"> </w:t>
            </w:r>
            <w:r w:rsidR="001C20C2">
              <w:t>the Blueprint metrics and progress reports for publication.</w:t>
            </w:r>
          </w:p>
        </w:tc>
      </w:tr>
      <w:tr w:rsidR="00AA79E3" w14:paraId="42EC3B8C" w14:textId="77777777" w:rsidTr="00BC1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D473BA" w14:textId="21AEC38B" w:rsidR="00AA79E3" w:rsidRDefault="00AA79E3" w:rsidP="00902CAF">
            <w:pPr>
              <w:pStyle w:val="Bullet"/>
              <w:numPr>
                <w:ilvl w:val="0"/>
                <w:numId w:val="0"/>
              </w:numPr>
            </w:pPr>
            <w:r>
              <w:lastRenderedPageBreak/>
              <w:t>September 2025</w:t>
            </w:r>
          </w:p>
        </w:tc>
        <w:tc>
          <w:tcPr>
            <w:tcW w:w="2694" w:type="dxa"/>
          </w:tcPr>
          <w:p w14:paraId="7368A340" w14:textId="21762A30" w:rsidR="00AA79E3" w:rsidRDefault="007E1EF3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 of </w:t>
            </w:r>
            <w:r w:rsidR="00C57B18">
              <w:t>reporting cycle</w:t>
            </w:r>
          </w:p>
        </w:tc>
        <w:tc>
          <w:tcPr>
            <w:tcW w:w="4677" w:type="dxa"/>
          </w:tcPr>
          <w:p w14:paraId="104BB1AF" w14:textId="4ED9E252" w:rsidR="00AA79E3" w:rsidRDefault="00EA77C2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AF6116">
              <w:t xml:space="preserve">fourth </w:t>
            </w:r>
            <w:r>
              <w:t xml:space="preserve">Blueprint reporting cycle ends. This is the first </w:t>
            </w:r>
            <w:r w:rsidR="00AF6116">
              <w:t xml:space="preserve">cycle for which </w:t>
            </w:r>
            <w:r w:rsidR="00F75836">
              <w:t>Blueprint metrics will be collected.</w:t>
            </w:r>
          </w:p>
        </w:tc>
      </w:tr>
      <w:tr w:rsidR="00AA79E3" w14:paraId="2536E652" w14:textId="77777777" w:rsidTr="00BC1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A1F66B" w14:textId="468657BB" w:rsidR="00AA79E3" w:rsidRDefault="00E00666" w:rsidP="00902CAF">
            <w:pPr>
              <w:pStyle w:val="Bullet"/>
              <w:numPr>
                <w:ilvl w:val="0"/>
                <w:numId w:val="0"/>
              </w:numPr>
            </w:pPr>
            <w:r>
              <w:t xml:space="preserve">January </w:t>
            </w:r>
            <w:r w:rsidR="74DF0E12">
              <w:t>202</w:t>
            </w:r>
            <w:r>
              <w:t>6</w:t>
            </w:r>
            <w:r w:rsidR="74DF0E12">
              <w:t xml:space="preserve"> </w:t>
            </w:r>
          </w:p>
        </w:tc>
        <w:tc>
          <w:tcPr>
            <w:tcW w:w="2694" w:type="dxa"/>
          </w:tcPr>
          <w:p w14:paraId="4A7766A0" w14:textId="20364EAD" w:rsidR="00AA79E3" w:rsidRDefault="00C57B18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 Blueprint metrics and progress reports</w:t>
            </w:r>
            <w:r w:rsidR="00E00666">
              <w:t xml:space="preserve"> due</w:t>
            </w:r>
          </w:p>
        </w:tc>
        <w:tc>
          <w:tcPr>
            <w:tcW w:w="4677" w:type="dxa"/>
          </w:tcPr>
          <w:p w14:paraId="61A8D66C" w14:textId="2DC6C76C" w:rsidR="00AA79E3" w:rsidRDefault="00F61E0E" w:rsidP="00902CAF">
            <w:pPr>
              <w:pStyle w:val="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5E72E8">
              <w:t>he September 2025 progress reports and Blueprint metric</w:t>
            </w:r>
            <w:r w:rsidR="00E026EC">
              <w:t>s</w:t>
            </w:r>
            <w:r w:rsidR="005E72E8">
              <w:t xml:space="preserve"> data</w:t>
            </w:r>
            <w:r w:rsidR="009D4DBE">
              <w:t xml:space="preserve"> will be published on Treasury’s website</w:t>
            </w:r>
            <w:r w:rsidR="005E72E8">
              <w:t>.</w:t>
            </w:r>
          </w:p>
        </w:tc>
      </w:tr>
    </w:tbl>
    <w:p w14:paraId="33B3C9F7" w14:textId="72C769A4" w:rsidR="00360E7C" w:rsidRDefault="00360E7C" w:rsidP="00360E7C">
      <w:pPr>
        <w:pStyle w:val="Heading1"/>
      </w:pPr>
      <w:r>
        <w:t>Resolution</w:t>
      </w:r>
    </w:p>
    <w:p w14:paraId="3F17BC7D" w14:textId="7E8FCB83" w:rsidR="00717C33" w:rsidRDefault="00717C33" w:rsidP="00EE336C">
      <w:r>
        <w:t xml:space="preserve">The Blueprint was </w:t>
      </w:r>
      <w:r w:rsidR="00DB11B1">
        <w:t xml:space="preserve">established as part of the National Housing Accord in which the Commonwealth, states, </w:t>
      </w:r>
      <w:r w:rsidR="00535E22">
        <w:t>territories</w:t>
      </w:r>
      <w:r w:rsidR="00DB11B1">
        <w:t>, local government</w:t>
      </w:r>
      <w:r w:rsidR="00175220">
        <w:t>, institutional investors and the construction</w:t>
      </w:r>
      <w:r w:rsidR="00DB11B1">
        <w:t xml:space="preserve"> industry </w:t>
      </w:r>
      <w:r w:rsidR="00535E22">
        <w:t xml:space="preserve">agreed </w:t>
      </w:r>
      <w:r w:rsidR="00D03281">
        <w:t>to a coordinated approach to addressing housing supply.</w:t>
      </w:r>
      <w:r w:rsidR="004B1644">
        <w:t xml:space="preserve"> </w:t>
      </w:r>
      <w:r w:rsidR="00060F75">
        <w:t xml:space="preserve">The Accord originally included a target of 1 million homes </w:t>
      </w:r>
      <w:r w:rsidR="00605BEA">
        <w:t xml:space="preserve">over 5 years beginning in mid-2024. This was increased </w:t>
      </w:r>
      <w:r w:rsidR="007F03C7">
        <w:t xml:space="preserve">to 1.2 million </w:t>
      </w:r>
      <w:r w:rsidR="00605BEA">
        <w:t>with agreement of the states and territories.</w:t>
      </w:r>
    </w:p>
    <w:p w14:paraId="1881C13A" w14:textId="29BBDDDB" w:rsidR="005A0745" w:rsidRDefault="006E6246" w:rsidP="00EE336C">
      <w:r>
        <w:t xml:space="preserve">It is proposed </w:t>
      </w:r>
      <w:r w:rsidR="00686F88">
        <w:t xml:space="preserve">that the reporting on the Blueprint </w:t>
      </w:r>
      <w:r w:rsidR="008541F9">
        <w:t xml:space="preserve">end with the March 2029 progress </w:t>
      </w:r>
      <w:r w:rsidR="008A408A">
        <w:t>period</w:t>
      </w:r>
      <w:r w:rsidR="00323CFF">
        <w:t xml:space="preserve">. </w:t>
      </w:r>
      <w:r w:rsidR="00194954">
        <w:t>These final reports would be published in the months</w:t>
      </w:r>
      <w:r w:rsidR="00FA17EE">
        <w:t xml:space="preserve"> following, aligning with the June 2029 </w:t>
      </w:r>
      <w:r w:rsidR="00130B23">
        <w:t>conclusion of the Accord.</w:t>
      </w:r>
    </w:p>
    <w:p w14:paraId="74351056" w14:textId="60F98D28" w:rsidR="00373766" w:rsidRPr="00201673" w:rsidRDefault="005A0745" w:rsidP="00201673">
      <w:pPr>
        <w:spacing w:before="0" w:after="200" w:line="276" w:lineRule="auto"/>
        <w:rPr>
          <w:rStyle w:val="Strong"/>
          <w:b w:val="0"/>
          <w:bCs w:val="0"/>
        </w:rPr>
      </w:pPr>
      <w:r>
        <w:br w:type="page"/>
      </w:r>
    </w:p>
    <w:p w14:paraId="7F6852BA" w14:textId="0E593A59" w:rsidR="005A0745" w:rsidRPr="00E858BE" w:rsidRDefault="005A0745" w:rsidP="005A0745">
      <w:pPr>
        <w:pStyle w:val="Heading1"/>
        <w:tabs>
          <w:tab w:val="left" w:pos="5055"/>
        </w:tabs>
        <w:rPr>
          <w:rStyle w:val="Strong"/>
          <w:b/>
          <w:bCs/>
        </w:rPr>
      </w:pPr>
      <w:r w:rsidRPr="00E858BE">
        <w:rPr>
          <w:rStyle w:val="Strong"/>
          <w:bCs/>
        </w:rPr>
        <w:lastRenderedPageBreak/>
        <w:t>Summary of metric</w:t>
      </w:r>
      <w:r w:rsidR="00841450">
        <w:rPr>
          <w:rStyle w:val="Strong"/>
          <w:bCs/>
        </w:rPr>
        <w:t>s</w:t>
      </w:r>
      <w:r w:rsidRPr="00397EA2">
        <w:rPr>
          <w:rStyle w:val="Strong"/>
          <w:bCs/>
          <w:sz w:val="20"/>
          <w:szCs w:val="20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5"/>
        <w:gridCol w:w="2391"/>
        <w:gridCol w:w="3517"/>
        <w:gridCol w:w="2667"/>
      </w:tblGrid>
      <w:tr w:rsidR="005A0745" w14:paraId="7927C37B" w14:textId="77777777" w:rsidTr="00BC1776">
        <w:trPr>
          <w:trHeight w:val="270"/>
          <w:tblHeader/>
        </w:trPr>
        <w:tc>
          <w:tcPr>
            <w:tcW w:w="1591" w:type="pct"/>
            <w:gridSpan w:val="2"/>
            <w:shd w:val="clear" w:color="auto" w:fill="E5E5E5"/>
          </w:tcPr>
          <w:p w14:paraId="603A9CE2" w14:textId="77777777" w:rsidR="005A0745" w:rsidRDefault="005A0745" w:rsidP="001E21A6">
            <w:pPr>
              <w:pStyle w:val="TableTextLeft"/>
            </w:pPr>
            <w:r>
              <w:t>Metric</w:t>
            </w:r>
          </w:p>
        </w:tc>
        <w:tc>
          <w:tcPr>
            <w:tcW w:w="1939" w:type="pct"/>
            <w:shd w:val="clear" w:color="auto" w:fill="E5E5E5"/>
          </w:tcPr>
          <w:p w14:paraId="43A178EC" w14:textId="77777777" w:rsidR="005A0745" w:rsidRDefault="005A0745" w:rsidP="001E21A6">
            <w:pPr>
              <w:pStyle w:val="TableTextLeft"/>
            </w:pPr>
            <w:r>
              <w:t>Description/Purpose</w:t>
            </w:r>
          </w:p>
        </w:tc>
        <w:tc>
          <w:tcPr>
            <w:tcW w:w="1470" w:type="pct"/>
            <w:shd w:val="clear" w:color="auto" w:fill="E5E5E5"/>
          </w:tcPr>
          <w:p w14:paraId="24A8C203" w14:textId="77777777" w:rsidR="005A0745" w:rsidRDefault="005A0745" w:rsidP="001E21A6">
            <w:pPr>
              <w:pStyle w:val="TableTextLeft"/>
            </w:pPr>
            <w:r>
              <w:t>Source</w:t>
            </w:r>
          </w:p>
        </w:tc>
      </w:tr>
      <w:tr w:rsidR="005A0745" w14:paraId="14D86CC6" w14:textId="77777777" w:rsidTr="51F15B51">
        <w:trPr>
          <w:trHeight w:val="270"/>
        </w:trPr>
        <w:tc>
          <w:tcPr>
            <w:tcW w:w="5000" w:type="pct"/>
            <w:gridSpan w:val="4"/>
          </w:tcPr>
          <w:p w14:paraId="05833016" w14:textId="77777777" w:rsidR="005A0745" w:rsidRPr="0003008E" w:rsidRDefault="005A0745" w:rsidP="001E21A6">
            <w:pPr>
              <w:pStyle w:val="TableTextLeft"/>
            </w:pPr>
            <w:r>
              <w:rPr>
                <w:b/>
                <w:bCs/>
              </w:rPr>
              <w:t>Housing supply</w:t>
            </w:r>
          </w:p>
        </w:tc>
      </w:tr>
      <w:tr w:rsidR="005A0745" w14:paraId="03DDCE2D" w14:textId="77777777" w:rsidTr="00BC1776">
        <w:trPr>
          <w:trHeight w:val="270"/>
        </w:trPr>
        <w:tc>
          <w:tcPr>
            <w:tcW w:w="273" w:type="pct"/>
          </w:tcPr>
          <w:p w14:paraId="4DD1A4EC" w14:textId="5113E052" w:rsidR="005A0745" w:rsidRPr="00244485" w:rsidRDefault="10109DCD" w:rsidP="001E21A6">
            <w:pPr>
              <w:pStyle w:val="TableTextLeft"/>
            </w:pPr>
            <w:r>
              <w:t>1</w:t>
            </w:r>
          </w:p>
        </w:tc>
        <w:tc>
          <w:tcPr>
            <w:tcW w:w="1318" w:type="pct"/>
          </w:tcPr>
          <w:p w14:paraId="7EB0C606" w14:textId="77777777" w:rsidR="005A0745" w:rsidRPr="00244485" w:rsidRDefault="005A0745" w:rsidP="001E21A6">
            <w:pPr>
              <w:pStyle w:val="TableTextLeft"/>
            </w:pPr>
            <w:r w:rsidRPr="00244485">
              <w:t>Number of dwellings constructed, under construction, commenced and approved</w:t>
            </w:r>
          </w:p>
          <w:p w14:paraId="5EA9E1A5" w14:textId="77777777" w:rsidR="005A0745" w:rsidRPr="00244485" w:rsidRDefault="005A0745" w:rsidP="001E21A6">
            <w:pPr>
              <w:pStyle w:val="TableTextLeft"/>
            </w:pPr>
          </w:p>
        </w:tc>
        <w:tc>
          <w:tcPr>
            <w:tcW w:w="1939" w:type="pct"/>
          </w:tcPr>
          <w:p w14:paraId="36424E62" w14:textId="77777777" w:rsidR="005A0745" w:rsidRDefault="005A0745" w:rsidP="001E21A6">
            <w:pPr>
              <w:pStyle w:val="TableTextLeft"/>
            </w:pPr>
            <w:r>
              <w:t xml:space="preserve">This will serve as an introduction and set the context for the rest of the paper, acknowledging planning is one of many factors that determines these housing supply figures. </w:t>
            </w:r>
          </w:p>
          <w:p w14:paraId="28C5DE78" w14:textId="77777777" w:rsidR="005A0745" w:rsidRPr="00340B62" w:rsidRDefault="005A0745" w:rsidP="001E21A6">
            <w:pPr>
              <w:pStyle w:val="TableTextLeft"/>
              <w:rPr>
                <w:i/>
                <w:iCs/>
              </w:rPr>
            </w:pPr>
            <w:r>
              <w:rPr>
                <w:i/>
                <w:iCs/>
              </w:rPr>
              <w:t>Measure 3</w:t>
            </w:r>
          </w:p>
        </w:tc>
        <w:tc>
          <w:tcPr>
            <w:tcW w:w="1470" w:type="pct"/>
          </w:tcPr>
          <w:p w14:paraId="49F46567" w14:textId="77777777" w:rsidR="005A0745" w:rsidRDefault="005A0745" w:rsidP="001E21A6">
            <w:pPr>
              <w:pStyle w:val="TableTextLeft"/>
            </w:pPr>
            <w:r>
              <w:t>Commonwealth ABS data</w:t>
            </w:r>
          </w:p>
          <w:p w14:paraId="3FE30905" w14:textId="77777777" w:rsidR="005A0745" w:rsidRDefault="005A0745" w:rsidP="001E21A6">
            <w:pPr>
              <w:pStyle w:val="TableTextLeft"/>
            </w:pPr>
            <w:r>
              <w:t>Supplemented by States and Territory data where appropriate.</w:t>
            </w:r>
          </w:p>
        </w:tc>
      </w:tr>
      <w:tr w:rsidR="005A0745" w14:paraId="2273B4E7" w14:textId="77777777" w:rsidTr="51F15B51">
        <w:trPr>
          <w:trHeight w:val="270"/>
        </w:trPr>
        <w:tc>
          <w:tcPr>
            <w:tcW w:w="5000" w:type="pct"/>
            <w:gridSpan w:val="4"/>
          </w:tcPr>
          <w:p w14:paraId="32EBFDC8" w14:textId="77777777" w:rsidR="005A0745" w:rsidRPr="00E87C05" w:rsidRDefault="005A0745" w:rsidP="001E21A6">
            <w:pPr>
              <w:pStyle w:val="TableTextLeft"/>
              <w:rPr>
                <w:b/>
                <w:bCs/>
              </w:rPr>
            </w:pPr>
            <w:r w:rsidRPr="00E87C05">
              <w:rPr>
                <w:b/>
                <w:bCs/>
              </w:rPr>
              <w:t>Stocktake of ‘development ready’ land</w:t>
            </w:r>
          </w:p>
        </w:tc>
      </w:tr>
      <w:tr w:rsidR="005A0745" w14:paraId="2D674E98" w14:textId="77777777" w:rsidTr="00BC1776">
        <w:trPr>
          <w:trHeight w:val="270"/>
        </w:trPr>
        <w:tc>
          <w:tcPr>
            <w:tcW w:w="273" w:type="pct"/>
          </w:tcPr>
          <w:p w14:paraId="4BEFD430" w14:textId="60E4BEB9" w:rsidR="005A0745" w:rsidRPr="00244485" w:rsidRDefault="008563D6" w:rsidP="001E21A6">
            <w:pPr>
              <w:pStyle w:val="TableTextLeft"/>
            </w:pPr>
            <w:r>
              <w:t>2</w:t>
            </w:r>
          </w:p>
        </w:tc>
        <w:tc>
          <w:tcPr>
            <w:tcW w:w="1318" w:type="pct"/>
          </w:tcPr>
          <w:p w14:paraId="4AAC2036" w14:textId="349431FF" w:rsidR="005A0745" w:rsidRPr="00244485" w:rsidRDefault="005A52C3" w:rsidP="001E21A6">
            <w:pPr>
              <w:pStyle w:val="TableTextLeft"/>
            </w:pPr>
            <w:r>
              <w:t xml:space="preserve">Infill </w:t>
            </w:r>
            <w:r w:rsidR="007277B4">
              <w:t>capacity estimate</w:t>
            </w:r>
          </w:p>
          <w:p w14:paraId="485C8B3D" w14:textId="77777777" w:rsidR="005A0745" w:rsidRDefault="005A0745" w:rsidP="001E21A6">
            <w:pPr>
              <w:pStyle w:val="TableTextLeft"/>
              <w:rPr>
                <w:u w:val="single"/>
              </w:rPr>
            </w:pPr>
          </w:p>
        </w:tc>
        <w:tc>
          <w:tcPr>
            <w:tcW w:w="1939" w:type="pct"/>
          </w:tcPr>
          <w:p w14:paraId="215671E9" w14:textId="37A2B360" w:rsidR="005A0745" w:rsidRDefault="005A0745" w:rsidP="001E21A6">
            <w:pPr>
              <w:pStyle w:val="TableTextLeft"/>
            </w:pPr>
            <w:r>
              <w:t xml:space="preserve">Estimate of the number of dwellings that could be developed through urban infill </w:t>
            </w:r>
          </w:p>
          <w:p w14:paraId="0C5CCDD1" w14:textId="77777777" w:rsidR="005A0745" w:rsidRPr="00333C22" w:rsidRDefault="005A0745" w:rsidP="001E21A6">
            <w:pPr>
              <w:pStyle w:val="TableTextLeft"/>
              <w:rPr>
                <w:color w:val="auto"/>
              </w:rPr>
            </w:pPr>
            <w:r w:rsidRPr="3AC40195">
              <w:rPr>
                <w:i/>
                <w:iCs/>
              </w:rPr>
              <w:t>Measure 6, 10</w:t>
            </w:r>
          </w:p>
        </w:tc>
        <w:tc>
          <w:tcPr>
            <w:tcW w:w="1470" w:type="pct"/>
          </w:tcPr>
          <w:p w14:paraId="5F507A0E" w14:textId="0D3C34B4" w:rsidR="005A0745" w:rsidRPr="00E3360A" w:rsidRDefault="00352E61" w:rsidP="001E21A6">
            <w:pPr>
              <w:pStyle w:val="TableTextLeft"/>
              <w:rPr>
                <w:color w:val="auto"/>
              </w:rPr>
            </w:pPr>
            <w:r>
              <w:rPr>
                <w:color w:val="auto"/>
              </w:rPr>
              <w:t>State and territory data sources</w:t>
            </w:r>
          </w:p>
        </w:tc>
      </w:tr>
      <w:tr w:rsidR="00930214" w14:paraId="41EF407F" w14:textId="77777777" w:rsidTr="00BC1776">
        <w:trPr>
          <w:trHeight w:val="270"/>
        </w:trPr>
        <w:tc>
          <w:tcPr>
            <w:tcW w:w="273" w:type="pct"/>
          </w:tcPr>
          <w:p w14:paraId="6F3ED915" w14:textId="344EE26C" w:rsidR="00930214" w:rsidRPr="00244485" w:rsidRDefault="008563D6" w:rsidP="00930214">
            <w:pPr>
              <w:pStyle w:val="TableTextLeft"/>
            </w:pPr>
            <w:r>
              <w:t>3</w:t>
            </w:r>
          </w:p>
        </w:tc>
        <w:tc>
          <w:tcPr>
            <w:tcW w:w="1318" w:type="pct"/>
          </w:tcPr>
          <w:p w14:paraId="591AFFDA" w14:textId="77777777" w:rsidR="00930214" w:rsidRPr="00244485" w:rsidRDefault="00930214" w:rsidP="00930214">
            <w:pPr>
              <w:pStyle w:val="TableTextLeft"/>
            </w:pPr>
            <w:r w:rsidRPr="00244485">
              <w:t>Greenfield land supply</w:t>
            </w:r>
          </w:p>
          <w:p w14:paraId="7BD62688" w14:textId="77777777" w:rsidR="00930214" w:rsidRPr="00244485" w:rsidRDefault="00930214" w:rsidP="00930214">
            <w:pPr>
              <w:pStyle w:val="TableTextLeft"/>
            </w:pPr>
          </w:p>
        </w:tc>
        <w:tc>
          <w:tcPr>
            <w:tcW w:w="1939" w:type="pct"/>
          </w:tcPr>
          <w:p w14:paraId="58023829" w14:textId="77777777" w:rsidR="0050284A" w:rsidRDefault="00930214" w:rsidP="00930214">
            <w:pPr>
              <w:pStyle w:val="TableTextLeft"/>
            </w:pPr>
            <w:r>
              <w:t>The estimated number of dwellings or lots in state and territory greenfield land supply pipelines</w:t>
            </w:r>
          </w:p>
          <w:p w14:paraId="1ABF5B48" w14:textId="4CA4594A" w:rsidR="00930214" w:rsidRDefault="00930214" w:rsidP="00930214">
            <w:pPr>
              <w:pStyle w:val="TableTextLeft"/>
            </w:pPr>
            <w:r w:rsidRPr="3AC40195">
              <w:rPr>
                <w:i/>
                <w:iCs/>
              </w:rPr>
              <w:t>Measure 6, 10</w:t>
            </w:r>
          </w:p>
          <w:p w14:paraId="3A1D8776" w14:textId="77777777" w:rsidR="00930214" w:rsidRDefault="00930214" w:rsidP="00930214">
            <w:pPr>
              <w:pStyle w:val="TableTextLeft"/>
            </w:pPr>
          </w:p>
        </w:tc>
        <w:tc>
          <w:tcPr>
            <w:tcW w:w="1470" w:type="pct"/>
          </w:tcPr>
          <w:p w14:paraId="2C93ECC6" w14:textId="41053E42" w:rsidR="00930214" w:rsidRDefault="00930214" w:rsidP="00930214">
            <w:pPr>
              <w:pStyle w:val="TableTextLeft"/>
            </w:pPr>
            <w:r>
              <w:rPr>
                <w:color w:val="auto"/>
              </w:rPr>
              <w:t>State and territory data sources</w:t>
            </w:r>
          </w:p>
        </w:tc>
      </w:tr>
      <w:tr w:rsidR="00DF498B" w14:paraId="5F5316D4" w14:textId="77777777" w:rsidTr="00BC1776">
        <w:trPr>
          <w:trHeight w:val="270"/>
        </w:trPr>
        <w:tc>
          <w:tcPr>
            <w:tcW w:w="273" w:type="pct"/>
          </w:tcPr>
          <w:p w14:paraId="128A1671" w14:textId="51511A75" w:rsidR="00DF498B" w:rsidRPr="00244485" w:rsidRDefault="008563D6" w:rsidP="00DF498B">
            <w:pPr>
              <w:pStyle w:val="TableTextLeft"/>
            </w:pPr>
            <w:r>
              <w:t>4</w:t>
            </w:r>
          </w:p>
        </w:tc>
        <w:tc>
          <w:tcPr>
            <w:tcW w:w="1318" w:type="pct"/>
          </w:tcPr>
          <w:p w14:paraId="568B9968" w14:textId="77777777" w:rsidR="00DF498B" w:rsidRPr="00244485" w:rsidRDefault="00DF498B" w:rsidP="00DF498B">
            <w:pPr>
              <w:pStyle w:val="TableTextLeft"/>
            </w:pPr>
            <w:r w:rsidRPr="00244485">
              <w:t>Estimated increase to greenfield supply and infill capacity</w:t>
            </w:r>
          </w:p>
          <w:p w14:paraId="44891900" w14:textId="77777777" w:rsidR="00DF498B" w:rsidRPr="00244485" w:rsidRDefault="00DF498B" w:rsidP="00DF498B">
            <w:pPr>
              <w:pStyle w:val="TableTextLeft"/>
            </w:pPr>
          </w:p>
        </w:tc>
        <w:tc>
          <w:tcPr>
            <w:tcW w:w="1939" w:type="pct"/>
          </w:tcPr>
          <w:p w14:paraId="5A90F641" w14:textId="354526C6" w:rsidR="00DF498B" w:rsidRDefault="00DF498B" w:rsidP="00DF498B">
            <w:pPr>
              <w:pStyle w:val="TableTextLeft"/>
            </w:pPr>
            <w:r>
              <w:t xml:space="preserve">Changes to housing supply estimates resulting from recent major planning system or zoning changes </w:t>
            </w:r>
          </w:p>
          <w:p w14:paraId="064412FA" w14:textId="77777777" w:rsidR="00DF498B" w:rsidRDefault="00DF498B" w:rsidP="00DF498B">
            <w:pPr>
              <w:pStyle w:val="TableTextLeft"/>
            </w:pPr>
            <w:r>
              <w:t>To supplement the capacity and greenfield land supply estimates, by highlighting the quantitative impacts of recent planning and zoning reforms</w:t>
            </w:r>
          </w:p>
          <w:p w14:paraId="7C98C1DB" w14:textId="77777777" w:rsidR="00DF498B" w:rsidRDefault="00DF498B" w:rsidP="00DF498B">
            <w:pPr>
              <w:pStyle w:val="TableTextLeft"/>
            </w:pPr>
            <w:r w:rsidRPr="3AC40195">
              <w:rPr>
                <w:i/>
                <w:iCs/>
              </w:rPr>
              <w:t>Measure 6, 10</w:t>
            </w:r>
          </w:p>
        </w:tc>
        <w:tc>
          <w:tcPr>
            <w:tcW w:w="1470" w:type="pct"/>
          </w:tcPr>
          <w:p w14:paraId="0B51E1E0" w14:textId="3D76199F" w:rsidR="00DF498B" w:rsidRDefault="00DF498B" w:rsidP="00DF498B">
            <w:pPr>
              <w:pStyle w:val="TableTextLeft"/>
            </w:pPr>
            <w:r>
              <w:rPr>
                <w:color w:val="auto"/>
              </w:rPr>
              <w:t>State and territory data sources</w:t>
            </w:r>
          </w:p>
        </w:tc>
      </w:tr>
      <w:tr w:rsidR="00930214" w14:paraId="3708C46D" w14:textId="77777777" w:rsidTr="51F15B51">
        <w:trPr>
          <w:trHeight w:val="270"/>
        </w:trPr>
        <w:tc>
          <w:tcPr>
            <w:tcW w:w="5000" w:type="pct"/>
            <w:gridSpan w:val="4"/>
          </w:tcPr>
          <w:p w14:paraId="119FB5A9" w14:textId="37DBC73A" w:rsidR="00930214" w:rsidRDefault="00EF4DDD" w:rsidP="00930214">
            <w:pPr>
              <w:pStyle w:val="TableTextLeft"/>
            </w:pPr>
            <w:r>
              <w:rPr>
                <w:b/>
                <w:bCs/>
              </w:rPr>
              <w:t>D</w:t>
            </w:r>
            <w:r w:rsidR="00930214">
              <w:rPr>
                <w:b/>
                <w:bCs/>
              </w:rPr>
              <w:t>evelopment approval times</w:t>
            </w:r>
          </w:p>
        </w:tc>
      </w:tr>
      <w:tr w:rsidR="00930214" w14:paraId="606A9766" w14:textId="77777777" w:rsidTr="00BC1776">
        <w:trPr>
          <w:trHeight w:val="270"/>
        </w:trPr>
        <w:tc>
          <w:tcPr>
            <w:tcW w:w="273" w:type="pct"/>
          </w:tcPr>
          <w:p w14:paraId="66644DA1" w14:textId="2F70D073" w:rsidR="00930214" w:rsidRPr="00244485" w:rsidRDefault="008563D6" w:rsidP="00930214">
            <w:pPr>
              <w:pStyle w:val="TableTextLeft"/>
            </w:pPr>
            <w:r>
              <w:t>5</w:t>
            </w:r>
          </w:p>
        </w:tc>
        <w:tc>
          <w:tcPr>
            <w:tcW w:w="1318" w:type="pct"/>
          </w:tcPr>
          <w:p w14:paraId="310316FF" w14:textId="68021DC4" w:rsidR="00930214" w:rsidRPr="00244485" w:rsidRDefault="00930214" w:rsidP="00930214">
            <w:pPr>
              <w:pStyle w:val="TableTextLeft"/>
            </w:pPr>
            <w:r w:rsidRPr="00244485">
              <w:t xml:space="preserve">Observed </w:t>
            </w:r>
            <w:r w:rsidR="00EF4DDD">
              <w:t xml:space="preserve">median </w:t>
            </w:r>
            <w:r w:rsidRPr="00244485">
              <w:t xml:space="preserve">development approval times </w:t>
            </w:r>
          </w:p>
          <w:p w14:paraId="5E95F1A0" w14:textId="77777777" w:rsidR="00930214" w:rsidRPr="0083742C" w:rsidRDefault="00930214" w:rsidP="00930214">
            <w:pPr>
              <w:pStyle w:val="TableTextLeft"/>
            </w:pPr>
            <w:r>
              <w:t xml:space="preserve"> </w:t>
            </w:r>
          </w:p>
        </w:tc>
        <w:tc>
          <w:tcPr>
            <w:tcW w:w="1939" w:type="pct"/>
          </w:tcPr>
          <w:p w14:paraId="396381C9" w14:textId="6B7EDF9C" w:rsidR="00930214" w:rsidRPr="00C76314" w:rsidRDefault="00930214" w:rsidP="00930214">
            <w:pPr>
              <w:pStyle w:val="Bullet"/>
              <w:numPr>
                <w:ilvl w:val="0"/>
                <w:numId w:val="0"/>
              </w:numPr>
              <w:ind w:left="284" w:hanging="284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Collect and report data </w:t>
            </w:r>
            <w:r w:rsidR="00DF498B">
              <w:rPr>
                <w:sz w:val="18"/>
                <w:szCs w:val="16"/>
              </w:rPr>
              <w:t xml:space="preserve">across </w:t>
            </w:r>
            <w:r w:rsidR="004473D1">
              <w:rPr>
                <w:sz w:val="18"/>
                <w:szCs w:val="16"/>
              </w:rPr>
              <w:t xml:space="preserve">all </w:t>
            </w:r>
            <w:r w:rsidR="00DF498B">
              <w:rPr>
                <w:sz w:val="18"/>
                <w:szCs w:val="16"/>
              </w:rPr>
              <w:t>application</w:t>
            </w:r>
            <w:r w:rsidR="004473D1">
              <w:rPr>
                <w:sz w:val="18"/>
                <w:szCs w:val="16"/>
              </w:rPr>
              <w:t xml:space="preserve"> types</w:t>
            </w:r>
          </w:p>
          <w:p w14:paraId="776A96B1" w14:textId="77777777" w:rsidR="00930214" w:rsidRDefault="00930214" w:rsidP="00930214">
            <w:pPr>
              <w:pStyle w:val="TableTextLeft"/>
            </w:pPr>
            <w:r w:rsidRPr="3AC40195">
              <w:rPr>
                <w:i/>
                <w:iCs/>
              </w:rPr>
              <w:t xml:space="preserve">Measure </w:t>
            </w:r>
            <w:r>
              <w:rPr>
                <w:i/>
                <w:iCs/>
              </w:rPr>
              <w:t xml:space="preserve">5, </w:t>
            </w:r>
            <w:r w:rsidRPr="3AC40195">
              <w:rPr>
                <w:i/>
                <w:iCs/>
              </w:rPr>
              <w:t>6</w:t>
            </w:r>
          </w:p>
        </w:tc>
        <w:tc>
          <w:tcPr>
            <w:tcW w:w="1470" w:type="pct"/>
          </w:tcPr>
          <w:p w14:paraId="4F23F405" w14:textId="77777777" w:rsidR="00930214" w:rsidRDefault="00930214" w:rsidP="00930214">
            <w:pPr>
              <w:pStyle w:val="TableTextLeft"/>
            </w:pPr>
            <w:r>
              <w:t>States and territories to supply development approval times data.</w:t>
            </w:r>
          </w:p>
          <w:p w14:paraId="31553710" w14:textId="77777777" w:rsidR="00930214" w:rsidRDefault="00930214" w:rsidP="00930214">
            <w:pPr>
              <w:pStyle w:val="TableTextLeft"/>
            </w:pPr>
            <w:r>
              <w:t>.</w:t>
            </w:r>
          </w:p>
          <w:p w14:paraId="2D2E3316" w14:textId="77777777" w:rsidR="00930214" w:rsidRDefault="00930214" w:rsidP="00930214">
            <w:pPr>
              <w:pStyle w:val="TableTextLeft"/>
              <w:rPr>
                <w:color w:val="5D779D" w:themeColor="accent3"/>
              </w:rPr>
            </w:pPr>
          </w:p>
        </w:tc>
      </w:tr>
      <w:tr w:rsidR="005E30EE" w:rsidRPr="00860612" w14:paraId="61A8DAF1" w14:textId="77777777" w:rsidTr="005E30EE">
        <w:trPr>
          <w:trHeight w:val="270"/>
        </w:trPr>
        <w:tc>
          <w:tcPr>
            <w:tcW w:w="273" w:type="pct"/>
          </w:tcPr>
          <w:p w14:paraId="7BE14003" w14:textId="6093659E" w:rsidR="005E30EE" w:rsidRPr="00244485" w:rsidRDefault="00C203B8" w:rsidP="00491C00">
            <w:pPr>
              <w:pStyle w:val="TableTextLeft"/>
            </w:pPr>
            <w:r>
              <w:t>6</w:t>
            </w:r>
          </w:p>
        </w:tc>
        <w:tc>
          <w:tcPr>
            <w:tcW w:w="1318" w:type="pct"/>
          </w:tcPr>
          <w:p w14:paraId="0B61B372" w14:textId="77777777" w:rsidR="005E30EE" w:rsidRPr="00244485" w:rsidRDefault="005E30EE" w:rsidP="00491C00">
            <w:pPr>
              <w:pStyle w:val="TableTextLeft"/>
            </w:pPr>
            <w:r w:rsidRPr="00244485">
              <w:t>Range and spread of observed approval times</w:t>
            </w:r>
          </w:p>
        </w:tc>
        <w:tc>
          <w:tcPr>
            <w:tcW w:w="1939" w:type="pct"/>
          </w:tcPr>
          <w:p w14:paraId="3E2DD5BC" w14:textId="77777777" w:rsidR="005E30EE" w:rsidRDefault="005E30EE" w:rsidP="005E30EE">
            <w:pPr>
              <w:pStyle w:val="Bullet"/>
              <w:ind w:left="284" w:hanging="284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Data showing shortest and longest approval timeframes. </w:t>
            </w:r>
          </w:p>
          <w:p w14:paraId="7F6D6569" w14:textId="77777777" w:rsidR="005E30EE" w:rsidRPr="005E30EE" w:rsidRDefault="005E30EE" w:rsidP="005E30EE">
            <w:pPr>
              <w:pStyle w:val="Bullet"/>
              <w:ind w:left="284" w:hanging="284"/>
              <w:rPr>
                <w:sz w:val="18"/>
                <w:szCs w:val="16"/>
              </w:rPr>
            </w:pPr>
            <w:r w:rsidRPr="005E30EE">
              <w:rPr>
                <w:sz w:val="18"/>
                <w:szCs w:val="16"/>
              </w:rPr>
              <w:t>Measure 6</w:t>
            </w:r>
          </w:p>
        </w:tc>
        <w:tc>
          <w:tcPr>
            <w:tcW w:w="1470" w:type="pct"/>
          </w:tcPr>
          <w:p w14:paraId="22D85E5D" w14:textId="77777777" w:rsidR="005E30EE" w:rsidRPr="005E30EE" w:rsidRDefault="005E30EE" w:rsidP="00491C00">
            <w:pPr>
              <w:pStyle w:val="TableTextLeft"/>
            </w:pPr>
            <w:r>
              <w:t>State and territories data</w:t>
            </w:r>
          </w:p>
        </w:tc>
      </w:tr>
      <w:tr w:rsidR="005E30EE" w14:paraId="01DD8680" w14:textId="77777777" w:rsidTr="005E30EE">
        <w:trPr>
          <w:trHeight w:val="270"/>
        </w:trPr>
        <w:tc>
          <w:tcPr>
            <w:tcW w:w="273" w:type="pct"/>
          </w:tcPr>
          <w:p w14:paraId="25E4427E" w14:textId="6E1E420F" w:rsidR="005E30EE" w:rsidRPr="00244485" w:rsidRDefault="00C203B8" w:rsidP="00491C00">
            <w:pPr>
              <w:pStyle w:val="TableTextLeft"/>
            </w:pPr>
            <w:r>
              <w:t>7</w:t>
            </w:r>
          </w:p>
        </w:tc>
        <w:tc>
          <w:tcPr>
            <w:tcW w:w="1318" w:type="pct"/>
          </w:tcPr>
          <w:p w14:paraId="40D7A7AD" w14:textId="77777777" w:rsidR="005E30EE" w:rsidRPr="00244485" w:rsidRDefault="005E30EE" w:rsidP="00491C00">
            <w:pPr>
              <w:pStyle w:val="TableTextLeft"/>
            </w:pPr>
            <w:r w:rsidRPr="00244485">
              <w:t>Proportion of development approvals within statutory timeframes</w:t>
            </w:r>
          </w:p>
          <w:p w14:paraId="2C4871C3" w14:textId="77777777" w:rsidR="005E30EE" w:rsidRPr="005E30EE" w:rsidRDefault="005E30EE" w:rsidP="005E30EE">
            <w:pPr>
              <w:pStyle w:val="TableTextLeft"/>
            </w:pPr>
          </w:p>
        </w:tc>
        <w:tc>
          <w:tcPr>
            <w:tcW w:w="1939" w:type="pct"/>
          </w:tcPr>
          <w:p w14:paraId="72411E7A" w14:textId="77777777" w:rsidR="005E30EE" w:rsidRPr="005E30EE" w:rsidRDefault="005E30EE" w:rsidP="005E30EE">
            <w:pPr>
              <w:pStyle w:val="Bullet"/>
              <w:ind w:left="284" w:hanging="284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Percentage data for approvals overall </w:t>
            </w:r>
            <w:r w:rsidRPr="005E30EE">
              <w:rPr>
                <w:sz w:val="18"/>
                <w:szCs w:val="16"/>
              </w:rPr>
              <w:br/>
              <w:t>Measure 6</w:t>
            </w:r>
          </w:p>
        </w:tc>
        <w:tc>
          <w:tcPr>
            <w:tcW w:w="1470" w:type="pct"/>
          </w:tcPr>
          <w:p w14:paraId="473B29F4" w14:textId="77777777" w:rsidR="005E30EE" w:rsidRDefault="005E30EE" w:rsidP="00491C00">
            <w:pPr>
              <w:pStyle w:val="TableTextLeft"/>
            </w:pPr>
            <w:r>
              <w:t>State and territory data</w:t>
            </w:r>
          </w:p>
          <w:p w14:paraId="43C54464" w14:textId="77777777" w:rsidR="005E30EE" w:rsidRDefault="005E30EE" w:rsidP="00491C00">
            <w:pPr>
              <w:pStyle w:val="TableTextLeft"/>
            </w:pPr>
          </w:p>
        </w:tc>
      </w:tr>
    </w:tbl>
    <w:p w14:paraId="743F1E09" w14:textId="77777777" w:rsidR="005A0745" w:rsidRDefault="005A0745" w:rsidP="005A0745"/>
    <w:tbl>
      <w:tblPr>
        <w:tblW w:w="5000" w:type="pct"/>
        <w:tblLook w:val="01E0" w:firstRow="1" w:lastRow="1" w:firstColumn="1" w:lastColumn="1" w:noHBand="0" w:noVBand="0"/>
      </w:tblPr>
      <w:tblGrid>
        <w:gridCol w:w="421"/>
        <w:gridCol w:w="2414"/>
        <w:gridCol w:w="3543"/>
        <w:gridCol w:w="2692"/>
      </w:tblGrid>
      <w:tr w:rsidR="005A0745" w14:paraId="58675FEE" w14:textId="77777777" w:rsidTr="001E21A6">
        <w:trPr>
          <w:trHeight w:val="270"/>
        </w:trPr>
        <w:tc>
          <w:tcPr>
            <w:tcW w:w="5000" w:type="pct"/>
            <w:gridSpan w:val="4"/>
          </w:tcPr>
          <w:p w14:paraId="34703462" w14:textId="77777777" w:rsidR="005A0745" w:rsidRDefault="005A0745" w:rsidP="001E21A6">
            <w:pPr>
              <w:pStyle w:val="TableTextLeft"/>
              <w:rPr>
                <w:b/>
                <w:bCs/>
              </w:rPr>
            </w:pPr>
            <w:r w:rsidRPr="00860612">
              <w:rPr>
                <w:b/>
                <w:bCs/>
              </w:rPr>
              <w:t>Predictability of development approvals</w:t>
            </w:r>
          </w:p>
          <w:p w14:paraId="4F9669D8" w14:textId="77777777" w:rsidR="005A0745" w:rsidRPr="002E7FA8" w:rsidRDefault="005A0745" w:rsidP="001E21A6">
            <w:pPr>
              <w:pStyle w:val="TableTextLeft"/>
            </w:pPr>
            <w:r w:rsidRPr="002E7FA8">
              <w:t xml:space="preserve">To complement Metric D, by recognising that lowering risk around planning approvals is often as important as reducing the average timeframes. </w:t>
            </w:r>
          </w:p>
        </w:tc>
      </w:tr>
      <w:tr w:rsidR="005A0745" w14:paraId="5009F40C" w14:textId="77777777" w:rsidTr="00397EA2">
        <w:trPr>
          <w:trHeight w:val="270"/>
        </w:trPr>
        <w:tc>
          <w:tcPr>
            <w:tcW w:w="232" w:type="pct"/>
          </w:tcPr>
          <w:p w14:paraId="10D80CD9" w14:textId="15F98C5E" w:rsidR="005A0745" w:rsidRPr="00244485" w:rsidRDefault="00ED5025" w:rsidP="001E21A6">
            <w:pPr>
              <w:pStyle w:val="TableTextLeft"/>
            </w:pPr>
            <w:r>
              <w:t>8</w:t>
            </w:r>
          </w:p>
        </w:tc>
        <w:tc>
          <w:tcPr>
            <w:tcW w:w="1331" w:type="pct"/>
          </w:tcPr>
          <w:p w14:paraId="4B719D13" w14:textId="77777777" w:rsidR="005A0745" w:rsidRPr="00244485" w:rsidRDefault="005A0745" w:rsidP="001E21A6">
            <w:pPr>
              <w:pStyle w:val="TableTextLeft"/>
            </w:pPr>
            <w:r>
              <w:t>Observed or estimated p</w:t>
            </w:r>
            <w:r w:rsidRPr="00244485">
              <w:t>roportion of developments in guaranteed</w:t>
            </w:r>
            <w:r>
              <w:t>,</w:t>
            </w:r>
            <w:r w:rsidRPr="00244485">
              <w:t xml:space="preserve"> exempted</w:t>
            </w:r>
            <w:r>
              <w:t xml:space="preserve"> or equivalent</w:t>
            </w:r>
            <w:r w:rsidRPr="00244485">
              <w:t xml:space="preserve"> development approval pathways.  </w:t>
            </w:r>
          </w:p>
          <w:p w14:paraId="60A3BD3D" w14:textId="77777777" w:rsidR="005A0745" w:rsidRPr="00244485" w:rsidRDefault="005A0745" w:rsidP="001E21A6">
            <w:pPr>
              <w:pStyle w:val="Bullet"/>
              <w:numPr>
                <w:ilvl w:val="0"/>
                <w:numId w:val="0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1953" w:type="pct"/>
          </w:tcPr>
          <w:p w14:paraId="7887B873" w14:textId="71A65075" w:rsidR="005A0745" w:rsidRDefault="00676C57" w:rsidP="00397EA2">
            <w:pPr>
              <w:pStyle w:val="DoubleDot"/>
              <w:numPr>
                <w:ilvl w:val="0"/>
                <w:numId w:val="0"/>
              </w:numPr>
              <w:tabs>
                <w:tab w:val="left" w:pos="720"/>
              </w:tabs>
              <w:spacing w:before="120" w:after="0" w:line="276" w:lineRule="auto"/>
            </w:pPr>
            <w:r>
              <w:rPr>
                <w:sz w:val="18"/>
                <w:szCs w:val="16"/>
              </w:rPr>
              <w:t xml:space="preserve">Selected state-specific accelerated or streamlined </w:t>
            </w:r>
            <w:r w:rsidR="005A0745">
              <w:rPr>
                <w:sz w:val="18"/>
                <w:szCs w:val="16"/>
              </w:rPr>
              <w:t xml:space="preserve">pathways for development approvals </w:t>
            </w:r>
            <w:r w:rsidR="005A0745" w:rsidRPr="005614D8">
              <w:rPr>
                <w:i/>
                <w:iCs/>
                <w:sz w:val="18"/>
                <w:szCs w:val="16"/>
              </w:rPr>
              <w:t>Measure 5,6,9</w:t>
            </w:r>
          </w:p>
        </w:tc>
        <w:tc>
          <w:tcPr>
            <w:tcW w:w="1484" w:type="pct"/>
          </w:tcPr>
          <w:p w14:paraId="105FCA09" w14:textId="4F7056AF" w:rsidR="005A0745" w:rsidRDefault="00676C57" w:rsidP="001E21A6">
            <w:pPr>
              <w:pStyle w:val="TableTextLeft"/>
            </w:pPr>
            <w:r>
              <w:t>State and territory data, noting variation among planning systems</w:t>
            </w:r>
            <w:r w:rsidR="005A0745">
              <w:t xml:space="preserve"> </w:t>
            </w:r>
          </w:p>
          <w:p w14:paraId="45D679C2" w14:textId="77777777" w:rsidR="005A0745" w:rsidRDefault="005A0745" w:rsidP="001E21A6">
            <w:pPr>
              <w:pStyle w:val="TableTextLeft"/>
              <w:rPr>
                <w:highlight w:val="yellow"/>
              </w:rPr>
            </w:pPr>
          </w:p>
        </w:tc>
      </w:tr>
      <w:tr w:rsidR="005A0745" w14:paraId="08CD8399" w14:textId="77777777" w:rsidTr="00397EA2">
        <w:trPr>
          <w:trHeight w:val="270"/>
        </w:trPr>
        <w:tc>
          <w:tcPr>
            <w:tcW w:w="232" w:type="pct"/>
          </w:tcPr>
          <w:p w14:paraId="28E451C5" w14:textId="218ABBA8" w:rsidR="005A0745" w:rsidRPr="00244485" w:rsidRDefault="005A0745" w:rsidP="001E21A6">
            <w:pPr>
              <w:pStyle w:val="TableTextLeft"/>
            </w:pPr>
          </w:p>
        </w:tc>
        <w:tc>
          <w:tcPr>
            <w:tcW w:w="1331" w:type="pct"/>
          </w:tcPr>
          <w:p w14:paraId="5A21AB23" w14:textId="624DD6C6" w:rsidR="005A0745" w:rsidRPr="00244485" w:rsidRDefault="005A0745" w:rsidP="001E21A6">
            <w:pPr>
              <w:pStyle w:val="TableTextLeft"/>
            </w:pPr>
          </w:p>
        </w:tc>
        <w:tc>
          <w:tcPr>
            <w:tcW w:w="1953" w:type="pct"/>
          </w:tcPr>
          <w:p w14:paraId="093F39D4" w14:textId="7EE3E247" w:rsidR="005A0745" w:rsidRPr="00545504" w:rsidRDefault="005A0745" w:rsidP="00397EA2">
            <w:pPr>
              <w:pStyle w:val="DoubleDot"/>
              <w:numPr>
                <w:ilvl w:val="0"/>
                <w:numId w:val="0"/>
              </w:numPr>
              <w:tabs>
                <w:tab w:val="left" w:pos="720"/>
              </w:tabs>
              <w:spacing w:before="120" w:after="0" w:line="276" w:lineRule="auto"/>
              <w:rPr>
                <w:szCs w:val="18"/>
              </w:rPr>
            </w:pPr>
          </w:p>
        </w:tc>
        <w:tc>
          <w:tcPr>
            <w:tcW w:w="1484" w:type="pct"/>
          </w:tcPr>
          <w:p w14:paraId="599A2014" w14:textId="076CBAED" w:rsidR="005A0745" w:rsidRPr="00860612" w:rsidRDefault="005A0745" w:rsidP="001E21A6">
            <w:pPr>
              <w:pStyle w:val="TableTextLeft"/>
              <w:rPr>
                <w:b/>
                <w:bCs/>
              </w:rPr>
            </w:pPr>
          </w:p>
        </w:tc>
      </w:tr>
      <w:tr w:rsidR="005A0745" w14:paraId="689EDDD3" w14:textId="77777777" w:rsidTr="00397EA2">
        <w:trPr>
          <w:trHeight w:val="270"/>
        </w:trPr>
        <w:tc>
          <w:tcPr>
            <w:tcW w:w="232" w:type="pct"/>
          </w:tcPr>
          <w:p w14:paraId="4F3E4060" w14:textId="714BD6C2" w:rsidR="005A0745" w:rsidRPr="00244485" w:rsidRDefault="005A0745" w:rsidP="001E21A6">
            <w:pPr>
              <w:pStyle w:val="TableTextLeft"/>
            </w:pPr>
          </w:p>
        </w:tc>
        <w:tc>
          <w:tcPr>
            <w:tcW w:w="1331" w:type="pct"/>
          </w:tcPr>
          <w:p w14:paraId="6BCA8D83" w14:textId="77777777" w:rsidR="005A0745" w:rsidRPr="00244485" w:rsidRDefault="005A0745" w:rsidP="001E21A6">
            <w:pPr>
              <w:pStyle w:val="Bullet"/>
              <w:numPr>
                <w:ilvl w:val="0"/>
                <w:numId w:val="0"/>
              </w:numPr>
              <w:ind w:left="284" w:hanging="284"/>
              <w:rPr>
                <w:szCs w:val="16"/>
              </w:rPr>
            </w:pPr>
          </w:p>
        </w:tc>
        <w:tc>
          <w:tcPr>
            <w:tcW w:w="1953" w:type="pct"/>
          </w:tcPr>
          <w:p w14:paraId="0AEFB24F" w14:textId="58E5F186" w:rsidR="005A0745" w:rsidRPr="00545504" w:rsidRDefault="005A0745" w:rsidP="00397EA2">
            <w:pPr>
              <w:pStyle w:val="DoubleDot"/>
              <w:numPr>
                <w:ilvl w:val="0"/>
                <w:numId w:val="0"/>
              </w:numPr>
              <w:tabs>
                <w:tab w:val="left" w:pos="720"/>
              </w:tabs>
              <w:spacing w:before="120" w:after="0" w:line="276" w:lineRule="auto"/>
              <w:rPr>
                <w:szCs w:val="18"/>
              </w:rPr>
            </w:pPr>
          </w:p>
        </w:tc>
        <w:tc>
          <w:tcPr>
            <w:tcW w:w="1484" w:type="pct"/>
          </w:tcPr>
          <w:p w14:paraId="706187AD" w14:textId="4580D270" w:rsidR="005A0745" w:rsidRDefault="005A0745" w:rsidP="001E21A6">
            <w:pPr>
              <w:pStyle w:val="TableTextLeft"/>
            </w:pPr>
          </w:p>
        </w:tc>
      </w:tr>
      <w:tr w:rsidR="005A0745" w14:paraId="336FE95E" w14:textId="77777777" w:rsidTr="001E21A6">
        <w:trPr>
          <w:trHeight w:val="270"/>
        </w:trPr>
        <w:tc>
          <w:tcPr>
            <w:tcW w:w="1563" w:type="pct"/>
            <w:gridSpan w:val="2"/>
          </w:tcPr>
          <w:p w14:paraId="31B0C9BC" w14:textId="6DECFA80" w:rsidR="005A0745" w:rsidRPr="00DC2629" w:rsidRDefault="005A0745" w:rsidP="001E21A6">
            <w:pPr>
              <w:pStyle w:val="TableTextLeft"/>
            </w:pPr>
          </w:p>
        </w:tc>
        <w:tc>
          <w:tcPr>
            <w:tcW w:w="1953" w:type="pct"/>
          </w:tcPr>
          <w:p w14:paraId="66380238" w14:textId="77777777" w:rsidR="005A0745" w:rsidRDefault="005A0745" w:rsidP="001E21A6">
            <w:pPr>
              <w:pStyle w:val="TableTextLeft"/>
            </w:pPr>
          </w:p>
        </w:tc>
        <w:tc>
          <w:tcPr>
            <w:tcW w:w="1484" w:type="pct"/>
          </w:tcPr>
          <w:p w14:paraId="0DB9FEC8" w14:textId="77777777" w:rsidR="005A0745" w:rsidRDefault="005A0745" w:rsidP="001E21A6">
            <w:pPr>
              <w:pStyle w:val="TableTextLeft"/>
            </w:pPr>
          </w:p>
        </w:tc>
      </w:tr>
      <w:tr w:rsidR="005A0745" w14:paraId="2F3A53F9" w14:textId="77777777" w:rsidTr="00397EA2">
        <w:trPr>
          <w:trHeight w:val="270"/>
        </w:trPr>
        <w:tc>
          <w:tcPr>
            <w:tcW w:w="232" w:type="pct"/>
          </w:tcPr>
          <w:p w14:paraId="67588327" w14:textId="1DDFC3DB" w:rsidR="005A0745" w:rsidRPr="00244485" w:rsidRDefault="005A0745" w:rsidP="001E21A6">
            <w:pPr>
              <w:pStyle w:val="TableTextLeft"/>
            </w:pPr>
          </w:p>
        </w:tc>
        <w:tc>
          <w:tcPr>
            <w:tcW w:w="1331" w:type="pct"/>
          </w:tcPr>
          <w:p w14:paraId="49AC5E5C" w14:textId="62E26115" w:rsidR="005A0745" w:rsidRPr="00244485" w:rsidRDefault="005A0745" w:rsidP="001E21A6">
            <w:pPr>
              <w:pStyle w:val="TableTextLeft"/>
            </w:pPr>
          </w:p>
        </w:tc>
        <w:tc>
          <w:tcPr>
            <w:tcW w:w="1953" w:type="pct"/>
          </w:tcPr>
          <w:p w14:paraId="26E23C49" w14:textId="6D6FB1A8" w:rsidR="005A0745" w:rsidRDefault="005A0745" w:rsidP="001E21A6">
            <w:pPr>
              <w:pStyle w:val="TableTextLeft"/>
            </w:pPr>
          </w:p>
        </w:tc>
        <w:tc>
          <w:tcPr>
            <w:tcW w:w="1484" w:type="pct"/>
          </w:tcPr>
          <w:p w14:paraId="49B13B3C" w14:textId="70FF6D32" w:rsidR="005A0745" w:rsidRDefault="005A0745" w:rsidP="007C1FCB">
            <w:pPr>
              <w:pStyle w:val="TableTextLeft"/>
            </w:pPr>
          </w:p>
        </w:tc>
      </w:tr>
      <w:tr w:rsidR="005A0745" w14:paraId="004EFA66" w14:textId="77777777" w:rsidTr="001E21A6">
        <w:trPr>
          <w:trHeight w:val="270"/>
        </w:trPr>
        <w:tc>
          <w:tcPr>
            <w:tcW w:w="5000" w:type="pct"/>
            <w:gridSpan w:val="4"/>
          </w:tcPr>
          <w:p w14:paraId="6BB455DD" w14:textId="77777777" w:rsidR="005A0745" w:rsidRDefault="005A0745" w:rsidP="001E21A6">
            <w:pPr>
              <w:pStyle w:val="TableTextLeft"/>
            </w:pPr>
            <w:r>
              <w:rPr>
                <w:b/>
                <w:bCs/>
              </w:rPr>
              <w:t>Built environment staffing levels</w:t>
            </w:r>
          </w:p>
        </w:tc>
      </w:tr>
      <w:tr w:rsidR="005A0745" w14:paraId="0E5AC478" w14:textId="77777777" w:rsidTr="00397EA2">
        <w:trPr>
          <w:trHeight w:val="270"/>
        </w:trPr>
        <w:tc>
          <w:tcPr>
            <w:tcW w:w="232" w:type="pct"/>
          </w:tcPr>
          <w:p w14:paraId="70E8B8F3" w14:textId="120CF80D" w:rsidR="005A0745" w:rsidRPr="00244485" w:rsidRDefault="00DB6AD4" w:rsidP="001E21A6">
            <w:pPr>
              <w:pStyle w:val="TableTextLeft"/>
            </w:pPr>
            <w:r>
              <w:t>9</w:t>
            </w:r>
          </w:p>
        </w:tc>
        <w:tc>
          <w:tcPr>
            <w:tcW w:w="1331" w:type="pct"/>
          </w:tcPr>
          <w:p w14:paraId="2B0C2E54" w14:textId="77777777" w:rsidR="005A0745" w:rsidRPr="00244485" w:rsidRDefault="005A0745" w:rsidP="001E21A6">
            <w:pPr>
              <w:pStyle w:val="TableTextLeft"/>
            </w:pPr>
            <w:r w:rsidRPr="00244485">
              <w:t>Number of employed urban and regional planners</w:t>
            </w:r>
          </w:p>
        </w:tc>
        <w:tc>
          <w:tcPr>
            <w:tcW w:w="1953" w:type="pct"/>
          </w:tcPr>
          <w:p w14:paraId="0D5A0B89" w14:textId="77777777" w:rsidR="005A0745" w:rsidRDefault="005A0745" w:rsidP="001E21A6">
            <w:pPr>
              <w:pStyle w:val="TableTextLeft"/>
            </w:pPr>
            <w:r w:rsidRPr="0099740E">
              <w:rPr>
                <w:i/>
                <w:iCs/>
                <w:szCs w:val="16"/>
              </w:rPr>
              <w:t xml:space="preserve">Measure </w:t>
            </w:r>
            <w:r>
              <w:rPr>
                <w:i/>
                <w:iCs/>
                <w:szCs w:val="16"/>
              </w:rPr>
              <w:t>8</w:t>
            </w:r>
          </w:p>
        </w:tc>
        <w:tc>
          <w:tcPr>
            <w:tcW w:w="1484" w:type="pct"/>
          </w:tcPr>
          <w:p w14:paraId="52793107" w14:textId="77777777" w:rsidR="005A0745" w:rsidRDefault="005A0745" w:rsidP="001E21A6">
            <w:pPr>
              <w:pStyle w:val="TableTextLeft"/>
            </w:pPr>
            <w:r>
              <w:t>Commonwealth data</w:t>
            </w:r>
          </w:p>
        </w:tc>
      </w:tr>
      <w:tr w:rsidR="005A0745" w14:paraId="0CBF9567" w14:textId="77777777" w:rsidTr="00397EA2">
        <w:trPr>
          <w:trHeight w:val="270"/>
        </w:trPr>
        <w:tc>
          <w:tcPr>
            <w:tcW w:w="232" w:type="pct"/>
          </w:tcPr>
          <w:p w14:paraId="4B2FEAC9" w14:textId="1694B8F5" w:rsidR="005A0745" w:rsidRPr="00244485" w:rsidRDefault="009847E4" w:rsidP="001E21A6">
            <w:pPr>
              <w:pStyle w:val="TableTextLeft"/>
            </w:pPr>
            <w:r>
              <w:t>10</w:t>
            </w:r>
          </w:p>
        </w:tc>
        <w:tc>
          <w:tcPr>
            <w:tcW w:w="1331" w:type="pct"/>
          </w:tcPr>
          <w:p w14:paraId="084F0DE5" w14:textId="77777777" w:rsidR="005A0745" w:rsidRPr="00244485" w:rsidRDefault="005A0745" w:rsidP="001E21A6">
            <w:pPr>
              <w:pStyle w:val="TableTextLeft"/>
              <w:rPr>
                <w:b/>
                <w:bCs/>
              </w:rPr>
            </w:pPr>
            <w:r w:rsidRPr="00244485">
              <w:t>Number of urban and regional planning students</w:t>
            </w:r>
          </w:p>
        </w:tc>
        <w:tc>
          <w:tcPr>
            <w:tcW w:w="1953" w:type="pct"/>
          </w:tcPr>
          <w:p w14:paraId="5BD4BABE" w14:textId="77777777" w:rsidR="005A0745" w:rsidRDefault="005A0745" w:rsidP="001E21A6">
            <w:pPr>
              <w:pStyle w:val="TableTextLeft"/>
            </w:pPr>
            <w:r w:rsidRPr="0099740E">
              <w:rPr>
                <w:i/>
                <w:iCs/>
                <w:szCs w:val="16"/>
              </w:rPr>
              <w:t xml:space="preserve">Measure </w:t>
            </w:r>
            <w:r>
              <w:rPr>
                <w:i/>
                <w:iCs/>
                <w:szCs w:val="16"/>
              </w:rPr>
              <w:t>8</w:t>
            </w:r>
          </w:p>
        </w:tc>
        <w:tc>
          <w:tcPr>
            <w:tcW w:w="1484" w:type="pct"/>
          </w:tcPr>
          <w:p w14:paraId="0B0CFFD7" w14:textId="77777777" w:rsidR="005A0745" w:rsidRPr="00A16F09" w:rsidRDefault="005A0745" w:rsidP="001E21A6">
            <w:pPr>
              <w:pStyle w:val="TableTextLeft"/>
              <w:rPr>
                <w:b/>
                <w:bCs/>
              </w:rPr>
            </w:pPr>
            <w:r>
              <w:t>Commonwealth data</w:t>
            </w:r>
          </w:p>
        </w:tc>
      </w:tr>
      <w:tr w:rsidR="005A0745" w14:paraId="5208296E" w14:textId="77777777" w:rsidTr="00397EA2">
        <w:trPr>
          <w:trHeight w:val="270"/>
        </w:trPr>
        <w:tc>
          <w:tcPr>
            <w:tcW w:w="232" w:type="pct"/>
          </w:tcPr>
          <w:p w14:paraId="2CD35009" w14:textId="62884540" w:rsidR="005A0745" w:rsidRPr="00244485" w:rsidRDefault="009847E4" w:rsidP="001E21A6">
            <w:pPr>
              <w:pStyle w:val="TableTextLeft"/>
            </w:pPr>
            <w:r>
              <w:t>11</w:t>
            </w:r>
          </w:p>
        </w:tc>
        <w:tc>
          <w:tcPr>
            <w:tcW w:w="1331" w:type="pct"/>
          </w:tcPr>
          <w:p w14:paraId="41B224EA" w14:textId="77777777" w:rsidR="005A0745" w:rsidRPr="00244485" w:rsidRDefault="005A0745" w:rsidP="001E21A6">
            <w:pPr>
              <w:pStyle w:val="TableTextLeft"/>
            </w:pPr>
            <w:r w:rsidRPr="00244485">
              <w:t>Jobs and Skills Australia Skills priority list</w:t>
            </w:r>
          </w:p>
        </w:tc>
        <w:tc>
          <w:tcPr>
            <w:tcW w:w="1953" w:type="pct"/>
          </w:tcPr>
          <w:p w14:paraId="6A3EEEF6" w14:textId="77777777" w:rsidR="005A0745" w:rsidRDefault="005A0745" w:rsidP="001E21A6">
            <w:pPr>
              <w:pStyle w:val="TableTextLeft"/>
            </w:pPr>
            <w:r w:rsidRPr="002123C3">
              <w:t>Displaying the annual shortage assessment</w:t>
            </w:r>
            <w:r>
              <w:t xml:space="preserve"> for Urban and regional planners</w:t>
            </w:r>
            <w:r w:rsidRPr="002123C3">
              <w:t xml:space="preserve"> across each jurisdiction developed by Jobs and Skills Australia</w:t>
            </w:r>
            <w:r>
              <w:t xml:space="preserve"> for the</w:t>
            </w:r>
            <w:r w:rsidRPr="002123C3">
              <w:t xml:space="preserve"> </w:t>
            </w:r>
            <w:hyperlink r:id="rId8" w:history="1">
              <w:r w:rsidRPr="0025113F">
                <w:rPr>
                  <w:rStyle w:val="Hyperlink"/>
                </w:rPr>
                <w:t>Skills priority list</w:t>
              </w:r>
            </w:hyperlink>
            <w:r>
              <w:t xml:space="preserve"> or equivalent</w:t>
            </w:r>
            <w:r>
              <w:br/>
            </w:r>
            <w:r w:rsidRPr="0099740E">
              <w:rPr>
                <w:i/>
                <w:iCs/>
                <w:szCs w:val="16"/>
              </w:rPr>
              <w:t xml:space="preserve">Measure </w:t>
            </w:r>
            <w:r>
              <w:rPr>
                <w:i/>
                <w:iCs/>
                <w:szCs w:val="16"/>
              </w:rPr>
              <w:t>8</w:t>
            </w:r>
          </w:p>
        </w:tc>
        <w:tc>
          <w:tcPr>
            <w:tcW w:w="1484" w:type="pct"/>
          </w:tcPr>
          <w:p w14:paraId="0B6237ED" w14:textId="5DEB1733" w:rsidR="005A0745" w:rsidRDefault="005A0745" w:rsidP="001E21A6">
            <w:pPr>
              <w:pStyle w:val="TableTextLeft"/>
            </w:pPr>
            <w:r>
              <w:t xml:space="preserve">Commonwealth </w:t>
            </w:r>
            <w:r w:rsidR="00914FD5">
              <w:t>data</w:t>
            </w:r>
          </w:p>
        </w:tc>
      </w:tr>
      <w:tr w:rsidR="00A82A07" w14:paraId="11F6DC7D" w14:textId="77777777" w:rsidTr="00397EA2">
        <w:trPr>
          <w:trHeight w:val="270"/>
        </w:trPr>
        <w:tc>
          <w:tcPr>
            <w:tcW w:w="232" w:type="pct"/>
          </w:tcPr>
          <w:p w14:paraId="021281D5" w14:textId="3A1C9F25" w:rsidR="00A82A07" w:rsidRPr="00734A42" w:rsidRDefault="00A82A07" w:rsidP="001E21A6">
            <w:pPr>
              <w:pStyle w:val="TableTextLeft"/>
            </w:pPr>
            <w:r w:rsidRPr="00734A42">
              <w:t>12</w:t>
            </w:r>
          </w:p>
        </w:tc>
        <w:tc>
          <w:tcPr>
            <w:tcW w:w="1331" w:type="pct"/>
          </w:tcPr>
          <w:p w14:paraId="1B0B89A5" w14:textId="4B7E81DF" w:rsidR="00A82A07" w:rsidRPr="00734A42" w:rsidRDefault="00A82A07" w:rsidP="001E21A6">
            <w:pPr>
              <w:pStyle w:val="TableTextLeft"/>
            </w:pPr>
            <w:r w:rsidRPr="00734A42">
              <w:t>Local government and decision maker urban planner shortages survey</w:t>
            </w:r>
          </w:p>
        </w:tc>
        <w:tc>
          <w:tcPr>
            <w:tcW w:w="1953" w:type="pct"/>
          </w:tcPr>
          <w:p w14:paraId="4965FA08" w14:textId="77EF9AD4" w:rsidR="00FE56C0" w:rsidRPr="00734A42" w:rsidRDefault="00FE56C0" w:rsidP="001E21A6">
            <w:pPr>
              <w:pStyle w:val="TableTextLeft"/>
            </w:pPr>
            <w:r w:rsidRPr="00734A42">
              <w:t xml:space="preserve">Jurisdictions engage with local governments on the relative shortages they are experiencing on a </w:t>
            </w:r>
            <w:r w:rsidR="00463530" w:rsidRPr="00734A42">
              <w:t>biannual</w:t>
            </w:r>
            <w:r w:rsidRPr="00734A42">
              <w:t xml:space="preserve"> basis.</w:t>
            </w:r>
            <w:r w:rsidR="00463530" w:rsidRPr="00734A42">
              <w:t xml:space="preserve"> </w:t>
            </w:r>
            <w:proofErr w:type="gramStart"/>
            <w:r w:rsidR="00463530" w:rsidRPr="00734A42">
              <w:t>Specific  to</w:t>
            </w:r>
            <w:proofErr w:type="gramEnd"/>
            <w:r w:rsidR="00463530" w:rsidRPr="00734A42">
              <w:t xml:space="preserve"> local governments rather than an overall shortage.</w:t>
            </w:r>
          </w:p>
          <w:p w14:paraId="24AC3A70" w14:textId="5133C052" w:rsidR="00A82A07" w:rsidRPr="00734A42" w:rsidRDefault="00FE56C0" w:rsidP="001E21A6">
            <w:pPr>
              <w:pStyle w:val="TableTextLeft"/>
            </w:pPr>
            <w:r w:rsidRPr="00734A42">
              <w:t>Measure 8</w:t>
            </w:r>
          </w:p>
        </w:tc>
        <w:tc>
          <w:tcPr>
            <w:tcW w:w="1484" w:type="pct"/>
          </w:tcPr>
          <w:p w14:paraId="7E4AADB4" w14:textId="2F63C0AA" w:rsidR="00A82A07" w:rsidRPr="00BC1776" w:rsidRDefault="00463530" w:rsidP="001E21A6">
            <w:pPr>
              <w:pStyle w:val="TableTextLeft"/>
              <w:rPr>
                <w:i/>
                <w:iCs/>
              </w:rPr>
            </w:pPr>
            <w:r w:rsidRPr="00BC1776">
              <w:rPr>
                <w:i/>
                <w:iCs/>
              </w:rPr>
              <w:t>Treasury to confirm with the Planning Institute of Australia before proceeding</w:t>
            </w:r>
          </w:p>
        </w:tc>
      </w:tr>
      <w:tr w:rsidR="005A0745" w14:paraId="35B4178A" w14:textId="77777777" w:rsidTr="001E21A6">
        <w:trPr>
          <w:trHeight w:val="270"/>
        </w:trPr>
        <w:tc>
          <w:tcPr>
            <w:tcW w:w="5000" w:type="pct"/>
            <w:gridSpan w:val="4"/>
          </w:tcPr>
          <w:p w14:paraId="1A32D5C3" w14:textId="77777777" w:rsidR="005A0745" w:rsidRDefault="005A0745" w:rsidP="001E21A6">
            <w:pPr>
              <w:pStyle w:val="TableTextLeft"/>
              <w:rPr>
                <w:b/>
                <w:bCs/>
              </w:rPr>
            </w:pPr>
            <w:r w:rsidRPr="008869EE">
              <w:rPr>
                <w:b/>
                <w:bCs/>
                <w:color w:val="auto"/>
              </w:rPr>
              <w:t>Inclusionary zoning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</w:rPr>
              <w:t>and similar policies</w:t>
            </w:r>
            <w:r>
              <w:rPr>
                <w:b/>
                <w:bCs/>
              </w:rPr>
              <w:br/>
            </w:r>
            <w:r>
              <w:t xml:space="preserve">For </w:t>
            </w:r>
            <w:r w:rsidRPr="002E7FA8">
              <w:t xml:space="preserve">jurisdictions </w:t>
            </w:r>
            <w:r>
              <w:t xml:space="preserve">without </w:t>
            </w:r>
            <w:r w:rsidRPr="002E7FA8">
              <w:t xml:space="preserve">Inclusionary zoning, </w:t>
            </w:r>
            <w:r>
              <w:t>reporting would be provided on private developments which include social or affordable housing or have paid fees to support provision of social/affordable housing elsewhere</w:t>
            </w:r>
            <w:r w:rsidRPr="002E7FA8">
              <w:t>.</w:t>
            </w:r>
            <w:r>
              <w:rPr>
                <w:b/>
                <w:bCs/>
              </w:rPr>
              <w:t xml:space="preserve"> </w:t>
            </w:r>
          </w:p>
          <w:p w14:paraId="2B3F47D9" w14:textId="77777777" w:rsidR="005A0745" w:rsidRPr="00C15F06" w:rsidRDefault="005A0745" w:rsidP="001E21A6">
            <w:pPr>
              <w:pStyle w:val="TableTextLeft"/>
            </w:pPr>
            <w:r w:rsidRPr="002E7FA8">
              <w:t>Data on social and affordable housing approvals more broadly will be collected for met</w:t>
            </w:r>
            <w:r>
              <w:t>ric</w:t>
            </w:r>
            <w:r w:rsidRPr="002E7FA8">
              <w:t>s D and E1-3</w:t>
            </w:r>
            <w:r>
              <w:t>.</w:t>
            </w:r>
          </w:p>
        </w:tc>
      </w:tr>
      <w:tr w:rsidR="005A0745" w14:paraId="71FD99F4" w14:textId="77777777" w:rsidTr="00397EA2">
        <w:trPr>
          <w:trHeight w:val="270"/>
        </w:trPr>
        <w:tc>
          <w:tcPr>
            <w:tcW w:w="232" w:type="pct"/>
          </w:tcPr>
          <w:p w14:paraId="58F7DC74" w14:textId="20D59593" w:rsidR="005A0745" w:rsidRPr="00244485" w:rsidRDefault="006A7F79" w:rsidP="001E21A6">
            <w:pPr>
              <w:pStyle w:val="TableTextLeft"/>
            </w:pPr>
            <w:r>
              <w:t>13</w:t>
            </w:r>
          </w:p>
        </w:tc>
        <w:tc>
          <w:tcPr>
            <w:tcW w:w="1331" w:type="pct"/>
          </w:tcPr>
          <w:p w14:paraId="37D12762" w14:textId="3CD7DC67" w:rsidR="005A0745" w:rsidRPr="00244485" w:rsidRDefault="005A0745" w:rsidP="001E21A6">
            <w:pPr>
              <w:pStyle w:val="TableTextLeft"/>
              <w:rPr>
                <w:szCs w:val="16"/>
              </w:rPr>
            </w:pPr>
            <w:r w:rsidRPr="00244485">
              <w:t xml:space="preserve">Number of inclusionary zoning </w:t>
            </w:r>
            <w:r>
              <w:t>(or equivalent)</w:t>
            </w:r>
            <w:r w:rsidRPr="00244485">
              <w:t xml:space="preserve"> social and affordable dwellings approved</w:t>
            </w:r>
          </w:p>
        </w:tc>
        <w:tc>
          <w:tcPr>
            <w:tcW w:w="1953" w:type="pct"/>
          </w:tcPr>
          <w:p w14:paraId="6DE09AE3" w14:textId="77777777" w:rsidR="005A0745" w:rsidRPr="008869EE" w:rsidRDefault="005A0745" w:rsidP="001E21A6">
            <w:pPr>
              <w:pStyle w:val="TableTextLeft"/>
              <w:rPr>
                <w:color w:val="auto"/>
              </w:rPr>
            </w:pPr>
            <w:r w:rsidRPr="0099740E">
              <w:rPr>
                <w:i/>
                <w:iCs/>
                <w:szCs w:val="16"/>
              </w:rPr>
              <w:t xml:space="preserve">Measure </w:t>
            </w:r>
            <w:r>
              <w:rPr>
                <w:i/>
                <w:iCs/>
                <w:szCs w:val="16"/>
              </w:rPr>
              <w:t>6</w:t>
            </w:r>
          </w:p>
        </w:tc>
        <w:tc>
          <w:tcPr>
            <w:tcW w:w="1484" w:type="pct"/>
          </w:tcPr>
          <w:p w14:paraId="5CA2F0D2" w14:textId="77777777" w:rsidR="005A0745" w:rsidRPr="008869EE" w:rsidRDefault="005A0745" w:rsidP="001E21A6">
            <w:pPr>
              <w:pStyle w:val="TableTextLeft"/>
              <w:rPr>
                <w:color w:val="auto"/>
              </w:rPr>
            </w:pPr>
            <w:r w:rsidRPr="008869EE">
              <w:rPr>
                <w:color w:val="auto"/>
              </w:rPr>
              <w:t xml:space="preserve">States and territories to </w:t>
            </w:r>
            <w:r>
              <w:rPr>
                <w:color w:val="auto"/>
              </w:rPr>
              <w:t>provide data where available</w:t>
            </w:r>
          </w:p>
        </w:tc>
      </w:tr>
      <w:tr w:rsidR="005A0745" w14:paraId="007900BB" w14:textId="77777777" w:rsidTr="001E21A6">
        <w:trPr>
          <w:trHeight w:val="270"/>
        </w:trPr>
        <w:tc>
          <w:tcPr>
            <w:tcW w:w="5000" w:type="pct"/>
            <w:gridSpan w:val="4"/>
          </w:tcPr>
          <w:p w14:paraId="3182C2D4" w14:textId="77777777" w:rsidR="005A0745" w:rsidRPr="008869EE" w:rsidRDefault="005A0745" w:rsidP="001E21A6">
            <w:pPr>
              <w:pStyle w:val="TableTextLeft"/>
              <w:rPr>
                <w:color w:val="auto"/>
              </w:rPr>
            </w:pPr>
            <w:r w:rsidRPr="00AB1EA0">
              <w:rPr>
                <w:b/>
                <w:bCs/>
              </w:rPr>
              <w:t xml:space="preserve">Rezoning </w:t>
            </w:r>
            <w:r w:rsidRPr="006E621F">
              <w:rPr>
                <w:b/>
                <w:bCs/>
                <w:color w:val="auto"/>
              </w:rPr>
              <w:t>timeframes</w:t>
            </w:r>
          </w:p>
        </w:tc>
      </w:tr>
      <w:tr w:rsidR="005A0745" w14:paraId="1307ED27" w14:textId="77777777" w:rsidTr="00397EA2">
        <w:trPr>
          <w:trHeight w:val="270"/>
        </w:trPr>
        <w:tc>
          <w:tcPr>
            <w:tcW w:w="232" w:type="pct"/>
          </w:tcPr>
          <w:p w14:paraId="3D1DC4E0" w14:textId="402F3781" w:rsidR="005A0745" w:rsidRPr="00244485" w:rsidRDefault="00F85EC6" w:rsidP="001E21A6">
            <w:pPr>
              <w:pStyle w:val="TableTextLeft"/>
            </w:pPr>
            <w:r>
              <w:t>14</w:t>
            </w:r>
          </w:p>
        </w:tc>
        <w:tc>
          <w:tcPr>
            <w:tcW w:w="1331" w:type="pct"/>
          </w:tcPr>
          <w:p w14:paraId="3A168F08" w14:textId="77777777" w:rsidR="005A0745" w:rsidRPr="00244485" w:rsidRDefault="005A0745" w:rsidP="001E21A6">
            <w:pPr>
              <w:pStyle w:val="TableTextLeft"/>
            </w:pPr>
            <w:r w:rsidRPr="00244485">
              <w:t>Observed timeframes to rezone land</w:t>
            </w:r>
          </w:p>
        </w:tc>
        <w:tc>
          <w:tcPr>
            <w:tcW w:w="1953" w:type="pct"/>
          </w:tcPr>
          <w:p w14:paraId="0E79FA0E" w14:textId="77777777" w:rsidR="005A0745" w:rsidRDefault="005A0745" w:rsidP="001E21A6">
            <w:pPr>
              <w:pStyle w:val="TableTextLeft"/>
            </w:pPr>
            <w:r w:rsidRPr="0099740E">
              <w:rPr>
                <w:i/>
                <w:iCs/>
                <w:szCs w:val="16"/>
              </w:rPr>
              <w:t xml:space="preserve">Measure </w:t>
            </w:r>
            <w:r>
              <w:rPr>
                <w:i/>
                <w:iCs/>
                <w:szCs w:val="16"/>
              </w:rPr>
              <w:t>6</w:t>
            </w:r>
          </w:p>
        </w:tc>
        <w:tc>
          <w:tcPr>
            <w:tcW w:w="1484" w:type="pct"/>
          </w:tcPr>
          <w:p w14:paraId="787A9DE2" w14:textId="77777777" w:rsidR="005A0745" w:rsidRDefault="005A0745" w:rsidP="001E21A6">
            <w:pPr>
              <w:pStyle w:val="TableTextLeft"/>
            </w:pPr>
            <w:r>
              <w:t xml:space="preserve">States and territories to provide data </w:t>
            </w:r>
          </w:p>
        </w:tc>
      </w:tr>
    </w:tbl>
    <w:p w14:paraId="3221A2FF" w14:textId="77777777" w:rsidR="005A0745" w:rsidRDefault="005A0745" w:rsidP="005A0745">
      <w:r>
        <w:t>Blueprint metrics 1 and 7 are being addressed through existing progress reporting or other ministerial councils.</w:t>
      </w:r>
    </w:p>
    <w:p w14:paraId="35DB5C7D" w14:textId="77777777" w:rsidR="00360E7C" w:rsidRPr="00F729CD" w:rsidRDefault="00360E7C" w:rsidP="00EE336C"/>
    <w:sectPr w:rsidR="00360E7C" w:rsidRPr="00F729CD" w:rsidSect="00B75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82F3" w14:textId="77777777" w:rsidR="003F3F71" w:rsidRDefault="003F3F71" w:rsidP="005F100C">
      <w:pPr>
        <w:spacing w:after="0"/>
      </w:pPr>
      <w:r>
        <w:separator/>
      </w:r>
    </w:p>
  </w:endnote>
  <w:endnote w:type="continuationSeparator" w:id="0">
    <w:p w14:paraId="03EA866D" w14:textId="77777777" w:rsidR="003F3F71" w:rsidRDefault="003F3F71" w:rsidP="005F100C">
      <w:pPr>
        <w:spacing w:after="0"/>
      </w:pPr>
      <w:r>
        <w:continuationSeparator/>
      </w:r>
    </w:p>
  </w:endnote>
  <w:endnote w:type="continuationNotice" w:id="1">
    <w:p w14:paraId="747C4E27" w14:textId="77777777" w:rsidR="003F3F71" w:rsidRDefault="003F3F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8119" w14:textId="64B962D4" w:rsidR="0079148D" w:rsidRDefault="007914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7113A34" wp14:editId="5C529F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4499490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D1387" w14:textId="0B72FB23" w:rsidR="0079148D" w:rsidRPr="0079148D" w:rsidRDefault="0079148D" w:rsidP="007914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148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13A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5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39CD1387" w14:textId="0B72FB23" w:rsidR="0079148D" w:rsidRPr="0079148D" w:rsidRDefault="0079148D" w:rsidP="007914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148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989D" w14:textId="251F33C9" w:rsidR="0079148D" w:rsidRDefault="007914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9125CA5" wp14:editId="0AF22730">
              <wp:simplePos x="904875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4596761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65B9A" w14:textId="0814CDE2" w:rsidR="0079148D" w:rsidRPr="0079148D" w:rsidRDefault="0079148D" w:rsidP="007914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148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25C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5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0BA65B9A" w14:textId="0814CDE2" w:rsidR="0079148D" w:rsidRPr="0079148D" w:rsidRDefault="0079148D" w:rsidP="007914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148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76E4" w14:textId="2EF08E85" w:rsidR="00F012EA" w:rsidRPr="00B7535E" w:rsidRDefault="0079148D" w:rsidP="00B7535E">
    <w:pPr>
      <w:pStyle w:val="FooterEven"/>
      <w:jc w:val="right"/>
      <w:rPr>
        <w:rStyle w:val="PageNumber"/>
        <w:rFonts w:ascii="Calibri Light" w:hAnsi="Calibri Light"/>
        <w:color w:val="2C384A" w:themeColor="accent1"/>
        <w:sz w:val="20"/>
      </w:rPr>
    </w:pPr>
    <w:r>
      <mc:AlternateContent>
        <mc:Choice Requires="wps">
          <w:drawing>
            <wp:anchor distT="0" distB="0" distL="0" distR="0" simplePos="0" relativeHeight="251658247" behindDoc="0" locked="0" layoutInCell="1" allowOverlap="1" wp14:anchorId="5D985443" wp14:editId="6174A93A">
              <wp:simplePos x="901065" y="100876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479049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4F79D" w14:textId="05AC38A7" w:rsidR="0079148D" w:rsidRPr="0079148D" w:rsidRDefault="0079148D" w:rsidP="007914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148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854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5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7B54F79D" w14:textId="05AC38A7" w:rsidR="0079148D" w:rsidRPr="0079148D" w:rsidRDefault="0079148D" w:rsidP="007914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148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35E" w:rsidRPr="00742366">
      <w:drawing>
        <wp:anchor distT="0" distB="0" distL="114300" distR="114300" simplePos="0" relativeHeight="251658241" behindDoc="1" locked="1" layoutInCell="1" allowOverlap="1" wp14:anchorId="77C48E90" wp14:editId="40960BD2">
          <wp:simplePos x="0" y="0"/>
          <wp:positionH relativeFrom="margin">
            <wp:posOffset>5459095</wp:posOffset>
          </wp:positionH>
          <wp:positionV relativeFrom="page">
            <wp:posOffset>3280410</wp:posOffset>
          </wp:positionV>
          <wp:extent cx="7574280" cy="1043940"/>
          <wp:effectExtent l="7620" t="0" r="0" b="0"/>
          <wp:wrapNone/>
          <wp:docPr id="1392144655" name="Picture 13921446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44655" name="Picture 13921446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57428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35E">
      <w:drawing>
        <wp:anchor distT="0" distB="0" distL="114300" distR="114300" simplePos="0" relativeHeight="251658240" behindDoc="1" locked="0" layoutInCell="1" allowOverlap="0" wp14:anchorId="2F144FAC" wp14:editId="57505C97">
          <wp:simplePos x="0" y="0"/>
          <wp:positionH relativeFrom="margin">
            <wp:align>left</wp:align>
          </wp:positionH>
          <wp:positionV relativeFrom="page">
            <wp:posOffset>10048875</wp:posOffset>
          </wp:positionV>
          <wp:extent cx="1324800" cy="201600"/>
          <wp:effectExtent l="0" t="0" r="0" b="8255"/>
          <wp:wrapTight wrapText="bothSides">
            <wp:wrapPolygon edited="0">
              <wp:start x="0" y="0"/>
              <wp:lineTo x="0" y="16353"/>
              <wp:lineTo x="2174" y="20442"/>
              <wp:lineTo x="9630" y="20442"/>
              <wp:lineTo x="13979" y="20442"/>
              <wp:lineTo x="21124" y="20442"/>
              <wp:lineTo x="20813" y="4088"/>
              <wp:lineTo x="1553" y="0"/>
              <wp:lineTo x="0" y="0"/>
            </wp:wrapPolygon>
          </wp:wrapTight>
          <wp:docPr id="403846313" name="Picture 403846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46313" name="Picture 4038463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35E">
      <w:ptab w:relativeTo="margin" w:alignment="center" w:leader="none"/>
    </w:r>
    <w:r w:rsidR="00E0012E">
      <w:t>National Planning Refrom Blueprint</w:t>
    </w:r>
    <w:r w:rsidR="00B7535E">
      <w:t xml:space="preserve"> | </w:t>
    </w:r>
    <w:r w:rsidR="00B7535E">
      <w:rPr>
        <w:noProof w:val="0"/>
      </w:rPr>
      <w:fldChar w:fldCharType="begin"/>
    </w:r>
    <w:r w:rsidR="00B7535E">
      <w:instrText xml:space="preserve"> PAGE   \* MERGEFORMAT </w:instrText>
    </w:r>
    <w:r w:rsidR="00B7535E">
      <w:rPr>
        <w:noProof w:val="0"/>
      </w:rPr>
      <w:fldChar w:fldCharType="separate"/>
    </w:r>
    <w:r w:rsidR="00B7535E">
      <w:t>2</w:t>
    </w:r>
    <w:r w:rsidR="00B7535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2CB5" w14:textId="77777777" w:rsidR="003F3F71" w:rsidRDefault="003F3F71" w:rsidP="005F100C">
      <w:pPr>
        <w:spacing w:after="0"/>
      </w:pPr>
      <w:r>
        <w:separator/>
      </w:r>
    </w:p>
  </w:footnote>
  <w:footnote w:type="continuationSeparator" w:id="0">
    <w:p w14:paraId="76FB0BC0" w14:textId="77777777" w:rsidR="003F3F71" w:rsidRDefault="003F3F71" w:rsidP="005F100C">
      <w:pPr>
        <w:spacing w:after="0"/>
      </w:pPr>
      <w:r>
        <w:continuationSeparator/>
      </w:r>
    </w:p>
  </w:footnote>
  <w:footnote w:type="continuationNotice" w:id="1">
    <w:p w14:paraId="23C27738" w14:textId="77777777" w:rsidR="003F3F71" w:rsidRDefault="003F3F71">
      <w:pPr>
        <w:spacing w:before="0" w:after="0"/>
      </w:pPr>
    </w:p>
  </w:footnote>
  <w:footnote w:id="2">
    <w:p w14:paraId="67729DC4" w14:textId="77777777" w:rsidR="001C4D8A" w:rsidRDefault="001C4D8A" w:rsidP="001C4D8A">
      <w:pPr>
        <w:pStyle w:val="FootnoteText"/>
      </w:pPr>
      <w:r>
        <w:rPr>
          <w:rStyle w:val="FootnoteReference"/>
        </w:rPr>
        <w:footnoteRef/>
      </w:r>
      <w:r>
        <w:t xml:space="preserve"> The new Planning Minister in Queensland elected to abstain from the vote, as there was insufficient time to consider the papers before voting was due.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C379" w14:textId="16F23EC7" w:rsidR="00B86A64" w:rsidRDefault="007914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A93BE28" wp14:editId="67BCE2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20183503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3AEE6" w14:textId="319970B1" w:rsidR="0079148D" w:rsidRPr="0079148D" w:rsidRDefault="0079148D" w:rsidP="007914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148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3BE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1A43AEE6" w14:textId="319970B1" w:rsidR="0079148D" w:rsidRPr="0079148D" w:rsidRDefault="0079148D" w:rsidP="007914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148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CFFB" w14:textId="665F1296" w:rsidR="00B86A64" w:rsidRDefault="007914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ADBDD3D" wp14:editId="4C634E83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9534538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B1218" w14:textId="44C210A3" w:rsidR="0079148D" w:rsidRPr="0079148D" w:rsidRDefault="0079148D" w:rsidP="007914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148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BDD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5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750B1218" w14:textId="44C210A3" w:rsidR="0079148D" w:rsidRPr="0079148D" w:rsidRDefault="0079148D" w:rsidP="007914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148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010">
      <w:rPr>
        <w:noProof/>
      </w:rPr>
      <w:drawing>
        <wp:anchor distT="0" distB="0" distL="114300" distR="114300" simplePos="0" relativeHeight="251658243" behindDoc="1" locked="1" layoutInCell="1" allowOverlap="1" wp14:anchorId="0322375A" wp14:editId="30D64AA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274587902" name="Picture 12745879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587902" name="Picture 12745879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7D25" w14:textId="467F266F" w:rsidR="00F60530" w:rsidRPr="00B86A64" w:rsidRDefault="0079148D" w:rsidP="00B86A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3760B46" wp14:editId="7906844C">
              <wp:simplePos x="90106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2105047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1F8DE" w14:textId="6A8523FA" w:rsidR="0079148D" w:rsidRPr="0079148D" w:rsidRDefault="0079148D" w:rsidP="007914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148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0B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3611F8DE" w14:textId="6A8523FA" w:rsidR="0079148D" w:rsidRPr="0079148D" w:rsidRDefault="0079148D" w:rsidP="007914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148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010">
      <w:rPr>
        <w:noProof/>
      </w:rPr>
      <w:drawing>
        <wp:anchor distT="0" distB="0" distL="114300" distR="114300" simplePos="0" relativeHeight="251658242" behindDoc="1" locked="1" layoutInCell="1" allowOverlap="1" wp14:anchorId="521BC8FA" wp14:editId="27FA18C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123206612" name="Picture 11232066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206612" name="Picture 11232066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8C4"/>
    <w:multiLevelType w:val="multilevel"/>
    <w:tmpl w:val="AD6A5182"/>
    <w:lvl w:ilvl="0">
      <w:start w:val="1"/>
      <w:numFmt w:val="upperLetter"/>
      <w:lvlRestart w:val="0"/>
      <w:pStyle w:val="AppendixHeadingNotNumbered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1">
      <w:start w:val="1"/>
      <w:numFmt w:val="decimal"/>
      <w:pStyle w:val="AppendixHeadingLevel2"/>
      <w:lvlText w:val="%1.%2"/>
      <w:lvlJc w:val="left"/>
      <w:pPr>
        <w:tabs>
          <w:tab w:val="num" w:pos="1134"/>
        </w:tabs>
        <w:ind w:left="0" w:firstLine="0"/>
      </w:pPr>
      <w:rPr>
        <w:rFonts w:asciiTheme="majorHAnsi" w:hAnsiTheme="majorHAnsi" w:cs="Arial" w:hint="default"/>
        <w:b w:val="0"/>
        <w:bCs/>
        <w:i w:val="0"/>
        <w:color w:val="003157"/>
      </w:rPr>
    </w:lvl>
    <w:lvl w:ilvl="2">
      <w:start w:val="1"/>
      <w:numFmt w:val="decimal"/>
      <w:pStyle w:val="AppendixHeadingLevel3"/>
      <w:lvlText w:val="%1.%2.%3"/>
      <w:lvlJc w:val="left"/>
      <w:pPr>
        <w:tabs>
          <w:tab w:val="num" w:pos="1134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Level4"/>
      <w:lvlText w:val="%1.%2.%3.%4"/>
      <w:lvlJc w:val="left"/>
      <w:pPr>
        <w:tabs>
          <w:tab w:val="num" w:pos="1135"/>
        </w:tabs>
        <w:ind w:left="1" w:hanging="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hint="default"/>
        <w:b w:val="0"/>
        <w:i w:val="0"/>
        <w:color w:val="000000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C4E5D"/>
    <w:multiLevelType w:val="multilevel"/>
    <w:tmpl w:val="D10E9CF6"/>
    <w:numStyleLink w:val="OneLevelList"/>
  </w:abstractNum>
  <w:abstractNum w:abstractNumId="5" w15:restartNumberingAfterBreak="0">
    <w:nsid w:val="1E6B29F1"/>
    <w:multiLevelType w:val="multilevel"/>
    <w:tmpl w:val="EDEE4FB6"/>
    <w:styleLink w:val="Recommendation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EA2A0F"/>
    <w:multiLevelType w:val="multilevel"/>
    <w:tmpl w:val="18BC553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8" w15:restartNumberingAfterBreak="0">
    <w:nsid w:val="2AB476BF"/>
    <w:multiLevelType w:val="hybridMultilevel"/>
    <w:tmpl w:val="87D6B698"/>
    <w:lvl w:ilvl="0" w:tplc="3FCA993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F41562"/>
    <w:multiLevelType w:val="singleLevel"/>
    <w:tmpl w:val="EB5E137A"/>
    <w:lvl w:ilvl="0">
      <w:start w:val="1"/>
      <w:numFmt w:val="bullet"/>
      <w:pStyle w:val="Example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0"/>
      </w:rPr>
    </w:lvl>
  </w:abstractNum>
  <w:abstractNum w:abstractNumId="13" w15:restartNumberingAfterBreak="0">
    <w:nsid w:val="41021F54"/>
    <w:multiLevelType w:val="hybridMultilevel"/>
    <w:tmpl w:val="358E0ABE"/>
    <w:lvl w:ilvl="0" w:tplc="548A9F96">
      <w:start w:val="1"/>
      <w:numFmt w:val="lowerRoman"/>
      <w:pStyle w:val="Alphanumbered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5B0A7E"/>
    <w:multiLevelType w:val="multilevel"/>
    <w:tmpl w:val="EDEE4FB6"/>
    <w:numStyleLink w:val="RecommendationBulletList"/>
  </w:abstractNum>
  <w:abstractNum w:abstractNumId="15" w15:restartNumberingAfterBreak="0">
    <w:nsid w:val="483E25F6"/>
    <w:multiLevelType w:val="multilevel"/>
    <w:tmpl w:val="2D022FDA"/>
    <w:styleLink w:val="AlphaParagraphList"/>
    <w:lvl w:ilvl="0">
      <w:start w:val="1"/>
      <w:numFmt w:val="lowerLetter"/>
      <w:pStyle w:val="AlphaParagraph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0D2021"/>
    <w:multiLevelType w:val="multilevel"/>
    <w:tmpl w:val="72F8140E"/>
    <w:numStyleLink w:val="OutlineList"/>
  </w:abstractNum>
  <w:abstractNum w:abstractNumId="17" w15:restartNumberingAfterBreak="0">
    <w:nsid w:val="55AB4DA1"/>
    <w:multiLevelType w:val="multilevel"/>
    <w:tmpl w:val="7E40BB68"/>
    <w:styleLink w:val="TableTest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F73129"/>
    <w:multiLevelType w:val="multilevel"/>
    <w:tmpl w:val="D9A8A212"/>
    <w:numStyleLink w:val="RomanNumeralList"/>
  </w:abstractNum>
  <w:abstractNum w:abstractNumId="19" w15:restartNumberingAfterBreak="0">
    <w:nsid w:val="563C00A7"/>
    <w:multiLevelType w:val="hybridMultilevel"/>
    <w:tmpl w:val="64265A9A"/>
    <w:lvl w:ilvl="0" w:tplc="1D080D4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DF5A3C3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7B98ECC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BC1894E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B0BE022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F624442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F1D0411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027EDB3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6B306A7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20" w15:restartNumberingAfterBreak="0">
    <w:nsid w:val="57036595"/>
    <w:multiLevelType w:val="hybridMultilevel"/>
    <w:tmpl w:val="826AA1FC"/>
    <w:lvl w:ilvl="0" w:tplc="F02660D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22277"/>
    <w:multiLevelType w:val="singleLevel"/>
    <w:tmpl w:val="9ECEC236"/>
    <w:name w:val="AlphaChartTableFootnoteList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cs="Arial" w:hint="default"/>
        <w:b w:val="0"/>
        <w:i w:val="0"/>
        <w:color w:val="000000"/>
        <w:sz w:val="20"/>
      </w:rPr>
    </w:lvl>
  </w:abstractNum>
  <w:abstractNum w:abstractNumId="22" w15:restartNumberingAfterBreak="0">
    <w:nsid w:val="703156AC"/>
    <w:multiLevelType w:val="hybridMultilevel"/>
    <w:tmpl w:val="DB02990C"/>
    <w:lvl w:ilvl="0" w:tplc="DD606940">
      <w:start w:val="1"/>
      <w:numFmt w:val="decimal"/>
      <w:pStyle w:val="NumberedParagraph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B5224"/>
    <w:multiLevelType w:val="multilevel"/>
    <w:tmpl w:val="57000EF8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2957416">
    <w:abstractNumId w:val="9"/>
  </w:num>
  <w:num w:numId="2" w16cid:durableId="42948724">
    <w:abstractNumId w:val="15"/>
  </w:num>
  <w:num w:numId="3" w16cid:durableId="1539119370">
    <w:abstractNumId w:val="11"/>
  </w:num>
  <w:num w:numId="4" w16cid:durableId="1889099649">
    <w:abstractNumId w:val="3"/>
  </w:num>
  <w:num w:numId="5" w16cid:durableId="442267294">
    <w:abstractNumId w:val="5"/>
  </w:num>
  <w:num w:numId="6" w16cid:durableId="324090594">
    <w:abstractNumId w:val="2"/>
  </w:num>
  <w:num w:numId="7" w16cid:durableId="835001572">
    <w:abstractNumId w:val="4"/>
  </w:num>
  <w:num w:numId="8" w16cid:durableId="558630536">
    <w:abstractNumId w:val="16"/>
  </w:num>
  <w:num w:numId="9" w16cid:durableId="1859002360">
    <w:abstractNumId w:val="14"/>
  </w:num>
  <w:num w:numId="10" w16cid:durableId="1042900214">
    <w:abstractNumId w:val="18"/>
  </w:num>
  <w:num w:numId="11" w16cid:durableId="348023750">
    <w:abstractNumId w:val="17"/>
  </w:num>
  <w:num w:numId="12" w16cid:durableId="879901521">
    <w:abstractNumId w:val="6"/>
  </w:num>
  <w:num w:numId="13" w16cid:durableId="962156673">
    <w:abstractNumId w:val="6"/>
  </w:num>
  <w:num w:numId="14" w16cid:durableId="1451586244">
    <w:abstractNumId w:val="13"/>
  </w:num>
  <w:num w:numId="15" w16cid:durableId="73405623">
    <w:abstractNumId w:val="0"/>
  </w:num>
  <w:num w:numId="16" w16cid:durableId="506095392">
    <w:abstractNumId w:val="21"/>
  </w:num>
  <w:num w:numId="17" w16cid:durableId="542524114">
    <w:abstractNumId w:val="12"/>
  </w:num>
  <w:num w:numId="18" w16cid:durableId="314605546">
    <w:abstractNumId w:val="22"/>
  </w:num>
  <w:num w:numId="19" w16cid:durableId="493839083">
    <w:abstractNumId w:val="1"/>
  </w:num>
  <w:num w:numId="20" w16cid:durableId="2025936436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5014444">
    <w:abstractNumId w:val="10"/>
  </w:num>
  <w:num w:numId="22" w16cid:durableId="1339769929">
    <w:abstractNumId w:val="9"/>
  </w:num>
  <w:num w:numId="23" w16cid:durableId="1296982775">
    <w:abstractNumId w:val="8"/>
  </w:num>
  <w:num w:numId="24" w16cid:durableId="470172715">
    <w:abstractNumId w:val="20"/>
  </w:num>
  <w:num w:numId="25" w16cid:durableId="87176665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E0012E"/>
    <w:rsid w:val="00002D96"/>
    <w:rsid w:val="00003ACD"/>
    <w:rsid w:val="00003DA5"/>
    <w:rsid w:val="000042F0"/>
    <w:rsid w:val="000046F6"/>
    <w:rsid w:val="000071B0"/>
    <w:rsid w:val="00007654"/>
    <w:rsid w:val="00007CDE"/>
    <w:rsid w:val="0001157F"/>
    <w:rsid w:val="00016013"/>
    <w:rsid w:val="000167A9"/>
    <w:rsid w:val="000209BD"/>
    <w:rsid w:val="00024986"/>
    <w:rsid w:val="00024E91"/>
    <w:rsid w:val="00025655"/>
    <w:rsid w:val="00030B15"/>
    <w:rsid w:val="00030CAD"/>
    <w:rsid w:val="00034D16"/>
    <w:rsid w:val="000464B6"/>
    <w:rsid w:val="0004769D"/>
    <w:rsid w:val="00047A8D"/>
    <w:rsid w:val="00050C07"/>
    <w:rsid w:val="00051754"/>
    <w:rsid w:val="00051C46"/>
    <w:rsid w:val="000522E9"/>
    <w:rsid w:val="00052690"/>
    <w:rsid w:val="000563F7"/>
    <w:rsid w:val="00060F75"/>
    <w:rsid w:val="0006193E"/>
    <w:rsid w:val="000622B2"/>
    <w:rsid w:val="00064011"/>
    <w:rsid w:val="00064E2B"/>
    <w:rsid w:val="0006795B"/>
    <w:rsid w:val="0007009D"/>
    <w:rsid w:val="00070188"/>
    <w:rsid w:val="0007108C"/>
    <w:rsid w:val="00073C05"/>
    <w:rsid w:val="00073CAE"/>
    <w:rsid w:val="00073D55"/>
    <w:rsid w:val="00077D52"/>
    <w:rsid w:val="0008256E"/>
    <w:rsid w:val="00082DCF"/>
    <w:rsid w:val="00082F54"/>
    <w:rsid w:val="00083EF2"/>
    <w:rsid w:val="00086B27"/>
    <w:rsid w:val="00087B1D"/>
    <w:rsid w:val="00091054"/>
    <w:rsid w:val="0009327D"/>
    <w:rsid w:val="0009440C"/>
    <w:rsid w:val="00095C3F"/>
    <w:rsid w:val="00096AA5"/>
    <w:rsid w:val="000A190A"/>
    <w:rsid w:val="000A1AA7"/>
    <w:rsid w:val="000A4FE1"/>
    <w:rsid w:val="000A60D7"/>
    <w:rsid w:val="000A6FB4"/>
    <w:rsid w:val="000B2379"/>
    <w:rsid w:val="000B742D"/>
    <w:rsid w:val="000B7D51"/>
    <w:rsid w:val="000C4BE4"/>
    <w:rsid w:val="000C53C2"/>
    <w:rsid w:val="000C5ACF"/>
    <w:rsid w:val="000C6FE3"/>
    <w:rsid w:val="000C7360"/>
    <w:rsid w:val="000D0295"/>
    <w:rsid w:val="000D18B8"/>
    <w:rsid w:val="000D468F"/>
    <w:rsid w:val="000D6241"/>
    <w:rsid w:val="000D69C4"/>
    <w:rsid w:val="000E1FDF"/>
    <w:rsid w:val="000E2666"/>
    <w:rsid w:val="000E2959"/>
    <w:rsid w:val="000E508F"/>
    <w:rsid w:val="000E50DF"/>
    <w:rsid w:val="000E6D8B"/>
    <w:rsid w:val="000F2E25"/>
    <w:rsid w:val="000F63C5"/>
    <w:rsid w:val="000F71CA"/>
    <w:rsid w:val="0010021B"/>
    <w:rsid w:val="00101256"/>
    <w:rsid w:val="0010335E"/>
    <w:rsid w:val="00103512"/>
    <w:rsid w:val="00103566"/>
    <w:rsid w:val="00103A5A"/>
    <w:rsid w:val="00103CB5"/>
    <w:rsid w:val="0010592C"/>
    <w:rsid w:val="00106CAA"/>
    <w:rsid w:val="001074D1"/>
    <w:rsid w:val="001077A2"/>
    <w:rsid w:val="00111796"/>
    <w:rsid w:val="00111E74"/>
    <w:rsid w:val="00113481"/>
    <w:rsid w:val="00115A63"/>
    <w:rsid w:val="00116DE7"/>
    <w:rsid w:val="001213CE"/>
    <w:rsid w:val="001231FA"/>
    <w:rsid w:val="0013078F"/>
    <w:rsid w:val="00130B23"/>
    <w:rsid w:val="001312B5"/>
    <w:rsid w:val="00131AE5"/>
    <w:rsid w:val="00131E46"/>
    <w:rsid w:val="00134F6B"/>
    <w:rsid w:val="00136295"/>
    <w:rsid w:val="00137BF5"/>
    <w:rsid w:val="00137D35"/>
    <w:rsid w:val="00141234"/>
    <w:rsid w:val="001426F7"/>
    <w:rsid w:val="00142746"/>
    <w:rsid w:val="00142770"/>
    <w:rsid w:val="0014335C"/>
    <w:rsid w:val="00144DBA"/>
    <w:rsid w:val="00145FB0"/>
    <w:rsid w:val="00147046"/>
    <w:rsid w:val="00147FCE"/>
    <w:rsid w:val="00152611"/>
    <w:rsid w:val="00152EAD"/>
    <w:rsid w:val="00153195"/>
    <w:rsid w:val="00153F86"/>
    <w:rsid w:val="00154933"/>
    <w:rsid w:val="00156287"/>
    <w:rsid w:val="00156A6E"/>
    <w:rsid w:val="00162526"/>
    <w:rsid w:val="001630ED"/>
    <w:rsid w:val="00163B23"/>
    <w:rsid w:val="00166233"/>
    <w:rsid w:val="0017503F"/>
    <w:rsid w:val="00175220"/>
    <w:rsid w:val="001759E9"/>
    <w:rsid w:val="0017627C"/>
    <w:rsid w:val="00181C74"/>
    <w:rsid w:val="00181D7B"/>
    <w:rsid w:val="0018277B"/>
    <w:rsid w:val="00183E3F"/>
    <w:rsid w:val="00185D3F"/>
    <w:rsid w:val="00190E3A"/>
    <w:rsid w:val="001912AF"/>
    <w:rsid w:val="00193461"/>
    <w:rsid w:val="00194176"/>
    <w:rsid w:val="00194954"/>
    <w:rsid w:val="00197C09"/>
    <w:rsid w:val="001A144B"/>
    <w:rsid w:val="001A18CF"/>
    <w:rsid w:val="001A420D"/>
    <w:rsid w:val="001A60A2"/>
    <w:rsid w:val="001B03AF"/>
    <w:rsid w:val="001B111C"/>
    <w:rsid w:val="001B17A6"/>
    <w:rsid w:val="001B279F"/>
    <w:rsid w:val="001B4A79"/>
    <w:rsid w:val="001B7736"/>
    <w:rsid w:val="001C20C2"/>
    <w:rsid w:val="001C29A8"/>
    <w:rsid w:val="001C4D8A"/>
    <w:rsid w:val="001C6B6C"/>
    <w:rsid w:val="001D498D"/>
    <w:rsid w:val="001D7ACC"/>
    <w:rsid w:val="001D7EDF"/>
    <w:rsid w:val="001E1D66"/>
    <w:rsid w:val="001E2978"/>
    <w:rsid w:val="001E509D"/>
    <w:rsid w:val="001E5D41"/>
    <w:rsid w:val="001E6598"/>
    <w:rsid w:val="001E664D"/>
    <w:rsid w:val="001E6FEF"/>
    <w:rsid w:val="001F31DF"/>
    <w:rsid w:val="001F660F"/>
    <w:rsid w:val="001F7935"/>
    <w:rsid w:val="002007A1"/>
    <w:rsid w:val="00200E61"/>
    <w:rsid w:val="002015AB"/>
    <w:rsid w:val="00201673"/>
    <w:rsid w:val="00202E8F"/>
    <w:rsid w:val="00204B99"/>
    <w:rsid w:val="002051D6"/>
    <w:rsid w:val="00205F6B"/>
    <w:rsid w:val="00211545"/>
    <w:rsid w:val="0021322C"/>
    <w:rsid w:val="00215398"/>
    <w:rsid w:val="00216372"/>
    <w:rsid w:val="0021753C"/>
    <w:rsid w:val="002215C8"/>
    <w:rsid w:val="002220D6"/>
    <w:rsid w:val="002249D2"/>
    <w:rsid w:val="00225317"/>
    <w:rsid w:val="002260D9"/>
    <w:rsid w:val="002271BB"/>
    <w:rsid w:val="002330AC"/>
    <w:rsid w:val="0023389D"/>
    <w:rsid w:val="00242024"/>
    <w:rsid w:val="00243CAD"/>
    <w:rsid w:val="00246379"/>
    <w:rsid w:val="0025191A"/>
    <w:rsid w:val="00254A69"/>
    <w:rsid w:val="00257A2D"/>
    <w:rsid w:val="0026570E"/>
    <w:rsid w:val="00267F3F"/>
    <w:rsid w:val="00272951"/>
    <w:rsid w:val="00274422"/>
    <w:rsid w:val="002755A4"/>
    <w:rsid w:val="0027604A"/>
    <w:rsid w:val="002763A0"/>
    <w:rsid w:val="002768B3"/>
    <w:rsid w:val="00276C36"/>
    <w:rsid w:val="002773AF"/>
    <w:rsid w:val="002805DA"/>
    <w:rsid w:val="00280D28"/>
    <w:rsid w:val="00285179"/>
    <w:rsid w:val="00285461"/>
    <w:rsid w:val="002854A7"/>
    <w:rsid w:val="002856A2"/>
    <w:rsid w:val="00290F05"/>
    <w:rsid w:val="00291937"/>
    <w:rsid w:val="002970A8"/>
    <w:rsid w:val="00297C46"/>
    <w:rsid w:val="002A31C9"/>
    <w:rsid w:val="002A698C"/>
    <w:rsid w:val="002B1DA3"/>
    <w:rsid w:val="002B53E2"/>
    <w:rsid w:val="002B6093"/>
    <w:rsid w:val="002B75CE"/>
    <w:rsid w:val="002C3075"/>
    <w:rsid w:val="002C3379"/>
    <w:rsid w:val="002C4234"/>
    <w:rsid w:val="002C5051"/>
    <w:rsid w:val="002C5398"/>
    <w:rsid w:val="002D008E"/>
    <w:rsid w:val="002D122E"/>
    <w:rsid w:val="002D316D"/>
    <w:rsid w:val="002D3AF4"/>
    <w:rsid w:val="002D4619"/>
    <w:rsid w:val="002D6EDA"/>
    <w:rsid w:val="002E06A6"/>
    <w:rsid w:val="002E07D0"/>
    <w:rsid w:val="002E427B"/>
    <w:rsid w:val="002E55DE"/>
    <w:rsid w:val="002E5F5C"/>
    <w:rsid w:val="002E7527"/>
    <w:rsid w:val="002E7BDD"/>
    <w:rsid w:val="002F32BB"/>
    <w:rsid w:val="002F3DFC"/>
    <w:rsid w:val="002F5703"/>
    <w:rsid w:val="002F73DF"/>
    <w:rsid w:val="002F7B19"/>
    <w:rsid w:val="002F7ED0"/>
    <w:rsid w:val="003014E7"/>
    <w:rsid w:val="00301A52"/>
    <w:rsid w:val="00306E8C"/>
    <w:rsid w:val="00307502"/>
    <w:rsid w:val="00312595"/>
    <w:rsid w:val="003132AB"/>
    <w:rsid w:val="00314706"/>
    <w:rsid w:val="00314A52"/>
    <w:rsid w:val="00323CFF"/>
    <w:rsid w:val="00325461"/>
    <w:rsid w:val="00330A9F"/>
    <w:rsid w:val="003326C6"/>
    <w:rsid w:val="00332974"/>
    <w:rsid w:val="00334335"/>
    <w:rsid w:val="00334935"/>
    <w:rsid w:val="00334B80"/>
    <w:rsid w:val="003406DF"/>
    <w:rsid w:val="00342787"/>
    <w:rsid w:val="003431D3"/>
    <w:rsid w:val="0034545D"/>
    <w:rsid w:val="00351CE7"/>
    <w:rsid w:val="00352E61"/>
    <w:rsid w:val="00353754"/>
    <w:rsid w:val="00353906"/>
    <w:rsid w:val="00354A47"/>
    <w:rsid w:val="00355054"/>
    <w:rsid w:val="00356C27"/>
    <w:rsid w:val="00360E7C"/>
    <w:rsid w:val="003615B7"/>
    <w:rsid w:val="00362FAA"/>
    <w:rsid w:val="00363462"/>
    <w:rsid w:val="003641BA"/>
    <w:rsid w:val="00364FD8"/>
    <w:rsid w:val="003658B3"/>
    <w:rsid w:val="00365C6D"/>
    <w:rsid w:val="00370304"/>
    <w:rsid w:val="00372C7D"/>
    <w:rsid w:val="00373766"/>
    <w:rsid w:val="003767D7"/>
    <w:rsid w:val="00380520"/>
    <w:rsid w:val="003809EA"/>
    <w:rsid w:val="00380B0E"/>
    <w:rsid w:val="003822EE"/>
    <w:rsid w:val="00387E85"/>
    <w:rsid w:val="00387F88"/>
    <w:rsid w:val="00390529"/>
    <w:rsid w:val="00392974"/>
    <w:rsid w:val="00392BB9"/>
    <w:rsid w:val="0039773D"/>
    <w:rsid w:val="00397EA2"/>
    <w:rsid w:val="003A0059"/>
    <w:rsid w:val="003A13B7"/>
    <w:rsid w:val="003A1A88"/>
    <w:rsid w:val="003A4C9A"/>
    <w:rsid w:val="003B0501"/>
    <w:rsid w:val="003B3259"/>
    <w:rsid w:val="003B484C"/>
    <w:rsid w:val="003B7B75"/>
    <w:rsid w:val="003C08DC"/>
    <w:rsid w:val="003C0C4F"/>
    <w:rsid w:val="003C253C"/>
    <w:rsid w:val="003C36A2"/>
    <w:rsid w:val="003C51C5"/>
    <w:rsid w:val="003C720F"/>
    <w:rsid w:val="003D0BCD"/>
    <w:rsid w:val="003D27B3"/>
    <w:rsid w:val="003D296C"/>
    <w:rsid w:val="003D3755"/>
    <w:rsid w:val="003D3DC9"/>
    <w:rsid w:val="003D6CBB"/>
    <w:rsid w:val="003D727A"/>
    <w:rsid w:val="003D7DBD"/>
    <w:rsid w:val="003E0DB5"/>
    <w:rsid w:val="003E0E7B"/>
    <w:rsid w:val="003E13F8"/>
    <w:rsid w:val="003E3374"/>
    <w:rsid w:val="003E3DCA"/>
    <w:rsid w:val="003E5387"/>
    <w:rsid w:val="003E6B90"/>
    <w:rsid w:val="003E772C"/>
    <w:rsid w:val="003E7EB8"/>
    <w:rsid w:val="003F13F9"/>
    <w:rsid w:val="003F22A0"/>
    <w:rsid w:val="003F3864"/>
    <w:rsid w:val="003F3CC7"/>
    <w:rsid w:val="003F3F71"/>
    <w:rsid w:val="003F57B9"/>
    <w:rsid w:val="003F7FAA"/>
    <w:rsid w:val="00402016"/>
    <w:rsid w:val="004026FD"/>
    <w:rsid w:val="00406016"/>
    <w:rsid w:val="0041178D"/>
    <w:rsid w:val="00411D03"/>
    <w:rsid w:val="00416E7C"/>
    <w:rsid w:val="00417D71"/>
    <w:rsid w:val="00420B46"/>
    <w:rsid w:val="00422270"/>
    <w:rsid w:val="00422B3D"/>
    <w:rsid w:val="00423EBB"/>
    <w:rsid w:val="0042519D"/>
    <w:rsid w:val="004253D8"/>
    <w:rsid w:val="00425A49"/>
    <w:rsid w:val="0042618C"/>
    <w:rsid w:val="00426CC1"/>
    <w:rsid w:val="00430DD0"/>
    <w:rsid w:val="004370F4"/>
    <w:rsid w:val="004401A5"/>
    <w:rsid w:val="00441108"/>
    <w:rsid w:val="004420C6"/>
    <w:rsid w:val="00442B0C"/>
    <w:rsid w:val="00443336"/>
    <w:rsid w:val="004463C2"/>
    <w:rsid w:val="00446CD1"/>
    <w:rsid w:val="004473D1"/>
    <w:rsid w:val="0044770F"/>
    <w:rsid w:val="00447927"/>
    <w:rsid w:val="00450282"/>
    <w:rsid w:val="00451A96"/>
    <w:rsid w:val="00451B58"/>
    <w:rsid w:val="0045662A"/>
    <w:rsid w:val="00456679"/>
    <w:rsid w:val="00456F3A"/>
    <w:rsid w:val="00457AC1"/>
    <w:rsid w:val="00460338"/>
    <w:rsid w:val="00460A29"/>
    <w:rsid w:val="00460C65"/>
    <w:rsid w:val="004610C2"/>
    <w:rsid w:val="00463530"/>
    <w:rsid w:val="00463DB6"/>
    <w:rsid w:val="004644F0"/>
    <w:rsid w:val="004703ED"/>
    <w:rsid w:val="00476EF0"/>
    <w:rsid w:val="00487230"/>
    <w:rsid w:val="004929CA"/>
    <w:rsid w:val="0049327D"/>
    <w:rsid w:val="00493D6F"/>
    <w:rsid w:val="004942A1"/>
    <w:rsid w:val="00494DE6"/>
    <w:rsid w:val="00495720"/>
    <w:rsid w:val="004976FC"/>
    <w:rsid w:val="004A679F"/>
    <w:rsid w:val="004A711C"/>
    <w:rsid w:val="004A7C35"/>
    <w:rsid w:val="004B07A5"/>
    <w:rsid w:val="004B1644"/>
    <w:rsid w:val="004B2669"/>
    <w:rsid w:val="004B3673"/>
    <w:rsid w:val="004C167F"/>
    <w:rsid w:val="004C19D7"/>
    <w:rsid w:val="004C3B1B"/>
    <w:rsid w:val="004C4F72"/>
    <w:rsid w:val="004C6D5C"/>
    <w:rsid w:val="004D3002"/>
    <w:rsid w:val="004D37D6"/>
    <w:rsid w:val="004D4D68"/>
    <w:rsid w:val="004D67CF"/>
    <w:rsid w:val="004D7CD7"/>
    <w:rsid w:val="004E0000"/>
    <w:rsid w:val="004E25F9"/>
    <w:rsid w:val="004E3032"/>
    <w:rsid w:val="004E496F"/>
    <w:rsid w:val="004E4F6F"/>
    <w:rsid w:val="004F09DF"/>
    <w:rsid w:val="004F22C3"/>
    <w:rsid w:val="004F4EE7"/>
    <w:rsid w:val="004F5063"/>
    <w:rsid w:val="004F7C7F"/>
    <w:rsid w:val="00500704"/>
    <w:rsid w:val="0050284A"/>
    <w:rsid w:val="00503077"/>
    <w:rsid w:val="00503195"/>
    <w:rsid w:val="005123F4"/>
    <w:rsid w:val="0051251F"/>
    <w:rsid w:val="005131A2"/>
    <w:rsid w:val="00516C77"/>
    <w:rsid w:val="00520008"/>
    <w:rsid w:val="005220D8"/>
    <w:rsid w:val="00524AEF"/>
    <w:rsid w:val="00527FFA"/>
    <w:rsid w:val="00530268"/>
    <w:rsid w:val="005334DB"/>
    <w:rsid w:val="00533768"/>
    <w:rsid w:val="00535E22"/>
    <w:rsid w:val="005374D6"/>
    <w:rsid w:val="005437C7"/>
    <w:rsid w:val="005438BA"/>
    <w:rsid w:val="005455A4"/>
    <w:rsid w:val="0055238A"/>
    <w:rsid w:val="00553B06"/>
    <w:rsid w:val="00554636"/>
    <w:rsid w:val="00554860"/>
    <w:rsid w:val="00555B0A"/>
    <w:rsid w:val="00555D71"/>
    <w:rsid w:val="005564B9"/>
    <w:rsid w:val="005607D0"/>
    <w:rsid w:val="00562EFB"/>
    <w:rsid w:val="005630B6"/>
    <w:rsid w:val="00563B26"/>
    <w:rsid w:val="00563D8F"/>
    <w:rsid w:val="00564E81"/>
    <w:rsid w:val="00565589"/>
    <w:rsid w:val="00566809"/>
    <w:rsid w:val="005704DF"/>
    <w:rsid w:val="0057074A"/>
    <w:rsid w:val="00575037"/>
    <w:rsid w:val="005760EA"/>
    <w:rsid w:val="005774C3"/>
    <w:rsid w:val="005800E5"/>
    <w:rsid w:val="00583D1C"/>
    <w:rsid w:val="0058522C"/>
    <w:rsid w:val="005904CD"/>
    <w:rsid w:val="0059245B"/>
    <w:rsid w:val="00592EDD"/>
    <w:rsid w:val="00594ACC"/>
    <w:rsid w:val="00595A3D"/>
    <w:rsid w:val="00596F9D"/>
    <w:rsid w:val="005A0745"/>
    <w:rsid w:val="005A1010"/>
    <w:rsid w:val="005A1883"/>
    <w:rsid w:val="005A357A"/>
    <w:rsid w:val="005A37F7"/>
    <w:rsid w:val="005A52C3"/>
    <w:rsid w:val="005B26B7"/>
    <w:rsid w:val="005B52C6"/>
    <w:rsid w:val="005B709C"/>
    <w:rsid w:val="005B710A"/>
    <w:rsid w:val="005C1C9E"/>
    <w:rsid w:val="005C7CED"/>
    <w:rsid w:val="005D199B"/>
    <w:rsid w:val="005D2094"/>
    <w:rsid w:val="005D7238"/>
    <w:rsid w:val="005E0F9C"/>
    <w:rsid w:val="005E30EE"/>
    <w:rsid w:val="005E3802"/>
    <w:rsid w:val="005E72E8"/>
    <w:rsid w:val="005F100C"/>
    <w:rsid w:val="005F2231"/>
    <w:rsid w:val="005F22C8"/>
    <w:rsid w:val="005F329B"/>
    <w:rsid w:val="005F3390"/>
    <w:rsid w:val="005F5653"/>
    <w:rsid w:val="005F66EC"/>
    <w:rsid w:val="005F6EA2"/>
    <w:rsid w:val="005F7728"/>
    <w:rsid w:val="0060165D"/>
    <w:rsid w:val="006024AB"/>
    <w:rsid w:val="00603390"/>
    <w:rsid w:val="00605BEA"/>
    <w:rsid w:val="00607F36"/>
    <w:rsid w:val="006126A4"/>
    <w:rsid w:val="0061436F"/>
    <w:rsid w:val="00614BAC"/>
    <w:rsid w:val="00615D9A"/>
    <w:rsid w:val="00615F54"/>
    <w:rsid w:val="006203D9"/>
    <w:rsid w:val="00621831"/>
    <w:rsid w:val="00622182"/>
    <w:rsid w:val="00624C90"/>
    <w:rsid w:val="006305B4"/>
    <w:rsid w:val="006306B4"/>
    <w:rsid w:val="00631FC9"/>
    <w:rsid w:val="00635784"/>
    <w:rsid w:val="00636D76"/>
    <w:rsid w:val="006403C5"/>
    <w:rsid w:val="00643367"/>
    <w:rsid w:val="006457CC"/>
    <w:rsid w:val="00647451"/>
    <w:rsid w:val="006512A4"/>
    <w:rsid w:val="00651DA4"/>
    <w:rsid w:val="00652304"/>
    <w:rsid w:val="0065263F"/>
    <w:rsid w:val="006578FE"/>
    <w:rsid w:val="00660F12"/>
    <w:rsid w:val="006631A9"/>
    <w:rsid w:val="00666EFA"/>
    <w:rsid w:val="00672387"/>
    <w:rsid w:val="006725FA"/>
    <w:rsid w:val="00674CD9"/>
    <w:rsid w:val="00674FA9"/>
    <w:rsid w:val="00676B7F"/>
    <w:rsid w:val="00676C57"/>
    <w:rsid w:val="006779E7"/>
    <w:rsid w:val="00686F88"/>
    <w:rsid w:val="00687AE1"/>
    <w:rsid w:val="00687B75"/>
    <w:rsid w:val="0069042D"/>
    <w:rsid w:val="00693BF0"/>
    <w:rsid w:val="006A003D"/>
    <w:rsid w:val="006A30A5"/>
    <w:rsid w:val="006A6613"/>
    <w:rsid w:val="006A75DE"/>
    <w:rsid w:val="006A78A5"/>
    <w:rsid w:val="006A7F79"/>
    <w:rsid w:val="006B2FD9"/>
    <w:rsid w:val="006B3322"/>
    <w:rsid w:val="006B38CB"/>
    <w:rsid w:val="006B6247"/>
    <w:rsid w:val="006B660D"/>
    <w:rsid w:val="006B7129"/>
    <w:rsid w:val="006B749E"/>
    <w:rsid w:val="006C2690"/>
    <w:rsid w:val="006C3696"/>
    <w:rsid w:val="006D1074"/>
    <w:rsid w:val="006D2BA0"/>
    <w:rsid w:val="006D4286"/>
    <w:rsid w:val="006D6023"/>
    <w:rsid w:val="006D609B"/>
    <w:rsid w:val="006E4318"/>
    <w:rsid w:val="006E6246"/>
    <w:rsid w:val="006F1440"/>
    <w:rsid w:val="006F3E0E"/>
    <w:rsid w:val="006F527A"/>
    <w:rsid w:val="006F5F0F"/>
    <w:rsid w:val="00701322"/>
    <w:rsid w:val="00714153"/>
    <w:rsid w:val="00715E12"/>
    <w:rsid w:val="007165B6"/>
    <w:rsid w:val="0071735D"/>
    <w:rsid w:val="00717BC3"/>
    <w:rsid w:val="00717C33"/>
    <w:rsid w:val="00725686"/>
    <w:rsid w:val="00726C70"/>
    <w:rsid w:val="007277B4"/>
    <w:rsid w:val="007320AC"/>
    <w:rsid w:val="00734A42"/>
    <w:rsid w:val="0073615E"/>
    <w:rsid w:val="00740DB0"/>
    <w:rsid w:val="0074152C"/>
    <w:rsid w:val="00744F13"/>
    <w:rsid w:val="00745936"/>
    <w:rsid w:val="0075073F"/>
    <w:rsid w:val="00751A83"/>
    <w:rsid w:val="00752B3D"/>
    <w:rsid w:val="00752BAC"/>
    <w:rsid w:val="00753142"/>
    <w:rsid w:val="00755F87"/>
    <w:rsid w:val="00757F4B"/>
    <w:rsid w:val="00767F36"/>
    <w:rsid w:val="00770C38"/>
    <w:rsid w:val="00773AD9"/>
    <w:rsid w:val="00774651"/>
    <w:rsid w:val="00777C91"/>
    <w:rsid w:val="00780A13"/>
    <w:rsid w:val="00780DAC"/>
    <w:rsid w:val="0078289C"/>
    <w:rsid w:val="00782ABC"/>
    <w:rsid w:val="0078304B"/>
    <w:rsid w:val="00784EDC"/>
    <w:rsid w:val="0079148D"/>
    <w:rsid w:val="0079233C"/>
    <w:rsid w:val="00797CF2"/>
    <w:rsid w:val="007A2712"/>
    <w:rsid w:val="007A2ACB"/>
    <w:rsid w:val="007B0C23"/>
    <w:rsid w:val="007B2219"/>
    <w:rsid w:val="007B360C"/>
    <w:rsid w:val="007B3B52"/>
    <w:rsid w:val="007B3E4E"/>
    <w:rsid w:val="007B55E3"/>
    <w:rsid w:val="007B5B55"/>
    <w:rsid w:val="007C1FCB"/>
    <w:rsid w:val="007C48F0"/>
    <w:rsid w:val="007C5D37"/>
    <w:rsid w:val="007D2C63"/>
    <w:rsid w:val="007D7DF2"/>
    <w:rsid w:val="007E1EF3"/>
    <w:rsid w:val="007E7613"/>
    <w:rsid w:val="007E7906"/>
    <w:rsid w:val="007F03C7"/>
    <w:rsid w:val="007F1764"/>
    <w:rsid w:val="007F19F5"/>
    <w:rsid w:val="007F1AF0"/>
    <w:rsid w:val="007F34E6"/>
    <w:rsid w:val="008011A4"/>
    <w:rsid w:val="0080215B"/>
    <w:rsid w:val="0080350D"/>
    <w:rsid w:val="00803B2A"/>
    <w:rsid w:val="008107BE"/>
    <w:rsid w:val="00810BEE"/>
    <w:rsid w:val="00811E04"/>
    <w:rsid w:val="00812433"/>
    <w:rsid w:val="00814367"/>
    <w:rsid w:val="0082097D"/>
    <w:rsid w:val="008235B2"/>
    <w:rsid w:val="00826D1E"/>
    <w:rsid w:val="00833945"/>
    <w:rsid w:val="00836C66"/>
    <w:rsid w:val="00836DED"/>
    <w:rsid w:val="0083775D"/>
    <w:rsid w:val="00837D20"/>
    <w:rsid w:val="00840DF5"/>
    <w:rsid w:val="00841450"/>
    <w:rsid w:val="008433D4"/>
    <w:rsid w:val="00852CAD"/>
    <w:rsid w:val="008541F9"/>
    <w:rsid w:val="008556C5"/>
    <w:rsid w:val="008563D6"/>
    <w:rsid w:val="00860B2A"/>
    <w:rsid w:val="008627B1"/>
    <w:rsid w:val="00864D1D"/>
    <w:rsid w:val="00867F18"/>
    <w:rsid w:val="00874577"/>
    <w:rsid w:val="00876541"/>
    <w:rsid w:val="008776D7"/>
    <w:rsid w:val="00877AD5"/>
    <w:rsid w:val="00880ADB"/>
    <w:rsid w:val="00883286"/>
    <w:rsid w:val="008847CC"/>
    <w:rsid w:val="00891E17"/>
    <w:rsid w:val="00893746"/>
    <w:rsid w:val="008A3A23"/>
    <w:rsid w:val="008A408A"/>
    <w:rsid w:val="008A4892"/>
    <w:rsid w:val="008A56DF"/>
    <w:rsid w:val="008A7EDB"/>
    <w:rsid w:val="008B0215"/>
    <w:rsid w:val="008B1733"/>
    <w:rsid w:val="008B1B04"/>
    <w:rsid w:val="008B4EFD"/>
    <w:rsid w:val="008B696C"/>
    <w:rsid w:val="008B730C"/>
    <w:rsid w:val="008C0793"/>
    <w:rsid w:val="008C1101"/>
    <w:rsid w:val="008C2437"/>
    <w:rsid w:val="008C2D2C"/>
    <w:rsid w:val="008D08BE"/>
    <w:rsid w:val="008D12E7"/>
    <w:rsid w:val="008D7156"/>
    <w:rsid w:val="008E3D86"/>
    <w:rsid w:val="008E5226"/>
    <w:rsid w:val="008E7904"/>
    <w:rsid w:val="008E7BB6"/>
    <w:rsid w:val="008F1ACC"/>
    <w:rsid w:val="008F2599"/>
    <w:rsid w:val="008F373B"/>
    <w:rsid w:val="008F7D56"/>
    <w:rsid w:val="00902CAF"/>
    <w:rsid w:val="0090339D"/>
    <w:rsid w:val="00914FD5"/>
    <w:rsid w:val="00921153"/>
    <w:rsid w:val="009211E6"/>
    <w:rsid w:val="009226CB"/>
    <w:rsid w:val="0092354D"/>
    <w:rsid w:val="00926C18"/>
    <w:rsid w:val="00930214"/>
    <w:rsid w:val="00930D59"/>
    <w:rsid w:val="00931DA5"/>
    <w:rsid w:val="00931F61"/>
    <w:rsid w:val="00934660"/>
    <w:rsid w:val="00936238"/>
    <w:rsid w:val="0093714B"/>
    <w:rsid w:val="009379C4"/>
    <w:rsid w:val="00940565"/>
    <w:rsid w:val="00942D51"/>
    <w:rsid w:val="00943C90"/>
    <w:rsid w:val="00944417"/>
    <w:rsid w:val="009449C2"/>
    <w:rsid w:val="00944EA7"/>
    <w:rsid w:val="00946228"/>
    <w:rsid w:val="0094757A"/>
    <w:rsid w:val="00950C1E"/>
    <w:rsid w:val="009514B0"/>
    <w:rsid w:val="00951BD3"/>
    <w:rsid w:val="00953EE7"/>
    <w:rsid w:val="0095562B"/>
    <w:rsid w:val="00955AA6"/>
    <w:rsid w:val="00955F84"/>
    <w:rsid w:val="00956C42"/>
    <w:rsid w:val="009600F9"/>
    <w:rsid w:val="00960ECA"/>
    <w:rsid w:val="0096304C"/>
    <w:rsid w:val="009644FC"/>
    <w:rsid w:val="00964638"/>
    <w:rsid w:val="0096584F"/>
    <w:rsid w:val="0096684A"/>
    <w:rsid w:val="00970B26"/>
    <w:rsid w:val="0097280B"/>
    <w:rsid w:val="00975EE0"/>
    <w:rsid w:val="00982642"/>
    <w:rsid w:val="009847E4"/>
    <w:rsid w:val="00985BE3"/>
    <w:rsid w:val="00985F08"/>
    <w:rsid w:val="009862D1"/>
    <w:rsid w:val="00986C3E"/>
    <w:rsid w:val="00993363"/>
    <w:rsid w:val="00994476"/>
    <w:rsid w:val="009946E1"/>
    <w:rsid w:val="00995FC9"/>
    <w:rsid w:val="009A131E"/>
    <w:rsid w:val="009A4F6C"/>
    <w:rsid w:val="009A5F7B"/>
    <w:rsid w:val="009A661E"/>
    <w:rsid w:val="009B07FF"/>
    <w:rsid w:val="009B2EA8"/>
    <w:rsid w:val="009B3C1F"/>
    <w:rsid w:val="009B74D0"/>
    <w:rsid w:val="009C1116"/>
    <w:rsid w:val="009C1D1D"/>
    <w:rsid w:val="009C4BF1"/>
    <w:rsid w:val="009C4E66"/>
    <w:rsid w:val="009C57C2"/>
    <w:rsid w:val="009C675D"/>
    <w:rsid w:val="009C7E17"/>
    <w:rsid w:val="009D070E"/>
    <w:rsid w:val="009D0790"/>
    <w:rsid w:val="009D3A73"/>
    <w:rsid w:val="009D4DBE"/>
    <w:rsid w:val="009E1199"/>
    <w:rsid w:val="009E1588"/>
    <w:rsid w:val="009E37C3"/>
    <w:rsid w:val="009E58B1"/>
    <w:rsid w:val="009F63EE"/>
    <w:rsid w:val="009F67F2"/>
    <w:rsid w:val="009F6916"/>
    <w:rsid w:val="009F6F4C"/>
    <w:rsid w:val="009F7157"/>
    <w:rsid w:val="009F7A77"/>
    <w:rsid w:val="00A03296"/>
    <w:rsid w:val="00A05882"/>
    <w:rsid w:val="00A06FF1"/>
    <w:rsid w:val="00A1265D"/>
    <w:rsid w:val="00A14CD9"/>
    <w:rsid w:val="00A158E9"/>
    <w:rsid w:val="00A16201"/>
    <w:rsid w:val="00A1658C"/>
    <w:rsid w:val="00A20E88"/>
    <w:rsid w:val="00A22927"/>
    <w:rsid w:val="00A23074"/>
    <w:rsid w:val="00A2599E"/>
    <w:rsid w:val="00A27F1F"/>
    <w:rsid w:val="00A3026C"/>
    <w:rsid w:val="00A30777"/>
    <w:rsid w:val="00A34CCD"/>
    <w:rsid w:val="00A3513E"/>
    <w:rsid w:val="00A3745A"/>
    <w:rsid w:val="00A40A96"/>
    <w:rsid w:val="00A40BA2"/>
    <w:rsid w:val="00A41C40"/>
    <w:rsid w:val="00A41DDC"/>
    <w:rsid w:val="00A42C0F"/>
    <w:rsid w:val="00A42F49"/>
    <w:rsid w:val="00A43D32"/>
    <w:rsid w:val="00A44201"/>
    <w:rsid w:val="00A45291"/>
    <w:rsid w:val="00A47123"/>
    <w:rsid w:val="00A47AF2"/>
    <w:rsid w:val="00A537E0"/>
    <w:rsid w:val="00A53F86"/>
    <w:rsid w:val="00A566AA"/>
    <w:rsid w:val="00A57848"/>
    <w:rsid w:val="00A65C5E"/>
    <w:rsid w:val="00A66AEE"/>
    <w:rsid w:val="00A729EE"/>
    <w:rsid w:val="00A75F04"/>
    <w:rsid w:val="00A825CB"/>
    <w:rsid w:val="00A82A07"/>
    <w:rsid w:val="00A85970"/>
    <w:rsid w:val="00A85BC5"/>
    <w:rsid w:val="00A93F46"/>
    <w:rsid w:val="00A956D7"/>
    <w:rsid w:val="00A9572D"/>
    <w:rsid w:val="00A96683"/>
    <w:rsid w:val="00A971E8"/>
    <w:rsid w:val="00AA0D07"/>
    <w:rsid w:val="00AA153A"/>
    <w:rsid w:val="00AA1DD6"/>
    <w:rsid w:val="00AA4528"/>
    <w:rsid w:val="00AA66C7"/>
    <w:rsid w:val="00AA79E3"/>
    <w:rsid w:val="00AB525B"/>
    <w:rsid w:val="00AC7352"/>
    <w:rsid w:val="00AD0400"/>
    <w:rsid w:val="00AD1019"/>
    <w:rsid w:val="00AD27DF"/>
    <w:rsid w:val="00AD3117"/>
    <w:rsid w:val="00AD560A"/>
    <w:rsid w:val="00AD5DAD"/>
    <w:rsid w:val="00AD5F51"/>
    <w:rsid w:val="00AD6FCD"/>
    <w:rsid w:val="00AE1139"/>
    <w:rsid w:val="00AE584C"/>
    <w:rsid w:val="00AE6D2D"/>
    <w:rsid w:val="00AE7BCF"/>
    <w:rsid w:val="00AF0634"/>
    <w:rsid w:val="00AF1F3F"/>
    <w:rsid w:val="00AF2F81"/>
    <w:rsid w:val="00AF52FF"/>
    <w:rsid w:val="00AF6116"/>
    <w:rsid w:val="00AF76E2"/>
    <w:rsid w:val="00B03891"/>
    <w:rsid w:val="00B04693"/>
    <w:rsid w:val="00B046B5"/>
    <w:rsid w:val="00B04D1F"/>
    <w:rsid w:val="00B11D0D"/>
    <w:rsid w:val="00B144E9"/>
    <w:rsid w:val="00B20F63"/>
    <w:rsid w:val="00B21FBD"/>
    <w:rsid w:val="00B360BE"/>
    <w:rsid w:val="00B410C0"/>
    <w:rsid w:val="00B4166B"/>
    <w:rsid w:val="00B42C8F"/>
    <w:rsid w:val="00B43EBE"/>
    <w:rsid w:val="00B452A1"/>
    <w:rsid w:val="00B45672"/>
    <w:rsid w:val="00B45A38"/>
    <w:rsid w:val="00B47840"/>
    <w:rsid w:val="00B47E1B"/>
    <w:rsid w:val="00B50ED4"/>
    <w:rsid w:val="00B52D29"/>
    <w:rsid w:val="00B52FE8"/>
    <w:rsid w:val="00B55137"/>
    <w:rsid w:val="00B55647"/>
    <w:rsid w:val="00B55D04"/>
    <w:rsid w:val="00B56558"/>
    <w:rsid w:val="00B56EE2"/>
    <w:rsid w:val="00B60E9F"/>
    <w:rsid w:val="00B6496C"/>
    <w:rsid w:val="00B64D2E"/>
    <w:rsid w:val="00B71E0E"/>
    <w:rsid w:val="00B741EC"/>
    <w:rsid w:val="00B7535E"/>
    <w:rsid w:val="00B77F36"/>
    <w:rsid w:val="00B804EF"/>
    <w:rsid w:val="00B81DDA"/>
    <w:rsid w:val="00B82411"/>
    <w:rsid w:val="00B83280"/>
    <w:rsid w:val="00B83853"/>
    <w:rsid w:val="00B83DE5"/>
    <w:rsid w:val="00B86A64"/>
    <w:rsid w:val="00B94736"/>
    <w:rsid w:val="00B959B3"/>
    <w:rsid w:val="00BA160F"/>
    <w:rsid w:val="00BA19AA"/>
    <w:rsid w:val="00BA2089"/>
    <w:rsid w:val="00BA331F"/>
    <w:rsid w:val="00BA5FAC"/>
    <w:rsid w:val="00BA6BF3"/>
    <w:rsid w:val="00BB13F8"/>
    <w:rsid w:val="00BB3278"/>
    <w:rsid w:val="00BB37A2"/>
    <w:rsid w:val="00BB4C72"/>
    <w:rsid w:val="00BC1776"/>
    <w:rsid w:val="00BC2874"/>
    <w:rsid w:val="00BC4ADF"/>
    <w:rsid w:val="00BC5A10"/>
    <w:rsid w:val="00BC60CC"/>
    <w:rsid w:val="00BC6527"/>
    <w:rsid w:val="00BD075C"/>
    <w:rsid w:val="00BD1C74"/>
    <w:rsid w:val="00BD491D"/>
    <w:rsid w:val="00BD7567"/>
    <w:rsid w:val="00BE1DEF"/>
    <w:rsid w:val="00BE285C"/>
    <w:rsid w:val="00BE59DB"/>
    <w:rsid w:val="00BE6A58"/>
    <w:rsid w:val="00BF0168"/>
    <w:rsid w:val="00BF2D9E"/>
    <w:rsid w:val="00BF70D7"/>
    <w:rsid w:val="00C007C8"/>
    <w:rsid w:val="00C04E0B"/>
    <w:rsid w:val="00C07162"/>
    <w:rsid w:val="00C07F94"/>
    <w:rsid w:val="00C11089"/>
    <w:rsid w:val="00C12457"/>
    <w:rsid w:val="00C1387F"/>
    <w:rsid w:val="00C203B8"/>
    <w:rsid w:val="00C2572B"/>
    <w:rsid w:val="00C26351"/>
    <w:rsid w:val="00C34627"/>
    <w:rsid w:val="00C34664"/>
    <w:rsid w:val="00C34ED8"/>
    <w:rsid w:val="00C35772"/>
    <w:rsid w:val="00C36CE6"/>
    <w:rsid w:val="00C40ACE"/>
    <w:rsid w:val="00C40D84"/>
    <w:rsid w:val="00C44012"/>
    <w:rsid w:val="00C53DA6"/>
    <w:rsid w:val="00C54D59"/>
    <w:rsid w:val="00C57B18"/>
    <w:rsid w:val="00C57DAF"/>
    <w:rsid w:val="00C63763"/>
    <w:rsid w:val="00C71F7B"/>
    <w:rsid w:val="00C72888"/>
    <w:rsid w:val="00C75639"/>
    <w:rsid w:val="00C76ECA"/>
    <w:rsid w:val="00C8066B"/>
    <w:rsid w:val="00C80CDF"/>
    <w:rsid w:val="00C81261"/>
    <w:rsid w:val="00C86465"/>
    <w:rsid w:val="00C8767F"/>
    <w:rsid w:val="00C87C41"/>
    <w:rsid w:val="00C90F2D"/>
    <w:rsid w:val="00C911C1"/>
    <w:rsid w:val="00C91957"/>
    <w:rsid w:val="00C937A9"/>
    <w:rsid w:val="00C93EEB"/>
    <w:rsid w:val="00C93F80"/>
    <w:rsid w:val="00C95967"/>
    <w:rsid w:val="00CA343F"/>
    <w:rsid w:val="00CA34C4"/>
    <w:rsid w:val="00CB1E5D"/>
    <w:rsid w:val="00CB2127"/>
    <w:rsid w:val="00CB224A"/>
    <w:rsid w:val="00CB27BE"/>
    <w:rsid w:val="00CB321E"/>
    <w:rsid w:val="00CB3C4A"/>
    <w:rsid w:val="00CB4555"/>
    <w:rsid w:val="00CB5593"/>
    <w:rsid w:val="00CB6AA7"/>
    <w:rsid w:val="00CC086B"/>
    <w:rsid w:val="00CC0B35"/>
    <w:rsid w:val="00CC1A8A"/>
    <w:rsid w:val="00CC1E50"/>
    <w:rsid w:val="00CC4855"/>
    <w:rsid w:val="00CC537B"/>
    <w:rsid w:val="00CC67EF"/>
    <w:rsid w:val="00CC755F"/>
    <w:rsid w:val="00CC78EE"/>
    <w:rsid w:val="00CD0F19"/>
    <w:rsid w:val="00CD25B0"/>
    <w:rsid w:val="00CD35F5"/>
    <w:rsid w:val="00CE40AC"/>
    <w:rsid w:val="00CE486F"/>
    <w:rsid w:val="00CE5980"/>
    <w:rsid w:val="00CE5DDB"/>
    <w:rsid w:val="00CF0660"/>
    <w:rsid w:val="00CF3226"/>
    <w:rsid w:val="00CF4181"/>
    <w:rsid w:val="00CF6AF4"/>
    <w:rsid w:val="00CF6D16"/>
    <w:rsid w:val="00CF7010"/>
    <w:rsid w:val="00CF7110"/>
    <w:rsid w:val="00D00F35"/>
    <w:rsid w:val="00D011BE"/>
    <w:rsid w:val="00D01A25"/>
    <w:rsid w:val="00D03281"/>
    <w:rsid w:val="00D0346F"/>
    <w:rsid w:val="00D10086"/>
    <w:rsid w:val="00D11517"/>
    <w:rsid w:val="00D134EB"/>
    <w:rsid w:val="00D16B04"/>
    <w:rsid w:val="00D17D83"/>
    <w:rsid w:val="00D277C5"/>
    <w:rsid w:val="00D30BBA"/>
    <w:rsid w:val="00D326FC"/>
    <w:rsid w:val="00D35E20"/>
    <w:rsid w:val="00D36D3D"/>
    <w:rsid w:val="00D4005D"/>
    <w:rsid w:val="00D43CD5"/>
    <w:rsid w:val="00D45303"/>
    <w:rsid w:val="00D455F5"/>
    <w:rsid w:val="00D46334"/>
    <w:rsid w:val="00D47463"/>
    <w:rsid w:val="00D47493"/>
    <w:rsid w:val="00D56B58"/>
    <w:rsid w:val="00D60278"/>
    <w:rsid w:val="00D60B5A"/>
    <w:rsid w:val="00D6257B"/>
    <w:rsid w:val="00D62688"/>
    <w:rsid w:val="00D66E30"/>
    <w:rsid w:val="00D66FBA"/>
    <w:rsid w:val="00D66FC1"/>
    <w:rsid w:val="00D70526"/>
    <w:rsid w:val="00D732D2"/>
    <w:rsid w:val="00D7455D"/>
    <w:rsid w:val="00D75100"/>
    <w:rsid w:val="00D76E69"/>
    <w:rsid w:val="00D81082"/>
    <w:rsid w:val="00D81928"/>
    <w:rsid w:val="00D8284D"/>
    <w:rsid w:val="00D83574"/>
    <w:rsid w:val="00D83627"/>
    <w:rsid w:val="00D83FDA"/>
    <w:rsid w:val="00D90F32"/>
    <w:rsid w:val="00D90FA8"/>
    <w:rsid w:val="00D91F6C"/>
    <w:rsid w:val="00D93962"/>
    <w:rsid w:val="00D9431A"/>
    <w:rsid w:val="00D95A39"/>
    <w:rsid w:val="00DA2446"/>
    <w:rsid w:val="00DA3828"/>
    <w:rsid w:val="00DA4B28"/>
    <w:rsid w:val="00DA7359"/>
    <w:rsid w:val="00DA7E13"/>
    <w:rsid w:val="00DB11B1"/>
    <w:rsid w:val="00DB1679"/>
    <w:rsid w:val="00DB48E8"/>
    <w:rsid w:val="00DB6AD4"/>
    <w:rsid w:val="00DB73E2"/>
    <w:rsid w:val="00DC18A6"/>
    <w:rsid w:val="00DC1940"/>
    <w:rsid w:val="00DC1F36"/>
    <w:rsid w:val="00DC4DA8"/>
    <w:rsid w:val="00DC6201"/>
    <w:rsid w:val="00DD0178"/>
    <w:rsid w:val="00DD0CBC"/>
    <w:rsid w:val="00DD127E"/>
    <w:rsid w:val="00DD2D79"/>
    <w:rsid w:val="00DE17DA"/>
    <w:rsid w:val="00DE2B14"/>
    <w:rsid w:val="00DE2C37"/>
    <w:rsid w:val="00DE2E5B"/>
    <w:rsid w:val="00DE3AAC"/>
    <w:rsid w:val="00DE49F8"/>
    <w:rsid w:val="00DE5EB2"/>
    <w:rsid w:val="00DE693B"/>
    <w:rsid w:val="00DE7F81"/>
    <w:rsid w:val="00DF498B"/>
    <w:rsid w:val="00DF4F94"/>
    <w:rsid w:val="00DF7513"/>
    <w:rsid w:val="00DF7970"/>
    <w:rsid w:val="00E0012E"/>
    <w:rsid w:val="00E00666"/>
    <w:rsid w:val="00E00862"/>
    <w:rsid w:val="00E026EC"/>
    <w:rsid w:val="00E0760C"/>
    <w:rsid w:val="00E1219F"/>
    <w:rsid w:val="00E13B71"/>
    <w:rsid w:val="00E1638B"/>
    <w:rsid w:val="00E16FCF"/>
    <w:rsid w:val="00E177C9"/>
    <w:rsid w:val="00E178AE"/>
    <w:rsid w:val="00E2041A"/>
    <w:rsid w:val="00E2176D"/>
    <w:rsid w:val="00E22BCF"/>
    <w:rsid w:val="00E2425F"/>
    <w:rsid w:val="00E243C1"/>
    <w:rsid w:val="00E25072"/>
    <w:rsid w:val="00E25F5D"/>
    <w:rsid w:val="00E26E21"/>
    <w:rsid w:val="00E27593"/>
    <w:rsid w:val="00E27FDF"/>
    <w:rsid w:val="00E3294D"/>
    <w:rsid w:val="00E34D59"/>
    <w:rsid w:val="00E37103"/>
    <w:rsid w:val="00E3766A"/>
    <w:rsid w:val="00E43434"/>
    <w:rsid w:val="00E43899"/>
    <w:rsid w:val="00E44260"/>
    <w:rsid w:val="00E44A5B"/>
    <w:rsid w:val="00E451DA"/>
    <w:rsid w:val="00E45D0B"/>
    <w:rsid w:val="00E46F1B"/>
    <w:rsid w:val="00E526C5"/>
    <w:rsid w:val="00E54BA2"/>
    <w:rsid w:val="00E54DB4"/>
    <w:rsid w:val="00E657A6"/>
    <w:rsid w:val="00E6725F"/>
    <w:rsid w:val="00E72119"/>
    <w:rsid w:val="00E73486"/>
    <w:rsid w:val="00E734E5"/>
    <w:rsid w:val="00E75289"/>
    <w:rsid w:val="00E76587"/>
    <w:rsid w:val="00E82BE9"/>
    <w:rsid w:val="00E833C0"/>
    <w:rsid w:val="00E84EAB"/>
    <w:rsid w:val="00E92C53"/>
    <w:rsid w:val="00E96C21"/>
    <w:rsid w:val="00E9731D"/>
    <w:rsid w:val="00E97758"/>
    <w:rsid w:val="00EA403E"/>
    <w:rsid w:val="00EA4261"/>
    <w:rsid w:val="00EA444C"/>
    <w:rsid w:val="00EA5A26"/>
    <w:rsid w:val="00EA5DBE"/>
    <w:rsid w:val="00EA666C"/>
    <w:rsid w:val="00EA7404"/>
    <w:rsid w:val="00EA77C2"/>
    <w:rsid w:val="00EB169C"/>
    <w:rsid w:val="00EB2C2E"/>
    <w:rsid w:val="00EB7763"/>
    <w:rsid w:val="00EC1B44"/>
    <w:rsid w:val="00EC421C"/>
    <w:rsid w:val="00ED40C9"/>
    <w:rsid w:val="00ED5025"/>
    <w:rsid w:val="00EE27AE"/>
    <w:rsid w:val="00EE336C"/>
    <w:rsid w:val="00EE388C"/>
    <w:rsid w:val="00EE4616"/>
    <w:rsid w:val="00EE59D7"/>
    <w:rsid w:val="00EE6392"/>
    <w:rsid w:val="00EE6F94"/>
    <w:rsid w:val="00EF253D"/>
    <w:rsid w:val="00EF3E90"/>
    <w:rsid w:val="00EF4DDD"/>
    <w:rsid w:val="00EF5D56"/>
    <w:rsid w:val="00EF6C8D"/>
    <w:rsid w:val="00F008D6"/>
    <w:rsid w:val="00F012EA"/>
    <w:rsid w:val="00F026D5"/>
    <w:rsid w:val="00F036EF"/>
    <w:rsid w:val="00F05383"/>
    <w:rsid w:val="00F07F22"/>
    <w:rsid w:val="00F10822"/>
    <w:rsid w:val="00F1242B"/>
    <w:rsid w:val="00F15F6D"/>
    <w:rsid w:val="00F178D5"/>
    <w:rsid w:val="00F2421C"/>
    <w:rsid w:val="00F264DD"/>
    <w:rsid w:val="00F2760E"/>
    <w:rsid w:val="00F30027"/>
    <w:rsid w:val="00F3065F"/>
    <w:rsid w:val="00F314CB"/>
    <w:rsid w:val="00F31D6D"/>
    <w:rsid w:val="00F3391F"/>
    <w:rsid w:val="00F33A6A"/>
    <w:rsid w:val="00F36291"/>
    <w:rsid w:val="00F36518"/>
    <w:rsid w:val="00F368B9"/>
    <w:rsid w:val="00F37A58"/>
    <w:rsid w:val="00F402E5"/>
    <w:rsid w:val="00F41E30"/>
    <w:rsid w:val="00F4407B"/>
    <w:rsid w:val="00F444B3"/>
    <w:rsid w:val="00F4478A"/>
    <w:rsid w:val="00F5136D"/>
    <w:rsid w:val="00F51889"/>
    <w:rsid w:val="00F52967"/>
    <w:rsid w:val="00F60530"/>
    <w:rsid w:val="00F616EB"/>
    <w:rsid w:val="00F61E0E"/>
    <w:rsid w:val="00F67D4C"/>
    <w:rsid w:val="00F703DE"/>
    <w:rsid w:val="00F7226C"/>
    <w:rsid w:val="00F729CD"/>
    <w:rsid w:val="00F73064"/>
    <w:rsid w:val="00F74714"/>
    <w:rsid w:val="00F75836"/>
    <w:rsid w:val="00F77DB8"/>
    <w:rsid w:val="00F805AB"/>
    <w:rsid w:val="00F81046"/>
    <w:rsid w:val="00F81D73"/>
    <w:rsid w:val="00F85EC6"/>
    <w:rsid w:val="00F86317"/>
    <w:rsid w:val="00F8675B"/>
    <w:rsid w:val="00F87048"/>
    <w:rsid w:val="00F90417"/>
    <w:rsid w:val="00F913A3"/>
    <w:rsid w:val="00F93615"/>
    <w:rsid w:val="00F9385E"/>
    <w:rsid w:val="00F95C9E"/>
    <w:rsid w:val="00F97D5D"/>
    <w:rsid w:val="00FA0D2B"/>
    <w:rsid w:val="00FA17EE"/>
    <w:rsid w:val="00FA1E63"/>
    <w:rsid w:val="00FA4E7D"/>
    <w:rsid w:val="00FB3FED"/>
    <w:rsid w:val="00FB59AE"/>
    <w:rsid w:val="00FB7962"/>
    <w:rsid w:val="00FC2DE9"/>
    <w:rsid w:val="00FC60BD"/>
    <w:rsid w:val="00FC6627"/>
    <w:rsid w:val="00FD2465"/>
    <w:rsid w:val="00FD4E0E"/>
    <w:rsid w:val="00FD7E24"/>
    <w:rsid w:val="00FE0E98"/>
    <w:rsid w:val="00FE3B89"/>
    <w:rsid w:val="00FE56C0"/>
    <w:rsid w:val="00FF174C"/>
    <w:rsid w:val="00FF4FD6"/>
    <w:rsid w:val="03EADAFC"/>
    <w:rsid w:val="04926DDD"/>
    <w:rsid w:val="08702FBF"/>
    <w:rsid w:val="10109DCD"/>
    <w:rsid w:val="16110E02"/>
    <w:rsid w:val="1A4AFC43"/>
    <w:rsid w:val="1AA38CC0"/>
    <w:rsid w:val="1DB09FB1"/>
    <w:rsid w:val="24CD0A9E"/>
    <w:rsid w:val="2872FAB9"/>
    <w:rsid w:val="3E12E538"/>
    <w:rsid w:val="421E9D3F"/>
    <w:rsid w:val="48535A01"/>
    <w:rsid w:val="49EA849D"/>
    <w:rsid w:val="51F15B51"/>
    <w:rsid w:val="5242A6B1"/>
    <w:rsid w:val="57900842"/>
    <w:rsid w:val="68DB83C4"/>
    <w:rsid w:val="74D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7B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1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1A18CF"/>
    <w:pPr>
      <w:spacing w:before="600" w:line="460" w:lineRule="exact"/>
      <w:outlineLvl w:val="0"/>
    </w:pPr>
    <w:rPr>
      <w:b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643367"/>
    <w:pPr>
      <w:numPr>
        <w:numId w:val="23"/>
      </w:numPr>
      <w:spacing w:before="360" w:line="460" w:lineRule="exact"/>
      <w:ind w:left="397" w:hanging="397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1A18C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1A18C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A18C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qFormat/>
    <w:rsid w:val="001A18C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F73064"/>
    <w:pPr>
      <w:spacing w:after="0"/>
      <w:outlineLvl w:val="6"/>
    </w:pPr>
    <w:rPr>
      <w:rFonts w:ascii="Arial" w:hAnsi="Arial"/>
      <w:color w:val="000080"/>
      <w:sz w:val="19"/>
      <w:u w:val="single"/>
    </w:rPr>
  </w:style>
  <w:style w:type="paragraph" w:styleId="Heading8">
    <w:name w:val="heading 8"/>
    <w:basedOn w:val="Normal"/>
    <w:next w:val="Normal"/>
    <w:link w:val="Heading8Char"/>
    <w:rsid w:val="00F73064"/>
    <w:pPr>
      <w:keepNext/>
      <w:spacing w:after="60" w:line="0" w:lineRule="atLeast"/>
      <w:outlineLvl w:val="7"/>
    </w:pPr>
    <w:rPr>
      <w:b/>
      <w:color w:val="000080"/>
    </w:rPr>
  </w:style>
  <w:style w:type="paragraph" w:styleId="Heading9">
    <w:name w:val="heading 9"/>
    <w:basedOn w:val="Normal"/>
    <w:next w:val="Normal"/>
    <w:link w:val="Heading9Char"/>
    <w:rsid w:val="00F73064"/>
    <w:pPr>
      <w:spacing w:before="240" w:after="60"/>
      <w:outlineLvl w:val="8"/>
    </w:pPr>
    <w:rPr>
      <w:color w:val="000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qFormat/>
    <w:rsid w:val="001A18C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rsid w:val="001A18C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643367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A18C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1A18C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A18C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A18C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BB3278"/>
    <w:rPr>
      <w:rFonts w:ascii="Arial" w:hAnsi="Arial"/>
      <w:color w:val="000080"/>
      <w:sz w:val="19"/>
      <w:u w:val="single"/>
    </w:rPr>
  </w:style>
  <w:style w:type="character" w:customStyle="1" w:styleId="Heading8Char">
    <w:name w:val="Heading 8 Char"/>
    <w:basedOn w:val="DefaultParagraphFont"/>
    <w:link w:val="Heading8"/>
    <w:rsid w:val="00BB3278"/>
    <w:rPr>
      <w:b/>
      <w:color w:val="000080"/>
    </w:rPr>
  </w:style>
  <w:style w:type="character" w:customStyle="1" w:styleId="Heading9Char">
    <w:name w:val="Heading 9 Char"/>
    <w:basedOn w:val="DefaultParagraphFont"/>
    <w:link w:val="Heading9"/>
    <w:rsid w:val="00BB3278"/>
    <w:rPr>
      <w:color w:val="000080"/>
      <w:u w:val="single"/>
    </w:rPr>
  </w:style>
  <w:style w:type="paragraph" w:customStyle="1" w:styleId="ChartGraphic">
    <w:name w:val="Chart Graphic"/>
    <w:basedOn w:val="Normal"/>
    <w:next w:val="Normal"/>
    <w:rsid w:val="001A18CF"/>
    <w:pPr>
      <w:keepNext/>
      <w:spacing w:before="0" w:after="0"/>
      <w:jc w:val="center"/>
    </w:pPr>
    <w:rPr>
      <w:color w:val="004A7F"/>
      <w:sz w:val="20"/>
    </w:rPr>
  </w:style>
  <w:style w:type="paragraph" w:customStyle="1" w:styleId="TableGraphic">
    <w:name w:val="Table Graphic"/>
    <w:basedOn w:val="HeadingBase"/>
    <w:next w:val="Normal"/>
    <w:qFormat/>
    <w:rsid w:val="001A18CF"/>
    <w:pPr>
      <w:spacing w:after="0"/>
    </w:pPr>
  </w:style>
  <w:style w:type="paragraph" w:customStyle="1" w:styleId="AlphaParagraph">
    <w:name w:val="Alpha Paragraph"/>
    <w:basedOn w:val="Normal"/>
    <w:qFormat/>
    <w:rsid w:val="009D0790"/>
    <w:pPr>
      <w:numPr>
        <w:numId w:val="2"/>
      </w:numPr>
    </w:pPr>
  </w:style>
  <w:style w:type="paragraph" w:customStyle="1" w:styleId="AppendixHeading">
    <w:name w:val="Appendix Heading"/>
    <w:basedOn w:val="Heading1"/>
    <w:next w:val="Normal"/>
    <w:rsid w:val="006457CC"/>
    <w:pPr>
      <w:spacing w:before="720" w:after="360"/>
    </w:pPr>
    <w:rPr>
      <w:sz w:val="36"/>
    </w:rPr>
  </w:style>
  <w:style w:type="paragraph" w:styleId="BalloonText">
    <w:name w:val="Balloon Text"/>
    <w:basedOn w:val="Normal"/>
    <w:link w:val="BalloonTextChar"/>
    <w:rsid w:val="00F730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064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Heading">
    <w:name w:val="Box Heading"/>
    <w:basedOn w:val="Normal"/>
    <w:next w:val="Normal"/>
    <w:rsid w:val="001A18CF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1A18CF"/>
  </w:style>
  <w:style w:type="paragraph" w:customStyle="1" w:styleId="Bullet">
    <w:name w:val="Bullet"/>
    <w:basedOn w:val="Normal"/>
    <w:link w:val="BulletChar"/>
    <w:qFormat/>
    <w:rsid w:val="001A18CF"/>
    <w:pPr>
      <w:numPr>
        <w:numId w:val="20"/>
      </w:numPr>
      <w:tabs>
        <w:tab w:val="clear" w:pos="520"/>
        <w:tab w:val="left" w:pos="720"/>
      </w:tabs>
      <w:spacing w:after="0" w:line="276" w:lineRule="auto"/>
    </w:pPr>
  </w:style>
  <w:style w:type="paragraph" w:styleId="NormalIndent">
    <w:name w:val="Normal Indent"/>
    <w:basedOn w:val="Normal"/>
    <w:rsid w:val="00F73064"/>
    <w:pPr>
      <w:ind w:left="567"/>
    </w:pPr>
    <w:rPr>
      <w:rFonts w:ascii="Book Antiqua" w:hAnsi="Book Antiqua"/>
      <w:sz w:val="20"/>
    </w:rPr>
  </w:style>
  <w:style w:type="paragraph" w:customStyle="1" w:styleId="ChartandTableFootnoteAlpha">
    <w:name w:val="Chart and Table Footnote Alpha"/>
    <w:rsid w:val="001A18CF"/>
    <w:pPr>
      <w:numPr>
        <w:numId w:val="21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DE17DA"/>
    <w:pPr>
      <w:jc w:val="center"/>
    </w:pPr>
  </w:style>
  <w:style w:type="paragraph" w:customStyle="1" w:styleId="ChartorTableNote">
    <w:name w:val="Chart or Table Note"/>
    <w:next w:val="Normal"/>
    <w:rsid w:val="001A18C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6C2690"/>
    <w:pPr>
      <w:jc w:val="center"/>
    </w:pPr>
    <w:rPr>
      <w:bCs/>
    </w:rPr>
  </w:style>
  <w:style w:type="paragraph" w:customStyle="1" w:styleId="Classification">
    <w:name w:val="Classification"/>
    <w:basedOn w:val="HeadingBase"/>
    <w:next w:val="Footer"/>
    <w:rsid w:val="00B55137"/>
    <w:pPr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rsid w:val="00F73064"/>
    <w:pPr>
      <w:tabs>
        <w:tab w:val="right" w:pos="5670"/>
      </w:tabs>
      <w:spacing w:after="0"/>
      <w:jc w:val="right"/>
    </w:pPr>
    <w:rPr>
      <w:rFonts w:ascii="Arial" w:hAnsi="Arial"/>
      <w:color w:val="00315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3064"/>
    <w:rPr>
      <w:rFonts w:ascii="Arial" w:hAnsi="Arial"/>
      <w:color w:val="003157"/>
      <w:sz w:val="18"/>
    </w:rPr>
  </w:style>
  <w:style w:type="paragraph" w:customStyle="1" w:styleId="ContentsHeading">
    <w:name w:val="Contents Heading"/>
    <w:basedOn w:val="Normal"/>
    <w:next w:val="Normal"/>
    <w:rsid w:val="00575037"/>
    <w:pPr>
      <w:spacing w:before="600"/>
    </w:pPr>
    <w:rPr>
      <w:rFonts w:asciiTheme="majorHAnsi" w:hAnsiTheme="majorHAnsi"/>
      <w:b/>
      <w:color w:val="5D779D" w:themeColor="accent3"/>
      <w:kern w:val="28"/>
      <w:sz w:val="44"/>
    </w:rPr>
  </w:style>
  <w:style w:type="paragraph" w:customStyle="1" w:styleId="Dash">
    <w:name w:val="Dash"/>
    <w:basedOn w:val="Normal"/>
    <w:qFormat/>
    <w:rsid w:val="00F73064"/>
    <w:pPr>
      <w:numPr>
        <w:ilvl w:val="1"/>
        <w:numId w:val="22"/>
      </w:numPr>
    </w:pPr>
  </w:style>
  <w:style w:type="paragraph" w:customStyle="1" w:styleId="DoubleDot">
    <w:name w:val="Double Dot"/>
    <w:basedOn w:val="Normal"/>
    <w:link w:val="DoubleDotChar"/>
    <w:qFormat/>
    <w:rsid w:val="001A18CF"/>
    <w:pPr>
      <w:numPr>
        <w:ilvl w:val="2"/>
        <w:numId w:val="22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1A18CF"/>
    <w:pPr>
      <w:spacing w:before="120"/>
    </w:pPr>
    <w:rPr>
      <w:b w:val="0"/>
      <w:sz w:val="26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1A18CF"/>
    <w:pPr>
      <w:keepNext/>
      <w:tabs>
        <w:tab w:val="clear" w:pos="5670"/>
      </w:tabs>
      <w:spacing w:before="0"/>
      <w:jc w:val="left"/>
    </w:pPr>
    <w:rPr>
      <w:rFonts w:ascii="Calibri Light" w:hAnsi="Calibri Light"/>
      <w:noProof/>
      <w:color w:val="2C384A" w:themeColor="accent1"/>
      <w:sz w:val="20"/>
    </w:rPr>
  </w:style>
  <w:style w:type="paragraph" w:customStyle="1" w:styleId="FooterOdd">
    <w:name w:val="Footer Odd"/>
    <w:basedOn w:val="Footer"/>
    <w:rsid w:val="001A18CF"/>
    <w:pPr>
      <w:keepNext/>
      <w:tabs>
        <w:tab w:val="clear" w:pos="5670"/>
      </w:tabs>
      <w:spacing w:before="0"/>
    </w:pPr>
    <w:rPr>
      <w:rFonts w:ascii="Calibri Light" w:hAnsi="Calibri Light"/>
      <w:color w:val="2C384A" w:themeColor="accent1"/>
      <w:sz w:val="20"/>
    </w:rPr>
  </w:style>
  <w:style w:type="character" w:styleId="FootnoteReference">
    <w:name w:val="footnote reference"/>
    <w:basedOn w:val="DefaultParagraphFont"/>
    <w:uiPriority w:val="99"/>
    <w:rsid w:val="001A18CF"/>
    <w:rPr>
      <w:sz w:val="18"/>
    </w:rPr>
  </w:style>
  <w:style w:type="paragraph" w:styleId="FootnoteText">
    <w:name w:val="footnote text"/>
    <w:basedOn w:val="Normal"/>
    <w:link w:val="FootnoteTextChar"/>
    <w:uiPriority w:val="99"/>
    <w:rsid w:val="001A18C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8CF"/>
    <w:rPr>
      <w:rFonts w:ascii="Calibri Light" w:eastAsia="Times New Roman" w:hAnsi="Calibri Light" w:cs="Times New Roman"/>
      <w:sz w:val="20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Style"/>
    <w:link w:val="HeaderChar"/>
    <w:rsid w:val="00F73064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460338"/>
    <w:rPr>
      <w:rFonts w:ascii="Arial" w:hAnsi="Arial"/>
      <w:color w:val="003157"/>
      <w:sz w:val="18"/>
    </w:rPr>
  </w:style>
  <w:style w:type="paragraph" w:customStyle="1" w:styleId="HeaderEven">
    <w:name w:val="Header Even"/>
    <w:basedOn w:val="Header"/>
    <w:qFormat/>
    <w:rsid w:val="001A18CF"/>
    <w:pPr>
      <w:spacing w:before="0"/>
      <w:jc w:val="left"/>
    </w:pPr>
    <w:rPr>
      <w:rFonts w:ascii="Calibri Light" w:hAnsi="Calibri Light"/>
      <w:color w:val="002C47"/>
      <w:sz w:val="20"/>
    </w:rPr>
  </w:style>
  <w:style w:type="paragraph" w:customStyle="1" w:styleId="HeaderOdd">
    <w:name w:val="Header Odd"/>
    <w:basedOn w:val="Header"/>
    <w:qFormat/>
    <w:rsid w:val="001A18CF"/>
    <w:pPr>
      <w:spacing w:before="0"/>
      <w:jc w:val="right"/>
    </w:pPr>
    <w:rPr>
      <w:rFonts w:ascii="Calibri Light" w:hAnsi="Calibri Light"/>
      <w:color w:val="002C47"/>
      <w:sz w:val="20"/>
    </w:rPr>
  </w:style>
  <w:style w:type="character" w:styleId="Hyperlink">
    <w:name w:val="Hyperlink"/>
    <w:basedOn w:val="DefaultParagraphFont"/>
    <w:uiPriority w:val="99"/>
    <w:rsid w:val="001A18CF"/>
    <w:rPr>
      <w:color w:val="3A6FAF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uiPriority w:val="99"/>
    <w:unhideWhenUsed/>
    <w:rsid w:val="00F730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OutlineNumbered1">
    <w:name w:val="Outline Numbered 1"/>
    <w:basedOn w:val="Normal"/>
    <w:rsid w:val="003E0E7B"/>
    <w:pPr>
      <w:numPr>
        <w:numId w:val="8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7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8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8"/>
      </w:numPr>
    </w:pPr>
  </w:style>
  <w:style w:type="character" w:styleId="PageNumber">
    <w:name w:val="page number"/>
    <w:basedOn w:val="DefaultParagraphFont"/>
    <w:rsid w:val="00365C6D"/>
    <w:rPr>
      <w:rFonts w:asciiTheme="minorHAnsi" w:hAnsiTheme="minorHAnsi"/>
      <w:color w:val="003057"/>
      <w:sz w:val="22"/>
    </w:rPr>
  </w:style>
  <w:style w:type="paragraph" w:customStyle="1" w:styleId="Romannumeral">
    <w:name w:val="Roman numeral"/>
    <w:basedOn w:val="Normal"/>
    <w:rsid w:val="009C7E17"/>
    <w:pPr>
      <w:numPr>
        <w:numId w:val="10"/>
      </w:numPr>
    </w:pPr>
  </w:style>
  <w:style w:type="paragraph" w:customStyle="1" w:styleId="SingleParagraph">
    <w:name w:val="Single Paragraph"/>
    <w:basedOn w:val="Normal"/>
    <w:link w:val="SingleParagraphChar"/>
    <w:rsid w:val="001A18CF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6C2690"/>
    <w:pPr>
      <w:keepNext/>
      <w:spacing w:before="0" w:after="20"/>
    </w:pPr>
    <w:rPr>
      <w:color w:val="004A7F"/>
    </w:rPr>
  </w:style>
  <w:style w:type="paragraph" w:customStyle="1" w:styleId="TableTextBase">
    <w:name w:val="Table Text Base"/>
    <w:rsid w:val="00DE17DA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1A18CF"/>
    <w:pPr>
      <w:jc w:val="center"/>
    </w:pPr>
    <w:rPr>
      <w:b/>
      <w:color w:val="004A7F"/>
      <w:sz w:val="20"/>
    </w:rPr>
  </w:style>
  <w:style w:type="paragraph" w:customStyle="1" w:styleId="TableColumnHeadingBase">
    <w:name w:val="Table Column Heading Base"/>
    <w:basedOn w:val="Normal"/>
    <w:rsid w:val="006C2690"/>
    <w:pPr>
      <w:spacing w:before="40" w:after="40"/>
    </w:pPr>
    <w:rPr>
      <w:b/>
      <w:color w:val="5D779D" w:themeColor="accent3"/>
      <w:sz w:val="20"/>
    </w:rPr>
  </w:style>
  <w:style w:type="paragraph" w:customStyle="1" w:styleId="TableColumnHeadingLeft">
    <w:name w:val="Table Column Heading Left"/>
    <w:basedOn w:val="TableTextLeft"/>
    <w:rsid w:val="001A18CF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1A18CF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1A18CF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330A9F"/>
    <w:pPr>
      <w:spacing w:after="20"/>
    </w:pPr>
    <w:rPr>
      <w:b/>
      <w:color w:val="2C384A" w:themeColor="accent1"/>
      <w:sz w:val="22"/>
    </w:rPr>
  </w:style>
  <w:style w:type="paragraph" w:customStyle="1" w:styleId="TableTextCentered">
    <w:name w:val="Table Text Centered"/>
    <w:basedOn w:val="TableTextRight"/>
    <w:rsid w:val="001A18CF"/>
    <w:pPr>
      <w:jc w:val="center"/>
    </w:pPr>
  </w:style>
  <w:style w:type="paragraph" w:customStyle="1" w:styleId="TableTextIndented">
    <w:name w:val="Table Text Indented"/>
    <w:basedOn w:val="TableTextLeft"/>
    <w:qFormat/>
    <w:rsid w:val="001A18CF"/>
    <w:pPr>
      <w:ind w:left="284"/>
    </w:pPr>
  </w:style>
  <w:style w:type="paragraph" w:customStyle="1" w:styleId="TableTextLeft">
    <w:name w:val="Table Text Left"/>
    <w:basedOn w:val="TableTextRight"/>
    <w:rsid w:val="001A18CF"/>
    <w:pPr>
      <w:jc w:val="left"/>
    </w:pPr>
  </w:style>
  <w:style w:type="paragraph" w:customStyle="1" w:styleId="TableTextRight">
    <w:name w:val="Table Text Right"/>
    <w:basedOn w:val="Normal"/>
    <w:rsid w:val="001A18CF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1A18C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2C4A"/>
      <w:szCs w:val="22"/>
    </w:rPr>
  </w:style>
  <w:style w:type="paragraph" w:styleId="TOC2">
    <w:name w:val="toc 2"/>
    <w:basedOn w:val="Normal"/>
    <w:next w:val="Normal"/>
    <w:uiPriority w:val="39"/>
    <w:qFormat/>
    <w:rsid w:val="001A18C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1A18C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autoRedefine/>
    <w:rsid w:val="00F73064"/>
    <w:pPr>
      <w:tabs>
        <w:tab w:val="left" w:pos="1531"/>
        <w:tab w:val="right" w:leader="dot" w:pos="7711"/>
      </w:tabs>
      <w:ind w:left="1560" w:hanging="959"/>
    </w:pPr>
    <w:rPr>
      <w:noProof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rsid w:val="00F73064"/>
    <w:rPr>
      <w:vertAlign w:val="superscript"/>
    </w:rPr>
  </w:style>
  <w:style w:type="paragraph" w:styleId="EndnoteText">
    <w:name w:val="endnote text"/>
    <w:basedOn w:val="Normal"/>
    <w:link w:val="EndnoteTextChar"/>
    <w:rsid w:val="00F7306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3064"/>
    <w:rPr>
      <w:sz w:val="20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F73064"/>
    <w:pPr>
      <w:spacing w:after="0"/>
      <w:ind w:left="238" w:hanging="238"/>
    </w:pPr>
  </w:style>
  <w:style w:type="paragraph" w:styleId="Index2">
    <w:name w:val="index 2"/>
    <w:basedOn w:val="Normal"/>
    <w:next w:val="Normal"/>
    <w:autoRedefine/>
    <w:semiHidden/>
    <w:rsid w:val="00F73064"/>
    <w:pPr>
      <w:spacing w:after="0"/>
      <w:ind w:left="480" w:hanging="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73064"/>
    <w:pPr>
      <w:pBdr>
        <w:top w:val="single" w:sz="12" w:space="0" w:color="auto"/>
      </w:pBdr>
      <w:spacing w:before="360"/>
    </w:pPr>
    <w:rPr>
      <w:rFonts w:ascii="Times New Roman" w:hAnsi="Times New Roman"/>
      <w:b/>
      <w:i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4"/>
      </w:numPr>
    </w:pPr>
  </w:style>
  <w:style w:type="paragraph" w:customStyle="1" w:styleId="PictureCentred">
    <w:name w:val="Picture Centred"/>
    <w:basedOn w:val="Normal"/>
    <w:rsid w:val="00B55137"/>
    <w:pPr>
      <w:spacing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F73064"/>
    <w:pPr>
      <w:ind w:left="1040"/>
    </w:pPr>
  </w:style>
  <w:style w:type="paragraph" w:styleId="TOC6">
    <w:name w:val="toc 6"/>
    <w:basedOn w:val="Normal"/>
    <w:next w:val="Normal"/>
    <w:autoRedefine/>
    <w:semiHidden/>
    <w:rsid w:val="00F73064"/>
    <w:pPr>
      <w:ind w:left="1300"/>
    </w:pPr>
  </w:style>
  <w:style w:type="paragraph" w:styleId="TOC7">
    <w:name w:val="toc 7"/>
    <w:basedOn w:val="Normal"/>
    <w:next w:val="Normal"/>
    <w:autoRedefine/>
    <w:semiHidden/>
    <w:rsid w:val="00F73064"/>
    <w:pPr>
      <w:tabs>
        <w:tab w:val="right" w:leader="dot" w:pos="7711"/>
      </w:tabs>
      <w:spacing w:before="240" w:after="0"/>
    </w:pPr>
    <w:rPr>
      <w:rFonts w:ascii="Arial" w:hAnsi="Arial"/>
      <w:smallCaps/>
      <w:color w:val="808000"/>
      <w:sz w:val="24"/>
    </w:rPr>
  </w:style>
  <w:style w:type="paragraph" w:styleId="TOC8">
    <w:name w:val="toc 8"/>
    <w:basedOn w:val="Normal"/>
    <w:next w:val="Normal"/>
    <w:autoRedefine/>
    <w:semiHidden/>
    <w:rsid w:val="00F73064"/>
    <w:pPr>
      <w:tabs>
        <w:tab w:val="right" w:leader="dot" w:pos="7711"/>
      </w:tabs>
      <w:spacing w:after="0"/>
      <w:ind w:left="1134"/>
    </w:pPr>
    <w:rPr>
      <w:noProof/>
    </w:rPr>
  </w:style>
  <w:style w:type="paragraph" w:styleId="TOC9">
    <w:name w:val="toc 9"/>
    <w:basedOn w:val="Normal"/>
    <w:next w:val="Normal"/>
    <w:autoRedefine/>
    <w:semiHidden/>
    <w:rsid w:val="00F73064"/>
    <w:pPr>
      <w:ind w:left="208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1A18CF"/>
    <w:pPr>
      <w:numPr>
        <w:numId w:val="19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2"/>
      </w:numPr>
    </w:pPr>
  </w:style>
  <w:style w:type="numbering" w:customStyle="1" w:styleId="OneLevelList">
    <w:name w:val="OneLevelList"/>
    <w:uiPriority w:val="99"/>
    <w:rsid w:val="003E0E7B"/>
    <w:pPr>
      <w:numPr>
        <w:numId w:val="3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5"/>
      </w:numPr>
    </w:pPr>
  </w:style>
  <w:style w:type="numbering" w:customStyle="1" w:styleId="RomanNumeralList">
    <w:name w:val="RomanNumeralList"/>
    <w:uiPriority w:val="99"/>
    <w:rsid w:val="009C7E17"/>
    <w:pPr>
      <w:numPr>
        <w:numId w:val="6"/>
      </w:numPr>
    </w:pPr>
  </w:style>
  <w:style w:type="numbering" w:customStyle="1" w:styleId="ChartandTableFootnoteAlphaList">
    <w:name w:val="ChartandTableFootnoteAlphaList"/>
    <w:uiPriority w:val="99"/>
    <w:rsid w:val="001A18CF"/>
    <w:pPr>
      <w:numPr>
        <w:numId w:val="21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3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1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2"/>
      </w:numPr>
    </w:pPr>
  </w:style>
  <w:style w:type="paragraph" w:customStyle="1" w:styleId="SecurityClassificationHeader">
    <w:name w:val="Security Classification Header"/>
    <w:link w:val="SecurityClassificationHeaderChar"/>
    <w:rsid w:val="00A57848"/>
    <w:pPr>
      <w:spacing w:before="60" w:after="60" w:line="240" w:lineRule="auto"/>
      <w:jc w:val="center"/>
    </w:pPr>
    <w:rPr>
      <w:rFonts w:eastAsia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A57848"/>
    <w:rPr>
      <w:rFonts w:ascii="Arial" w:eastAsia="Times New Roman" w:hAnsi="Arial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A57848"/>
    <w:pPr>
      <w:spacing w:before="60" w:after="40" w:line="240" w:lineRule="auto"/>
      <w:jc w:val="center"/>
    </w:pPr>
    <w:rPr>
      <w:rFonts w:eastAsia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A57848"/>
    <w:rPr>
      <w:rFonts w:ascii="Arial" w:eastAsia="Times New Roman" w:hAnsi="Arial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012EA"/>
    <w:pPr>
      <w:spacing w:before="60" w:after="240"/>
      <w:jc w:val="center"/>
    </w:pPr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012EA"/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012EA"/>
    <w:pPr>
      <w:spacing w:before="240" w:after="60"/>
      <w:jc w:val="center"/>
    </w:pPr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012EA"/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AuthorName">
    <w:name w:val="Author Name"/>
    <w:basedOn w:val="Normal"/>
    <w:rsid w:val="00153F86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18C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18C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Subtitle">
    <w:name w:val="Subtitle"/>
    <w:basedOn w:val="HeadingBaseStyle"/>
    <w:link w:val="SubtitleChar"/>
    <w:qFormat/>
    <w:rsid w:val="00153F86"/>
    <w:pPr>
      <w:spacing w:before="360" w:after="360"/>
      <w:outlineLvl w:val="1"/>
    </w:pPr>
    <w:rPr>
      <w:rFonts w:asciiTheme="minorHAnsi" w:hAnsiTheme="minorHAnsi"/>
      <w:b/>
      <w:color w:val="auto"/>
      <w:sz w:val="40"/>
    </w:rPr>
  </w:style>
  <w:style w:type="character" w:customStyle="1" w:styleId="SubtitleChar">
    <w:name w:val="Subtitle Char"/>
    <w:basedOn w:val="DefaultParagraphFont"/>
    <w:link w:val="Subtitle"/>
    <w:rsid w:val="00153F86"/>
    <w:rPr>
      <w:rFonts w:eastAsia="Times New Roman" w:cs="Times New Roman"/>
      <w:b/>
      <w:sz w:val="40"/>
      <w:szCs w:val="20"/>
      <w:lang w:eastAsia="en-AU"/>
    </w:rPr>
  </w:style>
  <w:style w:type="paragraph" w:customStyle="1" w:styleId="SeriesNumber">
    <w:name w:val="Series Number"/>
    <w:basedOn w:val="HeadingBaseStyle"/>
    <w:rsid w:val="00153F86"/>
    <w:pPr>
      <w:spacing w:after="300"/>
    </w:pPr>
    <w:rPr>
      <w:rFonts w:asciiTheme="minorHAnsi" w:hAnsiTheme="minorHAnsi"/>
      <w:color w:val="auto"/>
      <w:sz w:val="32"/>
    </w:rPr>
  </w:style>
  <w:style w:type="character" w:customStyle="1" w:styleId="A5">
    <w:name w:val="A5"/>
    <w:uiPriority w:val="99"/>
    <w:rsid w:val="00F73064"/>
    <w:rPr>
      <w:rFonts w:cs="Swiss 721 BT"/>
      <w:color w:val="000000"/>
      <w:sz w:val="20"/>
      <w:szCs w:val="20"/>
    </w:rPr>
  </w:style>
  <w:style w:type="paragraph" w:customStyle="1" w:styleId="Abstract">
    <w:name w:val="Abstract"/>
    <w:basedOn w:val="Normal"/>
    <w:link w:val="AbstractChar"/>
    <w:qFormat/>
    <w:rsid w:val="00F73064"/>
  </w:style>
  <w:style w:type="character" w:customStyle="1" w:styleId="AbstractChar">
    <w:name w:val="Abstract Char"/>
    <w:basedOn w:val="DefaultParagraphFont"/>
    <w:link w:val="Abstract"/>
    <w:rsid w:val="00F73064"/>
  </w:style>
  <w:style w:type="paragraph" w:customStyle="1" w:styleId="AppendixHeadingLevel2NotNumbered">
    <w:name w:val="Appendix Heading Level 2 Not Numbered"/>
    <w:basedOn w:val="Heading2NotNumbered"/>
    <w:next w:val="Normal"/>
    <w:qFormat/>
    <w:rsid w:val="00225317"/>
    <w:rPr>
      <w:szCs w:val="32"/>
    </w:rPr>
  </w:style>
  <w:style w:type="paragraph" w:customStyle="1" w:styleId="Acknowledgement">
    <w:name w:val="Acknowledgement"/>
    <w:basedOn w:val="Normal"/>
    <w:rsid w:val="00F73064"/>
    <w:pPr>
      <w:spacing w:after="0"/>
    </w:pPr>
  </w:style>
  <w:style w:type="paragraph" w:customStyle="1" w:styleId="Alphanumbered">
    <w:name w:val="Alpha numbered"/>
    <w:basedOn w:val="Normal"/>
    <w:rsid w:val="00F73064"/>
    <w:pPr>
      <w:numPr>
        <w:numId w:val="14"/>
      </w:numPr>
    </w:pPr>
  </w:style>
  <w:style w:type="paragraph" w:customStyle="1" w:styleId="HeadingBaseStyle">
    <w:name w:val="HeadingBaseStyle"/>
    <w:basedOn w:val="Normal"/>
    <w:rsid w:val="003822EE"/>
    <w:pPr>
      <w:keepNext/>
      <w:spacing w:after="0"/>
    </w:pPr>
    <w:rPr>
      <w:rFonts w:ascii="Arial" w:hAnsi="Arial"/>
      <w:color w:val="2C384A" w:themeColor="accent1"/>
    </w:rPr>
  </w:style>
  <w:style w:type="paragraph" w:customStyle="1" w:styleId="AppendixHeadingNotNumbered">
    <w:name w:val="Appendix Heading Not Numbered"/>
    <w:basedOn w:val="HeadingBaseStyle"/>
    <w:rsid w:val="00F73064"/>
    <w:pPr>
      <w:numPr>
        <w:numId w:val="15"/>
      </w:numPr>
      <w:spacing w:before="480" w:after="320"/>
    </w:pPr>
    <w:rPr>
      <w:b/>
      <w:smallCaps/>
      <w:sz w:val="32"/>
      <w:szCs w:val="28"/>
    </w:rPr>
  </w:style>
  <w:style w:type="paragraph" w:customStyle="1" w:styleId="AppendixHeadingLevel2">
    <w:name w:val="Appendix Heading Level 2"/>
    <w:basedOn w:val="AppendixHeadingNotNumbered"/>
    <w:next w:val="Normal"/>
    <w:rsid w:val="00225317"/>
    <w:pPr>
      <w:numPr>
        <w:ilvl w:val="1"/>
      </w:numPr>
      <w:tabs>
        <w:tab w:val="clear" w:pos="1134"/>
      </w:tabs>
      <w:spacing w:before="360" w:after="120"/>
      <w:ind w:left="851" w:hanging="851"/>
    </w:pPr>
    <w:rPr>
      <w:rFonts w:asciiTheme="minorHAnsi" w:hAnsiTheme="minorHAnsi"/>
      <w:b w:val="0"/>
      <w:smallCaps w:val="0"/>
      <w:sz w:val="36"/>
    </w:rPr>
  </w:style>
  <w:style w:type="paragraph" w:customStyle="1" w:styleId="AppendixHeadingLevel3">
    <w:name w:val="Appendix Heading Level 3"/>
    <w:basedOn w:val="Heading3"/>
    <w:next w:val="Normal"/>
    <w:rsid w:val="006C2690"/>
    <w:pPr>
      <w:numPr>
        <w:ilvl w:val="2"/>
        <w:numId w:val="15"/>
      </w:numPr>
    </w:pPr>
  </w:style>
  <w:style w:type="paragraph" w:customStyle="1" w:styleId="AppendixHeadingLevel4">
    <w:name w:val="Appendix Heading Level 4"/>
    <w:basedOn w:val="Heading4"/>
    <w:next w:val="Normal"/>
    <w:rsid w:val="006C2690"/>
    <w:pPr>
      <w:numPr>
        <w:ilvl w:val="3"/>
        <w:numId w:val="15"/>
      </w:numPr>
    </w:pPr>
  </w:style>
  <w:style w:type="paragraph" w:customStyle="1" w:styleId="Attachment">
    <w:name w:val="Attachment"/>
    <w:basedOn w:val="HeadingBaseStyle"/>
    <w:next w:val="Normal"/>
    <w:rsid w:val="00F73064"/>
    <w:pPr>
      <w:spacing w:before="480" w:after="360"/>
    </w:pPr>
    <w:rPr>
      <w:rFonts w:ascii="Arial Bold" w:hAnsi="Arial Bold"/>
      <w:b/>
      <w:smallCaps/>
      <w:sz w:val="32"/>
    </w:rPr>
  </w:style>
  <w:style w:type="character" w:styleId="Emphasis">
    <w:name w:val="Emphasis"/>
    <w:basedOn w:val="DefaultParagraphFont"/>
    <w:uiPriority w:val="20"/>
    <w:qFormat/>
    <w:rsid w:val="00F73064"/>
    <w:rPr>
      <w:i/>
      <w:iCs/>
    </w:rPr>
  </w:style>
  <w:style w:type="paragraph" w:customStyle="1" w:styleId="Equation">
    <w:name w:val="Equation"/>
    <w:basedOn w:val="Normal"/>
    <w:next w:val="Normal"/>
    <w:rsid w:val="00F73064"/>
    <w:pPr>
      <w:ind w:left="357"/>
    </w:pPr>
    <w:rPr>
      <w:rFonts w:ascii="Times New Roman" w:hAnsi="Times New Roman"/>
    </w:rPr>
  </w:style>
  <w:style w:type="paragraph" w:customStyle="1" w:styleId="ExampleBullet">
    <w:name w:val="Example Bullet"/>
    <w:basedOn w:val="Normal"/>
    <w:rsid w:val="00F73064"/>
    <w:pPr>
      <w:numPr>
        <w:numId w:val="17"/>
      </w:numPr>
      <w:spacing w:before="40" w:after="40"/>
    </w:pPr>
    <w:rPr>
      <w:rFonts w:ascii="Arial" w:hAnsi="Arial"/>
      <w:sz w:val="18"/>
    </w:rPr>
  </w:style>
  <w:style w:type="paragraph" w:customStyle="1" w:styleId="Heading2NotNumbered">
    <w:name w:val="Heading 2 Not Numbered"/>
    <w:basedOn w:val="HeadingBase"/>
    <w:next w:val="Normal"/>
    <w:rsid w:val="00225317"/>
    <w:pPr>
      <w:spacing w:before="360"/>
    </w:pPr>
    <w:rPr>
      <w:rFonts w:asciiTheme="minorHAnsi" w:hAnsiTheme="minorHAnsi"/>
      <w:color w:val="2C384A" w:themeColor="accent1"/>
      <w:sz w:val="36"/>
    </w:rPr>
  </w:style>
  <w:style w:type="paragraph" w:customStyle="1" w:styleId="Indented">
    <w:name w:val="Indented"/>
    <w:basedOn w:val="Normal"/>
    <w:rsid w:val="00F73064"/>
    <w:pPr>
      <w:ind w:left="851"/>
    </w:pPr>
  </w:style>
  <w:style w:type="paragraph" w:styleId="IntenseQuote">
    <w:name w:val="Intense Quote"/>
    <w:basedOn w:val="Normal"/>
    <w:next w:val="Normal"/>
    <w:link w:val="IntenseQuoteChar"/>
    <w:uiPriority w:val="30"/>
    <w:rsid w:val="00F73064"/>
    <w:pPr>
      <w:pBdr>
        <w:bottom w:val="single" w:sz="4" w:space="4" w:color="2C384A" w:themeColor="accent1"/>
      </w:pBdr>
      <w:spacing w:before="200" w:after="280"/>
      <w:ind w:left="936" w:right="936"/>
    </w:pPr>
    <w:rPr>
      <w:b/>
      <w:bCs/>
      <w:i/>
      <w:iCs/>
      <w:color w:val="2C384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64"/>
    <w:rPr>
      <w:b/>
      <w:bCs/>
      <w:i/>
      <w:iCs/>
      <w:color w:val="2C384A" w:themeColor="accent1"/>
    </w:rPr>
  </w:style>
  <w:style w:type="paragraph" w:customStyle="1" w:styleId="MTDisplayEquation">
    <w:name w:val="MTDisplayEquation"/>
    <w:basedOn w:val="Normal"/>
    <w:next w:val="Normal"/>
    <w:link w:val="MTDisplayEquationChar"/>
    <w:rsid w:val="00F73064"/>
    <w:pPr>
      <w:tabs>
        <w:tab w:val="center" w:pos="4640"/>
        <w:tab w:val="right" w:pos="930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F73064"/>
  </w:style>
  <w:style w:type="character" w:customStyle="1" w:styleId="MTEquationSection">
    <w:name w:val="MTEquationSection"/>
    <w:basedOn w:val="DefaultParagraphFont"/>
    <w:rsid w:val="00F73064"/>
    <w:rPr>
      <w:vanish w:val="0"/>
      <w:color w:val="FF0000"/>
    </w:rPr>
  </w:style>
  <w:style w:type="paragraph" w:customStyle="1" w:styleId="Note">
    <w:name w:val="Note"/>
    <w:basedOn w:val="HeadingBaseStyle"/>
    <w:next w:val="Normal"/>
    <w:rsid w:val="00F73064"/>
    <w:pPr>
      <w:tabs>
        <w:tab w:val="left" w:pos="284"/>
      </w:tabs>
      <w:spacing w:line="260" w:lineRule="exact"/>
    </w:pPr>
    <w:rPr>
      <w:rFonts w:asciiTheme="minorHAnsi" w:hAnsiTheme="minorHAnsi"/>
      <w:color w:val="000000"/>
      <w:sz w:val="20"/>
    </w:rPr>
  </w:style>
  <w:style w:type="paragraph" w:customStyle="1" w:styleId="Noteitalics">
    <w:name w:val="Note italics"/>
    <w:basedOn w:val="Note"/>
    <w:rsid w:val="00F73064"/>
    <w:rPr>
      <w:i/>
    </w:rPr>
  </w:style>
  <w:style w:type="paragraph" w:customStyle="1" w:styleId="NumberedParagraph">
    <w:name w:val="Numbered Paragraph"/>
    <w:basedOn w:val="Normal"/>
    <w:autoRedefine/>
    <w:rsid w:val="00F7306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73064"/>
    <w:rPr>
      <w:color w:val="808080"/>
    </w:rPr>
  </w:style>
  <w:style w:type="paragraph" w:customStyle="1" w:styleId="References">
    <w:name w:val="References"/>
    <w:basedOn w:val="Normal"/>
    <w:rsid w:val="00F73064"/>
    <w:pPr>
      <w:widowControl w:val="0"/>
      <w:adjustRightInd w:val="0"/>
      <w:textAlignment w:val="baseline"/>
    </w:pPr>
  </w:style>
  <w:style w:type="paragraph" w:customStyle="1" w:styleId="SeriesMonth">
    <w:name w:val="Series Month"/>
    <w:basedOn w:val="HeadingBaseStyle"/>
    <w:rsid w:val="00F73064"/>
    <w:pPr>
      <w:spacing w:after="240"/>
      <w:jc w:val="center"/>
    </w:pPr>
    <w:rPr>
      <w:rFonts w:ascii="Arial Bold" w:hAnsi="Arial Bold"/>
      <w:b/>
      <w:color w:val="auto"/>
      <w:sz w:val="32"/>
    </w:rPr>
  </w:style>
  <w:style w:type="paragraph" w:customStyle="1" w:styleId="Boxbullet">
    <w:name w:val="Box bullet"/>
    <w:basedOn w:val="Bullet"/>
    <w:qFormat/>
    <w:rsid w:val="001A18CF"/>
    <w:pPr>
      <w:tabs>
        <w:tab w:val="num" w:pos="284"/>
      </w:tabs>
      <w:spacing w:before="60"/>
      <w:ind w:left="170" w:hanging="170"/>
    </w:pPr>
    <w:rPr>
      <w:color w:val="0D0D0D" w:themeColor="text1" w:themeTint="F2"/>
    </w:rPr>
  </w:style>
  <w:style w:type="paragraph" w:customStyle="1" w:styleId="Boxdash">
    <w:name w:val="Box dash"/>
    <w:basedOn w:val="Dash"/>
    <w:qFormat/>
    <w:rsid w:val="001A18C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qFormat/>
    <w:rsid w:val="001A18C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locked/>
    <w:rsid w:val="001A18C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Footnoteseperator">
    <w:name w:val="Footnote seperator"/>
    <w:basedOn w:val="Normal"/>
    <w:link w:val="FootnoteseperatorChar"/>
    <w:qFormat/>
    <w:rsid w:val="001A18CF"/>
    <w:pPr>
      <w:spacing w:before="0" w:after="0"/>
    </w:pPr>
  </w:style>
  <w:style w:type="character" w:customStyle="1" w:styleId="FootnoteseperatorChar">
    <w:name w:val="Footnote seperator Char"/>
    <w:basedOn w:val="DefaultParagraphFont"/>
    <w:link w:val="Footnoteseperator"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styleId="Strong">
    <w:name w:val="Strong"/>
    <w:basedOn w:val="DefaultParagraphFont"/>
    <w:qFormat/>
    <w:rsid w:val="00272951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E1D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1D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1D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1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1DEF"/>
    <w:rPr>
      <w:rFonts w:ascii="Calibri Light" w:eastAsia="Times New Roman" w:hAnsi="Calibri Light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45662A"/>
    <w:pPr>
      <w:ind w:left="720"/>
      <w:contextualSpacing/>
    </w:pPr>
  </w:style>
  <w:style w:type="paragraph" w:styleId="Revision">
    <w:name w:val="Revision"/>
    <w:hidden/>
    <w:uiPriority w:val="99"/>
    <w:semiHidden/>
    <w:rsid w:val="000A1AA7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table" w:styleId="TableGridLight">
    <w:name w:val="Grid Table Light"/>
    <w:basedOn w:val="TableNormal"/>
    <w:uiPriority w:val="40"/>
    <w:rsid w:val="009A1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A13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andskills.gov.au/data/skills-shortages-analysis/skills-priority-list?code=23261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SY Corporat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CFF0-3E7F-46E1-A5BF-D5E9460C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Planning Reform Blueprint Metrics implementation plan</vt:lpstr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Planning Reform Blueprint Metrics implementation plan</dc:title>
  <dc:subject/>
  <dc:creator>Treasury</dc:creator>
  <cp:keywords/>
  <cp:lastModifiedBy/>
  <cp:revision>1</cp:revision>
  <dcterms:created xsi:type="dcterms:W3CDTF">2025-10-08T02:58:00Z</dcterms:created>
  <dcterms:modified xsi:type="dcterms:W3CDTF">2025-10-08T02:59:00Z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2025-10-08T02:58:48Z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9b7d491f-20e1-4f3c-882f-e92c2af49ad1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