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EDA178" w14:textId="77777777" w:rsidR="00AC4838" w:rsidRPr="00550807" w:rsidRDefault="00AC4838" w:rsidP="0036112F">
      <w:pPr>
        <w:pStyle w:val="Title"/>
      </w:pPr>
      <w:r w:rsidRPr="00550807">
        <w:t xml:space="preserve">National Planning Reform Blueprint </w:t>
      </w:r>
    </w:p>
    <w:p w14:paraId="77585C9F" w14:textId="4B615974" w:rsidR="00AC4838" w:rsidRPr="002919FC" w:rsidRDefault="00AC4838" w:rsidP="00AC4838">
      <w:pPr>
        <w:rPr>
          <w:b/>
          <w:bCs/>
          <w:sz w:val="28"/>
          <w:szCs w:val="28"/>
        </w:rPr>
      </w:pPr>
      <w:r w:rsidRPr="002919FC">
        <w:rPr>
          <w:b/>
          <w:bCs/>
          <w:sz w:val="28"/>
          <w:szCs w:val="28"/>
        </w:rPr>
        <w:t xml:space="preserve">Summary of progress </w:t>
      </w:r>
      <w:r w:rsidR="00D471F5" w:rsidRPr="002919FC">
        <w:rPr>
          <w:b/>
          <w:bCs/>
          <w:sz w:val="28"/>
          <w:szCs w:val="28"/>
        </w:rPr>
        <w:t xml:space="preserve">as </w:t>
      </w:r>
      <w:proofErr w:type="gramStart"/>
      <w:r w:rsidR="00D471F5" w:rsidRPr="002919FC">
        <w:rPr>
          <w:b/>
          <w:bCs/>
          <w:sz w:val="28"/>
          <w:szCs w:val="28"/>
        </w:rPr>
        <w:t>at</w:t>
      </w:r>
      <w:proofErr w:type="gramEnd"/>
      <w:r w:rsidR="00D471F5" w:rsidRPr="002919FC">
        <w:rPr>
          <w:b/>
          <w:bCs/>
          <w:sz w:val="28"/>
          <w:szCs w:val="28"/>
        </w:rPr>
        <w:t xml:space="preserve"> </w:t>
      </w:r>
      <w:r w:rsidR="00D579B6">
        <w:rPr>
          <w:b/>
          <w:bCs/>
          <w:sz w:val="28"/>
          <w:szCs w:val="28"/>
        </w:rPr>
        <w:t>March</w:t>
      </w:r>
      <w:r w:rsidRPr="002919FC">
        <w:rPr>
          <w:b/>
          <w:bCs/>
          <w:sz w:val="28"/>
          <w:szCs w:val="28"/>
        </w:rPr>
        <w:t xml:space="preserve"> 202</w:t>
      </w:r>
      <w:r w:rsidR="00D579B6">
        <w:rPr>
          <w:b/>
          <w:bCs/>
          <w:sz w:val="28"/>
          <w:szCs w:val="28"/>
        </w:rPr>
        <w:t>5</w:t>
      </w:r>
    </w:p>
    <w:p w14:paraId="13E62C69" w14:textId="26AFA3D8" w:rsidR="00AC4838" w:rsidRDefault="00AC4838" w:rsidP="00AC4838">
      <w:r>
        <w:t xml:space="preserve">In August 2023, all States, Territories and the Commonwealth, as part of National Cabinet, agreed to </w:t>
      </w:r>
      <w:r w:rsidR="30C38624">
        <w:t>1</w:t>
      </w:r>
      <w:r w:rsidR="00E26219">
        <w:t xml:space="preserve">0 measures and 17 associated </w:t>
      </w:r>
      <w:r w:rsidR="54F8BA92">
        <w:t>actions</w:t>
      </w:r>
      <w:r>
        <w:t xml:space="preserve"> </w:t>
      </w:r>
      <w:r w:rsidR="00BB002F">
        <w:t xml:space="preserve">that </w:t>
      </w:r>
      <w:r>
        <w:t>form the National Planning Reform Blueprint</w:t>
      </w:r>
      <w:r w:rsidR="00BB002F">
        <w:t xml:space="preserve"> (Blueprint)</w:t>
      </w:r>
      <w:r>
        <w:t xml:space="preserve">. These measures were intended to drive improvements to planning, zoning and land release systems, to support accelerated delivery of new housing supply and increase affordability. </w:t>
      </w:r>
    </w:p>
    <w:p w14:paraId="00427A4F" w14:textId="1B9498D3" w:rsidR="00AC4838" w:rsidRDefault="00AC4838" w:rsidP="00AC4838">
      <w:r>
        <w:t xml:space="preserve">Below is a summary of progress as </w:t>
      </w:r>
      <w:proofErr w:type="gramStart"/>
      <w:r>
        <w:t>at</w:t>
      </w:r>
      <w:proofErr w:type="gramEnd"/>
      <w:r>
        <w:t xml:space="preserve"> </w:t>
      </w:r>
      <w:r w:rsidR="00D579B6">
        <w:t>March</w:t>
      </w:r>
      <w:r w:rsidR="000949CE">
        <w:t xml:space="preserve"> </w:t>
      </w:r>
      <w:r>
        <w:t>202</w:t>
      </w:r>
      <w:r w:rsidR="00D579B6">
        <w:t>5</w:t>
      </w:r>
      <w:r>
        <w:t xml:space="preserve">. </w:t>
      </w:r>
      <w:r w:rsidR="009C689C">
        <w:t xml:space="preserve">More Information </w:t>
      </w:r>
      <w:proofErr w:type="gramStart"/>
      <w:r w:rsidR="009C689C">
        <w:t xml:space="preserve">and </w:t>
      </w:r>
      <w:r>
        <w:t xml:space="preserve"> jurisdiction</w:t>
      </w:r>
      <w:r w:rsidR="00D579B6">
        <w:t>’</w:t>
      </w:r>
      <w:r>
        <w:t>s</w:t>
      </w:r>
      <w:proofErr w:type="gramEnd"/>
      <w:r>
        <w:t xml:space="preserve"> full </w:t>
      </w:r>
      <w:r w:rsidR="00D579B6">
        <w:t>March</w:t>
      </w:r>
      <w:r>
        <w:t xml:space="preserve"> 202</w:t>
      </w:r>
      <w:r w:rsidR="00D579B6">
        <w:t>5</w:t>
      </w:r>
      <w:r>
        <w:t xml:space="preserve"> reports can be found at </w:t>
      </w:r>
      <w:r w:rsidR="0032095B">
        <w:br/>
      </w:r>
      <w:r w:rsidR="0032095B" w:rsidRPr="0032095B">
        <w:rPr>
          <w:u w:val="single"/>
        </w:rPr>
        <w:t>https://treasury.gov.au/policy-topics/housing/increasing-housing-supply</w:t>
      </w:r>
      <w:r w:rsidR="0032095B" w:rsidRPr="0032095B">
        <w:t>.</w:t>
      </w:r>
    </w:p>
    <w:p w14:paraId="115AEB17" w14:textId="3702DE09" w:rsidR="00AC4838" w:rsidRDefault="00AC4838" w:rsidP="00AC4838">
      <w:r>
        <w:t xml:space="preserve">The </w:t>
      </w:r>
      <w:r w:rsidR="00D579B6">
        <w:t>March</w:t>
      </w:r>
      <w:r w:rsidR="009C689C">
        <w:t xml:space="preserve"> </w:t>
      </w:r>
      <w:r>
        <w:t>202</w:t>
      </w:r>
      <w:r w:rsidR="00D579B6">
        <w:t>5</w:t>
      </w:r>
      <w:r>
        <w:t xml:space="preserve"> reports show </w:t>
      </w:r>
      <w:r w:rsidR="007F273D">
        <w:t>that s</w:t>
      </w:r>
      <w:r w:rsidR="007F273D" w:rsidRPr="007F273D">
        <w:t xml:space="preserve">ignificant </w:t>
      </w:r>
      <w:r w:rsidR="004F0367">
        <w:t>progress</w:t>
      </w:r>
      <w:r w:rsidR="007F273D" w:rsidRPr="007F273D">
        <w:t xml:space="preserve"> has been </w:t>
      </w:r>
      <w:r w:rsidR="004F0367">
        <w:t>made</w:t>
      </w:r>
      <w:r w:rsidR="007F273D" w:rsidRPr="007F273D">
        <w:t xml:space="preserve"> by </w:t>
      </w:r>
      <w:r w:rsidR="0070677C">
        <w:t xml:space="preserve">all jurisdictions </w:t>
      </w:r>
      <w:r w:rsidR="007F273D" w:rsidRPr="007F273D">
        <w:t xml:space="preserve">in delivering on </w:t>
      </w:r>
      <w:r w:rsidR="0070677C">
        <w:t xml:space="preserve">the </w:t>
      </w:r>
      <w:r w:rsidR="007F273D" w:rsidRPr="007F273D">
        <w:t>Blueprint but given the ambition of</w:t>
      </w:r>
      <w:r w:rsidR="00EC66E5">
        <w:t xml:space="preserve"> national </w:t>
      </w:r>
      <w:r w:rsidR="007F273D" w:rsidRPr="007F273D">
        <w:t>housing supply target</w:t>
      </w:r>
      <w:r w:rsidR="000B5D28">
        <w:t>s</w:t>
      </w:r>
      <w:r w:rsidR="007F273D" w:rsidRPr="007F273D">
        <w:t xml:space="preserve">, on-going work is needed. </w:t>
      </w:r>
      <w:r w:rsidR="00A9022C" w:rsidRPr="00A9022C">
        <w:t xml:space="preserve">Further reforms to address </w:t>
      </w:r>
      <w:r w:rsidR="00C96767">
        <w:t xml:space="preserve">non-planning constraints </w:t>
      </w:r>
      <w:r w:rsidR="00A9022C" w:rsidRPr="00A9022C">
        <w:t xml:space="preserve">such as labour and material shortages and access to finance are </w:t>
      </w:r>
      <w:r w:rsidR="00C96767">
        <w:t>likely n</w:t>
      </w:r>
      <w:r w:rsidR="00A9022C" w:rsidRPr="00A9022C">
        <w:t xml:space="preserve">eeded if governments are to meet </w:t>
      </w:r>
      <w:r w:rsidR="00EC66E5">
        <w:t xml:space="preserve">their </w:t>
      </w:r>
      <w:r w:rsidR="00A9022C" w:rsidRPr="00A9022C">
        <w:t>ambitious national housing targets.</w:t>
      </w:r>
    </w:p>
    <w:tbl>
      <w:tblPr>
        <w:tblStyle w:val="TableGrid"/>
        <w:tblW w:w="5000" w:type="pct"/>
        <w:tblLook w:val="04A0" w:firstRow="1" w:lastRow="0" w:firstColumn="1" w:lastColumn="0" w:noHBand="0" w:noVBand="1"/>
      </w:tblPr>
      <w:tblGrid>
        <w:gridCol w:w="2585"/>
        <w:gridCol w:w="5290"/>
        <w:gridCol w:w="5830"/>
        <w:gridCol w:w="995"/>
      </w:tblGrid>
      <w:tr w:rsidR="000654B5" w14:paraId="6E7E1D5E" w14:textId="45655EDB" w:rsidTr="000A6A66">
        <w:trPr>
          <w:tblHeader/>
        </w:trPr>
        <w:tc>
          <w:tcPr>
            <w:tcW w:w="879" w:type="pct"/>
            <w:tcBorders>
              <w:bottom w:val="single" w:sz="4" w:space="0" w:color="auto"/>
              <w:right w:val="single" w:sz="4" w:space="0" w:color="auto"/>
            </w:tcBorders>
            <w:shd w:val="clear" w:color="auto" w:fill="D1E0EF" w:themeFill="text2" w:themeFillTint="33"/>
          </w:tcPr>
          <w:p w14:paraId="67F98248" w14:textId="77777777" w:rsidR="000654B5" w:rsidRPr="00286DA3" w:rsidRDefault="000654B5" w:rsidP="00365B36">
            <w:pPr>
              <w:rPr>
                <w:b/>
                <w:bCs/>
                <w:sz w:val="26"/>
                <w:szCs w:val="26"/>
              </w:rPr>
            </w:pPr>
            <w:r w:rsidRPr="00286DA3">
              <w:rPr>
                <w:b/>
                <w:bCs/>
                <w:sz w:val="26"/>
                <w:szCs w:val="26"/>
              </w:rPr>
              <w:t>Measures</w:t>
            </w:r>
          </w:p>
        </w:tc>
        <w:tc>
          <w:tcPr>
            <w:tcW w:w="1799" w:type="pct"/>
            <w:tcBorders>
              <w:left w:val="single" w:sz="4" w:space="0" w:color="auto"/>
              <w:bottom w:val="single" w:sz="4" w:space="0" w:color="auto"/>
            </w:tcBorders>
            <w:shd w:val="clear" w:color="auto" w:fill="D1E0EF" w:themeFill="text2" w:themeFillTint="33"/>
          </w:tcPr>
          <w:p w14:paraId="6A0803D0" w14:textId="49DCA6A8" w:rsidR="000654B5" w:rsidRPr="00286DA3" w:rsidRDefault="000654B5" w:rsidP="00365B36">
            <w:pPr>
              <w:spacing w:after="120"/>
              <w:rPr>
                <w:i/>
                <w:iCs/>
                <w:sz w:val="26"/>
                <w:szCs w:val="26"/>
              </w:rPr>
            </w:pPr>
            <w:r w:rsidRPr="00456FEA">
              <w:rPr>
                <w:b/>
                <w:bCs/>
                <w:sz w:val="26"/>
                <w:szCs w:val="26"/>
              </w:rPr>
              <w:t>Actions</w:t>
            </w:r>
            <w:r>
              <w:rPr>
                <w:i/>
                <w:iCs/>
                <w:sz w:val="20"/>
                <w:szCs w:val="20"/>
              </w:rPr>
              <w:t xml:space="preserve"> </w:t>
            </w:r>
            <w:r>
              <w:rPr>
                <w:i/>
                <w:iCs/>
                <w:sz w:val="20"/>
                <w:szCs w:val="20"/>
              </w:rPr>
              <w:br/>
            </w:r>
            <w:r w:rsidRPr="00286DA3">
              <w:rPr>
                <w:i/>
                <w:iCs/>
                <w:sz w:val="20"/>
                <w:szCs w:val="20"/>
              </w:rPr>
              <w:t>Planning Ministers will:</w:t>
            </w:r>
          </w:p>
        </w:tc>
        <w:tc>
          <w:tcPr>
            <w:tcW w:w="2321" w:type="pct"/>
            <w:gridSpan w:val="2"/>
            <w:tcBorders>
              <w:left w:val="nil"/>
              <w:bottom w:val="single" w:sz="4" w:space="0" w:color="auto"/>
            </w:tcBorders>
            <w:shd w:val="clear" w:color="auto" w:fill="D1E0EF" w:themeFill="text2" w:themeFillTint="33"/>
          </w:tcPr>
          <w:p w14:paraId="5CF4E241" w14:textId="79AB868B" w:rsidR="000654B5" w:rsidRPr="00456FEA" w:rsidRDefault="000654B5" w:rsidP="00365B36">
            <w:pPr>
              <w:spacing w:after="120"/>
              <w:rPr>
                <w:b/>
                <w:bCs/>
                <w:sz w:val="26"/>
                <w:szCs w:val="26"/>
              </w:rPr>
            </w:pPr>
            <w:r>
              <w:rPr>
                <w:b/>
                <w:bCs/>
                <w:sz w:val="26"/>
                <w:szCs w:val="26"/>
              </w:rPr>
              <w:t>Status</w:t>
            </w:r>
          </w:p>
        </w:tc>
      </w:tr>
      <w:tr w:rsidR="00E35DED" w14:paraId="09B5F451" w14:textId="1B1E7D49" w:rsidTr="000A6A66">
        <w:tc>
          <w:tcPr>
            <w:tcW w:w="879" w:type="pct"/>
            <w:vMerge w:val="restart"/>
            <w:tcBorders>
              <w:right w:val="single" w:sz="4" w:space="0" w:color="auto"/>
            </w:tcBorders>
          </w:tcPr>
          <w:p w14:paraId="2C17521A" w14:textId="77777777" w:rsidR="00E35DED" w:rsidRPr="009A178D" w:rsidRDefault="00E35DED" w:rsidP="008E5DC4">
            <w:pPr>
              <w:pStyle w:val="OutlineNumbered1"/>
              <w:numPr>
                <w:ilvl w:val="0"/>
                <w:numId w:val="0"/>
              </w:numPr>
              <w:spacing w:after="120"/>
              <w:rPr>
                <w:b/>
                <w:bCs/>
                <w:sz w:val="20"/>
                <w:szCs w:val="20"/>
              </w:rPr>
            </w:pPr>
            <w:r w:rsidRPr="009A178D">
              <w:rPr>
                <w:b/>
                <w:bCs/>
                <w:sz w:val="20"/>
                <w:szCs w:val="20"/>
              </w:rPr>
              <w:t>Measure 1</w:t>
            </w:r>
          </w:p>
          <w:p w14:paraId="77398666" w14:textId="15B57236" w:rsidR="00E35DED" w:rsidRPr="004A3B01" w:rsidRDefault="00E35DED" w:rsidP="008E5DC4">
            <w:pPr>
              <w:pStyle w:val="OutlineNumbered1"/>
              <w:numPr>
                <w:ilvl w:val="0"/>
                <w:numId w:val="0"/>
              </w:numPr>
              <w:spacing w:after="120"/>
              <w:rPr>
                <w:sz w:val="20"/>
                <w:szCs w:val="20"/>
              </w:rPr>
            </w:pPr>
            <w:r w:rsidRPr="00447365">
              <w:rPr>
                <w:sz w:val="20"/>
                <w:szCs w:val="20"/>
                <w:lang w:val="en-AU" w:eastAsia="en-AU"/>
              </w:rPr>
              <w:t>Collaborate on a national vision for urban and regional planning policy, including identifying common policy approaches, definitions and data sources.</w:t>
            </w:r>
          </w:p>
        </w:tc>
        <w:tc>
          <w:tcPr>
            <w:tcW w:w="1799" w:type="pct"/>
            <w:tcBorders>
              <w:left w:val="single" w:sz="4" w:space="0" w:color="auto"/>
              <w:bottom w:val="single" w:sz="4" w:space="0" w:color="D9D9D9" w:themeColor="background1" w:themeShade="D9"/>
            </w:tcBorders>
          </w:tcPr>
          <w:p w14:paraId="09FAFA10" w14:textId="77777777" w:rsidR="00E35DED" w:rsidRDefault="00E35DED" w:rsidP="008E5DC4">
            <w:pPr>
              <w:pStyle w:val="OutlineNumbered1"/>
              <w:numPr>
                <w:ilvl w:val="0"/>
                <w:numId w:val="0"/>
              </w:numPr>
              <w:spacing w:after="120"/>
              <w:rPr>
                <w:sz w:val="20"/>
                <w:szCs w:val="20"/>
              </w:rPr>
            </w:pPr>
            <w:r>
              <w:rPr>
                <w:sz w:val="20"/>
                <w:szCs w:val="20"/>
              </w:rPr>
              <w:t>Action 1.1</w:t>
            </w:r>
          </w:p>
          <w:p w14:paraId="74E5DC94" w14:textId="18A195C2" w:rsidR="00E35DED" w:rsidRPr="00447365" w:rsidRDefault="00E35DED" w:rsidP="008E5DC4">
            <w:pPr>
              <w:pStyle w:val="OutlineNumbered1"/>
              <w:numPr>
                <w:ilvl w:val="0"/>
                <w:numId w:val="0"/>
              </w:numPr>
              <w:spacing w:after="120"/>
              <w:rPr>
                <w:sz w:val="20"/>
                <w:szCs w:val="20"/>
              </w:rPr>
            </w:pPr>
            <w:r w:rsidRPr="00E724F9">
              <w:rPr>
                <w:sz w:val="20"/>
                <w:szCs w:val="20"/>
                <w:lang w:val="en-AU" w:eastAsia="en-AU"/>
              </w:rPr>
              <w:t xml:space="preserve">Work with </w:t>
            </w:r>
            <w:r>
              <w:rPr>
                <w:sz w:val="20"/>
                <w:szCs w:val="20"/>
                <w:lang w:val="en-AU" w:eastAsia="en-AU"/>
              </w:rPr>
              <w:t>the Housing and Homelessness Ministerial Council</w:t>
            </w:r>
            <w:r w:rsidRPr="00E724F9">
              <w:rPr>
                <w:sz w:val="20"/>
                <w:szCs w:val="20"/>
                <w:lang w:val="en-AU" w:eastAsia="en-AU"/>
              </w:rPr>
              <w:t xml:space="preserve"> </w:t>
            </w:r>
            <w:r>
              <w:rPr>
                <w:sz w:val="20"/>
                <w:szCs w:val="20"/>
                <w:lang w:val="en-AU" w:eastAsia="en-AU"/>
              </w:rPr>
              <w:t xml:space="preserve">(HHMC) </w:t>
            </w:r>
            <w:r w:rsidRPr="00E724F9">
              <w:rPr>
                <w:sz w:val="20"/>
                <w:szCs w:val="20"/>
                <w:lang w:val="en-AU" w:eastAsia="en-AU"/>
              </w:rPr>
              <w:t>toward an agreed set of national definitions for key housing terms which can be incorporated into relevant legislation and instruments</w:t>
            </w:r>
            <w:r>
              <w:rPr>
                <w:sz w:val="20"/>
                <w:szCs w:val="20"/>
                <w:lang w:val="en-AU" w:eastAsia="en-AU"/>
              </w:rPr>
              <w:t>.</w:t>
            </w:r>
          </w:p>
        </w:tc>
        <w:tc>
          <w:tcPr>
            <w:tcW w:w="1983" w:type="pct"/>
            <w:tcBorders>
              <w:bottom w:val="single" w:sz="4" w:space="0" w:color="D9D9D9" w:themeColor="background1" w:themeShade="D9"/>
              <w:right w:val="single" w:sz="4" w:space="0" w:color="auto"/>
            </w:tcBorders>
          </w:tcPr>
          <w:p w14:paraId="314C1EC4" w14:textId="2757F418" w:rsidR="00E35DED" w:rsidRPr="00447365" w:rsidRDefault="00060F4A" w:rsidP="008E5DC4">
            <w:pPr>
              <w:pStyle w:val="OutlineNumbered1"/>
              <w:numPr>
                <w:ilvl w:val="0"/>
                <w:numId w:val="0"/>
              </w:numPr>
              <w:spacing w:after="120"/>
              <w:rPr>
                <w:sz w:val="20"/>
                <w:szCs w:val="20"/>
              </w:rPr>
            </w:pPr>
            <w:r w:rsidRPr="00060F4A">
              <w:rPr>
                <w:rFonts w:ascii="Calibri" w:eastAsia="Times New Roman" w:hAnsi="Calibri" w:cs="Calibri"/>
                <w:sz w:val="20"/>
                <w:szCs w:val="20"/>
                <w:lang w:val="en-AU" w:eastAsia="en-AU"/>
              </w:rPr>
              <w:t>Given the variation across jurisdiction, work is no longer underway through the Housing and Homelessness Ministerial Council (HHMC) to develop nationally consistent definitions. However, work will continue to develop best practice approaches. Planning Ministers will collaborate on improved planning performance metrics.</w:t>
            </w:r>
          </w:p>
        </w:tc>
        <w:tc>
          <w:tcPr>
            <w:tcW w:w="338" w:type="pct"/>
            <w:tcBorders>
              <w:top w:val="single" w:sz="4" w:space="0" w:color="auto"/>
              <w:left w:val="single" w:sz="4" w:space="0" w:color="auto"/>
              <w:bottom w:val="single" w:sz="4" w:space="0" w:color="auto"/>
              <w:right w:val="single" w:sz="4" w:space="0" w:color="auto"/>
            </w:tcBorders>
            <w:shd w:val="clear" w:color="auto" w:fill="92D050"/>
            <w:vAlign w:val="center"/>
          </w:tcPr>
          <w:p w14:paraId="479096FF" w14:textId="35A8AF43" w:rsidR="00E35DED" w:rsidRPr="008C0BB0" w:rsidRDefault="0032760A" w:rsidP="00E35DED">
            <w:pPr>
              <w:pStyle w:val="OutlineNumbered1"/>
              <w:numPr>
                <w:ilvl w:val="0"/>
                <w:numId w:val="0"/>
              </w:numPr>
              <w:spacing w:after="120"/>
              <w:jc w:val="center"/>
              <w:rPr>
                <w:rFonts w:ascii="Calibri" w:eastAsia="Times New Roman" w:hAnsi="Calibri" w:cs="Calibri"/>
                <w:sz w:val="20"/>
                <w:szCs w:val="20"/>
                <w:lang w:val="en-AU" w:eastAsia="en-AU"/>
              </w:rPr>
            </w:pPr>
            <w:r>
              <w:rPr>
                <w:rFonts w:ascii="Calibri" w:eastAsia="Times New Roman" w:hAnsi="Calibri" w:cs="Calibri"/>
                <w:sz w:val="20"/>
                <w:szCs w:val="20"/>
                <w:lang w:val="en-AU" w:eastAsia="en-AU"/>
              </w:rPr>
              <w:t>Closed</w:t>
            </w:r>
          </w:p>
        </w:tc>
      </w:tr>
      <w:tr w:rsidR="00E35DED" w14:paraId="16517974" w14:textId="5883B0E5" w:rsidTr="27803875">
        <w:tc>
          <w:tcPr>
            <w:tcW w:w="879" w:type="pct"/>
            <w:vMerge/>
          </w:tcPr>
          <w:p w14:paraId="246A71FD" w14:textId="051DF0AB" w:rsidR="00E35DED" w:rsidRPr="004A3B01" w:rsidRDefault="00E35DED" w:rsidP="008E5DC4">
            <w:pPr>
              <w:pStyle w:val="OutlineNumbered2"/>
              <w:numPr>
                <w:ilvl w:val="0"/>
                <w:numId w:val="0"/>
              </w:numPr>
              <w:spacing w:after="120"/>
              <w:ind w:left="378"/>
              <w:rPr>
                <w:sz w:val="20"/>
                <w:szCs w:val="20"/>
                <w:lang w:val="en-AU" w:eastAsia="en-AU"/>
              </w:rPr>
            </w:pPr>
          </w:p>
        </w:tc>
        <w:tc>
          <w:tcPr>
            <w:tcW w:w="1799" w:type="pct"/>
            <w:tcBorders>
              <w:top w:val="single" w:sz="4" w:space="0" w:color="D9D9D9" w:themeColor="background1" w:themeShade="D9"/>
              <w:left w:val="nil"/>
              <w:bottom w:val="single" w:sz="4" w:space="0" w:color="D9D9D9" w:themeColor="background1" w:themeShade="D9"/>
            </w:tcBorders>
          </w:tcPr>
          <w:p w14:paraId="7EF1801C" w14:textId="747B2C38" w:rsidR="00E35DED" w:rsidRDefault="00E35DED" w:rsidP="00542A06">
            <w:pPr>
              <w:pStyle w:val="OutlineNumbered1"/>
              <w:numPr>
                <w:ilvl w:val="0"/>
                <w:numId w:val="0"/>
              </w:numPr>
              <w:spacing w:after="120"/>
              <w:rPr>
                <w:sz w:val="20"/>
                <w:szCs w:val="20"/>
                <w:lang w:val="en-AU" w:eastAsia="en-AU"/>
              </w:rPr>
            </w:pPr>
            <w:r w:rsidRPr="3280F7CD">
              <w:rPr>
                <w:sz w:val="20"/>
                <w:szCs w:val="20"/>
                <w:lang w:val="en-AU" w:eastAsia="en-AU"/>
              </w:rPr>
              <w:t>Action 1.2</w:t>
            </w:r>
          </w:p>
          <w:p w14:paraId="22A3B0FB" w14:textId="59F09E30" w:rsidR="00E35DED" w:rsidRPr="00542A06" w:rsidRDefault="00E35DED" w:rsidP="00542A06">
            <w:pPr>
              <w:pStyle w:val="OutlineNumbered1"/>
              <w:numPr>
                <w:ilvl w:val="0"/>
                <w:numId w:val="0"/>
              </w:numPr>
              <w:spacing w:after="120"/>
              <w:rPr>
                <w:sz w:val="20"/>
                <w:szCs w:val="20"/>
                <w:lang w:val="en-AU" w:eastAsia="en-AU"/>
              </w:rPr>
            </w:pPr>
            <w:r w:rsidRPr="3280F7CD">
              <w:rPr>
                <w:sz w:val="20"/>
                <w:szCs w:val="20"/>
                <w:lang w:val="en-AU" w:eastAsia="en-AU"/>
              </w:rPr>
              <w:t>Work with relevant Ministerial Councils and agencies to deliver a national data sharing agreement for population, housing and planning data.</w:t>
            </w:r>
          </w:p>
        </w:tc>
        <w:tc>
          <w:tcPr>
            <w:tcW w:w="1983" w:type="pct"/>
            <w:tcBorders>
              <w:top w:val="single" w:sz="4" w:space="0" w:color="D9D9D9" w:themeColor="background1" w:themeShade="D9"/>
              <w:bottom w:val="single" w:sz="4" w:space="0" w:color="D9D9D9" w:themeColor="background1" w:themeShade="D9"/>
              <w:right w:val="single" w:sz="4" w:space="0" w:color="auto"/>
            </w:tcBorders>
          </w:tcPr>
          <w:p w14:paraId="7CC95E41" w14:textId="42C2B9CA" w:rsidR="00E35DED" w:rsidRPr="00337A3B" w:rsidRDefault="00E33CBE" w:rsidP="008E5DC4">
            <w:pPr>
              <w:spacing w:after="120"/>
              <w:rPr>
                <w:sz w:val="20"/>
                <w:szCs w:val="20"/>
              </w:rPr>
            </w:pPr>
            <w:r w:rsidRPr="00E33CBE">
              <w:rPr>
                <w:rFonts w:ascii="Calibri" w:eastAsia="Times New Roman" w:hAnsi="Calibri" w:cs="Calibri"/>
                <w:sz w:val="20"/>
                <w:szCs w:val="20"/>
                <w:lang w:val="en-AU" w:eastAsia="en-AU"/>
              </w:rPr>
              <w:t xml:space="preserve">On behalf of Planning Ministers, the </w:t>
            </w:r>
            <w:proofErr w:type="gramStart"/>
            <w:r w:rsidRPr="00E33CBE">
              <w:rPr>
                <w:rFonts w:ascii="Calibri" w:eastAsia="Times New Roman" w:hAnsi="Calibri" w:cs="Calibri"/>
                <w:sz w:val="20"/>
                <w:szCs w:val="20"/>
                <w:lang w:val="en-AU" w:eastAsia="en-AU"/>
              </w:rPr>
              <w:t>Commonwealth Minister</w:t>
            </w:r>
            <w:proofErr w:type="gramEnd"/>
            <w:r w:rsidRPr="00E33CBE">
              <w:rPr>
                <w:rFonts w:ascii="Calibri" w:eastAsia="Times New Roman" w:hAnsi="Calibri" w:cs="Calibri"/>
                <w:sz w:val="20"/>
                <w:szCs w:val="20"/>
                <w:lang w:val="en-AU" w:eastAsia="en-AU"/>
              </w:rPr>
              <w:t xml:space="preserve"> will write to the Office of the National Data Commissioner for advice on options to remove barriers to the exchange of data between jurisdictions. Commonwealth to investigate how data can be better shared from non-housing Commonwealth agencies.  </w:t>
            </w:r>
          </w:p>
        </w:tc>
        <w:tc>
          <w:tcPr>
            <w:tcW w:w="338" w:type="pct"/>
            <w:tcBorders>
              <w:left w:val="single" w:sz="4" w:space="0" w:color="auto"/>
              <w:bottom w:val="single" w:sz="4" w:space="0" w:color="auto"/>
              <w:right w:val="single" w:sz="4" w:space="0" w:color="auto"/>
            </w:tcBorders>
            <w:shd w:val="clear" w:color="auto" w:fill="FFEDB9"/>
            <w:vAlign w:val="center"/>
          </w:tcPr>
          <w:p w14:paraId="04CC7E17" w14:textId="1B59E0A9" w:rsidR="00E35DED" w:rsidRDefault="0088442C" w:rsidP="0088442C">
            <w:pPr>
              <w:spacing w:after="120"/>
              <w:jc w:val="center"/>
              <w:rPr>
                <w:rFonts w:ascii="Calibri" w:eastAsia="Times New Roman" w:hAnsi="Calibri" w:cs="Calibri"/>
                <w:sz w:val="20"/>
                <w:szCs w:val="20"/>
                <w:lang w:val="en-AU" w:eastAsia="en-AU"/>
              </w:rPr>
            </w:pPr>
            <w:r>
              <w:rPr>
                <w:rFonts w:ascii="Calibri" w:eastAsia="Times New Roman" w:hAnsi="Calibri" w:cs="Calibri"/>
                <w:sz w:val="20"/>
                <w:szCs w:val="20"/>
                <w:lang w:val="en-AU" w:eastAsia="en-AU"/>
              </w:rPr>
              <w:t>In progress</w:t>
            </w:r>
          </w:p>
        </w:tc>
      </w:tr>
      <w:tr w:rsidR="00E35DED" w14:paraId="3B575902" w14:textId="441CDA3E" w:rsidTr="27803875">
        <w:tc>
          <w:tcPr>
            <w:tcW w:w="879" w:type="pct"/>
            <w:vMerge/>
          </w:tcPr>
          <w:p w14:paraId="4EAD26DD" w14:textId="5FAD35EE" w:rsidR="00E35DED" w:rsidRPr="00E724F9" w:rsidRDefault="00E35DED" w:rsidP="008E5DC4">
            <w:pPr>
              <w:pStyle w:val="OutlineNumbered2"/>
              <w:numPr>
                <w:ilvl w:val="0"/>
                <w:numId w:val="0"/>
              </w:numPr>
              <w:spacing w:after="120"/>
              <w:ind w:left="756" w:hanging="378"/>
              <w:rPr>
                <w:sz w:val="20"/>
                <w:szCs w:val="20"/>
                <w:lang w:val="en-AU" w:eastAsia="en-AU"/>
              </w:rPr>
            </w:pPr>
          </w:p>
        </w:tc>
        <w:tc>
          <w:tcPr>
            <w:tcW w:w="1799" w:type="pct"/>
            <w:tcBorders>
              <w:top w:val="single" w:sz="4" w:space="0" w:color="D9D9D9" w:themeColor="background1" w:themeShade="D9"/>
              <w:left w:val="nil"/>
              <w:bottom w:val="single" w:sz="4" w:space="0" w:color="auto"/>
            </w:tcBorders>
          </w:tcPr>
          <w:p w14:paraId="53E2CFC8" w14:textId="26853774" w:rsidR="00E35DED" w:rsidRDefault="00E35DED" w:rsidP="00542A06">
            <w:pPr>
              <w:pStyle w:val="OutlineNumbered1"/>
              <w:numPr>
                <w:ilvl w:val="0"/>
                <w:numId w:val="0"/>
              </w:numPr>
              <w:spacing w:after="120"/>
              <w:rPr>
                <w:sz w:val="20"/>
                <w:szCs w:val="20"/>
                <w:lang w:val="en-AU" w:eastAsia="en-AU"/>
              </w:rPr>
            </w:pPr>
            <w:r w:rsidRPr="3280F7CD">
              <w:rPr>
                <w:sz w:val="20"/>
                <w:szCs w:val="20"/>
                <w:lang w:val="en-AU" w:eastAsia="en-AU"/>
              </w:rPr>
              <w:t>Action 1.3</w:t>
            </w:r>
          </w:p>
          <w:p w14:paraId="63B8D050" w14:textId="345C4C2B" w:rsidR="00E35DED" w:rsidRPr="00542A06" w:rsidRDefault="00E35DED" w:rsidP="00542A06">
            <w:pPr>
              <w:pStyle w:val="OutlineNumbered1"/>
              <w:numPr>
                <w:ilvl w:val="0"/>
                <w:numId w:val="0"/>
              </w:numPr>
              <w:spacing w:after="120"/>
              <w:rPr>
                <w:sz w:val="20"/>
                <w:szCs w:val="20"/>
                <w:lang w:val="en-AU" w:eastAsia="en-AU"/>
              </w:rPr>
            </w:pPr>
            <w:r w:rsidRPr="3280F7CD">
              <w:rPr>
                <w:sz w:val="20"/>
                <w:szCs w:val="20"/>
                <w:lang w:val="en-AU" w:eastAsia="en-AU"/>
              </w:rPr>
              <w:t>Participate in the development of the National Urban Policy (NUP).</w:t>
            </w:r>
          </w:p>
        </w:tc>
        <w:tc>
          <w:tcPr>
            <w:tcW w:w="1983" w:type="pct"/>
            <w:tcBorders>
              <w:top w:val="single" w:sz="4" w:space="0" w:color="D9D9D9" w:themeColor="background1" w:themeShade="D9"/>
              <w:bottom w:val="single" w:sz="4" w:space="0" w:color="D9D9D9" w:themeColor="background1" w:themeShade="D9"/>
              <w:right w:val="single" w:sz="4" w:space="0" w:color="auto"/>
            </w:tcBorders>
          </w:tcPr>
          <w:p w14:paraId="1375FD22" w14:textId="75D97B26" w:rsidR="00E35DED" w:rsidRPr="00337A3B" w:rsidRDefault="00891E6F" w:rsidP="008E5DC4">
            <w:pPr>
              <w:spacing w:after="120"/>
              <w:rPr>
                <w:sz w:val="20"/>
                <w:szCs w:val="20"/>
              </w:rPr>
            </w:pPr>
            <w:r w:rsidRPr="00891E6F">
              <w:rPr>
                <w:rFonts w:ascii="Calibri" w:eastAsia="Times New Roman" w:hAnsi="Calibri" w:cs="Calibri"/>
                <w:sz w:val="20"/>
                <w:szCs w:val="20"/>
                <w:lang w:val="en-AU" w:eastAsia="en-AU"/>
              </w:rPr>
              <w:t>The National Urban Policy was published on the Department of Infrastructure, Transport, Regional Development, Communications and the Arts website on 29 November 2024.</w:t>
            </w:r>
          </w:p>
        </w:tc>
        <w:tc>
          <w:tcPr>
            <w:tcW w:w="338" w:type="pct"/>
            <w:tcBorders>
              <w:left w:val="single" w:sz="4" w:space="0" w:color="auto"/>
              <w:bottom w:val="single" w:sz="4" w:space="0" w:color="auto"/>
              <w:right w:val="single" w:sz="4" w:space="0" w:color="auto"/>
            </w:tcBorders>
            <w:shd w:val="clear" w:color="auto" w:fill="92D050"/>
            <w:vAlign w:val="center"/>
          </w:tcPr>
          <w:p w14:paraId="1A178FB9" w14:textId="697C4CB2" w:rsidR="00E35DED" w:rsidRPr="00337A3B" w:rsidRDefault="0088442C" w:rsidP="0088442C">
            <w:pPr>
              <w:spacing w:after="120"/>
              <w:jc w:val="center"/>
              <w:rPr>
                <w:rFonts w:ascii="Calibri" w:eastAsia="Times New Roman" w:hAnsi="Calibri" w:cs="Calibri"/>
                <w:sz w:val="20"/>
                <w:szCs w:val="20"/>
                <w:lang w:val="en-AU" w:eastAsia="en-AU"/>
              </w:rPr>
            </w:pPr>
            <w:r>
              <w:rPr>
                <w:rFonts w:ascii="Calibri" w:eastAsia="Times New Roman" w:hAnsi="Calibri" w:cs="Calibri"/>
                <w:sz w:val="20"/>
                <w:szCs w:val="20"/>
                <w:lang w:val="en-AU" w:eastAsia="en-AU"/>
              </w:rPr>
              <w:t>Delivered</w:t>
            </w:r>
          </w:p>
        </w:tc>
      </w:tr>
      <w:tr w:rsidR="00E35DED" w14:paraId="624AB2FC" w14:textId="15D57E4B" w:rsidTr="000A6A66">
        <w:tc>
          <w:tcPr>
            <w:tcW w:w="879" w:type="pct"/>
            <w:tcBorders>
              <w:top w:val="single" w:sz="4" w:space="0" w:color="auto"/>
              <w:right w:val="single" w:sz="4" w:space="0" w:color="auto"/>
            </w:tcBorders>
          </w:tcPr>
          <w:p w14:paraId="1FF88573" w14:textId="77777777" w:rsidR="00E35DED" w:rsidRPr="00C03BFA" w:rsidRDefault="00E35DED" w:rsidP="00365B36">
            <w:pPr>
              <w:pStyle w:val="OutlineNumbered1"/>
              <w:numPr>
                <w:ilvl w:val="0"/>
                <w:numId w:val="0"/>
              </w:numPr>
              <w:spacing w:after="120"/>
              <w:ind w:left="378" w:hanging="378"/>
              <w:rPr>
                <w:rFonts w:ascii="Calibri" w:eastAsia="Times New Roman" w:hAnsi="Calibri" w:cs="Calibri"/>
                <w:b/>
                <w:bCs/>
                <w:sz w:val="20"/>
                <w:szCs w:val="20"/>
                <w:lang w:val="en-AU" w:eastAsia="en-AU"/>
              </w:rPr>
            </w:pPr>
            <w:r w:rsidRPr="00C03BFA">
              <w:rPr>
                <w:rFonts w:ascii="Calibri" w:eastAsia="Times New Roman" w:hAnsi="Calibri" w:cs="Calibri"/>
                <w:b/>
                <w:bCs/>
                <w:sz w:val="20"/>
                <w:szCs w:val="20"/>
                <w:lang w:val="en-AU" w:eastAsia="en-AU"/>
              </w:rPr>
              <w:t>Measure 2</w:t>
            </w:r>
          </w:p>
          <w:p w14:paraId="7DC436CB" w14:textId="1C2448F3" w:rsidR="00E35DED" w:rsidRPr="00E724F9" w:rsidRDefault="00E35DED" w:rsidP="00C03BFA">
            <w:pPr>
              <w:pStyle w:val="OutlineNumbered1"/>
              <w:numPr>
                <w:ilvl w:val="0"/>
                <w:numId w:val="0"/>
              </w:numPr>
              <w:spacing w:after="120"/>
              <w:rPr>
                <w:rFonts w:ascii="Calibri" w:eastAsia="Times New Roman" w:hAnsi="Calibri" w:cs="Calibri"/>
                <w:sz w:val="20"/>
                <w:szCs w:val="20"/>
                <w:lang w:val="en-AU" w:eastAsia="en-AU"/>
              </w:rPr>
            </w:pPr>
            <w:r w:rsidRPr="00E724F9">
              <w:rPr>
                <w:rFonts w:ascii="Calibri" w:eastAsia="Times New Roman" w:hAnsi="Calibri" w:cs="Calibri"/>
                <w:sz w:val="20"/>
                <w:szCs w:val="20"/>
                <w:lang w:val="en-AU" w:eastAsia="en-AU"/>
              </w:rPr>
              <w:t>Report on state, regional and local strategic plans that reflect their share of housing targets</w:t>
            </w:r>
            <w:r>
              <w:rPr>
                <w:rFonts w:ascii="Calibri" w:eastAsia="Times New Roman" w:hAnsi="Calibri" w:cs="Calibri"/>
                <w:sz w:val="20"/>
                <w:szCs w:val="20"/>
                <w:lang w:val="en-AU" w:eastAsia="en-AU"/>
              </w:rPr>
              <w:t>.</w:t>
            </w:r>
          </w:p>
        </w:tc>
        <w:tc>
          <w:tcPr>
            <w:tcW w:w="1799" w:type="pct"/>
            <w:tcBorders>
              <w:top w:val="single" w:sz="4" w:space="0" w:color="auto"/>
              <w:left w:val="single" w:sz="4" w:space="0" w:color="auto"/>
            </w:tcBorders>
          </w:tcPr>
          <w:p w14:paraId="567F0A6D" w14:textId="77777777" w:rsidR="00E35DED" w:rsidRDefault="00E35DED" w:rsidP="00365B36">
            <w:pPr>
              <w:pStyle w:val="OutlineNumbered1"/>
              <w:numPr>
                <w:ilvl w:val="0"/>
                <w:numId w:val="0"/>
              </w:numPr>
              <w:spacing w:after="120"/>
              <w:rPr>
                <w:sz w:val="20"/>
                <w:szCs w:val="20"/>
                <w:lang w:val="en-AU" w:eastAsia="en-AU"/>
              </w:rPr>
            </w:pPr>
            <w:r w:rsidRPr="3280F7CD">
              <w:rPr>
                <w:sz w:val="20"/>
                <w:szCs w:val="20"/>
                <w:lang w:val="en-AU" w:eastAsia="en-AU"/>
              </w:rPr>
              <w:t>Action 2</w:t>
            </w:r>
          </w:p>
          <w:p w14:paraId="6B77091F" w14:textId="1F98AB62" w:rsidR="00E35DED" w:rsidRPr="00E724F9" w:rsidRDefault="00E35DED" w:rsidP="00365B36">
            <w:pPr>
              <w:pStyle w:val="OutlineNumbered1"/>
              <w:numPr>
                <w:ilvl w:val="0"/>
                <w:numId w:val="0"/>
              </w:numPr>
              <w:spacing w:after="120"/>
              <w:rPr>
                <w:sz w:val="20"/>
                <w:szCs w:val="20"/>
                <w:lang w:val="en-AU" w:eastAsia="en-AU"/>
              </w:rPr>
            </w:pPr>
            <w:r w:rsidRPr="3280F7CD">
              <w:rPr>
                <w:sz w:val="20"/>
                <w:szCs w:val="20"/>
                <w:lang w:val="en-AU" w:eastAsia="en-AU"/>
              </w:rPr>
              <w:t>Report to National Cabinet twice-yearly on to demonstrate how these plans reflect housing supply targets.</w:t>
            </w:r>
          </w:p>
        </w:tc>
        <w:tc>
          <w:tcPr>
            <w:tcW w:w="1983" w:type="pct"/>
          </w:tcPr>
          <w:p w14:paraId="50A5E25F" w14:textId="77777777" w:rsidR="00E35DED" w:rsidRPr="00337A3B" w:rsidRDefault="00E35DED" w:rsidP="00365B36">
            <w:pPr>
              <w:spacing w:after="120"/>
              <w:rPr>
                <w:sz w:val="20"/>
                <w:szCs w:val="20"/>
              </w:rPr>
            </w:pPr>
            <w:r w:rsidRPr="00337A3B">
              <w:rPr>
                <w:rFonts w:ascii="Calibri" w:eastAsia="Times New Roman" w:hAnsi="Calibri" w:cs="Calibri"/>
                <w:sz w:val="20"/>
                <w:szCs w:val="20"/>
                <w:lang w:val="en-AU" w:eastAsia="en-AU"/>
              </w:rPr>
              <w:t xml:space="preserve">All jurisdictions have </w:t>
            </w:r>
            <w:proofErr w:type="gramStart"/>
            <w:r w:rsidRPr="00337A3B">
              <w:rPr>
                <w:rFonts w:ascii="Calibri" w:eastAsia="Times New Roman" w:hAnsi="Calibri" w:cs="Calibri"/>
                <w:sz w:val="20"/>
                <w:szCs w:val="20"/>
                <w:lang w:val="en-AU" w:eastAsia="en-AU"/>
              </w:rPr>
              <w:t>taken action</w:t>
            </w:r>
            <w:proofErr w:type="gramEnd"/>
            <w:r w:rsidRPr="00337A3B">
              <w:rPr>
                <w:rFonts w:ascii="Calibri" w:eastAsia="Times New Roman" w:hAnsi="Calibri" w:cs="Calibri"/>
                <w:sz w:val="20"/>
                <w:szCs w:val="20"/>
                <w:lang w:val="en-AU" w:eastAsia="en-AU"/>
              </w:rPr>
              <w:t xml:space="preserve"> on this measure, but further work is required to ensure strategic plans and local strategic plans are updated to reflect housing supply targets. </w:t>
            </w:r>
          </w:p>
        </w:tc>
        <w:tc>
          <w:tcPr>
            <w:tcW w:w="338" w:type="pct"/>
            <w:vMerge w:val="restart"/>
            <w:tcBorders>
              <w:top w:val="single" w:sz="4" w:space="0" w:color="auto"/>
            </w:tcBorders>
            <w:shd w:val="clear" w:color="auto" w:fill="D4ECBA"/>
            <w:vAlign w:val="center"/>
          </w:tcPr>
          <w:p w14:paraId="6C268AB7" w14:textId="144C1067" w:rsidR="00E35DED" w:rsidRPr="00337A3B" w:rsidRDefault="00E35DED" w:rsidP="00E35DED">
            <w:pPr>
              <w:spacing w:after="120"/>
              <w:jc w:val="center"/>
              <w:rPr>
                <w:rFonts w:ascii="Calibri" w:eastAsia="Times New Roman" w:hAnsi="Calibri" w:cs="Calibri"/>
                <w:sz w:val="20"/>
                <w:szCs w:val="20"/>
                <w:lang w:val="en-AU" w:eastAsia="en-AU"/>
              </w:rPr>
            </w:pPr>
            <w:r>
              <w:rPr>
                <w:rFonts w:ascii="Calibri" w:eastAsia="Times New Roman" w:hAnsi="Calibri" w:cs="Calibri"/>
                <w:sz w:val="20"/>
                <w:szCs w:val="20"/>
                <w:lang w:val="en-AU" w:eastAsia="en-AU"/>
              </w:rPr>
              <w:t>Partially delivered but more to do</w:t>
            </w:r>
          </w:p>
        </w:tc>
      </w:tr>
      <w:tr w:rsidR="00E35DED" w14:paraId="45DEEEC7" w14:textId="2183FC2F" w:rsidTr="000A6A66">
        <w:tc>
          <w:tcPr>
            <w:tcW w:w="879" w:type="pct"/>
            <w:tcBorders>
              <w:right w:val="single" w:sz="4" w:space="0" w:color="auto"/>
            </w:tcBorders>
          </w:tcPr>
          <w:p w14:paraId="715FFEB1" w14:textId="77777777" w:rsidR="00E35DED" w:rsidRPr="007A6D76" w:rsidRDefault="00E35DED" w:rsidP="00365B36">
            <w:pPr>
              <w:pStyle w:val="OutlineNumbered1"/>
              <w:numPr>
                <w:ilvl w:val="0"/>
                <w:numId w:val="0"/>
              </w:numPr>
              <w:spacing w:after="120"/>
              <w:ind w:left="378" w:hanging="378"/>
              <w:rPr>
                <w:rFonts w:ascii="Calibri" w:eastAsia="Times New Roman" w:hAnsi="Calibri" w:cs="Calibri"/>
                <w:b/>
                <w:bCs/>
                <w:sz w:val="20"/>
                <w:szCs w:val="20"/>
                <w:lang w:val="en-AU" w:eastAsia="en-AU"/>
              </w:rPr>
            </w:pPr>
            <w:r w:rsidRPr="007A6D76">
              <w:rPr>
                <w:rFonts w:ascii="Calibri" w:eastAsia="Times New Roman" w:hAnsi="Calibri" w:cs="Calibri"/>
                <w:b/>
                <w:bCs/>
                <w:sz w:val="20"/>
                <w:szCs w:val="20"/>
                <w:lang w:val="en-AU" w:eastAsia="en-AU"/>
              </w:rPr>
              <w:t>Measure 3</w:t>
            </w:r>
          </w:p>
          <w:p w14:paraId="66C15BEA" w14:textId="0ABAC025" w:rsidR="00E35DED" w:rsidRPr="00E724F9" w:rsidRDefault="00E35DED" w:rsidP="007A6D76">
            <w:pPr>
              <w:pStyle w:val="OutlineNumbered1"/>
              <w:numPr>
                <w:ilvl w:val="0"/>
                <w:numId w:val="0"/>
              </w:numPr>
              <w:spacing w:after="120"/>
              <w:rPr>
                <w:rFonts w:ascii="Calibri" w:eastAsia="Times New Roman" w:hAnsi="Calibri" w:cs="Calibri"/>
                <w:sz w:val="20"/>
                <w:szCs w:val="20"/>
                <w:lang w:val="en-AU" w:eastAsia="en-AU"/>
              </w:rPr>
            </w:pPr>
            <w:r w:rsidRPr="00E724F9">
              <w:rPr>
                <w:rFonts w:ascii="Calibri" w:eastAsia="Times New Roman" w:hAnsi="Calibri" w:cs="Calibri"/>
                <w:sz w:val="20"/>
                <w:szCs w:val="20"/>
                <w:lang w:val="en-AU" w:eastAsia="en-AU"/>
              </w:rPr>
              <w:t xml:space="preserve">Undertake planning, zoning, </w:t>
            </w:r>
            <w:r>
              <w:rPr>
                <w:rFonts w:ascii="Calibri" w:eastAsia="Times New Roman" w:hAnsi="Calibri" w:cs="Calibri"/>
                <w:sz w:val="20"/>
                <w:szCs w:val="20"/>
                <w:lang w:val="en-AU" w:eastAsia="en-AU"/>
              </w:rPr>
              <w:t xml:space="preserve">and </w:t>
            </w:r>
            <w:r w:rsidRPr="00E724F9">
              <w:rPr>
                <w:rFonts w:ascii="Calibri" w:eastAsia="Times New Roman" w:hAnsi="Calibri" w:cs="Calibri"/>
                <w:sz w:val="20"/>
                <w:szCs w:val="20"/>
                <w:lang w:val="en-AU" w:eastAsia="en-AU"/>
              </w:rPr>
              <w:t xml:space="preserve">land release </w:t>
            </w:r>
            <w:r>
              <w:rPr>
                <w:rFonts w:ascii="Calibri" w:eastAsia="Times New Roman" w:hAnsi="Calibri" w:cs="Calibri"/>
                <w:sz w:val="20"/>
                <w:szCs w:val="20"/>
                <w:lang w:val="en-AU" w:eastAsia="en-AU"/>
              </w:rPr>
              <w:t xml:space="preserve">adaptions </w:t>
            </w:r>
            <w:r w:rsidRPr="00E724F9">
              <w:rPr>
                <w:rFonts w:ascii="Calibri" w:eastAsia="Times New Roman" w:hAnsi="Calibri" w:cs="Calibri"/>
                <w:sz w:val="20"/>
                <w:szCs w:val="20"/>
                <w:lang w:val="en-AU" w:eastAsia="en-AU"/>
              </w:rPr>
              <w:t>to meet their share of housing targets</w:t>
            </w:r>
            <w:r>
              <w:rPr>
                <w:rFonts w:ascii="Calibri" w:eastAsia="Times New Roman" w:hAnsi="Calibri" w:cs="Calibri"/>
                <w:sz w:val="20"/>
                <w:szCs w:val="20"/>
                <w:lang w:val="en-AU" w:eastAsia="en-AU"/>
              </w:rPr>
              <w:t>.</w:t>
            </w:r>
            <w:r w:rsidRPr="00E724F9">
              <w:rPr>
                <w:rFonts w:ascii="Calibri" w:eastAsia="Times New Roman" w:hAnsi="Calibri" w:cs="Calibri"/>
                <w:sz w:val="20"/>
                <w:szCs w:val="20"/>
                <w:lang w:val="en-AU" w:eastAsia="en-AU"/>
              </w:rPr>
              <w:t>  </w:t>
            </w:r>
          </w:p>
        </w:tc>
        <w:tc>
          <w:tcPr>
            <w:tcW w:w="1799" w:type="pct"/>
            <w:tcBorders>
              <w:left w:val="single" w:sz="4" w:space="0" w:color="auto"/>
            </w:tcBorders>
          </w:tcPr>
          <w:p w14:paraId="3A96D9AF" w14:textId="77777777" w:rsidR="00E35DED" w:rsidRDefault="00E35DED" w:rsidP="00365B36">
            <w:pPr>
              <w:pStyle w:val="OutlineNumbered1"/>
              <w:numPr>
                <w:ilvl w:val="0"/>
                <w:numId w:val="0"/>
              </w:numPr>
              <w:spacing w:after="120"/>
              <w:rPr>
                <w:sz w:val="20"/>
                <w:szCs w:val="20"/>
              </w:rPr>
            </w:pPr>
            <w:r w:rsidRPr="3280F7CD">
              <w:rPr>
                <w:sz w:val="20"/>
                <w:szCs w:val="20"/>
              </w:rPr>
              <w:t>Action 3</w:t>
            </w:r>
          </w:p>
          <w:p w14:paraId="22F00F34" w14:textId="5F7D7F10" w:rsidR="00E35DED" w:rsidRPr="00E724F9" w:rsidRDefault="00E35DED" w:rsidP="00365B36">
            <w:pPr>
              <w:pStyle w:val="OutlineNumbered1"/>
              <w:numPr>
                <w:ilvl w:val="0"/>
                <w:numId w:val="0"/>
              </w:numPr>
              <w:spacing w:after="120"/>
              <w:rPr>
                <w:sz w:val="20"/>
                <w:szCs w:val="20"/>
              </w:rPr>
            </w:pPr>
            <w:r w:rsidRPr="3280F7CD">
              <w:rPr>
                <w:sz w:val="20"/>
                <w:szCs w:val="20"/>
              </w:rPr>
              <w:t>Report to National Cabinet twice-yearly.</w:t>
            </w:r>
          </w:p>
        </w:tc>
        <w:tc>
          <w:tcPr>
            <w:tcW w:w="1983" w:type="pct"/>
          </w:tcPr>
          <w:p w14:paraId="6E8406A5" w14:textId="46D93FA4" w:rsidR="00E35DED" w:rsidRPr="00337A3B" w:rsidRDefault="00E35DED" w:rsidP="00365B36">
            <w:pPr>
              <w:spacing w:after="120"/>
              <w:rPr>
                <w:sz w:val="20"/>
                <w:szCs w:val="20"/>
              </w:rPr>
            </w:pPr>
            <w:r w:rsidRPr="00337A3B">
              <w:rPr>
                <w:rFonts w:ascii="Calibri" w:eastAsia="Times New Roman" w:hAnsi="Calibri" w:cs="Calibri"/>
                <w:sz w:val="20"/>
                <w:szCs w:val="20"/>
                <w:lang w:val="en-AU" w:eastAsia="en-AU"/>
              </w:rPr>
              <w:t>All jurisdictions have undertaken, or are undertaking</w:t>
            </w:r>
            <w:r w:rsidR="00130552">
              <w:rPr>
                <w:rFonts w:ascii="Calibri" w:eastAsia="Times New Roman" w:hAnsi="Calibri" w:cs="Calibri"/>
                <w:sz w:val="20"/>
                <w:szCs w:val="20"/>
                <w:lang w:val="en-AU" w:eastAsia="en-AU"/>
              </w:rPr>
              <w:t>,</w:t>
            </w:r>
            <w:r w:rsidRPr="00337A3B">
              <w:rPr>
                <w:rFonts w:ascii="Calibri" w:eastAsia="Times New Roman" w:hAnsi="Calibri" w:cs="Calibri"/>
                <w:sz w:val="20"/>
                <w:szCs w:val="20"/>
                <w:lang w:val="en-AU" w:eastAsia="en-AU"/>
              </w:rPr>
              <w:t xml:space="preserve"> planning, zoning,</w:t>
            </w:r>
            <w:r>
              <w:rPr>
                <w:rFonts w:ascii="Calibri" w:eastAsia="Times New Roman" w:hAnsi="Calibri" w:cs="Calibri"/>
                <w:sz w:val="20"/>
                <w:szCs w:val="20"/>
                <w:lang w:val="en-AU" w:eastAsia="en-AU"/>
              </w:rPr>
              <w:t xml:space="preserve"> and</w:t>
            </w:r>
            <w:r w:rsidRPr="00337A3B">
              <w:rPr>
                <w:rFonts w:ascii="Calibri" w:eastAsia="Times New Roman" w:hAnsi="Calibri" w:cs="Calibri"/>
                <w:sz w:val="20"/>
                <w:szCs w:val="20"/>
                <w:lang w:val="en-AU" w:eastAsia="en-AU"/>
              </w:rPr>
              <w:t xml:space="preserve"> land release </w:t>
            </w:r>
            <w:r>
              <w:rPr>
                <w:rFonts w:ascii="Calibri" w:eastAsia="Times New Roman" w:hAnsi="Calibri" w:cs="Calibri"/>
                <w:sz w:val="20"/>
                <w:szCs w:val="20"/>
                <w:lang w:val="en-AU" w:eastAsia="en-AU"/>
              </w:rPr>
              <w:t>adaptions</w:t>
            </w:r>
            <w:r w:rsidRPr="00337A3B">
              <w:rPr>
                <w:rFonts w:ascii="Calibri" w:eastAsia="Times New Roman" w:hAnsi="Calibri" w:cs="Calibri"/>
                <w:sz w:val="20"/>
                <w:szCs w:val="20"/>
                <w:lang w:val="en-AU" w:eastAsia="en-AU"/>
              </w:rPr>
              <w:t xml:space="preserve"> to increase </w:t>
            </w:r>
            <w:r w:rsidR="00053BE4">
              <w:rPr>
                <w:rFonts w:ascii="Calibri" w:eastAsia="Times New Roman" w:hAnsi="Calibri" w:cs="Calibri"/>
                <w:sz w:val="20"/>
                <w:szCs w:val="20"/>
                <w:lang w:val="en-AU" w:eastAsia="en-AU"/>
              </w:rPr>
              <w:t>supply</w:t>
            </w:r>
            <w:r w:rsidRPr="00337A3B">
              <w:rPr>
                <w:rFonts w:ascii="Calibri" w:eastAsia="Times New Roman" w:hAnsi="Calibri" w:cs="Calibri"/>
                <w:sz w:val="20"/>
                <w:szCs w:val="20"/>
                <w:lang w:val="en-AU" w:eastAsia="en-AU"/>
              </w:rPr>
              <w:t>. However</w:t>
            </w:r>
            <w:r>
              <w:rPr>
                <w:rFonts w:ascii="Calibri" w:eastAsia="Times New Roman" w:hAnsi="Calibri" w:cs="Calibri"/>
                <w:sz w:val="20"/>
                <w:szCs w:val="20"/>
                <w:lang w:val="en-AU" w:eastAsia="en-AU"/>
              </w:rPr>
              <w:t>,</w:t>
            </w:r>
            <w:r w:rsidRPr="00337A3B">
              <w:rPr>
                <w:rFonts w:ascii="Calibri" w:eastAsia="Times New Roman" w:hAnsi="Calibri" w:cs="Calibri"/>
                <w:sz w:val="20"/>
                <w:szCs w:val="20"/>
                <w:lang w:val="en-AU" w:eastAsia="en-AU"/>
              </w:rPr>
              <w:t xml:space="preserve"> further </w:t>
            </w:r>
            <w:r>
              <w:rPr>
                <w:rFonts w:ascii="Calibri" w:eastAsia="Times New Roman" w:hAnsi="Calibri" w:cs="Calibri"/>
                <w:sz w:val="20"/>
                <w:szCs w:val="20"/>
                <w:lang w:val="en-AU" w:eastAsia="en-AU"/>
              </w:rPr>
              <w:t>adaptations</w:t>
            </w:r>
            <w:r w:rsidRPr="00337A3B">
              <w:rPr>
                <w:rFonts w:ascii="Calibri" w:eastAsia="Times New Roman" w:hAnsi="Calibri" w:cs="Calibri"/>
                <w:sz w:val="20"/>
                <w:szCs w:val="20"/>
                <w:lang w:val="en-AU" w:eastAsia="en-AU"/>
              </w:rPr>
              <w:t xml:space="preserve"> are likely to be required for jurisdictions to meet their share of housing targets.   </w:t>
            </w:r>
          </w:p>
        </w:tc>
        <w:tc>
          <w:tcPr>
            <w:tcW w:w="338" w:type="pct"/>
            <w:vMerge/>
          </w:tcPr>
          <w:p w14:paraId="4CD6206B" w14:textId="77777777" w:rsidR="00E35DED" w:rsidRPr="00337A3B" w:rsidRDefault="00E35DED" w:rsidP="00365B36">
            <w:pPr>
              <w:spacing w:after="120"/>
              <w:rPr>
                <w:rFonts w:ascii="Calibri" w:eastAsia="Times New Roman" w:hAnsi="Calibri" w:cs="Calibri"/>
                <w:sz w:val="20"/>
                <w:szCs w:val="20"/>
                <w:lang w:val="en-AU" w:eastAsia="en-AU"/>
              </w:rPr>
            </w:pPr>
          </w:p>
        </w:tc>
      </w:tr>
      <w:tr w:rsidR="00E35DED" w14:paraId="356F5818" w14:textId="3EB2ACAB" w:rsidTr="000A6A66">
        <w:tc>
          <w:tcPr>
            <w:tcW w:w="879" w:type="pct"/>
            <w:tcBorders>
              <w:right w:val="single" w:sz="4" w:space="0" w:color="auto"/>
            </w:tcBorders>
          </w:tcPr>
          <w:p w14:paraId="71369852" w14:textId="77777777" w:rsidR="00E35DED" w:rsidRPr="007A6D76" w:rsidRDefault="00E35DED" w:rsidP="00365B36">
            <w:pPr>
              <w:pStyle w:val="OutlineNumbered1"/>
              <w:numPr>
                <w:ilvl w:val="0"/>
                <w:numId w:val="0"/>
              </w:numPr>
              <w:spacing w:after="120"/>
              <w:ind w:left="378" w:hanging="378"/>
              <w:rPr>
                <w:rFonts w:ascii="Calibri" w:eastAsia="Times New Roman" w:hAnsi="Calibri" w:cs="Calibri"/>
                <w:b/>
                <w:bCs/>
                <w:sz w:val="20"/>
                <w:szCs w:val="20"/>
                <w:lang w:val="en-AU" w:eastAsia="en-AU"/>
              </w:rPr>
            </w:pPr>
            <w:r w:rsidRPr="007A6D76">
              <w:rPr>
                <w:rFonts w:ascii="Calibri" w:eastAsia="Times New Roman" w:hAnsi="Calibri" w:cs="Calibri"/>
                <w:b/>
                <w:bCs/>
                <w:sz w:val="20"/>
                <w:szCs w:val="20"/>
                <w:lang w:val="en-AU" w:eastAsia="en-AU"/>
              </w:rPr>
              <w:t>Measure 4</w:t>
            </w:r>
          </w:p>
          <w:p w14:paraId="147B1BC4" w14:textId="567E7B06" w:rsidR="00E35DED" w:rsidRPr="00BC70B6" w:rsidRDefault="00E35DED" w:rsidP="007A6D76">
            <w:pPr>
              <w:pStyle w:val="OutlineNumbered1"/>
              <w:numPr>
                <w:ilvl w:val="0"/>
                <w:numId w:val="0"/>
              </w:numPr>
              <w:spacing w:after="120"/>
              <w:rPr>
                <w:rFonts w:ascii="Calibri" w:eastAsia="Times New Roman" w:hAnsi="Calibri" w:cs="Calibri"/>
                <w:sz w:val="20"/>
                <w:szCs w:val="20"/>
                <w:vertAlign w:val="superscript"/>
                <w:lang w:val="en-AU" w:eastAsia="en-AU"/>
              </w:rPr>
            </w:pPr>
            <w:r>
              <w:rPr>
                <w:rFonts w:ascii="Calibri" w:eastAsia="Times New Roman" w:hAnsi="Calibri" w:cs="Calibri"/>
                <w:sz w:val="20"/>
                <w:szCs w:val="20"/>
                <w:lang w:val="en-AU" w:eastAsia="en-AU"/>
              </w:rPr>
              <w:t>All levels of government will i</w:t>
            </w:r>
            <w:r w:rsidRPr="00E724F9">
              <w:rPr>
                <w:rFonts w:ascii="Calibri" w:eastAsia="Times New Roman" w:hAnsi="Calibri" w:cs="Calibri"/>
                <w:sz w:val="20"/>
                <w:szCs w:val="20"/>
                <w:lang w:val="en-AU" w:eastAsia="en-AU"/>
              </w:rPr>
              <w:t>dentify well-located development ready land</w:t>
            </w:r>
            <w:r>
              <w:rPr>
                <w:rFonts w:ascii="Calibri" w:eastAsia="Times New Roman" w:hAnsi="Calibri" w:cs="Calibri"/>
                <w:sz w:val="20"/>
                <w:szCs w:val="20"/>
                <w:lang w:val="en-AU" w:eastAsia="en-AU"/>
              </w:rPr>
              <w:t>.</w:t>
            </w:r>
            <w:r w:rsidRPr="00E724F9">
              <w:rPr>
                <w:rFonts w:ascii="Calibri" w:eastAsia="Times New Roman" w:hAnsi="Calibri" w:cs="Calibri"/>
                <w:sz w:val="20"/>
                <w:szCs w:val="20"/>
                <w:lang w:val="en-AU" w:eastAsia="en-AU"/>
              </w:rPr>
              <w:t>  </w:t>
            </w:r>
          </w:p>
        </w:tc>
        <w:tc>
          <w:tcPr>
            <w:tcW w:w="1799" w:type="pct"/>
            <w:tcBorders>
              <w:left w:val="single" w:sz="4" w:space="0" w:color="auto"/>
            </w:tcBorders>
          </w:tcPr>
          <w:p w14:paraId="3D6399CD" w14:textId="77777777" w:rsidR="00E35DED" w:rsidRDefault="00E35DED" w:rsidP="00365B36">
            <w:pPr>
              <w:pStyle w:val="OutlineNumbered1"/>
              <w:numPr>
                <w:ilvl w:val="0"/>
                <w:numId w:val="0"/>
              </w:numPr>
              <w:spacing w:after="120"/>
              <w:rPr>
                <w:sz w:val="20"/>
                <w:szCs w:val="20"/>
              </w:rPr>
            </w:pPr>
            <w:r w:rsidRPr="3280F7CD">
              <w:rPr>
                <w:sz w:val="20"/>
                <w:szCs w:val="20"/>
              </w:rPr>
              <w:t>Action 4</w:t>
            </w:r>
          </w:p>
          <w:p w14:paraId="51E4EF04" w14:textId="4BDFF3A2" w:rsidR="00E35DED" w:rsidRPr="00E724F9" w:rsidRDefault="00E35DED" w:rsidP="00365B36">
            <w:pPr>
              <w:pStyle w:val="OutlineNumbered1"/>
              <w:numPr>
                <w:ilvl w:val="0"/>
                <w:numId w:val="0"/>
              </w:numPr>
              <w:spacing w:after="120"/>
              <w:rPr>
                <w:sz w:val="20"/>
                <w:szCs w:val="20"/>
              </w:rPr>
            </w:pPr>
            <w:r w:rsidRPr="3280F7CD">
              <w:rPr>
                <w:sz w:val="20"/>
                <w:szCs w:val="20"/>
              </w:rPr>
              <w:t>Undertake a stocktake of ‘development ready’ land and report to National Cabinet twice-yearly</w:t>
            </w:r>
          </w:p>
        </w:tc>
        <w:tc>
          <w:tcPr>
            <w:tcW w:w="1983" w:type="pct"/>
          </w:tcPr>
          <w:p w14:paraId="56B24ADD" w14:textId="36514B71" w:rsidR="00E35DED" w:rsidRPr="00337A3B" w:rsidRDefault="00E35DED" w:rsidP="00365B36">
            <w:pPr>
              <w:spacing w:after="120"/>
              <w:rPr>
                <w:sz w:val="20"/>
                <w:szCs w:val="20"/>
              </w:rPr>
            </w:pPr>
            <w:r w:rsidRPr="00337A3B">
              <w:rPr>
                <w:rFonts w:ascii="Calibri" w:eastAsia="Times New Roman" w:hAnsi="Calibri" w:cs="Calibri"/>
                <w:sz w:val="20"/>
                <w:szCs w:val="20"/>
                <w:lang w:val="en-AU" w:eastAsia="en-AU"/>
              </w:rPr>
              <w:t>All jurisdictions, including the Commonwealth, have undertaken, or are undertaking, processes to identify ‘development ready’ land. </w:t>
            </w:r>
          </w:p>
        </w:tc>
        <w:tc>
          <w:tcPr>
            <w:tcW w:w="338" w:type="pct"/>
            <w:vMerge/>
          </w:tcPr>
          <w:p w14:paraId="08170561" w14:textId="77777777" w:rsidR="00E35DED" w:rsidRPr="00337A3B" w:rsidRDefault="00E35DED" w:rsidP="00365B36">
            <w:pPr>
              <w:spacing w:after="120"/>
              <w:rPr>
                <w:rFonts w:ascii="Calibri" w:eastAsia="Times New Roman" w:hAnsi="Calibri" w:cs="Calibri"/>
                <w:sz w:val="20"/>
                <w:szCs w:val="20"/>
                <w:lang w:val="en-AU" w:eastAsia="en-AU"/>
              </w:rPr>
            </w:pPr>
          </w:p>
        </w:tc>
      </w:tr>
      <w:tr w:rsidR="00E35DED" w14:paraId="057D4ADF" w14:textId="384A1422" w:rsidTr="000A6A66">
        <w:tc>
          <w:tcPr>
            <w:tcW w:w="879" w:type="pct"/>
            <w:tcBorders>
              <w:bottom w:val="single" w:sz="4" w:space="0" w:color="auto"/>
              <w:right w:val="single" w:sz="4" w:space="0" w:color="auto"/>
            </w:tcBorders>
          </w:tcPr>
          <w:p w14:paraId="11A37759" w14:textId="77777777" w:rsidR="00E35DED" w:rsidRPr="00E11F4F" w:rsidRDefault="00E35DED" w:rsidP="00365B36">
            <w:pPr>
              <w:pStyle w:val="OutlineNumbered1"/>
              <w:numPr>
                <w:ilvl w:val="0"/>
                <w:numId w:val="0"/>
              </w:numPr>
              <w:spacing w:after="120"/>
              <w:ind w:left="378" w:hanging="378"/>
              <w:rPr>
                <w:rFonts w:ascii="Calibri" w:eastAsia="Times New Roman" w:hAnsi="Calibri" w:cs="Calibri"/>
                <w:b/>
                <w:bCs/>
                <w:sz w:val="20"/>
                <w:szCs w:val="20"/>
                <w:lang w:val="en-AU" w:eastAsia="en-AU"/>
              </w:rPr>
            </w:pPr>
            <w:r w:rsidRPr="00E11F4F">
              <w:rPr>
                <w:rFonts w:ascii="Calibri" w:eastAsia="Times New Roman" w:hAnsi="Calibri" w:cs="Calibri"/>
                <w:b/>
                <w:bCs/>
                <w:sz w:val="20"/>
                <w:szCs w:val="20"/>
                <w:lang w:val="en-AU" w:eastAsia="en-AU"/>
              </w:rPr>
              <w:t>Measure 5</w:t>
            </w:r>
          </w:p>
          <w:p w14:paraId="0B934F70" w14:textId="29C75C3E" w:rsidR="00E35DED" w:rsidRPr="00E724F9" w:rsidRDefault="00E35DED" w:rsidP="00E11F4F">
            <w:pPr>
              <w:pStyle w:val="OutlineNumbered1"/>
              <w:numPr>
                <w:ilvl w:val="0"/>
                <w:numId w:val="0"/>
              </w:numPr>
              <w:spacing w:after="120"/>
              <w:rPr>
                <w:rFonts w:ascii="Calibri" w:eastAsia="Times New Roman" w:hAnsi="Calibri" w:cs="Calibri"/>
                <w:sz w:val="20"/>
                <w:szCs w:val="20"/>
                <w:lang w:val="en-AU" w:eastAsia="en-AU"/>
              </w:rPr>
            </w:pPr>
            <w:r w:rsidRPr="25D06266">
              <w:rPr>
                <w:rFonts w:ascii="Calibri" w:eastAsia="Times New Roman" w:hAnsi="Calibri" w:cs="Calibri"/>
                <w:sz w:val="20"/>
                <w:szCs w:val="20"/>
                <w:lang w:val="en-AU" w:eastAsia="en-AU"/>
              </w:rPr>
              <w:t>Streamline approval pathways and prioritise planning amendments to support diverse housing, including promoting medium- and high-density housing in well-located areas.  </w:t>
            </w:r>
          </w:p>
        </w:tc>
        <w:tc>
          <w:tcPr>
            <w:tcW w:w="1799" w:type="pct"/>
            <w:tcBorders>
              <w:left w:val="single" w:sz="4" w:space="0" w:color="auto"/>
              <w:bottom w:val="single" w:sz="4" w:space="0" w:color="auto"/>
            </w:tcBorders>
          </w:tcPr>
          <w:p w14:paraId="7DBDBD8F" w14:textId="77777777" w:rsidR="00E35DED" w:rsidRDefault="00E35DED" w:rsidP="00365B36">
            <w:pPr>
              <w:pStyle w:val="OutlineNumbered1"/>
              <w:numPr>
                <w:ilvl w:val="0"/>
                <w:numId w:val="0"/>
              </w:numPr>
              <w:spacing w:after="120"/>
              <w:rPr>
                <w:sz w:val="20"/>
                <w:szCs w:val="20"/>
              </w:rPr>
            </w:pPr>
            <w:r w:rsidRPr="3280F7CD">
              <w:rPr>
                <w:sz w:val="20"/>
                <w:szCs w:val="20"/>
              </w:rPr>
              <w:t>Action 5</w:t>
            </w:r>
          </w:p>
          <w:p w14:paraId="2D5B3070" w14:textId="11F12D26" w:rsidR="00E35DED" w:rsidRPr="00E724F9" w:rsidRDefault="00E35DED" w:rsidP="00365B36">
            <w:pPr>
              <w:pStyle w:val="OutlineNumbered1"/>
              <w:numPr>
                <w:ilvl w:val="0"/>
                <w:numId w:val="0"/>
              </w:numPr>
              <w:spacing w:after="120"/>
              <w:rPr>
                <w:sz w:val="20"/>
                <w:szCs w:val="20"/>
              </w:rPr>
            </w:pPr>
            <w:r w:rsidRPr="3280F7CD">
              <w:rPr>
                <w:sz w:val="20"/>
                <w:szCs w:val="20"/>
              </w:rPr>
              <w:t xml:space="preserve">Report to national cabinet twice-yearly on planning amendments to support high and medium density housing, housing density planning controls and non-planning barriers preventing diverse housing. </w:t>
            </w:r>
          </w:p>
        </w:tc>
        <w:tc>
          <w:tcPr>
            <w:tcW w:w="1983" w:type="pct"/>
            <w:tcBorders>
              <w:bottom w:val="single" w:sz="4" w:space="0" w:color="auto"/>
            </w:tcBorders>
          </w:tcPr>
          <w:p w14:paraId="1E5E0DBC" w14:textId="77777777" w:rsidR="00E35DED" w:rsidRPr="00337A3B" w:rsidRDefault="00E35DED" w:rsidP="00365B36">
            <w:pPr>
              <w:spacing w:after="120"/>
              <w:rPr>
                <w:sz w:val="20"/>
                <w:szCs w:val="20"/>
              </w:rPr>
            </w:pPr>
            <w:r w:rsidRPr="00337A3B">
              <w:rPr>
                <w:rFonts w:ascii="Calibri" w:eastAsia="Times New Roman" w:hAnsi="Calibri" w:cs="Calibri"/>
                <w:sz w:val="20"/>
                <w:szCs w:val="20"/>
                <w:lang w:val="en-AU" w:eastAsia="en-AU"/>
              </w:rPr>
              <w:t>All jurisdictions have progressed this action, but further work will be needed to determine the impact on housing supply targets in some jurisdictions. Similarly, further adaptions of approval pathways are likely to be required for jurisdictions to meet their share of housing targets.  </w:t>
            </w:r>
          </w:p>
        </w:tc>
        <w:tc>
          <w:tcPr>
            <w:tcW w:w="338" w:type="pct"/>
            <w:vMerge/>
          </w:tcPr>
          <w:p w14:paraId="31218E5E" w14:textId="77777777" w:rsidR="00E35DED" w:rsidRPr="00337A3B" w:rsidRDefault="00E35DED" w:rsidP="00365B36">
            <w:pPr>
              <w:spacing w:after="120"/>
              <w:rPr>
                <w:rFonts w:ascii="Calibri" w:eastAsia="Times New Roman" w:hAnsi="Calibri" w:cs="Calibri"/>
                <w:sz w:val="20"/>
                <w:szCs w:val="20"/>
                <w:lang w:val="en-AU" w:eastAsia="en-AU"/>
              </w:rPr>
            </w:pPr>
          </w:p>
        </w:tc>
      </w:tr>
      <w:tr w:rsidR="00E35DED" w14:paraId="2376E6BB" w14:textId="30A1B496" w:rsidTr="000A6A66">
        <w:tc>
          <w:tcPr>
            <w:tcW w:w="879" w:type="pct"/>
            <w:vMerge w:val="restart"/>
            <w:tcBorders>
              <w:top w:val="single" w:sz="4" w:space="0" w:color="auto"/>
              <w:right w:val="single" w:sz="4" w:space="0" w:color="auto"/>
            </w:tcBorders>
          </w:tcPr>
          <w:p w14:paraId="0E0D6CBC" w14:textId="77777777" w:rsidR="00E35DED" w:rsidRPr="00171F08" w:rsidRDefault="00E35DED" w:rsidP="00171F08">
            <w:pPr>
              <w:pStyle w:val="OutlineNumbered1"/>
              <w:numPr>
                <w:ilvl w:val="0"/>
                <w:numId w:val="0"/>
              </w:numPr>
              <w:spacing w:after="120"/>
              <w:rPr>
                <w:rFonts w:ascii="Calibri" w:eastAsia="Times New Roman" w:hAnsi="Calibri" w:cs="Calibri"/>
                <w:b/>
                <w:bCs/>
                <w:sz w:val="20"/>
                <w:szCs w:val="20"/>
                <w:lang w:val="en-AU" w:eastAsia="en-AU"/>
              </w:rPr>
            </w:pPr>
            <w:r w:rsidRPr="00171F08">
              <w:rPr>
                <w:rFonts w:ascii="Calibri" w:eastAsia="Times New Roman" w:hAnsi="Calibri" w:cs="Calibri"/>
                <w:b/>
                <w:bCs/>
                <w:sz w:val="20"/>
                <w:szCs w:val="20"/>
                <w:lang w:val="en-AU" w:eastAsia="en-AU"/>
              </w:rPr>
              <w:t>Measure 6</w:t>
            </w:r>
          </w:p>
          <w:p w14:paraId="198BE045" w14:textId="341117E1" w:rsidR="00E35DED" w:rsidRPr="00E724F9" w:rsidRDefault="00E35DED" w:rsidP="00171F08">
            <w:pPr>
              <w:pStyle w:val="OutlineNumbered2"/>
              <w:numPr>
                <w:ilvl w:val="0"/>
                <w:numId w:val="0"/>
              </w:numPr>
              <w:spacing w:after="120"/>
              <w:rPr>
                <w:rFonts w:ascii="Calibri" w:eastAsia="Times New Roman" w:hAnsi="Calibri" w:cs="Calibri"/>
                <w:sz w:val="20"/>
                <w:szCs w:val="20"/>
                <w:lang w:val="en-AU" w:eastAsia="en-AU"/>
              </w:rPr>
            </w:pPr>
            <w:r w:rsidRPr="00152DF8">
              <w:rPr>
                <w:rFonts w:ascii="Calibri" w:eastAsia="Times New Roman" w:hAnsi="Calibri" w:cs="Calibri"/>
                <w:sz w:val="20"/>
                <w:szCs w:val="20"/>
                <w:lang w:val="en-AU" w:eastAsia="en-AU"/>
              </w:rPr>
              <w:t>Create accelerated development pathways and streamline approval processes for eligible development types, particularly in well-located areas, including to support the rapid delivery of social and affordable housing.</w:t>
            </w:r>
          </w:p>
        </w:tc>
        <w:tc>
          <w:tcPr>
            <w:tcW w:w="1799" w:type="pct"/>
            <w:tcBorders>
              <w:top w:val="single" w:sz="4" w:space="0" w:color="auto"/>
              <w:left w:val="single" w:sz="4" w:space="0" w:color="auto"/>
              <w:bottom w:val="single" w:sz="4" w:space="0" w:color="D9D9D9" w:themeColor="background1" w:themeShade="D9"/>
            </w:tcBorders>
          </w:tcPr>
          <w:p w14:paraId="41F93A95" w14:textId="62E2DAB2" w:rsidR="00E35DED" w:rsidRDefault="00E35DED" w:rsidP="00171F08">
            <w:pPr>
              <w:pStyle w:val="OutlineNumbered2"/>
              <w:numPr>
                <w:ilvl w:val="1"/>
                <w:numId w:val="0"/>
              </w:numPr>
              <w:spacing w:after="120"/>
              <w:rPr>
                <w:rFonts w:ascii="Calibri" w:eastAsia="Times New Roman" w:hAnsi="Calibri" w:cs="Calibri"/>
                <w:sz w:val="20"/>
                <w:szCs w:val="20"/>
                <w:lang w:val="en-AU" w:eastAsia="en-AU"/>
              </w:rPr>
            </w:pPr>
            <w:r w:rsidRPr="3280F7CD">
              <w:rPr>
                <w:rFonts w:ascii="Calibri" w:eastAsia="Times New Roman" w:hAnsi="Calibri" w:cs="Calibri"/>
                <w:sz w:val="20"/>
                <w:szCs w:val="20"/>
                <w:lang w:val="en-AU" w:eastAsia="en-AU"/>
              </w:rPr>
              <w:t>Action 6.1</w:t>
            </w:r>
          </w:p>
          <w:p w14:paraId="262775C9" w14:textId="7ED4BA3A" w:rsidR="00E35DED" w:rsidRPr="00E724F9" w:rsidRDefault="00E35DED" w:rsidP="00171F08">
            <w:pPr>
              <w:pStyle w:val="OutlineNumbered2"/>
              <w:numPr>
                <w:ilvl w:val="1"/>
                <w:numId w:val="0"/>
              </w:numPr>
              <w:spacing w:after="120"/>
              <w:rPr>
                <w:sz w:val="20"/>
                <w:szCs w:val="20"/>
              </w:rPr>
            </w:pPr>
            <w:r w:rsidRPr="3280F7CD">
              <w:rPr>
                <w:rFonts w:ascii="Calibri" w:eastAsia="Times New Roman" w:hAnsi="Calibri" w:cs="Calibri"/>
                <w:sz w:val="20"/>
                <w:szCs w:val="20"/>
                <w:lang w:val="en-AU" w:eastAsia="en-AU"/>
              </w:rPr>
              <w:t>Report on adaptions to development pathways and streamlined approval processes. </w:t>
            </w:r>
          </w:p>
        </w:tc>
        <w:tc>
          <w:tcPr>
            <w:tcW w:w="1983" w:type="pct"/>
            <w:tcBorders>
              <w:top w:val="single" w:sz="4" w:space="0" w:color="D9D9D9" w:themeColor="background1" w:themeShade="D9"/>
              <w:bottom w:val="single" w:sz="4" w:space="0" w:color="D9D9D9" w:themeColor="background1" w:themeShade="D9"/>
            </w:tcBorders>
          </w:tcPr>
          <w:p w14:paraId="52DE54C5" w14:textId="77777777" w:rsidR="00E35DED" w:rsidRPr="00337A3B" w:rsidRDefault="00E35DED" w:rsidP="00171F08">
            <w:pPr>
              <w:spacing w:after="120"/>
              <w:rPr>
                <w:sz w:val="20"/>
                <w:szCs w:val="20"/>
              </w:rPr>
            </w:pPr>
            <w:r w:rsidRPr="00337A3B">
              <w:rPr>
                <w:rFonts w:ascii="Calibri" w:eastAsia="Times New Roman" w:hAnsi="Calibri" w:cs="Calibri"/>
                <w:sz w:val="20"/>
                <w:szCs w:val="20"/>
                <w:lang w:val="en-AU" w:eastAsia="en-AU"/>
              </w:rPr>
              <w:t>All jurisdictions have progressed this action. However, further adaptions are likely to be required for jurisdictions to meet their share of housing targets.   </w:t>
            </w:r>
          </w:p>
        </w:tc>
        <w:tc>
          <w:tcPr>
            <w:tcW w:w="338" w:type="pct"/>
            <w:vMerge/>
          </w:tcPr>
          <w:p w14:paraId="1813B3CB" w14:textId="77777777" w:rsidR="00E35DED" w:rsidRPr="00337A3B" w:rsidRDefault="00E35DED" w:rsidP="00171F08">
            <w:pPr>
              <w:spacing w:after="120"/>
              <w:rPr>
                <w:rFonts w:ascii="Calibri" w:eastAsia="Times New Roman" w:hAnsi="Calibri" w:cs="Calibri"/>
                <w:sz w:val="20"/>
                <w:szCs w:val="20"/>
                <w:lang w:val="en-AU" w:eastAsia="en-AU"/>
              </w:rPr>
            </w:pPr>
          </w:p>
        </w:tc>
      </w:tr>
      <w:tr w:rsidR="007D26EC" w14:paraId="048E15C6" w14:textId="57B97FA8" w:rsidTr="27803875">
        <w:tc>
          <w:tcPr>
            <w:tcW w:w="879" w:type="pct"/>
            <w:vMerge/>
          </w:tcPr>
          <w:p w14:paraId="237E6888" w14:textId="7586ACCE" w:rsidR="007D26EC" w:rsidRPr="00E724F9" w:rsidRDefault="007D26EC" w:rsidP="00171F08">
            <w:pPr>
              <w:pStyle w:val="OutlineNumbered2"/>
              <w:numPr>
                <w:ilvl w:val="0"/>
                <w:numId w:val="0"/>
              </w:numPr>
              <w:spacing w:after="120"/>
              <w:ind w:left="756" w:hanging="378"/>
              <w:rPr>
                <w:rFonts w:ascii="Calibri" w:eastAsia="Times New Roman" w:hAnsi="Calibri" w:cs="Calibri"/>
                <w:sz w:val="20"/>
                <w:szCs w:val="20"/>
                <w:lang w:val="en-AU" w:eastAsia="en-AU"/>
              </w:rPr>
            </w:pPr>
          </w:p>
        </w:tc>
        <w:tc>
          <w:tcPr>
            <w:tcW w:w="1799" w:type="pct"/>
            <w:tcBorders>
              <w:top w:val="single" w:sz="4" w:space="0" w:color="D9D9D9" w:themeColor="background1" w:themeShade="D9"/>
              <w:left w:val="nil"/>
              <w:bottom w:val="single" w:sz="4" w:space="0" w:color="auto"/>
            </w:tcBorders>
          </w:tcPr>
          <w:p w14:paraId="1D6EA784" w14:textId="089C0B79" w:rsidR="007D26EC" w:rsidRDefault="007D26EC" w:rsidP="00171F08">
            <w:pPr>
              <w:pStyle w:val="OutlineNumbered2"/>
              <w:numPr>
                <w:ilvl w:val="1"/>
                <w:numId w:val="0"/>
              </w:numPr>
              <w:spacing w:after="120"/>
              <w:rPr>
                <w:rFonts w:ascii="Calibri" w:eastAsia="Times New Roman" w:hAnsi="Calibri" w:cs="Calibri"/>
                <w:sz w:val="20"/>
                <w:szCs w:val="20"/>
                <w:lang w:val="en-AU" w:eastAsia="en-AU"/>
              </w:rPr>
            </w:pPr>
            <w:r w:rsidRPr="3280F7CD">
              <w:rPr>
                <w:rFonts w:ascii="Calibri" w:eastAsia="Times New Roman" w:hAnsi="Calibri" w:cs="Calibri"/>
                <w:sz w:val="20"/>
                <w:szCs w:val="20"/>
                <w:lang w:val="en-AU" w:eastAsia="en-AU"/>
              </w:rPr>
              <w:t>Action 6.2</w:t>
            </w:r>
          </w:p>
          <w:p w14:paraId="437CDFA8" w14:textId="33ECC5D7" w:rsidR="007D26EC" w:rsidRPr="00E724F9" w:rsidRDefault="007D26EC" w:rsidP="00171F08">
            <w:pPr>
              <w:pStyle w:val="OutlineNumbered2"/>
              <w:numPr>
                <w:ilvl w:val="1"/>
                <w:numId w:val="0"/>
              </w:numPr>
              <w:spacing w:after="120"/>
              <w:rPr>
                <w:sz w:val="20"/>
                <w:szCs w:val="20"/>
              </w:rPr>
            </w:pPr>
            <w:r w:rsidRPr="3280F7CD">
              <w:rPr>
                <w:rFonts w:ascii="Calibri" w:eastAsia="Times New Roman" w:hAnsi="Calibri" w:cs="Calibri"/>
                <w:sz w:val="20"/>
                <w:szCs w:val="20"/>
                <w:lang w:val="en-AU" w:eastAsia="en-AU"/>
              </w:rPr>
              <w:t>Report on key barriers to the timely issuing of development approvals and identify jurisdiction-led adaptions that address barriers.</w:t>
            </w:r>
          </w:p>
        </w:tc>
        <w:tc>
          <w:tcPr>
            <w:tcW w:w="1983" w:type="pct"/>
            <w:tcBorders>
              <w:top w:val="single" w:sz="4" w:space="0" w:color="D9D9D9" w:themeColor="background1" w:themeShade="D9"/>
              <w:bottom w:val="single" w:sz="4" w:space="0" w:color="auto"/>
            </w:tcBorders>
          </w:tcPr>
          <w:p w14:paraId="289CF6FD" w14:textId="77777777" w:rsidR="007D26EC" w:rsidRDefault="007D26EC" w:rsidP="00171F08">
            <w:pPr>
              <w:spacing w:after="120"/>
              <w:rPr>
                <w:rFonts w:ascii="Calibri" w:eastAsia="Times New Roman" w:hAnsi="Calibri" w:cs="Calibri"/>
                <w:sz w:val="20"/>
                <w:szCs w:val="20"/>
                <w:lang w:val="en-AU" w:eastAsia="en-AU"/>
              </w:rPr>
            </w:pPr>
            <w:r w:rsidRPr="00337A3B">
              <w:rPr>
                <w:rFonts w:ascii="Calibri" w:eastAsia="Times New Roman" w:hAnsi="Calibri" w:cs="Calibri"/>
                <w:sz w:val="20"/>
                <w:szCs w:val="20"/>
                <w:lang w:val="en-AU" w:eastAsia="en-AU"/>
              </w:rPr>
              <w:t>Jurisdictions have identified key barriers</w:t>
            </w:r>
            <w:r>
              <w:rPr>
                <w:rFonts w:ascii="Calibri" w:eastAsia="Times New Roman" w:hAnsi="Calibri" w:cs="Calibri"/>
                <w:sz w:val="20"/>
                <w:szCs w:val="20"/>
                <w:lang w:val="en-AU" w:eastAsia="en-AU"/>
              </w:rPr>
              <w:t xml:space="preserve">, namely the </w:t>
            </w:r>
            <w:r w:rsidRPr="00337A3B">
              <w:rPr>
                <w:rFonts w:ascii="Calibri" w:eastAsia="Times New Roman" w:hAnsi="Calibri" w:cs="Calibri"/>
                <w:sz w:val="20"/>
                <w:szCs w:val="20"/>
                <w:lang w:val="en-AU" w:eastAsia="en-AU"/>
              </w:rPr>
              <w:t xml:space="preserve">shortage of planners, poor quality submissions, </w:t>
            </w:r>
            <w:r>
              <w:rPr>
                <w:rFonts w:ascii="Calibri" w:eastAsia="Times New Roman" w:hAnsi="Calibri" w:cs="Calibri"/>
                <w:sz w:val="20"/>
                <w:szCs w:val="20"/>
                <w:lang w:val="en-AU" w:eastAsia="en-AU"/>
              </w:rPr>
              <w:t xml:space="preserve">the </w:t>
            </w:r>
            <w:r w:rsidRPr="00337A3B">
              <w:rPr>
                <w:rFonts w:ascii="Calibri" w:eastAsia="Times New Roman" w:hAnsi="Calibri" w:cs="Calibri"/>
                <w:sz w:val="20"/>
                <w:szCs w:val="20"/>
                <w:lang w:val="en-AU" w:eastAsia="en-AU"/>
              </w:rPr>
              <w:t>time taken from gov</w:t>
            </w:r>
            <w:r>
              <w:rPr>
                <w:rFonts w:ascii="Calibri" w:eastAsia="Times New Roman" w:hAnsi="Calibri" w:cs="Calibri"/>
                <w:sz w:val="20"/>
                <w:szCs w:val="20"/>
                <w:lang w:val="en-AU" w:eastAsia="en-AU"/>
              </w:rPr>
              <w:t>ernment</w:t>
            </w:r>
            <w:r w:rsidRPr="00337A3B">
              <w:rPr>
                <w:rFonts w:ascii="Calibri" w:eastAsia="Times New Roman" w:hAnsi="Calibri" w:cs="Calibri"/>
                <w:sz w:val="20"/>
                <w:szCs w:val="20"/>
                <w:lang w:val="en-AU" w:eastAsia="en-AU"/>
              </w:rPr>
              <w:t xml:space="preserve"> agencies to complete referrals and community opposition</w:t>
            </w:r>
            <w:r>
              <w:rPr>
                <w:rFonts w:ascii="Calibri" w:eastAsia="Times New Roman" w:hAnsi="Calibri" w:cs="Calibri"/>
                <w:sz w:val="20"/>
                <w:szCs w:val="20"/>
                <w:lang w:val="en-AU" w:eastAsia="en-AU"/>
              </w:rPr>
              <w:t xml:space="preserve">. </w:t>
            </w:r>
          </w:p>
          <w:p w14:paraId="28BC2247" w14:textId="77777777" w:rsidR="007D26EC" w:rsidRDefault="007D26EC" w:rsidP="00171F08">
            <w:pPr>
              <w:spacing w:after="120"/>
              <w:rPr>
                <w:rFonts w:ascii="Calibri" w:eastAsia="Times New Roman" w:hAnsi="Calibri" w:cs="Calibri"/>
                <w:sz w:val="20"/>
                <w:szCs w:val="20"/>
                <w:lang w:val="en-AU" w:eastAsia="en-AU"/>
              </w:rPr>
            </w:pPr>
            <w:r>
              <w:rPr>
                <w:rFonts w:ascii="Calibri" w:eastAsia="Times New Roman" w:hAnsi="Calibri" w:cs="Calibri"/>
                <w:sz w:val="20"/>
                <w:szCs w:val="20"/>
                <w:lang w:val="en-AU" w:eastAsia="en-AU"/>
              </w:rPr>
              <w:t xml:space="preserve">Jurisdictions have also </w:t>
            </w:r>
            <w:r w:rsidRPr="00337A3B">
              <w:rPr>
                <w:rFonts w:ascii="Calibri" w:eastAsia="Times New Roman" w:hAnsi="Calibri" w:cs="Calibri"/>
                <w:sz w:val="20"/>
                <w:szCs w:val="20"/>
                <w:lang w:val="en-AU" w:eastAsia="en-AU"/>
              </w:rPr>
              <w:t>implemented responses</w:t>
            </w:r>
            <w:r>
              <w:rPr>
                <w:rFonts w:ascii="Calibri" w:eastAsia="Times New Roman" w:hAnsi="Calibri" w:cs="Calibri"/>
                <w:sz w:val="20"/>
                <w:szCs w:val="20"/>
                <w:lang w:val="en-AU" w:eastAsia="en-AU"/>
              </w:rPr>
              <w:t xml:space="preserve">, namely </w:t>
            </w:r>
            <w:r w:rsidRPr="00337A3B">
              <w:rPr>
                <w:rFonts w:ascii="Calibri" w:eastAsia="Times New Roman" w:hAnsi="Calibri" w:cs="Calibri"/>
                <w:sz w:val="20"/>
                <w:szCs w:val="20"/>
                <w:lang w:val="en-AU" w:eastAsia="en-AU"/>
              </w:rPr>
              <w:t>filling skill shortages, standardis</w:t>
            </w:r>
            <w:r>
              <w:rPr>
                <w:rFonts w:ascii="Calibri" w:eastAsia="Times New Roman" w:hAnsi="Calibri" w:cs="Calibri"/>
                <w:sz w:val="20"/>
                <w:szCs w:val="20"/>
                <w:lang w:val="en-AU" w:eastAsia="en-AU"/>
              </w:rPr>
              <w:t>ing</w:t>
            </w:r>
            <w:r w:rsidRPr="00337A3B">
              <w:rPr>
                <w:rFonts w:ascii="Calibri" w:eastAsia="Times New Roman" w:hAnsi="Calibri" w:cs="Calibri"/>
                <w:sz w:val="20"/>
                <w:szCs w:val="20"/>
                <w:lang w:val="en-AU" w:eastAsia="en-AU"/>
              </w:rPr>
              <w:t xml:space="preserve"> and automat</w:t>
            </w:r>
            <w:r>
              <w:rPr>
                <w:rFonts w:ascii="Calibri" w:eastAsia="Times New Roman" w:hAnsi="Calibri" w:cs="Calibri"/>
                <w:sz w:val="20"/>
                <w:szCs w:val="20"/>
                <w:lang w:val="en-AU" w:eastAsia="en-AU"/>
              </w:rPr>
              <w:t xml:space="preserve">ing </w:t>
            </w:r>
            <w:r w:rsidRPr="00337A3B">
              <w:rPr>
                <w:rFonts w:ascii="Calibri" w:eastAsia="Times New Roman" w:hAnsi="Calibri" w:cs="Calibri"/>
                <w:sz w:val="20"/>
                <w:szCs w:val="20"/>
                <w:lang w:val="en-AU" w:eastAsia="en-AU"/>
              </w:rPr>
              <w:t>gov</w:t>
            </w:r>
            <w:r>
              <w:rPr>
                <w:rFonts w:ascii="Calibri" w:eastAsia="Times New Roman" w:hAnsi="Calibri" w:cs="Calibri"/>
                <w:sz w:val="20"/>
                <w:szCs w:val="20"/>
                <w:lang w:val="en-AU" w:eastAsia="en-AU"/>
              </w:rPr>
              <w:t>ernment</w:t>
            </w:r>
            <w:r w:rsidRPr="00337A3B">
              <w:rPr>
                <w:rFonts w:ascii="Calibri" w:eastAsia="Times New Roman" w:hAnsi="Calibri" w:cs="Calibri"/>
                <w:sz w:val="20"/>
                <w:szCs w:val="20"/>
                <w:lang w:val="en-AU" w:eastAsia="en-AU"/>
              </w:rPr>
              <w:t xml:space="preserve"> agency referrals and us</w:t>
            </w:r>
            <w:r>
              <w:rPr>
                <w:rFonts w:ascii="Calibri" w:eastAsia="Times New Roman" w:hAnsi="Calibri" w:cs="Calibri"/>
                <w:sz w:val="20"/>
                <w:szCs w:val="20"/>
                <w:lang w:val="en-AU" w:eastAsia="en-AU"/>
              </w:rPr>
              <w:t>ing</w:t>
            </w:r>
            <w:r w:rsidRPr="00337A3B">
              <w:rPr>
                <w:rFonts w:ascii="Calibri" w:eastAsia="Times New Roman" w:hAnsi="Calibri" w:cs="Calibri"/>
                <w:sz w:val="20"/>
                <w:szCs w:val="20"/>
                <w:lang w:val="en-AU" w:eastAsia="en-AU"/>
              </w:rPr>
              <w:t xml:space="preserve"> </w:t>
            </w:r>
            <w:r>
              <w:rPr>
                <w:rFonts w:ascii="Calibri" w:eastAsia="Times New Roman" w:hAnsi="Calibri" w:cs="Calibri"/>
                <w:sz w:val="20"/>
                <w:szCs w:val="20"/>
                <w:lang w:val="en-AU" w:eastAsia="en-AU"/>
              </w:rPr>
              <w:t>artificial intelligence</w:t>
            </w:r>
            <w:r w:rsidRPr="00337A3B">
              <w:rPr>
                <w:rFonts w:ascii="Calibri" w:eastAsia="Times New Roman" w:hAnsi="Calibri" w:cs="Calibri"/>
                <w:sz w:val="20"/>
                <w:szCs w:val="20"/>
                <w:lang w:val="en-AU" w:eastAsia="en-AU"/>
              </w:rPr>
              <w:t xml:space="preserve"> </w:t>
            </w:r>
            <w:r>
              <w:rPr>
                <w:rFonts w:ascii="Calibri" w:eastAsia="Times New Roman" w:hAnsi="Calibri" w:cs="Calibri"/>
                <w:sz w:val="20"/>
                <w:szCs w:val="20"/>
                <w:lang w:val="en-AU" w:eastAsia="en-AU"/>
              </w:rPr>
              <w:t xml:space="preserve">to support development approvals </w:t>
            </w:r>
            <w:r w:rsidRPr="00337A3B">
              <w:rPr>
                <w:rFonts w:ascii="Calibri" w:eastAsia="Times New Roman" w:hAnsi="Calibri" w:cs="Calibri"/>
                <w:sz w:val="20"/>
                <w:szCs w:val="20"/>
                <w:lang w:val="en-AU" w:eastAsia="en-AU"/>
              </w:rPr>
              <w:t xml:space="preserve">where feasible and safe. </w:t>
            </w:r>
          </w:p>
          <w:p w14:paraId="547BB384" w14:textId="3E27F566" w:rsidR="007D26EC" w:rsidRPr="00337A3B" w:rsidRDefault="00573B45" w:rsidP="00171F08">
            <w:pPr>
              <w:spacing w:after="120"/>
              <w:rPr>
                <w:sz w:val="20"/>
                <w:szCs w:val="20"/>
              </w:rPr>
            </w:pPr>
            <w:r w:rsidRPr="00573B45">
              <w:rPr>
                <w:rFonts w:ascii="Calibri" w:eastAsia="Times New Roman" w:hAnsi="Calibri" w:cs="Calibri"/>
                <w:sz w:val="20"/>
                <w:szCs w:val="20"/>
                <w:lang w:val="en-AU" w:eastAsia="en-AU"/>
              </w:rPr>
              <w:t>Planning Ministers have agreed to continue to report to National Cabinet on updates on this action where appropriate.</w:t>
            </w:r>
          </w:p>
        </w:tc>
        <w:tc>
          <w:tcPr>
            <w:tcW w:w="338" w:type="pct"/>
            <w:tcBorders>
              <w:top w:val="single" w:sz="4" w:space="0" w:color="auto"/>
              <w:bottom w:val="single" w:sz="4" w:space="0" w:color="auto"/>
            </w:tcBorders>
            <w:shd w:val="clear" w:color="auto" w:fill="92D050"/>
            <w:vAlign w:val="center"/>
          </w:tcPr>
          <w:p w14:paraId="64BAA9A5" w14:textId="427E1862" w:rsidR="007D26EC" w:rsidRPr="00337A3B" w:rsidRDefault="00E35DED" w:rsidP="00E35DED">
            <w:pPr>
              <w:spacing w:after="120"/>
              <w:jc w:val="center"/>
              <w:rPr>
                <w:rFonts w:ascii="Calibri" w:eastAsia="Times New Roman" w:hAnsi="Calibri" w:cs="Calibri"/>
                <w:sz w:val="20"/>
                <w:szCs w:val="20"/>
                <w:lang w:val="en-AU" w:eastAsia="en-AU"/>
              </w:rPr>
            </w:pPr>
            <w:r>
              <w:rPr>
                <w:rFonts w:ascii="Calibri" w:eastAsia="Times New Roman" w:hAnsi="Calibri" w:cs="Calibri"/>
                <w:sz w:val="20"/>
                <w:szCs w:val="20"/>
                <w:lang w:val="en-AU" w:eastAsia="en-AU"/>
              </w:rPr>
              <w:t>Delivered</w:t>
            </w:r>
          </w:p>
        </w:tc>
      </w:tr>
      <w:tr w:rsidR="00E35DED" w14:paraId="6F2046C2" w14:textId="0CFDFF9D" w:rsidTr="27803875">
        <w:tc>
          <w:tcPr>
            <w:tcW w:w="879" w:type="pct"/>
            <w:vMerge/>
          </w:tcPr>
          <w:p w14:paraId="59E60008" w14:textId="4AA04C94" w:rsidR="00E35DED" w:rsidRPr="00E724F9" w:rsidRDefault="00E35DED" w:rsidP="00171F08">
            <w:pPr>
              <w:pStyle w:val="OutlineNumbered2"/>
              <w:numPr>
                <w:ilvl w:val="0"/>
                <w:numId w:val="0"/>
              </w:numPr>
              <w:spacing w:after="120"/>
              <w:ind w:left="756" w:hanging="378"/>
              <w:rPr>
                <w:rFonts w:ascii="Calibri" w:eastAsia="Times New Roman" w:hAnsi="Calibri" w:cs="Calibri"/>
                <w:sz w:val="20"/>
                <w:szCs w:val="20"/>
                <w:lang w:val="en-AU" w:eastAsia="en-AU"/>
              </w:rPr>
            </w:pPr>
          </w:p>
        </w:tc>
        <w:tc>
          <w:tcPr>
            <w:tcW w:w="1799" w:type="pct"/>
            <w:tcBorders>
              <w:top w:val="single" w:sz="4" w:space="0" w:color="auto"/>
              <w:left w:val="nil"/>
              <w:bottom w:val="single" w:sz="4" w:space="0" w:color="D9D9D9" w:themeColor="background1" w:themeShade="D9"/>
            </w:tcBorders>
          </w:tcPr>
          <w:p w14:paraId="34E8B41E" w14:textId="53047C51" w:rsidR="00E35DED" w:rsidRDefault="00E35DED" w:rsidP="00171F08">
            <w:pPr>
              <w:pStyle w:val="OutlineNumbered2"/>
              <w:numPr>
                <w:ilvl w:val="1"/>
                <w:numId w:val="0"/>
              </w:numPr>
              <w:spacing w:after="120"/>
              <w:rPr>
                <w:rFonts w:ascii="Calibri" w:eastAsia="Times New Roman" w:hAnsi="Calibri" w:cs="Calibri"/>
                <w:sz w:val="20"/>
                <w:szCs w:val="20"/>
                <w:lang w:val="en-AU" w:eastAsia="en-AU"/>
              </w:rPr>
            </w:pPr>
            <w:r w:rsidRPr="3280F7CD">
              <w:rPr>
                <w:rFonts w:ascii="Calibri" w:eastAsia="Times New Roman" w:hAnsi="Calibri" w:cs="Calibri"/>
                <w:sz w:val="20"/>
                <w:szCs w:val="20"/>
                <w:lang w:val="en-AU" w:eastAsia="en-AU"/>
              </w:rPr>
              <w:t>Action 6.3</w:t>
            </w:r>
          </w:p>
          <w:p w14:paraId="679C0819" w14:textId="6570D6AE" w:rsidR="00E35DED" w:rsidRPr="00E724F9" w:rsidRDefault="00E35DED" w:rsidP="00171F08">
            <w:pPr>
              <w:pStyle w:val="OutlineNumbered2"/>
              <w:numPr>
                <w:ilvl w:val="1"/>
                <w:numId w:val="0"/>
              </w:numPr>
              <w:spacing w:after="120"/>
              <w:rPr>
                <w:sz w:val="20"/>
                <w:szCs w:val="20"/>
              </w:rPr>
            </w:pPr>
            <w:r w:rsidRPr="3280F7CD">
              <w:rPr>
                <w:rFonts w:ascii="Calibri" w:eastAsia="Times New Roman" w:hAnsi="Calibri" w:cs="Calibri"/>
                <w:sz w:val="20"/>
                <w:szCs w:val="20"/>
                <w:lang w:val="en-AU" w:eastAsia="en-AU"/>
              </w:rPr>
              <w:t>Sharing planning data across jurisdictions.</w:t>
            </w:r>
          </w:p>
        </w:tc>
        <w:tc>
          <w:tcPr>
            <w:tcW w:w="1983" w:type="pct"/>
            <w:tcBorders>
              <w:top w:val="single" w:sz="4" w:space="0" w:color="auto"/>
              <w:bottom w:val="single" w:sz="4" w:space="0" w:color="D9D9D9" w:themeColor="background1" w:themeShade="D9"/>
            </w:tcBorders>
          </w:tcPr>
          <w:p w14:paraId="67EF9513" w14:textId="77777777" w:rsidR="00E35DED" w:rsidRPr="00337A3B" w:rsidRDefault="00E35DED" w:rsidP="00171F08">
            <w:pPr>
              <w:spacing w:after="120"/>
              <w:rPr>
                <w:sz w:val="20"/>
                <w:szCs w:val="20"/>
              </w:rPr>
            </w:pPr>
            <w:r w:rsidRPr="00337A3B">
              <w:rPr>
                <w:rFonts w:ascii="Calibri" w:eastAsia="Times New Roman" w:hAnsi="Calibri" w:cs="Calibri"/>
                <w:sz w:val="20"/>
                <w:szCs w:val="20"/>
                <w:lang w:val="en-AU" w:eastAsia="en-AU"/>
              </w:rPr>
              <w:t>Jurisdictions are supportive of data sharing and are exploring opportunities to share planning data and analysis with other states.   </w:t>
            </w:r>
          </w:p>
        </w:tc>
        <w:tc>
          <w:tcPr>
            <w:tcW w:w="338" w:type="pct"/>
            <w:vMerge w:val="restart"/>
            <w:tcBorders>
              <w:top w:val="single" w:sz="4" w:space="0" w:color="auto"/>
            </w:tcBorders>
            <w:shd w:val="clear" w:color="auto" w:fill="D4ECBA"/>
            <w:vAlign w:val="center"/>
          </w:tcPr>
          <w:p w14:paraId="293A94C1" w14:textId="76658A06" w:rsidR="00E35DED" w:rsidRPr="00337A3B" w:rsidRDefault="003B1E7F" w:rsidP="00E35DED">
            <w:pPr>
              <w:spacing w:after="120"/>
              <w:jc w:val="center"/>
              <w:rPr>
                <w:rFonts w:ascii="Calibri" w:eastAsia="Times New Roman" w:hAnsi="Calibri" w:cs="Calibri"/>
                <w:sz w:val="20"/>
                <w:szCs w:val="20"/>
                <w:lang w:val="en-AU" w:eastAsia="en-AU"/>
              </w:rPr>
            </w:pPr>
            <w:r>
              <w:rPr>
                <w:rFonts w:ascii="Calibri" w:eastAsia="Times New Roman" w:hAnsi="Calibri" w:cs="Calibri"/>
                <w:sz w:val="20"/>
                <w:szCs w:val="20"/>
                <w:lang w:val="en-AU" w:eastAsia="en-AU"/>
              </w:rPr>
              <w:t xml:space="preserve">Partially delivered </w:t>
            </w:r>
            <w:r>
              <w:rPr>
                <w:rFonts w:ascii="Calibri" w:eastAsia="Times New Roman" w:hAnsi="Calibri" w:cs="Calibri"/>
                <w:sz w:val="20"/>
                <w:szCs w:val="20"/>
                <w:lang w:val="en-AU" w:eastAsia="en-AU"/>
              </w:rPr>
              <w:lastRenderedPageBreak/>
              <w:t>but more to do</w:t>
            </w:r>
          </w:p>
        </w:tc>
      </w:tr>
      <w:tr w:rsidR="00E35DED" w14:paraId="7AFB45F0" w14:textId="067ADC9A" w:rsidTr="27803875">
        <w:tc>
          <w:tcPr>
            <w:tcW w:w="879" w:type="pct"/>
            <w:vMerge/>
          </w:tcPr>
          <w:p w14:paraId="444766E7" w14:textId="02A6996B" w:rsidR="00E35DED" w:rsidRPr="00E724F9" w:rsidRDefault="00E35DED" w:rsidP="00171F08">
            <w:pPr>
              <w:pStyle w:val="OutlineNumbered2"/>
              <w:numPr>
                <w:ilvl w:val="0"/>
                <w:numId w:val="0"/>
              </w:numPr>
              <w:spacing w:after="120"/>
              <w:ind w:left="756" w:hanging="378"/>
              <w:rPr>
                <w:rFonts w:ascii="Calibri" w:eastAsia="Times New Roman" w:hAnsi="Calibri" w:cs="Calibri"/>
                <w:sz w:val="20"/>
                <w:szCs w:val="20"/>
                <w:lang w:val="en-AU" w:eastAsia="en-AU"/>
              </w:rPr>
            </w:pPr>
          </w:p>
        </w:tc>
        <w:tc>
          <w:tcPr>
            <w:tcW w:w="1799" w:type="pct"/>
            <w:tcBorders>
              <w:top w:val="single" w:sz="4" w:space="0" w:color="D9D9D9" w:themeColor="background1" w:themeShade="D9"/>
              <w:left w:val="nil"/>
              <w:bottom w:val="single" w:sz="4" w:space="0" w:color="D9D9D9" w:themeColor="background1" w:themeShade="D9"/>
            </w:tcBorders>
          </w:tcPr>
          <w:p w14:paraId="2C00C4E0" w14:textId="07188CA0" w:rsidR="00E35DED" w:rsidRDefault="00E35DED" w:rsidP="00171F08">
            <w:pPr>
              <w:pStyle w:val="OutlineNumbered2"/>
              <w:numPr>
                <w:ilvl w:val="1"/>
                <w:numId w:val="0"/>
              </w:numPr>
              <w:spacing w:after="120"/>
              <w:rPr>
                <w:rFonts w:ascii="Calibri" w:eastAsia="Times New Roman" w:hAnsi="Calibri" w:cs="Calibri"/>
                <w:sz w:val="20"/>
                <w:szCs w:val="20"/>
                <w:lang w:val="en-AU" w:eastAsia="en-AU"/>
              </w:rPr>
            </w:pPr>
            <w:r w:rsidRPr="3280F7CD">
              <w:rPr>
                <w:rFonts w:ascii="Calibri" w:eastAsia="Times New Roman" w:hAnsi="Calibri" w:cs="Calibri"/>
                <w:sz w:val="20"/>
                <w:szCs w:val="20"/>
                <w:lang w:val="en-AU" w:eastAsia="en-AU"/>
              </w:rPr>
              <w:t>Action 6.4</w:t>
            </w:r>
          </w:p>
          <w:p w14:paraId="02439173" w14:textId="6E22115B" w:rsidR="00E35DED" w:rsidRPr="00E724F9" w:rsidRDefault="00E35DED" w:rsidP="00171F08">
            <w:pPr>
              <w:pStyle w:val="OutlineNumbered2"/>
              <w:numPr>
                <w:ilvl w:val="1"/>
                <w:numId w:val="0"/>
              </w:numPr>
              <w:spacing w:after="120"/>
              <w:rPr>
                <w:sz w:val="20"/>
                <w:szCs w:val="20"/>
              </w:rPr>
            </w:pPr>
            <w:r w:rsidRPr="3280F7CD">
              <w:rPr>
                <w:rFonts w:ascii="Calibri" w:eastAsia="Times New Roman" w:hAnsi="Calibri" w:cs="Calibri"/>
                <w:sz w:val="20"/>
                <w:szCs w:val="20"/>
                <w:lang w:val="en-AU" w:eastAsia="en-AU"/>
              </w:rPr>
              <w:t>Report on existing development approvals (DAs) which have not been acted upon and identify barriers to the delivery of approved housing.</w:t>
            </w:r>
          </w:p>
        </w:tc>
        <w:tc>
          <w:tcPr>
            <w:tcW w:w="1983" w:type="pct"/>
            <w:tcBorders>
              <w:top w:val="single" w:sz="4" w:space="0" w:color="D9D9D9" w:themeColor="background1" w:themeShade="D9"/>
              <w:bottom w:val="single" w:sz="4" w:space="0" w:color="D9D9D9" w:themeColor="background1" w:themeShade="D9"/>
            </w:tcBorders>
          </w:tcPr>
          <w:p w14:paraId="752FA0F8" w14:textId="77777777" w:rsidR="00E35DED" w:rsidRDefault="00E35DED" w:rsidP="00171F08">
            <w:pPr>
              <w:spacing w:after="120"/>
              <w:rPr>
                <w:rFonts w:ascii="Calibri" w:eastAsia="Times New Roman" w:hAnsi="Calibri" w:cs="Calibri"/>
                <w:sz w:val="20"/>
                <w:szCs w:val="20"/>
                <w:lang w:val="en-AU" w:eastAsia="en-AU"/>
              </w:rPr>
            </w:pPr>
            <w:r w:rsidRPr="00337A3B">
              <w:rPr>
                <w:rFonts w:ascii="Calibri" w:eastAsia="Times New Roman" w:hAnsi="Calibri" w:cs="Calibri"/>
                <w:sz w:val="20"/>
                <w:szCs w:val="20"/>
                <w:lang w:val="en-AU" w:eastAsia="en-AU"/>
              </w:rPr>
              <w:t>Most (but not all) jurisdictions</w:t>
            </w:r>
            <w:r>
              <w:rPr>
                <w:rFonts w:ascii="Calibri" w:eastAsia="Times New Roman" w:hAnsi="Calibri" w:cs="Calibri"/>
                <w:sz w:val="20"/>
                <w:szCs w:val="20"/>
                <w:lang w:val="en-AU" w:eastAsia="en-AU"/>
              </w:rPr>
              <w:t xml:space="preserve"> have</w:t>
            </w:r>
            <w:r w:rsidRPr="00337A3B">
              <w:rPr>
                <w:rFonts w:ascii="Calibri" w:eastAsia="Times New Roman" w:hAnsi="Calibri" w:cs="Calibri"/>
                <w:sz w:val="20"/>
                <w:szCs w:val="20"/>
                <w:lang w:val="en-AU" w:eastAsia="en-AU"/>
              </w:rPr>
              <w:t xml:space="preserve"> reported on </w:t>
            </w:r>
            <w:r>
              <w:rPr>
                <w:rFonts w:ascii="Calibri" w:eastAsia="Times New Roman" w:hAnsi="Calibri" w:cs="Calibri"/>
                <w:sz w:val="20"/>
                <w:szCs w:val="20"/>
                <w:lang w:val="en-AU" w:eastAsia="en-AU"/>
              </w:rPr>
              <w:t>development approvals</w:t>
            </w:r>
            <w:r w:rsidRPr="00337A3B">
              <w:rPr>
                <w:rFonts w:ascii="Calibri" w:eastAsia="Times New Roman" w:hAnsi="Calibri" w:cs="Calibri"/>
                <w:sz w:val="20"/>
                <w:szCs w:val="20"/>
                <w:lang w:val="en-AU" w:eastAsia="en-AU"/>
              </w:rPr>
              <w:t xml:space="preserve"> which have not been acted upon, identifying key barriers to delivery of approved housing</w:t>
            </w:r>
            <w:r>
              <w:rPr>
                <w:rFonts w:ascii="Calibri" w:eastAsia="Times New Roman" w:hAnsi="Calibri" w:cs="Calibri"/>
                <w:sz w:val="20"/>
                <w:szCs w:val="20"/>
                <w:lang w:val="en-AU" w:eastAsia="en-AU"/>
              </w:rPr>
              <w:t>.</w:t>
            </w:r>
          </w:p>
          <w:p w14:paraId="3F3F5324" w14:textId="77777777" w:rsidR="00E35DED" w:rsidRPr="00337A3B" w:rsidRDefault="00E35DED" w:rsidP="00171F08">
            <w:pPr>
              <w:spacing w:after="120"/>
              <w:rPr>
                <w:sz w:val="20"/>
                <w:szCs w:val="20"/>
              </w:rPr>
            </w:pPr>
            <w:r>
              <w:rPr>
                <w:rFonts w:ascii="Calibri" w:eastAsia="Times New Roman" w:hAnsi="Calibri" w:cs="Calibri"/>
                <w:sz w:val="20"/>
                <w:szCs w:val="20"/>
                <w:lang w:val="en-AU" w:eastAsia="en-AU"/>
              </w:rPr>
              <w:t xml:space="preserve">The key barriers identified were </w:t>
            </w:r>
            <w:r w:rsidRPr="00337A3B">
              <w:rPr>
                <w:rFonts w:ascii="Calibri" w:eastAsia="Times New Roman" w:hAnsi="Calibri" w:cs="Calibri"/>
                <w:sz w:val="20"/>
                <w:szCs w:val="20"/>
                <w:lang w:val="en-AU" w:eastAsia="en-AU"/>
              </w:rPr>
              <w:t>capacity constraint</w:t>
            </w:r>
            <w:r>
              <w:rPr>
                <w:rFonts w:ascii="Calibri" w:eastAsia="Times New Roman" w:hAnsi="Calibri" w:cs="Calibri"/>
                <w:sz w:val="20"/>
                <w:szCs w:val="20"/>
                <w:lang w:val="en-AU" w:eastAsia="en-AU"/>
              </w:rPr>
              <w:t>s</w:t>
            </w:r>
            <w:r w:rsidRPr="00337A3B">
              <w:rPr>
                <w:rFonts w:ascii="Calibri" w:eastAsia="Times New Roman" w:hAnsi="Calibri" w:cs="Calibri"/>
                <w:sz w:val="20"/>
                <w:szCs w:val="20"/>
                <w:lang w:val="en-AU" w:eastAsia="en-AU"/>
              </w:rPr>
              <w:t>, competition for labour and materials from large infrastructure projects, increasing costs affecting the commercial viability of projects, land banking and a shortage of planners</w:t>
            </w:r>
            <w:r>
              <w:rPr>
                <w:rFonts w:ascii="Calibri" w:eastAsia="Times New Roman" w:hAnsi="Calibri" w:cs="Calibri"/>
                <w:sz w:val="20"/>
                <w:szCs w:val="20"/>
                <w:lang w:val="en-AU" w:eastAsia="en-AU"/>
              </w:rPr>
              <w:t>.</w:t>
            </w:r>
          </w:p>
        </w:tc>
        <w:tc>
          <w:tcPr>
            <w:tcW w:w="338" w:type="pct"/>
            <w:vMerge/>
          </w:tcPr>
          <w:p w14:paraId="77BD70EB" w14:textId="77777777" w:rsidR="00E35DED" w:rsidRPr="00337A3B" w:rsidRDefault="00E35DED" w:rsidP="00171F08">
            <w:pPr>
              <w:spacing w:after="120"/>
              <w:rPr>
                <w:rFonts w:ascii="Calibri" w:eastAsia="Times New Roman" w:hAnsi="Calibri" w:cs="Calibri"/>
                <w:sz w:val="20"/>
                <w:szCs w:val="20"/>
                <w:lang w:val="en-AU" w:eastAsia="en-AU"/>
              </w:rPr>
            </w:pPr>
          </w:p>
        </w:tc>
      </w:tr>
      <w:tr w:rsidR="00E35DED" w14:paraId="7A0046F0" w14:textId="3757493A" w:rsidTr="27803875">
        <w:tc>
          <w:tcPr>
            <w:tcW w:w="879" w:type="pct"/>
            <w:vMerge/>
          </w:tcPr>
          <w:p w14:paraId="14B70399" w14:textId="4C585491" w:rsidR="00E35DED" w:rsidRPr="00E724F9" w:rsidRDefault="00E35DED" w:rsidP="00171F08">
            <w:pPr>
              <w:pStyle w:val="OutlineNumbered2"/>
              <w:numPr>
                <w:ilvl w:val="0"/>
                <w:numId w:val="0"/>
              </w:numPr>
              <w:spacing w:after="120"/>
              <w:ind w:left="756" w:hanging="378"/>
              <w:rPr>
                <w:rFonts w:ascii="Calibri" w:eastAsia="Times New Roman" w:hAnsi="Calibri" w:cs="Calibri"/>
                <w:sz w:val="20"/>
                <w:szCs w:val="20"/>
                <w:lang w:val="en-AU" w:eastAsia="en-AU"/>
              </w:rPr>
            </w:pPr>
          </w:p>
        </w:tc>
        <w:tc>
          <w:tcPr>
            <w:tcW w:w="1799" w:type="pct"/>
            <w:tcBorders>
              <w:top w:val="single" w:sz="4" w:space="0" w:color="D9D9D9" w:themeColor="background1" w:themeShade="D9"/>
              <w:left w:val="nil"/>
              <w:bottom w:val="single" w:sz="4" w:space="0" w:color="D9D9D9" w:themeColor="background1" w:themeShade="D9"/>
            </w:tcBorders>
          </w:tcPr>
          <w:p w14:paraId="0D79399F" w14:textId="25287F60" w:rsidR="00E35DED" w:rsidRDefault="00E35DED" w:rsidP="00171F08">
            <w:pPr>
              <w:pStyle w:val="OutlineNumbered2"/>
              <w:numPr>
                <w:ilvl w:val="1"/>
                <w:numId w:val="0"/>
              </w:numPr>
              <w:spacing w:after="120"/>
              <w:rPr>
                <w:rFonts w:ascii="Calibri" w:eastAsia="Times New Roman" w:hAnsi="Calibri" w:cs="Calibri"/>
                <w:sz w:val="20"/>
                <w:szCs w:val="20"/>
                <w:lang w:val="en-AU" w:eastAsia="en-AU"/>
              </w:rPr>
            </w:pPr>
            <w:r w:rsidRPr="3280F7CD">
              <w:rPr>
                <w:rFonts w:ascii="Calibri" w:eastAsia="Times New Roman" w:hAnsi="Calibri" w:cs="Calibri"/>
                <w:sz w:val="20"/>
                <w:szCs w:val="20"/>
                <w:lang w:val="en-AU" w:eastAsia="en-AU"/>
              </w:rPr>
              <w:t>Action 6.5</w:t>
            </w:r>
          </w:p>
          <w:p w14:paraId="4C11BE5A" w14:textId="53D780E8" w:rsidR="00E35DED" w:rsidRPr="00E724F9" w:rsidRDefault="00E35DED" w:rsidP="00171F08">
            <w:pPr>
              <w:pStyle w:val="OutlineNumbered2"/>
              <w:numPr>
                <w:ilvl w:val="1"/>
                <w:numId w:val="0"/>
              </w:numPr>
              <w:spacing w:after="120"/>
              <w:rPr>
                <w:sz w:val="20"/>
                <w:szCs w:val="20"/>
              </w:rPr>
            </w:pPr>
            <w:r w:rsidRPr="3280F7CD">
              <w:rPr>
                <w:rFonts w:ascii="Calibri" w:eastAsia="Times New Roman" w:hAnsi="Calibri" w:cs="Calibri"/>
                <w:sz w:val="20"/>
                <w:szCs w:val="20"/>
                <w:lang w:val="en-AU" w:eastAsia="en-AU"/>
              </w:rPr>
              <w:t>Report on adaptations to social and affordable housing approval pathways.</w:t>
            </w:r>
          </w:p>
        </w:tc>
        <w:tc>
          <w:tcPr>
            <w:tcW w:w="1983" w:type="pct"/>
            <w:tcBorders>
              <w:top w:val="single" w:sz="4" w:space="0" w:color="D9D9D9" w:themeColor="background1" w:themeShade="D9"/>
              <w:bottom w:val="single" w:sz="4" w:space="0" w:color="D9D9D9" w:themeColor="background1" w:themeShade="D9"/>
            </w:tcBorders>
          </w:tcPr>
          <w:p w14:paraId="5FC05E42" w14:textId="77777777" w:rsidR="00E35DED" w:rsidRDefault="00E35DED" w:rsidP="00171F08">
            <w:pPr>
              <w:spacing w:after="120"/>
              <w:rPr>
                <w:rFonts w:ascii="Calibri" w:eastAsia="Times New Roman" w:hAnsi="Calibri" w:cs="Calibri"/>
                <w:sz w:val="20"/>
                <w:szCs w:val="20"/>
                <w:lang w:val="en-AU" w:eastAsia="en-AU"/>
              </w:rPr>
            </w:pPr>
            <w:r w:rsidRPr="00337A3B">
              <w:rPr>
                <w:rFonts w:ascii="Calibri" w:eastAsia="Times New Roman" w:hAnsi="Calibri" w:cs="Calibri"/>
                <w:sz w:val="20"/>
                <w:szCs w:val="20"/>
                <w:lang w:val="en-AU" w:eastAsia="en-AU"/>
              </w:rPr>
              <w:t xml:space="preserve">All jurisdictions have undertaken, or are undertaking, </w:t>
            </w:r>
            <w:r>
              <w:rPr>
                <w:rFonts w:ascii="Calibri" w:eastAsia="Times New Roman" w:hAnsi="Calibri" w:cs="Calibri"/>
                <w:sz w:val="20"/>
                <w:szCs w:val="20"/>
                <w:lang w:val="en-AU" w:eastAsia="en-AU"/>
              </w:rPr>
              <w:t>adaptions</w:t>
            </w:r>
            <w:r w:rsidRPr="00337A3B">
              <w:rPr>
                <w:rFonts w:ascii="Calibri" w:eastAsia="Times New Roman" w:hAnsi="Calibri" w:cs="Calibri"/>
                <w:sz w:val="20"/>
                <w:szCs w:val="20"/>
                <w:lang w:val="en-AU" w:eastAsia="en-AU"/>
              </w:rPr>
              <w:t xml:space="preserve"> to make it easier for social and affordable homes to be approved.  </w:t>
            </w:r>
          </w:p>
          <w:p w14:paraId="71ECE277" w14:textId="1A1AE40D" w:rsidR="00E35DED" w:rsidRPr="00337A3B" w:rsidRDefault="00E35DED" w:rsidP="00171F08">
            <w:pPr>
              <w:spacing w:after="120"/>
              <w:rPr>
                <w:sz w:val="20"/>
                <w:szCs w:val="20"/>
              </w:rPr>
            </w:pPr>
            <w:r w:rsidRPr="00EE7178">
              <w:rPr>
                <w:rFonts w:ascii="Calibri" w:eastAsia="Times New Roman" w:hAnsi="Calibri" w:cs="Calibri"/>
                <w:sz w:val="20"/>
                <w:szCs w:val="20"/>
                <w:lang w:val="en-AU" w:eastAsia="en-AU"/>
              </w:rPr>
              <w:t xml:space="preserve">This </w:t>
            </w:r>
            <w:r w:rsidR="00FC0CAB">
              <w:rPr>
                <w:rFonts w:ascii="Calibri" w:eastAsia="Times New Roman" w:hAnsi="Calibri" w:cs="Calibri"/>
                <w:sz w:val="20"/>
                <w:szCs w:val="20"/>
                <w:lang w:val="en-AU" w:eastAsia="en-AU"/>
              </w:rPr>
              <w:t xml:space="preserve">action </w:t>
            </w:r>
            <w:r w:rsidRPr="00EE7178">
              <w:rPr>
                <w:rFonts w:ascii="Calibri" w:eastAsia="Times New Roman" w:hAnsi="Calibri" w:cs="Calibri"/>
                <w:sz w:val="20"/>
                <w:szCs w:val="20"/>
                <w:lang w:val="en-AU" w:eastAsia="en-AU"/>
              </w:rPr>
              <w:t xml:space="preserve">is now fully implemented. However, given the public commitments states have made to continue to deliver more social and affordable housing, it is recommended that updates continue to be provided to National Cabinet where relevant.  </w:t>
            </w:r>
          </w:p>
        </w:tc>
        <w:tc>
          <w:tcPr>
            <w:tcW w:w="338" w:type="pct"/>
            <w:vMerge w:val="restart"/>
            <w:tcBorders>
              <w:top w:val="single" w:sz="4" w:space="0" w:color="auto"/>
            </w:tcBorders>
            <w:shd w:val="clear" w:color="auto" w:fill="92D050"/>
            <w:vAlign w:val="center"/>
          </w:tcPr>
          <w:p w14:paraId="27A1F632" w14:textId="10B491FF" w:rsidR="00E35DED" w:rsidRPr="00337A3B" w:rsidRDefault="003B1E7F" w:rsidP="00E35DED">
            <w:pPr>
              <w:spacing w:after="120"/>
              <w:jc w:val="center"/>
              <w:rPr>
                <w:rFonts w:ascii="Calibri" w:eastAsia="Times New Roman" w:hAnsi="Calibri" w:cs="Calibri"/>
                <w:sz w:val="20"/>
                <w:szCs w:val="20"/>
                <w:lang w:val="en-AU" w:eastAsia="en-AU"/>
              </w:rPr>
            </w:pPr>
            <w:r>
              <w:rPr>
                <w:rFonts w:ascii="Calibri" w:eastAsia="Times New Roman" w:hAnsi="Calibri" w:cs="Calibri"/>
                <w:sz w:val="20"/>
                <w:szCs w:val="20"/>
                <w:lang w:val="en-AU" w:eastAsia="en-AU"/>
              </w:rPr>
              <w:t>Delivered</w:t>
            </w:r>
          </w:p>
        </w:tc>
      </w:tr>
      <w:tr w:rsidR="00E35DED" w14:paraId="3F33A356" w14:textId="4808003B" w:rsidTr="27803875">
        <w:tc>
          <w:tcPr>
            <w:tcW w:w="879" w:type="pct"/>
            <w:vMerge/>
          </w:tcPr>
          <w:p w14:paraId="77AE5308" w14:textId="73B12F71" w:rsidR="00E35DED" w:rsidRDefault="00E35DED" w:rsidP="00171F08">
            <w:pPr>
              <w:pStyle w:val="OutlineNumbered2"/>
              <w:numPr>
                <w:ilvl w:val="0"/>
                <w:numId w:val="0"/>
              </w:numPr>
              <w:spacing w:after="120"/>
              <w:ind w:left="756" w:hanging="378"/>
              <w:rPr>
                <w:rFonts w:ascii="Calibri" w:eastAsia="Times New Roman" w:hAnsi="Calibri" w:cs="Calibri"/>
                <w:sz w:val="20"/>
                <w:szCs w:val="20"/>
                <w:lang w:val="en-AU" w:eastAsia="en-AU"/>
              </w:rPr>
            </w:pPr>
          </w:p>
        </w:tc>
        <w:tc>
          <w:tcPr>
            <w:tcW w:w="1799" w:type="pct"/>
            <w:tcBorders>
              <w:top w:val="single" w:sz="4" w:space="0" w:color="D9D9D9" w:themeColor="background1" w:themeShade="D9"/>
              <w:left w:val="nil"/>
            </w:tcBorders>
          </w:tcPr>
          <w:p w14:paraId="51FF871A" w14:textId="75F67B7A" w:rsidR="00E35DED" w:rsidRDefault="00E35DED" w:rsidP="00171F08">
            <w:pPr>
              <w:pStyle w:val="OutlineNumbered1"/>
              <w:numPr>
                <w:ilvl w:val="0"/>
                <w:numId w:val="0"/>
              </w:numPr>
              <w:spacing w:after="120"/>
              <w:rPr>
                <w:rFonts w:ascii="Calibri" w:eastAsia="Times New Roman" w:hAnsi="Calibri" w:cs="Calibri"/>
                <w:sz w:val="20"/>
                <w:szCs w:val="20"/>
                <w:lang w:val="en-AU" w:eastAsia="en-AU"/>
              </w:rPr>
            </w:pPr>
            <w:r w:rsidRPr="3280F7CD">
              <w:rPr>
                <w:rFonts w:ascii="Calibri" w:eastAsia="Times New Roman" w:hAnsi="Calibri" w:cs="Calibri"/>
                <w:sz w:val="20"/>
                <w:szCs w:val="20"/>
                <w:lang w:val="en-AU" w:eastAsia="en-AU"/>
              </w:rPr>
              <w:t>Action 6.6</w:t>
            </w:r>
          </w:p>
          <w:p w14:paraId="75B43ED5" w14:textId="1DAB5C45" w:rsidR="00E35DED" w:rsidRPr="00E724F9" w:rsidRDefault="00E35DED" w:rsidP="00171F08">
            <w:pPr>
              <w:pStyle w:val="OutlineNumbered1"/>
              <w:numPr>
                <w:ilvl w:val="0"/>
                <w:numId w:val="0"/>
              </w:numPr>
              <w:spacing w:after="120"/>
              <w:rPr>
                <w:rFonts w:ascii="Calibri" w:eastAsia="Times New Roman" w:hAnsi="Calibri" w:cs="Calibri"/>
                <w:sz w:val="20"/>
                <w:szCs w:val="20"/>
                <w:lang w:val="en-AU" w:eastAsia="en-AU"/>
              </w:rPr>
            </w:pPr>
            <w:r w:rsidRPr="3280F7CD">
              <w:rPr>
                <w:rFonts w:ascii="Calibri" w:eastAsia="Times New Roman" w:hAnsi="Calibri" w:cs="Calibri"/>
                <w:sz w:val="20"/>
                <w:szCs w:val="20"/>
                <w:lang w:val="en-AU" w:eastAsia="en-AU"/>
              </w:rPr>
              <w:t>Report on the introduction of inclusionary zoning and planning to support affordable, social and other specialist housing.</w:t>
            </w:r>
          </w:p>
        </w:tc>
        <w:tc>
          <w:tcPr>
            <w:tcW w:w="1983" w:type="pct"/>
            <w:tcBorders>
              <w:top w:val="single" w:sz="4" w:space="0" w:color="D9D9D9" w:themeColor="background1" w:themeShade="D9"/>
            </w:tcBorders>
          </w:tcPr>
          <w:p w14:paraId="51833C9E" w14:textId="77777777" w:rsidR="00E35DED" w:rsidRPr="00825028" w:rsidRDefault="00E35DED" w:rsidP="00D579B6">
            <w:pPr>
              <w:pStyle w:val="OutlineNumbered1"/>
              <w:numPr>
                <w:ilvl w:val="0"/>
                <w:numId w:val="0"/>
              </w:numPr>
              <w:spacing w:after="120"/>
              <w:rPr>
                <w:rFonts w:ascii="Calibri" w:eastAsia="Times New Roman" w:hAnsi="Calibri" w:cs="Calibri"/>
                <w:sz w:val="20"/>
                <w:szCs w:val="20"/>
                <w:lang w:val="en-AU" w:eastAsia="en-AU"/>
              </w:rPr>
            </w:pPr>
            <w:r w:rsidRPr="00825028">
              <w:rPr>
                <w:rFonts w:ascii="Calibri" w:eastAsia="Times New Roman" w:hAnsi="Calibri" w:cs="Calibri"/>
                <w:sz w:val="20"/>
                <w:szCs w:val="20"/>
                <w:lang w:val="en-AU" w:eastAsia="en-AU"/>
              </w:rPr>
              <w:t>All jurisdictions have reported on their approach to inclusionary zoning, and all jurisdictions have mechanisms to support the delivery of social and affordable housing.</w:t>
            </w:r>
          </w:p>
          <w:p w14:paraId="61BE489A" w14:textId="59D58B37" w:rsidR="00E35DED" w:rsidRPr="007F5232" w:rsidRDefault="00E35DED" w:rsidP="00171F08">
            <w:pPr>
              <w:spacing w:after="120"/>
              <w:rPr>
                <w:rFonts w:ascii="Calibri" w:eastAsia="Times New Roman" w:hAnsi="Calibri" w:cs="Calibri"/>
                <w:sz w:val="20"/>
                <w:szCs w:val="20"/>
                <w:lang w:val="en-AU" w:eastAsia="en-AU"/>
              </w:rPr>
            </w:pPr>
            <w:r w:rsidRPr="00825028">
              <w:rPr>
                <w:rFonts w:ascii="Calibri" w:eastAsia="Times New Roman" w:hAnsi="Calibri" w:cs="Calibri"/>
                <w:sz w:val="20"/>
                <w:szCs w:val="20"/>
                <w:lang w:val="en-AU" w:eastAsia="en-AU"/>
              </w:rPr>
              <w:t>However, given the public commitments states have made to continue to deliver more social and affordable housing, it is recommended that updates continue to be provided to National Cabinet where relevant.</w:t>
            </w:r>
          </w:p>
        </w:tc>
        <w:tc>
          <w:tcPr>
            <w:tcW w:w="338" w:type="pct"/>
            <w:vMerge/>
          </w:tcPr>
          <w:p w14:paraId="65E01F50" w14:textId="77777777" w:rsidR="00E35DED" w:rsidRPr="00337A3B" w:rsidRDefault="00E35DED" w:rsidP="00171F08">
            <w:pPr>
              <w:spacing w:after="120"/>
              <w:rPr>
                <w:rFonts w:ascii="Calibri" w:eastAsia="Times New Roman" w:hAnsi="Calibri" w:cs="Calibri"/>
                <w:sz w:val="20"/>
                <w:szCs w:val="20"/>
                <w:lang w:val="en-AU" w:eastAsia="en-AU"/>
              </w:rPr>
            </w:pPr>
          </w:p>
        </w:tc>
      </w:tr>
      <w:tr w:rsidR="003B1E7F" w14:paraId="53C8CA05" w14:textId="0097D61A" w:rsidTr="000A6A66">
        <w:tc>
          <w:tcPr>
            <w:tcW w:w="879" w:type="pct"/>
            <w:tcBorders>
              <w:right w:val="single" w:sz="4" w:space="0" w:color="auto"/>
            </w:tcBorders>
          </w:tcPr>
          <w:p w14:paraId="1AA0EF9F" w14:textId="77777777" w:rsidR="003B1E7F" w:rsidRPr="00851FDE" w:rsidRDefault="003B1E7F" w:rsidP="00171F08">
            <w:pPr>
              <w:pStyle w:val="OutlineNumbered1"/>
              <w:numPr>
                <w:ilvl w:val="0"/>
                <w:numId w:val="0"/>
              </w:numPr>
              <w:spacing w:after="120"/>
              <w:ind w:left="378" w:hanging="378"/>
              <w:rPr>
                <w:rFonts w:ascii="Calibri" w:eastAsia="Times New Roman" w:hAnsi="Calibri" w:cs="Calibri"/>
                <w:b/>
                <w:bCs/>
                <w:sz w:val="20"/>
                <w:szCs w:val="20"/>
                <w:lang w:val="en-AU" w:eastAsia="en-AU"/>
              </w:rPr>
            </w:pPr>
            <w:r w:rsidRPr="00851FDE">
              <w:rPr>
                <w:rFonts w:ascii="Calibri" w:eastAsia="Times New Roman" w:hAnsi="Calibri" w:cs="Calibri"/>
                <w:b/>
                <w:bCs/>
                <w:sz w:val="20"/>
                <w:szCs w:val="20"/>
                <w:lang w:val="en-AU" w:eastAsia="en-AU"/>
              </w:rPr>
              <w:t>Measure 7</w:t>
            </w:r>
          </w:p>
          <w:p w14:paraId="3B0DF68E" w14:textId="2B1573B7" w:rsidR="003B1E7F" w:rsidRPr="00E724F9" w:rsidRDefault="003B1E7F" w:rsidP="00851FDE">
            <w:pPr>
              <w:pStyle w:val="OutlineNumbered1"/>
              <w:numPr>
                <w:ilvl w:val="0"/>
                <w:numId w:val="0"/>
              </w:numPr>
              <w:spacing w:after="120"/>
              <w:rPr>
                <w:rFonts w:ascii="Calibri" w:eastAsia="Times New Roman" w:hAnsi="Calibri" w:cs="Calibri"/>
                <w:sz w:val="20"/>
                <w:szCs w:val="20"/>
                <w:lang w:val="en-AU" w:eastAsia="en-AU"/>
              </w:rPr>
            </w:pPr>
            <w:r w:rsidRPr="00E724F9">
              <w:rPr>
                <w:rFonts w:ascii="Calibri" w:eastAsia="Times New Roman" w:hAnsi="Calibri" w:cs="Calibri"/>
                <w:sz w:val="20"/>
                <w:szCs w:val="20"/>
                <w:lang w:val="en-AU" w:eastAsia="en-AU"/>
              </w:rPr>
              <w:t xml:space="preserve">Identify </w:t>
            </w:r>
            <w:r>
              <w:rPr>
                <w:rFonts w:ascii="Calibri" w:eastAsia="Times New Roman" w:hAnsi="Calibri" w:cs="Calibri"/>
                <w:sz w:val="20"/>
                <w:szCs w:val="20"/>
                <w:lang w:val="en-AU" w:eastAsia="en-AU"/>
              </w:rPr>
              <w:t>and</w:t>
            </w:r>
            <w:r w:rsidRPr="00E724F9">
              <w:rPr>
                <w:rFonts w:ascii="Calibri" w:eastAsia="Times New Roman" w:hAnsi="Calibri" w:cs="Calibri"/>
                <w:sz w:val="20"/>
                <w:szCs w:val="20"/>
                <w:lang w:val="en-AU" w:eastAsia="en-AU"/>
              </w:rPr>
              <w:t xml:space="preserve"> rectify gaps in housing design guidance </w:t>
            </w:r>
            <w:r>
              <w:rPr>
                <w:rFonts w:ascii="Calibri" w:eastAsia="Times New Roman" w:hAnsi="Calibri" w:cs="Calibri"/>
                <w:sz w:val="20"/>
                <w:szCs w:val="20"/>
                <w:lang w:val="en-AU" w:eastAsia="en-AU"/>
              </w:rPr>
              <w:t>and</w:t>
            </w:r>
            <w:r w:rsidRPr="00E724F9">
              <w:rPr>
                <w:rFonts w:ascii="Calibri" w:eastAsia="Times New Roman" w:hAnsi="Calibri" w:cs="Calibri"/>
                <w:sz w:val="20"/>
                <w:szCs w:val="20"/>
                <w:lang w:val="en-AU" w:eastAsia="en-AU"/>
              </w:rPr>
              <w:t xml:space="preserve"> building certification processes</w:t>
            </w:r>
            <w:r>
              <w:rPr>
                <w:rFonts w:ascii="Calibri" w:eastAsia="Times New Roman" w:hAnsi="Calibri" w:cs="Calibri"/>
                <w:sz w:val="20"/>
                <w:szCs w:val="20"/>
                <w:lang w:val="en-AU" w:eastAsia="en-AU"/>
              </w:rPr>
              <w:t>.</w:t>
            </w:r>
          </w:p>
        </w:tc>
        <w:tc>
          <w:tcPr>
            <w:tcW w:w="1799" w:type="pct"/>
            <w:tcBorders>
              <w:left w:val="single" w:sz="4" w:space="0" w:color="auto"/>
            </w:tcBorders>
          </w:tcPr>
          <w:p w14:paraId="64FE4989" w14:textId="77777777" w:rsidR="003B1E7F" w:rsidRDefault="003B1E7F" w:rsidP="00171F08">
            <w:pPr>
              <w:pStyle w:val="OutlineNumbered1"/>
              <w:numPr>
                <w:ilvl w:val="0"/>
                <w:numId w:val="0"/>
              </w:numPr>
              <w:spacing w:after="120"/>
              <w:rPr>
                <w:sz w:val="20"/>
                <w:szCs w:val="20"/>
              </w:rPr>
            </w:pPr>
            <w:r w:rsidRPr="3280F7CD">
              <w:rPr>
                <w:sz w:val="20"/>
                <w:szCs w:val="20"/>
              </w:rPr>
              <w:t>Action 7</w:t>
            </w:r>
          </w:p>
          <w:p w14:paraId="21B87709" w14:textId="3E80A8A0" w:rsidR="003B1E7F" w:rsidRPr="00E724F9" w:rsidRDefault="003B1E7F" w:rsidP="00171F08">
            <w:pPr>
              <w:pStyle w:val="OutlineNumbered1"/>
              <w:numPr>
                <w:ilvl w:val="0"/>
                <w:numId w:val="0"/>
              </w:numPr>
              <w:spacing w:after="120"/>
              <w:rPr>
                <w:sz w:val="20"/>
                <w:szCs w:val="20"/>
              </w:rPr>
            </w:pPr>
            <w:r w:rsidRPr="3280F7CD">
              <w:rPr>
                <w:sz w:val="20"/>
                <w:szCs w:val="20"/>
              </w:rPr>
              <w:t>National Cabinet referred housing design guidance and building certification to Building Ministers.</w:t>
            </w:r>
          </w:p>
        </w:tc>
        <w:tc>
          <w:tcPr>
            <w:tcW w:w="1983" w:type="pct"/>
          </w:tcPr>
          <w:p w14:paraId="3CBB58C1" w14:textId="610A4C4B" w:rsidR="003B1E7F" w:rsidRPr="007F5232" w:rsidRDefault="003B1E7F" w:rsidP="00171F08">
            <w:pPr>
              <w:spacing w:after="120"/>
              <w:rPr>
                <w:sz w:val="20"/>
                <w:szCs w:val="20"/>
              </w:rPr>
            </w:pPr>
            <w:r w:rsidRPr="00A7341E">
              <w:rPr>
                <w:rFonts w:ascii="Calibri" w:eastAsia="Times New Roman" w:hAnsi="Calibri" w:cs="Calibri"/>
                <w:sz w:val="20"/>
                <w:szCs w:val="20"/>
                <w:lang w:val="en-AU" w:eastAsia="en-AU"/>
              </w:rPr>
              <w:t>Building Ministers have commenced a stocktake of issues in the housing design guidance and building certification processes and received an update on progress in June 2024. Additional work on the stocktake, including gathering feedback from a wider variety of stakeholders is underway.</w:t>
            </w:r>
          </w:p>
        </w:tc>
        <w:tc>
          <w:tcPr>
            <w:tcW w:w="338" w:type="pct"/>
            <w:shd w:val="clear" w:color="auto" w:fill="FFEDB9"/>
            <w:vAlign w:val="center"/>
          </w:tcPr>
          <w:p w14:paraId="3FF5D8D6" w14:textId="0A101EB3" w:rsidR="003B1E7F" w:rsidRPr="007F5232" w:rsidRDefault="003B1E7F" w:rsidP="003B1E7F">
            <w:pPr>
              <w:spacing w:after="120"/>
              <w:jc w:val="center"/>
              <w:rPr>
                <w:rFonts w:ascii="Calibri" w:eastAsia="Times New Roman" w:hAnsi="Calibri" w:cs="Calibri"/>
                <w:sz w:val="20"/>
                <w:szCs w:val="20"/>
                <w:lang w:val="en-AU" w:eastAsia="en-AU"/>
              </w:rPr>
            </w:pPr>
            <w:r>
              <w:rPr>
                <w:rFonts w:ascii="Calibri" w:eastAsia="Times New Roman" w:hAnsi="Calibri" w:cs="Calibri"/>
                <w:sz w:val="20"/>
                <w:szCs w:val="20"/>
                <w:lang w:val="en-AU" w:eastAsia="en-AU"/>
              </w:rPr>
              <w:t>In progress</w:t>
            </w:r>
          </w:p>
        </w:tc>
      </w:tr>
      <w:tr w:rsidR="003B1E7F" w14:paraId="25D7569F" w14:textId="2374310F" w:rsidTr="000A6A66">
        <w:tc>
          <w:tcPr>
            <w:tcW w:w="879" w:type="pct"/>
            <w:tcBorders>
              <w:right w:val="single" w:sz="4" w:space="0" w:color="auto"/>
            </w:tcBorders>
          </w:tcPr>
          <w:p w14:paraId="686ADB75" w14:textId="77777777" w:rsidR="003B1E7F" w:rsidRPr="00564EEC" w:rsidRDefault="003B1E7F" w:rsidP="00171F08">
            <w:pPr>
              <w:pStyle w:val="OutlineNumbered1"/>
              <w:numPr>
                <w:ilvl w:val="0"/>
                <w:numId w:val="0"/>
              </w:numPr>
              <w:spacing w:after="120"/>
              <w:ind w:left="378" w:hanging="378"/>
              <w:rPr>
                <w:rFonts w:ascii="Calibri" w:eastAsia="Times New Roman" w:hAnsi="Calibri" w:cs="Calibri"/>
                <w:b/>
                <w:bCs/>
                <w:sz w:val="20"/>
                <w:szCs w:val="20"/>
                <w:lang w:val="en-AU" w:eastAsia="en-AU"/>
              </w:rPr>
            </w:pPr>
            <w:r w:rsidRPr="00564EEC">
              <w:rPr>
                <w:rFonts w:ascii="Calibri" w:eastAsia="Times New Roman" w:hAnsi="Calibri" w:cs="Calibri"/>
                <w:b/>
                <w:bCs/>
                <w:sz w:val="20"/>
                <w:szCs w:val="20"/>
                <w:lang w:val="en-AU" w:eastAsia="en-AU"/>
              </w:rPr>
              <w:t>Measure 8</w:t>
            </w:r>
          </w:p>
          <w:p w14:paraId="58FAF85B" w14:textId="6671F5E9" w:rsidR="003B1E7F" w:rsidRPr="00E724F9" w:rsidRDefault="003B1E7F" w:rsidP="00564EEC">
            <w:pPr>
              <w:pStyle w:val="OutlineNumbered1"/>
              <w:numPr>
                <w:ilvl w:val="0"/>
                <w:numId w:val="0"/>
              </w:numPr>
              <w:spacing w:after="120"/>
              <w:rPr>
                <w:rFonts w:ascii="Calibri" w:eastAsia="Times New Roman" w:hAnsi="Calibri" w:cs="Calibri"/>
                <w:sz w:val="20"/>
                <w:szCs w:val="20"/>
                <w:lang w:val="en-AU" w:eastAsia="en-AU"/>
              </w:rPr>
            </w:pPr>
            <w:r w:rsidRPr="00E724F9">
              <w:rPr>
                <w:rFonts w:ascii="Calibri" w:eastAsia="Times New Roman" w:hAnsi="Calibri" w:cs="Calibri"/>
                <w:sz w:val="20"/>
                <w:szCs w:val="20"/>
                <w:lang w:val="en-AU" w:eastAsia="en-AU"/>
              </w:rPr>
              <w:t>Ensure adequate resourcing of built environment professionals</w:t>
            </w:r>
            <w:r>
              <w:rPr>
                <w:rFonts w:ascii="Calibri" w:eastAsia="Times New Roman" w:hAnsi="Calibri" w:cs="Calibri"/>
                <w:sz w:val="20"/>
                <w:szCs w:val="20"/>
                <w:lang w:val="en-AU" w:eastAsia="en-AU"/>
              </w:rPr>
              <w:t>.</w:t>
            </w:r>
          </w:p>
        </w:tc>
        <w:tc>
          <w:tcPr>
            <w:tcW w:w="1799" w:type="pct"/>
            <w:tcBorders>
              <w:left w:val="single" w:sz="4" w:space="0" w:color="auto"/>
            </w:tcBorders>
          </w:tcPr>
          <w:p w14:paraId="0AE3C0F1" w14:textId="77777777" w:rsidR="003B1E7F" w:rsidRDefault="003B1E7F" w:rsidP="00171F08">
            <w:pPr>
              <w:pStyle w:val="OutlineNumbered1"/>
              <w:numPr>
                <w:ilvl w:val="0"/>
                <w:numId w:val="0"/>
              </w:numPr>
              <w:spacing w:after="120"/>
              <w:rPr>
                <w:sz w:val="20"/>
                <w:szCs w:val="20"/>
              </w:rPr>
            </w:pPr>
            <w:r w:rsidRPr="3280F7CD">
              <w:rPr>
                <w:sz w:val="20"/>
                <w:szCs w:val="20"/>
              </w:rPr>
              <w:t>Action 8</w:t>
            </w:r>
          </w:p>
          <w:p w14:paraId="2F16B365" w14:textId="400297A7" w:rsidR="003B1E7F" w:rsidRPr="00E724F9" w:rsidRDefault="003B1E7F" w:rsidP="00171F08">
            <w:pPr>
              <w:pStyle w:val="OutlineNumbered1"/>
              <w:numPr>
                <w:ilvl w:val="0"/>
                <w:numId w:val="0"/>
              </w:numPr>
              <w:spacing w:after="120"/>
              <w:rPr>
                <w:sz w:val="20"/>
                <w:szCs w:val="20"/>
              </w:rPr>
            </w:pPr>
            <w:r w:rsidRPr="3280F7CD">
              <w:rPr>
                <w:sz w:val="20"/>
                <w:szCs w:val="20"/>
              </w:rPr>
              <w:t>National Cabinet referred built environment skills shortages to the Skills and Workforce Ministerial Council.</w:t>
            </w:r>
          </w:p>
        </w:tc>
        <w:tc>
          <w:tcPr>
            <w:tcW w:w="1983" w:type="pct"/>
          </w:tcPr>
          <w:p w14:paraId="14ECF898" w14:textId="5D346838" w:rsidR="003B1E7F" w:rsidRPr="007F5232" w:rsidRDefault="00EF7FDC" w:rsidP="00F6463E">
            <w:pPr>
              <w:spacing w:after="120"/>
              <w:rPr>
                <w:sz w:val="20"/>
                <w:szCs w:val="20"/>
              </w:rPr>
            </w:pPr>
            <w:r w:rsidRPr="00EF7FDC">
              <w:rPr>
                <w:color w:val="000000" w:themeColor="text1"/>
                <w:sz w:val="20"/>
                <w:szCs w:val="20"/>
                <w:lang w:eastAsia="en-AU"/>
              </w:rPr>
              <w:t xml:space="preserve">The first National Skills Plan under the National Skills Agreement published in September 2024 sets out shared ambitions and early action to address the national priorities. The Commonwealth, states and territories will publish jurisdiction action plans in 2025. Planning Ministers will consult with local governments and peak industry bodies on addressing barriers to address built environment labour shortages.  </w:t>
            </w:r>
          </w:p>
        </w:tc>
        <w:tc>
          <w:tcPr>
            <w:tcW w:w="338" w:type="pct"/>
            <w:shd w:val="clear" w:color="auto" w:fill="D4ECBA"/>
            <w:vAlign w:val="center"/>
          </w:tcPr>
          <w:p w14:paraId="115A32AD" w14:textId="69BD77C5" w:rsidR="003B1E7F" w:rsidRPr="006C1D7F" w:rsidRDefault="00EF7FDC" w:rsidP="00EF7FDC">
            <w:pPr>
              <w:spacing w:after="120"/>
              <w:jc w:val="center"/>
              <w:rPr>
                <w:color w:val="000000" w:themeColor="text1"/>
                <w:sz w:val="20"/>
                <w:szCs w:val="20"/>
                <w:lang w:eastAsia="en-AU"/>
              </w:rPr>
            </w:pPr>
            <w:r>
              <w:rPr>
                <w:rFonts w:ascii="Calibri" w:eastAsia="Times New Roman" w:hAnsi="Calibri" w:cs="Calibri"/>
                <w:sz w:val="20"/>
                <w:szCs w:val="20"/>
                <w:lang w:val="en-AU" w:eastAsia="en-AU"/>
              </w:rPr>
              <w:t>Partially delivered but more to do</w:t>
            </w:r>
          </w:p>
        </w:tc>
      </w:tr>
      <w:tr w:rsidR="003B1E7F" w14:paraId="7287D0DC" w14:textId="4A2B5323" w:rsidTr="000A6A66">
        <w:tc>
          <w:tcPr>
            <w:tcW w:w="879" w:type="pct"/>
            <w:tcBorders>
              <w:right w:val="single" w:sz="4" w:space="0" w:color="auto"/>
            </w:tcBorders>
          </w:tcPr>
          <w:p w14:paraId="73EF27EE" w14:textId="77777777" w:rsidR="003B1E7F" w:rsidRPr="002F236D" w:rsidRDefault="003B1E7F" w:rsidP="00171F08">
            <w:pPr>
              <w:pStyle w:val="OutlineNumbered1"/>
              <w:numPr>
                <w:ilvl w:val="0"/>
                <w:numId w:val="0"/>
              </w:numPr>
              <w:spacing w:after="120"/>
              <w:ind w:left="378" w:hanging="378"/>
              <w:rPr>
                <w:rFonts w:ascii="Calibri" w:eastAsia="Times New Roman" w:hAnsi="Calibri" w:cs="Calibri"/>
                <w:b/>
                <w:bCs/>
                <w:sz w:val="20"/>
                <w:szCs w:val="20"/>
                <w:lang w:val="en-AU" w:eastAsia="en-AU"/>
              </w:rPr>
            </w:pPr>
            <w:r w:rsidRPr="002F236D">
              <w:rPr>
                <w:rFonts w:ascii="Calibri" w:eastAsia="Times New Roman" w:hAnsi="Calibri" w:cs="Calibri"/>
                <w:b/>
                <w:bCs/>
                <w:sz w:val="20"/>
                <w:szCs w:val="20"/>
                <w:lang w:val="en-AU" w:eastAsia="en-AU"/>
              </w:rPr>
              <w:t>Measure 9</w:t>
            </w:r>
          </w:p>
          <w:p w14:paraId="5122CFA7" w14:textId="38DBD105" w:rsidR="003B1E7F" w:rsidRPr="00E724F9" w:rsidRDefault="003B1E7F" w:rsidP="002F236D">
            <w:pPr>
              <w:pStyle w:val="OutlineNumbered1"/>
              <w:numPr>
                <w:ilvl w:val="0"/>
                <w:numId w:val="0"/>
              </w:numPr>
              <w:spacing w:after="120"/>
              <w:rPr>
                <w:rFonts w:ascii="Calibri" w:eastAsia="Times New Roman" w:hAnsi="Calibri" w:cs="Calibri"/>
                <w:sz w:val="20"/>
                <w:szCs w:val="20"/>
                <w:lang w:val="en-AU" w:eastAsia="en-AU"/>
              </w:rPr>
            </w:pPr>
            <w:r w:rsidRPr="00E724F9">
              <w:rPr>
                <w:rFonts w:ascii="Calibri" w:eastAsia="Times New Roman" w:hAnsi="Calibri" w:cs="Calibri"/>
                <w:sz w:val="20"/>
                <w:szCs w:val="20"/>
                <w:lang w:val="en-AU" w:eastAsia="en-AU"/>
              </w:rPr>
              <w:t xml:space="preserve">All levels of </w:t>
            </w:r>
            <w:r>
              <w:rPr>
                <w:rFonts w:ascii="Calibri" w:eastAsia="Times New Roman" w:hAnsi="Calibri" w:cs="Calibri"/>
                <w:sz w:val="20"/>
                <w:szCs w:val="20"/>
                <w:lang w:val="en-AU" w:eastAsia="en-AU"/>
              </w:rPr>
              <w:t>g</w:t>
            </w:r>
            <w:r w:rsidRPr="00E724F9">
              <w:rPr>
                <w:rFonts w:ascii="Calibri" w:eastAsia="Times New Roman" w:hAnsi="Calibri" w:cs="Calibri"/>
                <w:sz w:val="20"/>
                <w:szCs w:val="20"/>
                <w:lang w:val="en-AU" w:eastAsia="en-AU"/>
              </w:rPr>
              <w:t>overnment will work towards community consultation processes which are clear, transparent and predictable</w:t>
            </w:r>
            <w:r>
              <w:rPr>
                <w:rFonts w:ascii="Calibri" w:eastAsia="Times New Roman" w:hAnsi="Calibri" w:cs="Calibri"/>
                <w:sz w:val="20"/>
                <w:szCs w:val="20"/>
                <w:lang w:val="en-AU" w:eastAsia="en-AU"/>
              </w:rPr>
              <w:t>.</w:t>
            </w:r>
          </w:p>
        </w:tc>
        <w:tc>
          <w:tcPr>
            <w:tcW w:w="1799" w:type="pct"/>
            <w:tcBorders>
              <w:left w:val="single" w:sz="4" w:space="0" w:color="auto"/>
            </w:tcBorders>
          </w:tcPr>
          <w:p w14:paraId="62FA89BB" w14:textId="77777777" w:rsidR="003B1E7F" w:rsidRDefault="003B1E7F" w:rsidP="00171F08">
            <w:pPr>
              <w:pStyle w:val="OutlineNumbered1"/>
              <w:numPr>
                <w:ilvl w:val="0"/>
                <w:numId w:val="0"/>
              </w:numPr>
              <w:spacing w:after="120"/>
              <w:rPr>
                <w:sz w:val="20"/>
                <w:szCs w:val="20"/>
              </w:rPr>
            </w:pPr>
            <w:r w:rsidRPr="3280F7CD">
              <w:rPr>
                <w:sz w:val="20"/>
                <w:szCs w:val="20"/>
              </w:rPr>
              <w:t>Action 9</w:t>
            </w:r>
          </w:p>
          <w:p w14:paraId="3F8514DB" w14:textId="111B8D07" w:rsidR="003B1E7F" w:rsidRPr="00E724F9" w:rsidRDefault="003B1E7F" w:rsidP="00171F08">
            <w:pPr>
              <w:pStyle w:val="OutlineNumbered1"/>
              <w:numPr>
                <w:ilvl w:val="0"/>
                <w:numId w:val="0"/>
              </w:numPr>
              <w:spacing w:after="120"/>
              <w:rPr>
                <w:sz w:val="20"/>
                <w:szCs w:val="20"/>
              </w:rPr>
            </w:pPr>
            <w:r w:rsidRPr="3280F7CD">
              <w:rPr>
                <w:sz w:val="20"/>
                <w:szCs w:val="20"/>
              </w:rPr>
              <w:t xml:space="preserve">Western Australia will provide an issues paper for consideration. </w:t>
            </w:r>
          </w:p>
        </w:tc>
        <w:tc>
          <w:tcPr>
            <w:tcW w:w="1983" w:type="pct"/>
          </w:tcPr>
          <w:p w14:paraId="6F7DF191" w14:textId="77777777" w:rsidR="003B1E7F" w:rsidRPr="007F5232" w:rsidRDefault="003B1E7F" w:rsidP="00171F08">
            <w:pPr>
              <w:spacing w:after="120"/>
              <w:rPr>
                <w:sz w:val="20"/>
                <w:szCs w:val="20"/>
              </w:rPr>
            </w:pPr>
            <w:r w:rsidRPr="007F5232">
              <w:rPr>
                <w:rFonts w:ascii="Calibri" w:eastAsia="Times New Roman" w:hAnsi="Calibri" w:cs="Calibri"/>
                <w:sz w:val="20"/>
                <w:szCs w:val="20"/>
                <w:lang w:val="en-AU" w:eastAsia="en-AU"/>
              </w:rPr>
              <w:t>Planning Ministers have reviewed the community consultation principles developed by Western Australia. Some jurisdictions already have best practice consultation guidance in place. Others will use the Western Australian guidance to help inform best practice approaches in their jurisdictions</w:t>
            </w:r>
            <w:r>
              <w:rPr>
                <w:rFonts w:ascii="Calibri" w:eastAsia="Times New Roman" w:hAnsi="Calibri" w:cs="Calibri"/>
                <w:sz w:val="20"/>
                <w:szCs w:val="20"/>
                <w:lang w:val="en-AU" w:eastAsia="en-AU"/>
              </w:rPr>
              <w:t>.</w:t>
            </w:r>
          </w:p>
        </w:tc>
        <w:tc>
          <w:tcPr>
            <w:tcW w:w="338" w:type="pct"/>
            <w:vMerge w:val="restart"/>
            <w:shd w:val="clear" w:color="auto" w:fill="92D050"/>
            <w:vAlign w:val="center"/>
          </w:tcPr>
          <w:p w14:paraId="3DD3DEB5" w14:textId="12CB7C26" w:rsidR="003B1E7F" w:rsidRPr="007F5232" w:rsidRDefault="003B1E7F" w:rsidP="003B1E7F">
            <w:pPr>
              <w:spacing w:after="120"/>
              <w:jc w:val="center"/>
              <w:rPr>
                <w:rFonts w:ascii="Calibri" w:eastAsia="Times New Roman" w:hAnsi="Calibri" w:cs="Calibri"/>
                <w:sz w:val="20"/>
                <w:szCs w:val="20"/>
                <w:lang w:val="en-AU" w:eastAsia="en-AU"/>
              </w:rPr>
            </w:pPr>
            <w:r>
              <w:rPr>
                <w:rFonts w:ascii="Calibri" w:eastAsia="Times New Roman" w:hAnsi="Calibri" w:cs="Calibri"/>
                <w:sz w:val="20"/>
                <w:szCs w:val="20"/>
                <w:lang w:val="en-AU" w:eastAsia="en-AU"/>
              </w:rPr>
              <w:t>Delivered</w:t>
            </w:r>
          </w:p>
        </w:tc>
      </w:tr>
      <w:tr w:rsidR="003B1E7F" w14:paraId="34EAC4DB" w14:textId="29056F59" w:rsidTr="000A6A66">
        <w:tc>
          <w:tcPr>
            <w:tcW w:w="879" w:type="pct"/>
            <w:tcBorders>
              <w:right w:val="single" w:sz="4" w:space="0" w:color="auto"/>
            </w:tcBorders>
          </w:tcPr>
          <w:p w14:paraId="014FF528" w14:textId="77777777" w:rsidR="003B1E7F" w:rsidRPr="00226FDE" w:rsidRDefault="003B1E7F" w:rsidP="00171F08">
            <w:pPr>
              <w:pStyle w:val="OutlineNumbered1"/>
              <w:numPr>
                <w:ilvl w:val="0"/>
                <w:numId w:val="0"/>
              </w:numPr>
              <w:spacing w:after="120"/>
              <w:ind w:left="378" w:hanging="378"/>
              <w:rPr>
                <w:rFonts w:ascii="Calibri" w:eastAsia="Times New Roman" w:hAnsi="Calibri" w:cs="Calibri"/>
                <w:b/>
                <w:bCs/>
                <w:sz w:val="20"/>
                <w:szCs w:val="20"/>
                <w:lang w:val="en-AU" w:eastAsia="en-AU"/>
              </w:rPr>
            </w:pPr>
            <w:r w:rsidRPr="00226FDE">
              <w:rPr>
                <w:rFonts w:ascii="Calibri" w:eastAsia="Times New Roman" w:hAnsi="Calibri" w:cs="Calibri"/>
                <w:b/>
                <w:bCs/>
                <w:sz w:val="20"/>
                <w:szCs w:val="20"/>
                <w:lang w:val="en-AU" w:eastAsia="en-AU"/>
              </w:rPr>
              <w:t>Measure 10</w:t>
            </w:r>
          </w:p>
          <w:p w14:paraId="5F648E57" w14:textId="737CB866" w:rsidR="003B1E7F" w:rsidRPr="00E724F9" w:rsidRDefault="003B1E7F" w:rsidP="00226FDE">
            <w:pPr>
              <w:pStyle w:val="OutlineNumbered1"/>
              <w:numPr>
                <w:ilvl w:val="0"/>
                <w:numId w:val="0"/>
              </w:numPr>
              <w:spacing w:after="120"/>
              <w:rPr>
                <w:rFonts w:ascii="Calibri" w:eastAsia="Times New Roman" w:hAnsi="Calibri" w:cs="Calibri"/>
                <w:sz w:val="20"/>
                <w:szCs w:val="20"/>
                <w:lang w:val="en-AU" w:eastAsia="en-AU"/>
              </w:rPr>
            </w:pPr>
            <w:r w:rsidRPr="6FF82995">
              <w:rPr>
                <w:rFonts w:ascii="Calibri" w:eastAsia="Times New Roman" w:hAnsi="Calibri" w:cs="Calibri"/>
                <w:sz w:val="20"/>
                <w:szCs w:val="20"/>
                <w:lang w:val="en-AU" w:eastAsia="en-AU"/>
              </w:rPr>
              <w:t>All levels of government will ensure the efficient use of government land and the delivery of best practice projects to support housing supply, diversity and affordability.</w:t>
            </w:r>
          </w:p>
        </w:tc>
        <w:tc>
          <w:tcPr>
            <w:tcW w:w="1799" w:type="pct"/>
            <w:tcBorders>
              <w:left w:val="single" w:sz="4" w:space="0" w:color="auto"/>
            </w:tcBorders>
          </w:tcPr>
          <w:p w14:paraId="2120391B" w14:textId="77777777" w:rsidR="003B1E7F" w:rsidRDefault="003B1E7F" w:rsidP="00171F08">
            <w:pPr>
              <w:pStyle w:val="OutlineNumbered1"/>
              <w:numPr>
                <w:ilvl w:val="0"/>
                <w:numId w:val="0"/>
              </w:numPr>
              <w:spacing w:after="120"/>
              <w:rPr>
                <w:sz w:val="20"/>
                <w:szCs w:val="20"/>
              </w:rPr>
            </w:pPr>
            <w:r w:rsidRPr="3280F7CD">
              <w:rPr>
                <w:sz w:val="20"/>
                <w:szCs w:val="20"/>
              </w:rPr>
              <w:t>Action 10</w:t>
            </w:r>
          </w:p>
          <w:p w14:paraId="2FB59AB7" w14:textId="7012B2D2" w:rsidR="003B1E7F" w:rsidRPr="00E724F9" w:rsidRDefault="003B1E7F" w:rsidP="00171F08">
            <w:pPr>
              <w:pStyle w:val="OutlineNumbered1"/>
              <w:numPr>
                <w:ilvl w:val="0"/>
                <w:numId w:val="0"/>
              </w:numPr>
              <w:spacing w:after="120"/>
              <w:rPr>
                <w:sz w:val="20"/>
                <w:szCs w:val="20"/>
              </w:rPr>
            </w:pPr>
            <w:r w:rsidRPr="3280F7CD">
              <w:rPr>
                <w:sz w:val="20"/>
                <w:szCs w:val="20"/>
              </w:rPr>
              <w:t>Jurisdictions will share best practice examples for the redevelopment of Government land.</w:t>
            </w:r>
          </w:p>
        </w:tc>
        <w:tc>
          <w:tcPr>
            <w:tcW w:w="1983" w:type="pct"/>
          </w:tcPr>
          <w:p w14:paraId="64FD22AA" w14:textId="77777777" w:rsidR="003B1E7F" w:rsidRPr="007F5232" w:rsidRDefault="003B1E7F" w:rsidP="00171F08">
            <w:pPr>
              <w:spacing w:after="120"/>
              <w:rPr>
                <w:sz w:val="20"/>
                <w:szCs w:val="20"/>
              </w:rPr>
            </w:pPr>
            <w:r w:rsidRPr="007F5232">
              <w:rPr>
                <w:rFonts w:ascii="Calibri" w:eastAsia="Times New Roman" w:hAnsi="Calibri" w:cs="Calibri"/>
                <w:sz w:val="20"/>
                <w:szCs w:val="20"/>
                <w:lang w:val="en-AU" w:eastAsia="en-AU"/>
              </w:rPr>
              <w:t xml:space="preserve">Planning Ministers have </w:t>
            </w:r>
            <w:r>
              <w:rPr>
                <w:rFonts w:ascii="Calibri" w:eastAsia="Times New Roman" w:hAnsi="Calibri" w:cs="Calibri"/>
                <w:sz w:val="20"/>
                <w:szCs w:val="20"/>
                <w:lang w:val="en-AU" w:eastAsia="en-AU"/>
              </w:rPr>
              <w:t xml:space="preserve">shared and reviewed </w:t>
            </w:r>
            <w:r w:rsidRPr="007F5232">
              <w:rPr>
                <w:rFonts w:ascii="Calibri" w:eastAsia="Times New Roman" w:hAnsi="Calibri" w:cs="Calibri"/>
                <w:sz w:val="20"/>
                <w:szCs w:val="20"/>
                <w:lang w:val="en-AU" w:eastAsia="en-AU"/>
              </w:rPr>
              <w:t>best practice government land release examples to provide guidance to assist jurisdictional approaches</w:t>
            </w:r>
            <w:r>
              <w:rPr>
                <w:rFonts w:ascii="Calibri" w:eastAsia="Times New Roman" w:hAnsi="Calibri" w:cs="Calibri"/>
                <w:sz w:val="20"/>
                <w:szCs w:val="20"/>
                <w:lang w:val="en-AU" w:eastAsia="en-AU"/>
              </w:rPr>
              <w:t>.</w:t>
            </w:r>
          </w:p>
        </w:tc>
        <w:tc>
          <w:tcPr>
            <w:tcW w:w="338" w:type="pct"/>
            <w:vMerge/>
          </w:tcPr>
          <w:p w14:paraId="096C0486" w14:textId="77777777" w:rsidR="003B1E7F" w:rsidRPr="007F5232" w:rsidRDefault="003B1E7F" w:rsidP="00171F08">
            <w:pPr>
              <w:spacing w:after="120"/>
              <w:rPr>
                <w:rFonts w:ascii="Calibri" w:eastAsia="Times New Roman" w:hAnsi="Calibri" w:cs="Calibri"/>
                <w:sz w:val="20"/>
                <w:szCs w:val="20"/>
                <w:lang w:val="en-AU" w:eastAsia="en-AU"/>
              </w:rPr>
            </w:pPr>
          </w:p>
        </w:tc>
      </w:tr>
    </w:tbl>
    <w:p w14:paraId="2D8EDA9B" w14:textId="77777777" w:rsidR="00AC4838" w:rsidRPr="00B2347C" w:rsidRDefault="00AC4838" w:rsidP="00AC4838">
      <w:pPr>
        <w:rPr>
          <w:sz w:val="16"/>
          <w:szCs w:val="16"/>
        </w:rPr>
      </w:pPr>
    </w:p>
    <w:p w14:paraId="6AE4C856" w14:textId="17C20E62" w:rsidR="00B2347C" w:rsidRPr="00AC4838" w:rsidRDefault="00B2347C" w:rsidP="00AC4838"/>
    <w:sectPr w:rsidR="00B2347C" w:rsidRPr="00AC4838" w:rsidSect="008F49A7">
      <w:headerReference w:type="default" r:id="rId8"/>
      <w:pgSz w:w="16838" w:h="23811" w:code="8"/>
      <w:pgMar w:top="2269" w:right="1135" w:bottom="1440" w:left="993" w:header="993"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823D48" w14:textId="77777777" w:rsidR="006068C9" w:rsidRDefault="006068C9" w:rsidP="0025552F">
      <w:pPr>
        <w:spacing w:after="0" w:line="240" w:lineRule="auto"/>
      </w:pPr>
      <w:r>
        <w:separator/>
      </w:r>
    </w:p>
  </w:endnote>
  <w:endnote w:type="continuationSeparator" w:id="0">
    <w:p w14:paraId="122733C6" w14:textId="77777777" w:rsidR="006068C9" w:rsidRDefault="006068C9" w:rsidP="0025552F">
      <w:pPr>
        <w:spacing w:after="0" w:line="240" w:lineRule="auto"/>
      </w:pPr>
      <w:r>
        <w:continuationSeparator/>
      </w:r>
    </w:p>
  </w:endnote>
  <w:endnote w:type="continuationNotice" w:id="1">
    <w:p w14:paraId="04677A2B" w14:textId="77777777" w:rsidR="006068C9" w:rsidRDefault="006068C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6E496A" w14:textId="77777777" w:rsidR="006068C9" w:rsidRDefault="006068C9" w:rsidP="0025552F">
      <w:pPr>
        <w:spacing w:after="0" w:line="240" w:lineRule="auto"/>
      </w:pPr>
      <w:r>
        <w:separator/>
      </w:r>
    </w:p>
  </w:footnote>
  <w:footnote w:type="continuationSeparator" w:id="0">
    <w:p w14:paraId="67AAA1A8" w14:textId="77777777" w:rsidR="006068C9" w:rsidRDefault="006068C9" w:rsidP="0025552F">
      <w:pPr>
        <w:spacing w:after="0" w:line="240" w:lineRule="auto"/>
      </w:pPr>
      <w:r>
        <w:continuationSeparator/>
      </w:r>
    </w:p>
  </w:footnote>
  <w:footnote w:type="continuationNotice" w:id="1">
    <w:p w14:paraId="1BD71B3E" w14:textId="77777777" w:rsidR="006068C9" w:rsidRDefault="006068C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653235" w14:textId="3699AB4E" w:rsidR="0025552F" w:rsidRDefault="0025552F">
    <w:pPr>
      <w:pStyle w:val="Header"/>
    </w:pPr>
    <w:r>
      <w:rPr>
        <w:noProof/>
      </w:rPr>
      <w:drawing>
        <wp:inline distT="0" distB="0" distL="0" distR="0" wp14:anchorId="38CB8F5F" wp14:editId="645C105C">
          <wp:extent cx="2266950" cy="551810"/>
          <wp:effectExtent l="0" t="0" r="0" b="1270"/>
          <wp:docPr id="10" name="Picture 10" descr="Australina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Australina Government logo"/>
                  <pic:cNvPicPr/>
                </pic:nvPicPr>
                <pic:blipFill>
                  <a:blip r:embed="rId1">
                    <a:extLst>
                      <a:ext uri="{28A0092B-C50C-407E-A947-70E740481C1C}">
                        <a14:useLocalDpi xmlns:a14="http://schemas.microsoft.com/office/drawing/2010/main" val="0"/>
                      </a:ext>
                    </a:extLst>
                  </a:blip>
                  <a:stretch>
                    <a:fillRect/>
                  </a:stretch>
                </pic:blipFill>
                <pic:spPr>
                  <a:xfrm>
                    <a:off x="0" y="0"/>
                    <a:ext cx="2322618" cy="565360"/>
                  </a:xfrm>
                  <a:prstGeom prst="rect">
                    <a:avLst/>
                  </a:prstGeom>
                </pic:spPr>
              </pic:pic>
            </a:graphicData>
          </a:graphic>
        </wp:inline>
      </w:drawing>
    </w:r>
    <w:r w:rsidR="007743A9">
      <w:rPr>
        <w:noProof/>
      </w:rPr>
      <mc:AlternateContent>
        <mc:Choice Requires="wps">
          <w:drawing>
            <wp:inline distT="0" distB="0" distL="0" distR="0" wp14:anchorId="40C7A9AD" wp14:editId="1FE5311B">
              <wp:extent cx="304800" cy="304800"/>
              <wp:effectExtent l="0" t="0" r="0" b="0"/>
              <wp:docPr id="7" name="Rectangle 7" descr="Hom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a="http://schemas.openxmlformats.org/drawingml/2006/main" xmlns:pic="http://schemas.openxmlformats.org/drawingml/2006/picture" xmlns:a14="http://schemas.microsoft.com/office/drawing/2010/main">
          <w:pict>
            <v:rect id="Rectangle 7" style="width:24pt;height:24pt;visibility:visible;mso-wrap-style:square;mso-left-percent:-10001;mso-top-percent:-10001;mso-position-horizontal:absolute;mso-position-horizontal-relative:char;mso-position-vertical:absolute;mso-position-vertical-relative:line;mso-left-percent:-10001;mso-top-percent:-10001;v-text-anchor:top" alt="Home" o:spid="_x0000_s1026" filled="f" stroked="f" w14:anchorId="0569E5F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o:lock v:ext="edit" aspectratio="t"/>
              <w10:anchorlock/>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327A2A"/>
    <w:multiLevelType w:val="multilevel"/>
    <w:tmpl w:val="BF20B710"/>
    <w:name w:val="StandardNumberedList"/>
    <w:lvl w:ilvl="0">
      <w:start w:val="1"/>
      <w:numFmt w:val="decimal"/>
      <w:pStyle w:val="OutlineNumbered1"/>
      <w:lvlText w:val="%1."/>
      <w:lvlJc w:val="left"/>
      <w:pPr>
        <w:tabs>
          <w:tab w:val="num" w:pos="378"/>
        </w:tabs>
        <w:ind w:left="378" w:hanging="378"/>
      </w:pPr>
      <w:rPr>
        <w:sz w:val="20"/>
        <w:szCs w:val="20"/>
      </w:rPr>
    </w:lvl>
    <w:lvl w:ilvl="1">
      <w:start w:val="1"/>
      <w:numFmt w:val="decimal"/>
      <w:pStyle w:val="OutlineNumbered2"/>
      <w:lvlText w:val="%1.%2."/>
      <w:lvlJc w:val="left"/>
      <w:pPr>
        <w:tabs>
          <w:tab w:val="num" w:pos="756"/>
        </w:tabs>
        <w:ind w:left="756" w:hanging="378"/>
      </w:pPr>
    </w:lvl>
    <w:lvl w:ilvl="2">
      <w:start w:val="1"/>
      <w:numFmt w:val="decimal"/>
      <w:pStyle w:val="OutlineNumbered3"/>
      <w:lvlText w:val="%1.%2.%3."/>
      <w:lvlJc w:val="left"/>
      <w:pPr>
        <w:tabs>
          <w:tab w:val="num" w:pos="1134"/>
        </w:tabs>
        <w:ind w:left="1134" w:hanging="378"/>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797531790">
    <w:abstractNumId w:val="0"/>
  </w:num>
  <w:num w:numId="2" w16cid:durableId="602229058">
    <w:abstractNumId w:val="0"/>
  </w:num>
  <w:num w:numId="3" w16cid:durableId="416485842">
    <w:abstractNumId w:val="0"/>
  </w:num>
  <w:num w:numId="4" w16cid:durableId="77752441">
    <w:abstractNumId w:val="0"/>
  </w:num>
  <w:num w:numId="5" w16cid:durableId="569727578">
    <w:abstractNumId w:val="0"/>
  </w:num>
  <w:num w:numId="6" w16cid:durableId="1133210179">
    <w:abstractNumId w:val="0"/>
  </w:num>
  <w:num w:numId="7" w16cid:durableId="1641729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hideSpellingErrors/>
  <w:hideGrammaticalErrors/>
  <w:proofState w:spelling="clean" w:grammar="clean"/>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16C9E63"/>
    <w:rsid w:val="00003D6B"/>
    <w:rsid w:val="000063F6"/>
    <w:rsid w:val="00010EF7"/>
    <w:rsid w:val="00013AC0"/>
    <w:rsid w:val="000201EC"/>
    <w:rsid w:val="0002085F"/>
    <w:rsid w:val="00023B35"/>
    <w:rsid w:val="00025F9E"/>
    <w:rsid w:val="000370F1"/>
    <w:rsid w:val="0004351C"/>
    <w:rsid w:val="000468D9"/>
    <w:rsid w:val="00053BE4"/>
    <w:rsid w:val="00056B37"/>
    <w:rsid w:val="0005757F"/>
    <w:rsid w:val="00060F4A"/>
    <w:rsid w:val="00062641"/>
    <w:rsid w:val="000654B5"/>
    <w:rsid w:val="000670E6"/>
    <w:rsid w:val="00076524"/>
    <w:rsid w:val="000864B4"/>
    <w:rsid w:val="000949CE"/>
    <w:rsid w:val="000A06A7"/>
    <w:rsid w:val="000A21A8"/>
    <w:rsid w:val="000A6A66"/>
    <w:rsid w:val="000B3682"/>
    <w:rsid w:val="000B56EF"/>
    <w:rsid w:val="000B5CB0"/>
    <w:rsid w:val="000B5D28"/>
    <w:rsid w:val="000D32FA"/>
    <w:rsid w:val="000E358D"/>
    <w:rsid w:val="000E46BB"/>
    <w:rsid w:val="000E63D5"/>
    <w:rsid w:val="000F6CBB"/>
    <w:rsid w:val="00101049"/>
    <w:rsid w:val="001016E7"/>
    <w:rsid w:val="00107702"/>
    <w:rsid w:val="00122ECF"/>
    <w:rsid w:val="00130552"/>
    <w:rsid w:val="00132C6F"/>
    <w:rsid w:val="00135812"/>
    <w:rsid w:val="00152DF8"/>
    <w:rsid w:val="00160131"/>
    <w:rsid w:val="00160656"/>
    <w:rsid w:val="00160C98"/>
    <w:rsid w:val="00166B75"/>
    <w:rsid w:val="00167C23"/>
    <w:rsid w:val="001715A0"/>
    <w:rsid w:val="001718BA"/>
    <w:rsid w:val="00171A36"/>
    <w:rsid w:val="00171F08"/>
    <w:rsid w:val="001723B4"/>
    <w:rsid w:val="0017585D"/>
    <w:rsid w:val="00176754"/>
    <w:rsid w:val="00177259"/>
    <w:rsid w:val="00183B90"/>
    <w:rsid w:val="00185BCD"/>
    <w:rsid w:val="001928DC"/>
    <w:rsid w:val="00194C0D"/>
    <w:rsid w:val="001A534C"/>
    <w:rsid w:val="001A576A"/>
    <w:rsid w:val="001B0BC9"/>
    <w:rsid w:val="001B264C"/>
    <w:rsid w:val="001B2CC8"/>
    <w:rsid w:val="001B6C2D"/>
    <w:rsid w:val="001C27E0"/>
    <w:rsid w:val="001C43C5"/>
    <w:rsid w:val="001D3B0F"/>
    <w:rsid w:val="001E2FB9"/>
    <w:rsid w:val="001F2C0C"/>
    <w:rsid w:val="002043A4"/>
    <w:rsid w:val="00205E2E"/>
    <w:rsid w:val="002121A9"/>
    <w:rsid w:val="0022077A"/>
    <w:rsid w:val="0022079F"/>
    <w:rsid w:val="00222FB1"/>
    <w:rsid w:val="002262D7"/>
    <w:rsid w:val="00226FDE"/>
    <w:rsid w:val="00233FC4"/>
    <w:rsid w:val="002404B1"/>
    <w:rsid w:val="002454FB"/>
    <w:rsid w:val="00253D92"/>
    <w:rsid w:val="0025552F"/>
    <w:rsid w:val="00256D61"/>
    <w:rsid w:val="00261E38"/>
    <w:rsid w:val="00263394"/>
    <w:rsid w:val="00267E0C"/>
    <w:rsid w:val="00271441"/>
    <w:rsid w:val="00273BEB"/>
    <w:rsid w:val="00282B77"/>
    <w:rsid w:val="00284732"/>
    <w:rsid w:val="00286DA3"/>
    <w:rsid w:val="002919FC"/>
    <w:rsid w:val="00296E39"/>
    <w:rsid w:val="002A3580"/>
    <w:rsid w:val="002A68E0"/>
    <w:rsid w:val="002B351D"/>
    <w:rsid w:val="002B5525"/>
    <w:rsid w:val="002C0B32"/>
    <w:rsid w:val="002C1FA1"/>
    <w:rsid w:val="002E2619"/>
    <w:rsid w:val="002F236D"/>
    <w:rsid w:val="002F3DD6"/>
    <w:rsid w:val="0032095B"/>
    <w:rsid w:val="0032760A"/>
    <w:rsid w:val="00327D15"/>
    <w:rsid w:val="003317AA"/>
    <w:rsid w:val="00337A3B"/>
    <w:rsid w:val="003411B8"/>
    <w:rsid w:val="00342ABE"/>
    <w:rsid w:val="00345C3C"/>
    <w:rsid w:val="00354966"/>
    <w:rsid w:val="00355ADC"/>
    <w:rsid w:val="0036112F"/>
    <w:rsid w:val="00361168"/>
    <w:rsid w:val="00365B36"/>
    <w:rsid w:val="0037525F"/>
    <w:rsid w:val="00383863"/>
    <w:rsid w:val="003877A2"/>
    <w:rsid w:val="00394FDB"/>
    <w:rsid w:val="00395720"/>
    <w:rsid w:val="003958BE"/>
    <w:rsid w:val="003A7435"/>
    <w:rsid w:val="003B1E7F"/>
    <w:rsid w:val="003B1ED9"/>
    <w:rsid w:val="003C49EB"/>
    <w:rsid w:val="003C7CFF"/>
    <w:rsid w:val="003D2A51"/>
    <w:rsid w:val="003E13A5"/>
    <w:rsid w:val="003E3832"/>
    <w:rsid w:val="003E6CAE"/>
    <w:rsid w:val="003F1808"/>
    <w:rsid w:val="00403A09"/>
    <w:rsid w:val="00410000"/>
    <w:rsid w:val="00411D70"/>
    <w:rsid w:val="00415A58"/>
    <w:rsid w:val="00415D92"/>
    <w:rsid w:val="00431D2C"/>
    <w:rsid w:val="0043282E"/>
    <w:rsid w:val="004336D9"/>
    <w:rsid w:val="00436C1C"/>
    <w:rsid w:val="0044042C"/>
    <w:rsid w:val="00444800"/>
    <w:rsid w:val="00445CCE"/>
    <w:rsid w:val="00447365"/>
    <w:rsid w:val="0045116A"/>
    <w:rsid w:val="00451345"/>
    <w:rsid w:val="00455AF4"/>
    <w:rsid w:val="00456679"/>
    <w:rsid w:val="00456FEA"/>
    <w:rsid w:val="004574A9"/>
    <w:rsid w:val="0047149A"/>
    <w:rsid w:val="004740A7"/>
    <w:rsid w:val="00477662"/>
    <w:rsid w:val="00480153"/>
    <w:rsid w:val="00493424"/>
    <w:rsid w:val="00493AA4"/>
    <w:rsid w:val="004A3B01"/>
    <w:rsid w:val="004C7347"/>
    <w:rsid w:val="004C7E14"/>
    <w:rsid w:val="004D293A"/>
    <w:rsid w:val="004D61C8"/>
    <w:rsid w:val="004D67B8"/>
    <w:rsid w:val="004D7C9D"/>
    <w:rsid w:val="004E232C"/>
    <w:rsid w:val="004E2D1A"/>
    <w:rsid w:val="004E3D23"/>
    <w:rsid w:val="004E46AA"/>
    <w:rsid w:val="004F0367"/>
    <w:rsid w:val="004F227E"/>
    <w:rsid w:val="00505B2D"/>
    <w:rsid w:val="00506125"/>
    <w:rsid w:val="00506990"/>
    <w:rsid w:val="00511522"/>
    <w:rsid w:val="005161D3"/>
    <w:rsid w:val="00516C8F"/>
    <w:rsid w:val="005171F3"/>
    <w:rsid w:val="0052164D"/>
    <w:rsid w:val="0052230D"/>
    <w:rsid w:val="00530558"/>
    <w:rsid w:val="00541200"/>
    <w:rsid w:val="00542A06"/>
    <w:rsid w:val="0054329F"/>
    <w:rsid w:val="005451B8"/>
    <w:rsid w:val="00545E76"/>
    <w:rsid w:val="0054620E"/>
    <w:rsid w:val="00547679"/>
    <w:rsid w:val="00550807"/>
    <w:rsid w:val="00564EEC"/>
    <w:rsid w:val="005670FD"/>
    <w:rsid w:val="00573B45"/>
    <w:rsid w:val="005858DD"/>
    <w:rsid w:val="005B1D60"/>
    <w:rsid w:val="005C6915"/>
    <w:rsid w:val="005D2ECE"/>
    <w:rsid w:val="005E43E0"/>
    <w:rsid w:val="005E4705"/>
    <w:rsid w:val="005F153E"/>
    <w:rsid w:val="005F6835"/>
    <w:rsid w:val="00603819"/>
    <w:rsid w:val="006068A2"/>
    <w:rsid w:val="006068C9"/>
    <w:rsid w:val="00607BC8"/>
    <w:rsid w:val="00612D57"/>
    <w:rsid w:val="0061600E"/>
    <w:rsid w:val="006161D3"/>
    <w:rsid w:val="006303E6"/>
    <w:rsid w:val="006309EE"/>
    <w:rsid w:val="006370E6"/>
    <w:rsid w:val="00644020"/>
    <w:rsid w:val="0064514C"/>
    <w:rsid w:val="00651397"/>
    <w:rsid w:val="006520CD"/>
    <w:rsid w:val="00667D34"/>
    <w:rsid w:val="006755AF"/>
    <w:rsid w:val="0068747A"/>
    <w:rsid w:val="006910B3"/>
    <w:rsid w:val="00693712"/>
    <w:rsid w:val="00696E3E"/>
    <w:rsid w:val="006975E3"/>
    <w:rsid w:val="006A671A"/>
    <w:rsid w:val="006B2721"/>
    <w:rsid w:val="006C16EF"/>
    <w:rsid w:val="006C1D7F"/>
    <w:rsid w:val="006D057C"/>
    <w:rsid w:val="006D2497"/>
    <w:rsid w:val="006E3121"/>
    <w:rsid w:val="006E4ADA"/>
    <w:rsid w:val="006F32CC"/>
    <w:rsid w:val="006F44B5"/>
    <w:rsid w:val="007018D0"/>
    <w:rsid w:val="0070677C"/>
    <w:rsid w:val="007113CA"/>
    <w:rsid w:val="00714861"/>
    <w:rsid w:val="007156C0"/>
    <w:rsid w:val="00720FCB"/>
    <w:rsid w:val="00724A58"/>
    <w:rsid w:val="00732F6F"/>
    <w:rsid w:val="00745A67"/>
    <w:rsid w:val="0075210E"/>
    <w:rsid w:val="00766FCD"/>
    <w:rsid w:val="007706F7"/>
    <w:rsid w:val="007719B5"/>
    <w:rsid w:val="0077240B"/>
    <w:rsid w:val="007743A9"/>
    <w:rsid w:val="00775AFB"/>
    <w:rsid w:val="00775B7D"/>
    <w:rsid w:val="00776A3D"/>
    <w:rsid w:val="00780584"/>
    <w:rsid w:val="00782EB9"/>
    <w:rsid w:val="007A0498"/>
    <w:rsid w:val="007A6D76"/>
    <w:rsid w:val="007A7427"/>
    <w:rsid w:val="007B0E65"/>
    <w:rsid w:val="007B3290"/>
    <w:rsid w:val="007C3094"/>
    <w:rsid w:val="007D170A"/>
    <w:rsid w:val="007D26EC"/>
    <w:rsid w:val="007D4363"/>
    <w:rsid w:val="007F13FB"/>
    <w:rsid w:val="007F273D"/>
    <w:rsid w:val="007F32FA"/>
    <w:rsid w:val="007F5232"/>
    <w:rsid w:val="007F54F1"/>
    <w:rsid w:val="007F602E"/>
    <w:rsid w:val="0080115C"/>
    <w:rsid w:val="00805D37"/>
    <w:rsid w:val="00806114"/>
    <w:rsid w:val="00810055"/>
    <w:rsid w:val="008118A4"/>
    <w:rsid w:val="008228FC"/>
    <w:rsid w:val="00825028"/>
    <w:rsid w:val="008350D4"/>
    <w:rsid w:val="0084179A"/>
    <w:rsid w:val="008505EE"/>
    <w:rsid w:val="00851641"/>
    <w:rsid w:val="00851FDE"/>
    <w:rsid w:val="008572DC"/>
    <w:rsid w:val="008652A2"/>
    <w:rsid w:val="00876C31"/>
    <w:rsid w:val="0088442C"/>
    <w:rsid w:val="00891E6F"/>
    <w:rsid w:val="00892BF8"/>
    <w:rsid w:val="008A0534"/>
    <w:rsid w:val="008B499A"/>
    <w:rsid w:val="008C0BB0"/>
    <w:rsid w:val="008C7C8D"/>
    <w:rsid w:val="008D118C"/>
    <w:rsid w:val="008D6046"/>
    <w:rsid w:val="008E5DC4"/>
    <w:rsid w:val="008F36B4"/>
    <w:rsid w:val="008F49A7"/>
    <w:rsid w:val="00901E94"/>
    <w:rsid w:val="0090294E"/>
    <w:rsid w:val="00910DD4"/>
    <w:rsid w:val="00913A49"/>
    <w:rsid w:val="009221F6"/>
    <w:rsid w:val="0092651C"/>
    <w:rsid w:val="00935B89"/>
    <w:rsid w:val="00951F6E"/>
    <w:rsid w:val="00956EC0"/>
    <w:rsid w:val="009570E5"/>
    <w:rsid w:val="009603AB"/>
    <w:rsid w:val="00962DEE"/>
    <w:rsid w:val="00972DB7"/>
    <w:rsid w:val="009827F4"/>
    <w:rsid w:val="00983D58"/>
    <w:rsid w:val="0099151D"/>
    <w:rsid w:val="009A0EC8"/>
    <w:rsid w:val="009A178D"/>
    <w:rsid w:val="009A2077"/>
    <w:rsid w:val="009A402C"/>
    <w:rsid w:val="009A6006"/>
    <w:rsid w:val="009B0824"/>
    <w:rsid w:val="009B13F1"/>
    <w:rsid w:val="009B3CAA"/>
    <w:rsid w:val="009C689C"/>
    <w:rsid w:val="009C7111"/>
    <w:rsid w:val="009E3742"/>
    <w:rsid w:val="009E4C09"/>
    <w:rsid w:val="009F44F2"/>
    <w:rsid w:val="009F7D1D"/>
    <w:rsid w:val="00A122B9"/>
    <w:rsid w:val="00A13207"/>
    <w:rsid w:val="00A31A46"/>
    <w:rsid w:val="00A463FA"/>
    <w:rsid w:val="00A47359"/>
    <w:rsid w:val="00A507A6"/>
    <w:rsid w:val="00A643F4"/>
    <w:rsid w:val="00A719CD"/>
    <w:rsid w:val="00A7341E"/>
    <w:rsid w:val="00A9022C"/>
    <w:rsid w:val="00A92075"/>
    <w:rsid w:val="00AA1F8E"/>
    <w:rsid w:val="00AC4838"/>
    <w:rsid w:val="00AD5F6C"/>
    <w:rsid w:val="00AD7A85"/>
    <w:rsid w:val="00AD7EB2"/>
    <w:rsid w:val="00AE03A0"/>
    <w:rsid w:val="00AE10AF"/>
    <w:rsid w:val="00AE69D8"/>
    <w:rsid w:val="00AF146D"/>
    <w:rsid w:val="00AF4D56"/>
    <w:rsid w:val="00B058A7"/>
    <w:rsid w:val="00B07103"/>
    <w:rsid w:val="00B15A92"/>
    <w:rsid w:val="00B21015"/>
    <w:rsid w:val="00B2316C"/>
    <w:rsid w:val="00B2347C"/>
    <w:rsid w:val="00B307C5"/>
    <w:rsid w:val="00B40448"/>
    <w:rsid w:val="00B4381F"/>
    <w:rsid w:val="00B459DB"/>
    <w:rsid w:val="00B50293"/>
    <w:rsid w:val="00B505AB"/>
    <w:rsid w:val="00B50E28"/>
    <w:rsid w:val="00B73D03"/>
    <w:rsid w:val="00B7620E"/>
    <w:rsid w:val="00B83697"/>
    <w:rsid w:val="00B9022D"/>
    <w:rsid w:val="00BB002F"/>
    <w:rsid w:val="00BB06F3"/>
    <w:rsid w:val="00BB6AD9"/>
    <w:rsid w:val="00BC5CCA"/>
    <w:rsid w:val="00BC70B6"/>
    <w:rsid w:val="00BD7CA5"/>
    <w:rsid w:val="00BF4F5B"/>
    <w:rsid w:val="00C00281"/>
    <w:rsid w:val="00C00A00"/>
    <w:rsid w:val="00C03BFA"/>
    <w:rsid w:val="00C03E93"/>
    <w:rsid w:val="00C07B1A"/>
    <w:rsid w:val="00C108EB"/>
    <w:rsid w:val="00C1454F"/>
    <w:rsid w:val="00C22422"/>
    <w:rsid w:val="00C271ED"/>
    <w:rsid w:val="00C31B62"/>
    <w:rsid w:val="00C3556C"/>
    <w:rsid w:val="00C410AC"/>
    <w:rsid w:val="00C57F92"/>
    <w:rsid w:val="00C604B4"/>
    <w:rsid w:val="00C6485A"/>
    <w:rsid w:val="00C65CEE"/>
    <w:rsid w:val="00C718A8"/>
    <w:rsid w:val="00C7406E"/>
    <w:rsid w:val="00C821A8"/>
    <w:rsid w:val="00C827FA"/>
    <w:rsid w:val="00C918A6"/>
    <w:rsid w:val="00C96767"/>
    <w:rsid w:val="00CA3C8F"/>
    <w:rsid w:val="00CA4FD1"/>
    <w:rsid w:val="00CC4010"/>
    <w:rsid w:val="00CC7F69"/>
    <w:rsid w:val="00CD48B4"/>
    <w:rsid w:val="00CD67E2"/>
    <w:rsid w:val="00CE44DB"/>
    <w:rsid w:val="00CE74F5"/>
    <w:rsid w:val="00D02E22"/>
    <w:rsid w:val="00D14959"/>
    <w:rsid w:val="00D30EA7"/>
    <w:rsid w:val="00D31972"/>
    <w:rsid w:val="00D32BEC"/>
    <w:rsid w:val="00D471F5"/>
    <w:rsid w:val="00D50126"/>
    <w:rsid w:val="00D503FE"/>
    <w:rsid w:val="00D579B6"/>
    <w:rsid w:val="00D671E3"/>
    <w:rsid w:val="00D7488D"/>
    <w:rsid w:val="00D866B6"/>
    <w:rsid w:val="00DA7BF2"/>
    <w:rsid w:val="00DB297D"/>
    <w:rsid w:val="00DB3892"/>
    <w:rsid w:val="00DB4B61"/>
    <w:rsid w:val="00DC0A01"/>
    <w:rsid w:val="00DC4FB0"/>
    <w:rsid w:val="00DC7464"/>
    <w:rsid w:val="00DD157B"/>
    <w:rsid w:val="00DE2BD6"/>
    <w:rsid w:val="00DE47E4"/>
    <w:rsid w:val="00DE7518"/>
    <w:rsid w:val="00DF2C10"/>
    <w:rsid w:val="00DF3B47"/>
    <w:rsid w:val="00DF4944"/>
    <w:rsid w:val="00E00BFA"/>
    <w:rsid w:val="00E11F4F"/>
    <w:rsid w:val="00E1483A"/>
    <w:rsid w:val="00E26219"/>
    <w:rsid w:val="00E327BE"/>
    <w:rsid w:val="00E33CBE"/>
    <w:rsid w:val="00E34679"/>
    <w:rsid w:val="00E35DED"/>
    <w:rsid w:val="00E724F9"/>
    <w:rsid w:val="00E755F6"/>
    <w:rsid w:val="00E779A7"/>
    <w:rsid w:val="00E80491"/>
    <w:rsid w:val="00E86BA4"/>
    <w:rsid w:val="00E90621"/>
    <w:rsid w:val="00E9201E"/>
    <w:rsid w:val="00EA0BFD"/>
    <w:rsid w:val="00EA7B89"/>
    <w:rsid w:val="00EB38A1"/>
    <w:rsid w:val="00EB3C63"/>
    <w:rsid w:val="00EB68B3"/>
    <w:rsid w:val="00EB6B95"/>
    <w:rsid w:val="00EC66E5"/>
    <w:rsid w:val="00ED1F13"/>
    <w:rsid w:val="00ED4D35"/>
    <w:rsid w:val="00ED7536"/>
    <w:rsid w:val="00EE19E6"/>
    <w:rsid w:val="00EE7178"/>
    <w:rsid w:val="00EE7D48"/>
    <w:rsid w:val="00EF1896"/>
    <w:rsid w:val="00EF7FDC"/>
    <w:rsid w:val="00F02A25"/>
    <w:rsid w:val="00F13B94"/>
    <w:rsid w:val="00F35FC2"/>
    <w:rsid w:val="00F447EE"/>
    <w:rsid w:val="00F50112"/>
    <w:rsid w:val="00F51694"/>
    <w:rsid w:val="00F611FE"/>
    <w:rsid w:val="00F6463E"/>
    <w:rsid w:val="00F65284"/>
    <w:rsid w:val="00F7791D"/>
    <w:rsid w:val="00F906BD"/>
    <w:rsid w:val="00F90C9F"/>
    <w:rsid w:val="00F93EA6"/>
    <w:rsid w:val="00F953D4"/>
    <w:rsid w:val="00FA0860"/>
    <w:rsid w:val="00FC0CAB"/>
    <w:rsid w:val="00FC4A07"/>
    <w:rsid w:val="00FD0695"/>
    <w:rsid w:val="00FD60B4"/>
    <w:rsid w:val="00FE0C2F"/>
    <w:rsid w:val="00FE394B"/>
    <w:rsid w:val="00FE49C0"/>
    <w:rsid w:val="00FF13DD"/>
    <w:rsid w:val="00FF1704"/>
    <w:rsid w:val="00FF2CAD"/>
    <w:rsid w:val="0E1CFFE0"/>
    <w:rsid w:val="160A11A4"/>
    <w:rsid w:val="259EF130"/>
    <w:rsid w:val="25D06266"/>
    <w:rsid w:val="27803875"/>
    <w:rsid w:val="281776EA"/>
    <w:rsid w:val="2F9F226A"/>
    <w:rsid w:val="30C38624"/>
    <w:rsid w:val="3280F7CD"/>
    <w:rsid w:val="39FB679E"/>
    <w:rsid w:val="464DE7D0"/>
    <w:rsid w:val="49DEA72E"/>
    <w:rsid w:val="54F8BA92"/>
    <w:rsid w:val="55653B75"/>
    <w:rsid w:val="616C9E63"/>
    <w:rsid w:val="642EACAA"/>
    <w:rsid w:val="6FF82995"/>
    <w:rsid w:val="72D05F7D"/>
    <w:rsid w:val="7ED6B4F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59F11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next w:val="Normal"/>
    <w:link w:val="Heading1Char"/>
    <w:uiPriority w:val="9"/>
    <w:qFormat/>
    <w:rsid w:val="00F6463E"/>
    <w:pPr>
      <w:keepNext/>
      <w:keepLines/>
      <w:spacing w:before="240" w:after="0"/>
      <w:outlineLvl w:val="0"/>
    </w:pPr>
    <w:rPr>
      <w:rFonts w:asciiTheme="majorHAnsi" w:eastAsiaTheme="majorEastAsia" w:hAnsiTheme="majorHAnsi" w:cstheme="majorBidi"/>
      <w:color w:val="276E8B"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513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utlineNumbered1">
    <w:name w:val="Outline Numbered 1"/>
    <w:basedOn w:val="Normal"/>
    <w:link w:val="OutlineNumbered1Char"/>
    <w:rsid w:val="00451345"/>
    <w:pPr>
      <w:numPr>
        <w:numId w:val="1"/>
      </w:numPr>
      <w:spacing w:after="0" w:line="240" w:lineRule="auto"/>
    </w:pPr>
    <w:rPr>
      <w:sz w:val="16"/>
      <w:szCs w:val="16"/>
    </w:rPr>
  </w:style>
  <w:style w:type="character" w:customStyle="1" w:styleId="OutlineNumbered1Char">
    <w:name w:val="Outline Numbered 1 Char"/>
    <w:basedOn w:val="DefaultParagraphFont"/>
    <w:link w:val="OutlineNumbered1"/>
    <w:rsid w:val="00451345"/>
    <w:rPr>
      <w:sz w:val="16"/>
      <w:szCs w:val="16"/>
      <w:lang w:val="en-GB"/>
    </w:rPr>
  </w:style>
  <w:style w:type="paragraph" w:customStyle="1" w:styleId="OutlineNumbered2">
    <w:name w:val="Outline Numbered 2"/>
    <w:basedOn w:val="Normal"/>
    <w:link w:val="OutlineNumbered2Char"/>
    <w:rsid w:val="00451345"/>
    <w:pPr>
      <w:numPr>
        <w:ilvl w:val="1"/>
        <w:numId w:val="1"/>
      </w:numPr>
      <w:spacing w:after="0" w:line="240" w:lineRule="auto"/>
    </w:pPr>
    <w:rPr>
      <w:sz w:val="16"/>
      <w:szCs w:val="16"/>
    </w:rPr>
  </w:style>
  <w:style w:type="character" w:customStyle="1" w:styleId="OutlineNumbered2Char">
    <w:name w:val="Outline Numbered 2 Char"/>
    <w:basedOn w:val="DefaultParagraphFont"/>
    <w:link w:val="OutlineNumbered2"/>
    <w:rsid w:val="00451345"/>
    <w:rPr>
      <w:sz w:val="16"/>
      <w:szCs w:val="16"/>
      <w:lang w:val="en-GB"/>
    </w:rPr>
  </w:style>
  <w:style w:type="paragraph" w:customStyle="1" w:styleId="OutlineNumbered3">
    <w:name w:val="Outline Numbered 3"/>
    <w:basedOn w:val="Normal"/>
    <w:link w:val="OutlineNumbered3Char"/>
    <w:rsid w:val="00451345"/>
    <w:pPr>
      <w:numPr>
        <w:ilvl w:val="2"/>
        <w:numId w:val="1"/>
      </w:numPr>
      <w:spacing w:after="0" w:line="240" w:lineRule="auto"/>
    </w:pPr>
    <w:rPr>
      <w:sz w:val="16"/>
      <w:szCs w:val="16"/>
    </w:rPr>
  </w:style>
  <w:style w:type="character" w:customStyle="1" w:styleId="OutlineNumbered3Char">
    <w:name w:val="Outline Numbered 3 Char"/>
    <w:basedOn w:val="DefaultParagraphFont"/>
    <w:link w:val="OutlineNumbered3"/>
    <w:rsid w:val="00451345"/>
    <w:rPr>
      <w:sz w:val="16"/>
      <w:szCs w:val="16"/>
      <w:lang w:val="en-GB"/>
    </w:rPr>
  </w:style>
  <w:style w:type="paragraph" w:styleId="Header">
    <w:name w:val="header"/>
    <w:basedOn w:val="Normal"/>
    <w:link w:val="HeaderChar"/>
    <w:uiPriority w:val="99"/>
    <w:unhideWhenUsed/>
    <w:rsid w:val="0025552F"/>
    <w:pPr>
      <w:tabs>
        <w:tab w:val="center" w:pos="4513"/>
        <w:tab w:val="right" w:pos="9026"/>
      </w:tabs>
      <w:spacing w:after="0" w:line="240" w:lineRule="auto"/>
    </w:pPr>
  </w:style>
  <w:style w:type="character" w:customStyle="1" w:styleId="HeaderChar">
    <w:name w:val="Header Char"/>
    <w:basedOn w:val="DefaultParagraphFont"/>
    <w:link w:val="Header"/>
    <w:uiPriority w:val="99"/>
    <w:rsid w:val="0025552F"/>
    <w:rPr>
      <w:lang w:val="en-GB"/>
    </w:rPr>
  </w:style>
  <w:style w:type="paragraph" w:styleId="Footer">
    <w:name w:val="footer"/>
    <w:basedOn w:val="Normal"/>
    <w:link w:val="FooterChar"/>
    <w:uiPriority w:val="99"/>
    <w:unhideWhenUsed/>
    <w:rsid w:val="0025552F"/>
    <w:pPr>
      <w:tabs>
        <w:tab w:val="center" w:pos="4513"/>
        <w:tab w:val="right" w:pos="9026"/>
      </w:tabs>
      <w:spacing w:after="0" w:line="240" w:lineRule="auto"/>
    </w:pPr>
  </w:style>
  <w:style w:type="character" w:customStyle="1" w:styleId="FooterChar">
    <w:name w:val="Footer Char"/>
    <w:basedOn w:val="DefaultParagraphFont"/>
    <w:link w:val="Footer"/>
    <w:uiPriority w:val="99"/>
    <w:rsid w:val="0025552F"/>
    <w:rPr>
      <w:lang w:val="en-GB"/>
    </w:rPr>
  </w:style>
  <w:style w:type="paragraph" w:styleId="Revision">
    <w:name w:val="Revision"/>
    <w:hidden/>
    <w:uiPriority w:val="99"/>
    <w:semiHidden/>
    <w:rsid w:val="009A402C"/>
    <w:pPr>
      <w:spacing w:after="0" w:line="240" w:lineRule="auto"/>
    </w:pPr>
    <w:rPr>
      <w:lang w:val="en-GB"/>
    </w:rPr>
  </w:style>
  <w:style w:type="character" w:customStyle="1" w:styleId="Heading1Char">
    <w:name w:val="Heading 1 Char"/>
    <w:basedOn w:val="DefaultParagraphFont"/>
    <w:link w:val="Heading1"/>
    <w:uiPriority w:val="9"/>
    <w:rsid w:val="00F6463E"/>
    <w:rPr>
      <w:rFonts w:asciiTheme="majorHAnsi" w:eastAsiaTheme="majorEastAsia" w:hAnsiTheme="majorHAnsi" w:cstheme="majorBidi"/>
      <w:color w:val="276E8B" w:themeColor="accent1" w:themeShade="BF"/>
      <w:sz w:val="32"/>
      <w:szCs w:val="32"/>
      <w:lang w:val="en-GB"/>
    </w:rPr>
  </w:style>
  <w:style w:type="paragraph" w:styleId="Title">
    <w:name w:val="Title"/>
    <w:basedOn w:val="Normal"/>
    <w:next w:val="Normal"/>
    <w:link w:val="TitleChar"/>
    <w:uiPriority w:val="10"/>
    <w:qFormat/>
    <w:rsid w:val="0036112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6112F"/>
    <w:rPr>
      <w:rFonts w:asciiTheme="majorHAnsi" w:eastAsiaTheme="majorEastAsia" w:hAnsiTheme="majorHAnsi" w:cstheme="majorBidi"/>
      <w:spacing w:val="-10"/>
      <w:kern w:val="28"/>
      <w:sz w:val="56"/>
      <w:szCs w:val="56"/>
      <w:lang w:val="en-GB"/>
    </w:rPr>
  </w:style>
  <w:style w:type="table" w:customStyle="1" w:styleId="TableGrid1">
    <w:name w:val="Table Grid1"/>
    <w:basedOn w:val="TableNormal"/>
    <w:next w:val="TableGrid"/>
    <w:uiPriority w:val="39"/>
    <w:rsid w:val="009570E5"/>
    <w:pPr>
      <w:spacing w:after="0" w:line="240" w:lineRule="auto"/>
    </w:pPr>
    <w:rPr>
      <w:rFonts w:ascii="Calibri" w:eastAsia="Calibri" w:hAnsi="Calibri" w:cs="Arial"/>
      <w:kern w:val="2"/>
      <w:lang w:val="en-AU"/>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161D3"/>
    <w:rPr>
      <w:sz w:val="16"/>
      <w:szCs w:val="16"/>
    </w:rPr>
  </w:style>
  <w:style w:type="paragraph" w:styleId="CommentText">
    <w:name w:val="annotation text"/>
    <w:basedOn w:val="Normal"/>
    <w:link w:val="CommentTextChar"/>
    <w:uiPriority w:val="99"/>
    <w:unhideWhenUsed/>
    <w:rsid w:val="006161D3"/>
    <w:pPr>
      <w:spacing w:line="240" w:lineRule="auto"/>
    </w:pPr>
    <w:rPr>
      <w:sz w:val="20"/>
      <w:szCs w:val="20"/>
    </w:rPr>
  </w:style>
  <w:style w:type="character" w:customStyle="1" w:styleId="CommentTextChar">
    <w:name w:val="Comment Text Char"/>
    <w:basedOn w:val="DefaultParagraphFont"/>
    <w:link w:val="CommentText"/>
    <w:uiPriority w:val="99"/>
    <w:rsid w:val="006161D3"/>
    <w:rPr>
      <w:sz w:val="20"/>
      <w:szCs w:val="20"/>
      <w:lang w:val="en-GB"/>
    </w:rPr>
  </w:style>
  <w:style w:type="paragraph" w:styleId="CommentSubject">
    <w:name w:val="annotation subject"/>
    <w:basedOn w:val="CommentText"/>
    <w:next w:val="CommentText"/>
    <w:link w:val="CommentSubjectChar"/>
    <w:uiPriority w:val="99"/>
    <w:semiHidden/>
    <w:unhideWhenUsed/>
    <w:rsid w:val="006161D3"/>
    <w:rPr>
      <w:b/>
      <w:bCs/>
    </w:rPr>
  </w:style>
  <w:style w:type="character" w:customStyle="1" w:styleId="CommentSubjectChar">
    <w:name w:val="Comment Subject Char"/>
    <w:basedOn w:val="CommentTextChar"/>
    <w:link w:val="CommentSubject"/>
    <w:uiPriority w:val="99"/>
    <w:semiHidden/>
    <w:rsid w:val="006161D3"/>
    <w:rPr>
      <w:b/>
      <w:bCs/>
      <w:sz w:val="20"/>
      <w:szCs w:val="20"/>
      <w:lang w:val="en-GB"/>
    </w:rPr>
  </w:style>
  <w:style w:type="paragraph" w:styleId="FootnoteText">
    <w:name w:val="footnote text"/>
    <w:basedOn w:val="Normal"/>
    <w:link w:val="FootnoteTextChar"/>
    <w:uiPriority w:val="99"/>
    <w:semiHidden/>
    <w:unhideWhenUsed/>
    <w:rsid w:val="00E755F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755F6"/>
    <w:rPr>
      <w:sz w:val="20"/>
      <w:szCs w:val="20"/>
      <w:lang w:val="en-GB"/>
    </w:rPr>
  </w:style>
  <w:style w:type="character" w:styleId="FootnoteReference">
    <w:name w:val="footnote reference"/>
    <w:basedOn w:val="DefaultParagraphFont"/>
    <w:uiPriority w:val="99"/>
    <w:semiHidden/>
    <w:unhideWhenUsed/>
    <w:rsid w:val="00E755F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597072">
      <w:bodyDiv w:val="1"/>
      <w:marLeft w:val="0"/>
      <w:marRight w:val="0"/>
      <w:marTop w:val="0"/>
      <w:marBottom w:val="0"/>
      <w:divBdr>
        <w:top w:val="none" w:sz="0" w:space="0" w:color="auto"/>
        <w:left w:val="none" w:sz="0" w:space="0" w:color="auto"/>
        <w:bottom w:val="none" w:sz="0" w:space="0" w:color="auto"/>
        <w:right w:val="none" w:sz="0" w:space="0" w:color="auto"/>
      </w:divBdr>
      <w:divsChild>
        <w:div w:id="1360426169">
          <w:marLeft w:val="0"/>
          <w:marRight w:val="0"/>
          <w:marTop w:val="0"/>
          <w:marBottom w:val="0"/>
          <w:divBdr>
            <w:top w:val="none" w:sz="0" w:space="0" w:color="auto"/>
            <w:left w:val="none" w:sz="0" w:space="0" w:color="auto"/>
            <w:bottom w:val="none" w:sz="0" w:space="0" w:color="auto"/>
            <w:right w:val="none" w:sz="0" w:space="0" w:color="auto"/>
          </w:divBdr>
        </w:div>
        <w:div w:id="2000182961">
          <w:marLeft w:val="0"/>
          <w:marRight w:val="0"/>
          <w:marTop w:val="0"/>
          <w:marBottom w:val="0"/>
          <w:divBdr>
            <w:top w:val="none" w:sz="0" w:space="0" w:color="auto"/>
            <w:left w:val="none" w:sz="0" w:space="0" w:color="auto"/>
            <w:bottom w:val="none" w:sz="0" w:space="0" w:color="auto"/>
            <w:right w:val="none" w:sz="0" w:space="0" w:color="auto"/>
          </w:divBdr>
        </w:div>
      </w:divsChild>
    </w:div>
    <w:div w:id="399062949">
      <w:bodyDiv w:val="1"/>
      <w:marLeft w:val="0"/>
      <w:marRight w:val="0"/>
      <w:marTop w:val="0"/>
      <w:marBottom w:val="0"/>
      <w:divBdr>
        <w:top w:val="none" w:sz="0" w:space="0" w:color="auto"/>
        <w:left w:val="none" w:sz="0" w:space="0" w:color="auto"/>
        <w:bottom w:val="none" w:sz="0" w:space="0" w:color="auto"/>
        <w:right w:val="none" w:sz="0" w:space="0" w:color="auto"/>
      </w:divBdr>
      <w:divsChild>
        <w:div w:id="22635587">
          <w:marLeft w:val="0"/>
          <w:marRight w:val="0"/>
          <w:marTop w:val="0"/>
          <w:marBottom w:val="0"/>
          <w:divBdr>
            <w:top w:val="none" w:sz="0" w:space="0" w:color="auto"/>
            <w:left w:val="none" w:sz="0" w:space="0" w:color="auto"/>
            <w:bottom w:val="none" w:sz="0" w:space="0" w:color="auto"/>
            <w:right w:val="none" w:sz="0" w:space="0" w:color="auto"/>
          </w:divBdr>
          <w:divsChild>
            <w:div w:id="1655059269">
              <w:marLeft w:val="0"/>
              <w:marRight w:val="0"/>
              <w:marTop w:val="0"/>
              <w:marBottom w:val="0"/>
              <w:divBdr>
                <w:top w:val="none" w:sz="0" w:space="0" w:color="auto"/>
                <w:left w:val="none" w:sz="0" w:space="0" w:color="auto"/>
                <w:bottom w:val="none" w:sz="0" w:space="0" w:color="auto"/>
                <w:right w:val="none" w:sz="0" w:space="0" w:color="auto"/>
              </w:divBdr>
            </w:div>
          </w:divsChild>
        </w:div>
        <w:div w:id="32536312">
          <w:marLeft w:val="0"/>
          <w:marRight w:val="0"/>
          <w:marTop w:val="0"/>
          <w:marBottom w:val="0"/>
          <w:divBdr>
            <w:top w:val="none" w:sz="0" w:space="0" w:color="auto"/>
            <w:left w:val="none" w:sz="0" w:space="0" w:color="auto"/>
            <w:bottom w:val="none" w:sz="0" w:space="0" w:color="auto"/>
            <w:right w:val="none" w:sz="0" w:space="0" w:color="auto"/>
          </w:divBdr>
          <w:divsChild>
            <w:div w:id="2021278888">
              <w:marLeft w:val="0"/>
              <w:marRight w:val="0"/>
              <w:marTop w:val="0"/>
              <w:marBottom w:val="0"/>
              <w:divBdr>
                <w:top w:val="none" w:sz="0" w:space="0" w:color="auto"/>
                <w:left w:val="none" w:sz="0" w:space="0" w:color="auto"/>
                <w:bottom w:val="none" w:sz="0" w:space="0" w:color="auto"/>
                <w:right w:val="none" w:sz="0" w:space="0" w:color="auto"/>
              </w:divBdr>
            </w:div>
          </w:divsChild>
        </w:div>
        <w:div w:id="61757548">
          <w:marLeft w:val="0"/>
          <w:marRight w:val="0"/>
          <w:marTop w:val="0"/>
          <w:marBottom w:val="0"/>
          <w:divBdr>
            <w:top w:val="none" w:sz="0" w:space="0" w:color="auto"/>
            <w:left w:val="none" w:sz="0" w:space="0" w:color="auto"/>
            <w:bottom w:val="none" w:sz="0" w:space="0" w:color="auto"/>
            <w:right w:val="none" w:sz="0" w:space="0" w:color="auto"/>
          </w:divBdr>
          <w:divsChild>
            <w:div w:id="2139957888">
              <w:marLeft w:val="0"/>
              <w:marRight w:val="0"/>
              <w:marTop w:val="0"/>
              <w:marBottom w:val="0"/>
              <w:divBdr>
                <w:top w:val="none" w:sz="0" w:space="0" w:color="auto"/>
                <w:left w:val="none" w:sz="0" w:space="0" w:color="auto"/>
                <w:bottom w:val="none" w:sz="0" w:space="0" w:color="auto"/>
                <w:right w:val="none" w:sz="0" w:space="0" w:color="auto"/>
              </w:divBdr>
            </w:div>
          </w:divsChild>
        </w:div>
        <w:div w:id="69547674">
          <w:marLeft w:val="0"/>
          <w:marRight w:val="0"/>
          <w:marTop w:val="0"/>
          <w:marBottom w:val="0"/>
          <w:divBdr>
            <w:top w:val="none" w:sz="0" w:space="0" w:color="auto"/>
            <w:left w:val="none" w:sz="0" w:space="0" w:color="auto"/>
            <w:bottom w:val="none" w:sz="0" w:space="0" w:color="auto"/>
            <w:right w:val="none" w:sz="0" w:space="0" w:color="auto"/>
          </w:divBdr>
          <w:divsChild>
            <w:div w:id="1491292249">
              <w:marLeft w:val="0"/>
              <w:marRight w:val="0"/>
              <w:marTop w:val="0"/>
              <w:marBottom w:val="0"/>
              <w:divBdr>
                <w:top w:val="none" w:sz="0" w:space="0" w:color="auto"/>
                <w:left w:val="none" w:sz="0" w:space="0" w:color="auto"/>
                <w:bottom w:val="none" w:sz="0" w:space="0" w:color="auto"/>
                <w:right w:val="none" w:sz="0" w:space="0" w:color="auto"/>
              </w:divBdr>
            </w:div>
          </w:divsChild>
        </w:div>
        <w:div w:id="76173156">
          <w:marLeft w:val="0"/>
          <w:marRight w:val="0"/>
          <w:marTop w:val="0"/>
          <w:marBottom w:val="0"/>
          <w:divBdr>
            <w:top w:val="none" w:sz="0" w:space="0" w:color="auto"/>
            <w:left w:val="none" w:sz="0" w:space="0" w:color="auto"/>
            <w:bottom w:val="none" w:sz="0" w:space="0" w:color="auto"/>
            <w:right w:val="none" w:sz="0" w:space="0" w:color="auto"/>
          </w:divBdr>
          <w:divsChild>
            <w:div w:id="1267158041">
              <w:marLeft w:val="0"/>
              <w:marRight w:val="0"/>
              <w:marTop w:val="0"/>
              <w:marBottom w:val="0"/>
              <w:divBdr>
                <w:top w:val="none" w:sz="0" w:space="0" w:color="auto"/>
                <w:left w:val="none" w:sz="0" w:space="0" w:color="auto"/>
                <w:bottom w:val="none" w:sz="0" w:space="0" w:color="auto"/>
                <w:right w:val="none" w:sz="0" w:space="0" w:color="auto"/>
              </w:divBdr>
            </w:div>
          </w:divsChild>
        </w:div>
        <w:div w:id="100801792">
          <w:marLeft w:val="0"/>
          <w:marRight w:val="0"/>
          <w:marTop w:val="0"/>
          <w:marBottom w:val="0"/>
          <w:divBdr>
            <w:top w:val="none" w:sz="0" w:space="0" w:color="auto"/>
            <w:left w:val="none" w:sz="0" w:space="0" w:color="auto"/>
            <w:bottom w:val="none" w:sz="0" w:space="0" w:color="auto"/>
            <w:right w:val="none" w:sz="0" w:space="0" w:color="auto"/>
          </w:divBdr>
          <w:divsChild>
            <w:div w:id="465588587">
              <w:marLeft w:val="0"/>
              <w:marRight w:val="0"/>
              <w:marTop w:val="0"/>
              <w:marBottom w:val="0"/>
              <w:divBdr>
                <w:top w:val="none" w:sz="0" w:space="0" w:color="auto"/>
                <w:left w:val="none" w:sz="0" w:space="0" w:color="auto"/>
                <w:bottom w:val="none" w:sz="0" w:space="0" w:color="auto"/>
                <w:right w:val="none" w:sz="0" w:space="0" w:color="auto"/>
              </w:divBdr>
            </w:div>
          </w:divsChild>
        </w:div>
        <w:div w:id="144128586">
          <w:marLeft w:val="0"/>
          <w:marRight w:val="0"/>
          <w:marTop w:val="0"/>
          <w:marBottom w:val="0"/>
          <w:divBdr>
            <w:top w:val="none" w:sz="0" w:space="0" w:color="auto"/>
            <w:left w:val="none" w:sz="0" w:space="0" w:color="auto"/>
            <w:bottom w:val="none" w:sz="0" w:space="0" w:color="auto"/>
            <w:right w:val="none" w:sz="0" w:space="0" w:color="auto"/>
          </w:divBdr>
          <w:divsChild>
            <w:div w:id="2055035924">
              <w:marLeft w:val="0"/>
              <w:marRight w:val="0"/>
              <w:marTop w:val="0"/>
              <w:marBottom w:val="0"/>
              <w:divBdr>
                <w:top w:val="none" w:sz="0" w:space="0" w:color="auto"/>
                <w:left w:val="none" w:sz="0" w:space="0" w:color="auto"/>
                <w:bottom w:val="none" w:sz="0" w:space="0" w:color="auto"/>
                <w:right w:val="none" w:sz="0" w:space="0" w:color="auto"/>
              </w:divBdr>
            </w:div>
          </w:divsChild>
        </w:div>
        <w:div w:id="164133471">
          <w:marLeft w:val="0"/>
          <w:marRight w:val="0"/>
          <w:marTop w:val="0"/>
          <w:marBottom w:val="0"/>
          <w:divBdr>
            <w:top w:val="none" w:sz="0" w:space="0" w:color="auto"/>
            <w:left w:val="none" w:sz="0" w:space="0" w:color="auto"/>
            <w:bottom w:val="none" w:sz="0" w:space="0" w:color="auto"/>
            <w:right w:val="none" w:sz="0" w:space="0" w:color="auto"/>
          </w:divBdr>
          <w:divsChild>
            <w:div w:id="829324841">
              <w:marLeft w:val="0"/>
              <w:marRight w:val="0"/>
              <w:marTop w:val="0"/>
              <w:marBottom w:val="0"/>
              <w:divBdr>
                <w:top w:val="none" w:sz="0" w:space="0" w:color="auto"/>
                <w:left w:val="none" w:sz="0" w:space="0" w:color="auto"/>
                <w:bottom w:val="none" w:sz="0" w:space="0" w:color="auto"/>
                <w:right w:val="none" w:sz="0" w:space="0" w:color="auto"/>
              </w:divBdr>
            </w:div>
          </w:divsChild>
        </w:div>
        <w:div w:id="238059344">
          <w:marLeft w:val="0"/>
          <w:marRight w:val="0"/>
          <w:marTop w:val="0"/>
          <w:marBottom w:val="0"/>
          <w:divBdr>
            <w:top w:val="none" w:sz="0" w:space="0" w:color="auto"/>
            <w:left w:val="none" w:sz="0" w:space="0" w:color="auto"/>
            <w:bottom w:val="none" w:sz="0" w:space="0" w:color="auto"/>
            <w:right w:val="none" w:sz="0" w:space="0" w:color="auto"/>
          </w:divBdr>
          <w:divsChild>
            <w:div w:id="346372027">
              <w:marLeft w:val="0"/>
              <w:marRight w:val="0"/>
              <w:marTop w:val="0"/>
              <w:marBottom w:val="0"/>
              <w:divBdr>
                <w:top w:val="none" w:sz="0" w:space="0" w:color="auto"/>
                <w:left w:val="none" w:sz="0" w:space="0" w:color="auto"/>
                <w:bottom w:val="none" w:sz="0" w:space="0" w:color="auto"/>
                <w:right w:val="none" w:sz="0" w:space="0" w:color="auto"/>
              </w:divBdr>
            </w:div>
          </w:divsChild>
        </w:div>
        <w:div w:id="258416184">
          <w:marLeft w:val="0"/>
          <w:marRight w:val="0"/>
          <w:marTop w:val="0"/>
          <w:marBottom w:val="0"/>
          <w:divBdr>
            <w:top w:val="none" w:sz="0" w:space="0" w:color="auto"/>
            <w:left w:val="none" w:sz="0" w:space="0" w:color="auto"/>
            <w:bottom w:val="none" w:sz="0" w:space="0" w:color="auto"/>
            <w:right w:val="none" w:sz="0" w:space="0" w:color="auto"/>
          </w:divBdr>
          <w:divsChild>
            <w:div w:id="1337004430">
              <w:marLeft w:val="0"/>
              <w:marRight w:val="0"/>
              <w:marTop w:val="0"/>
              <w:marBottom w:val="0"/>
              <w:divBdr>
                <w:top w:val="none" w:sz="0" w:space="0" w:color="auto"/>
                <w:left w:val="none" w:sz="0" w:space="0" w:color="auto"/>
                <w:bottom w:val="none" w:sz="0" w:space="0" w:color="auto"/>
                <w:right w:val="none" w:sz="0" w:space="0" w:color="auto"/>
              </w:divBdr>
            </w:div>
          </w:divsChild>
        </w:div>
        <w:div w:id="268507547">
          <w:marLeft w:val="0"/>
          <w:marRight w:val="0"/>
          <w:marTop w:val="0"/>
          <w:marBottom w:val="0"/>
          <w:divBdr>
            <w:top w:val="none" w:sz="0" w:space="0" w:color="auto"/>
            <w:left w:val="none" w:sz="0" w:space="0" w:color="auto"/>
            <w:bottom w:val="none" w:sz="0" w:space="0" w:color="auto"/>
            <w:right w:val="none" w:sz="0" w:space="0" w:color="auto"/>
          </w:divBdr>
          <w:divsChild>
            <w:div w:id="1375234079">
              <w:marLeft w:val="0"/>
              <w:marRight w:val="0"/>
              <w:marTop w:val="0"/>
              <w:marBottom w:val="0"/>
              <w:divBdr>
                <w:top w:val="none" w:sz="0" w:space="0" w:color="auto"/>
                <w:left w:val="none" w:sz="0" w:space="0" w:color="auto"/>
                <w:bottom w:val="none" w:sz="0" w:space="0" w:color="auto"/>
                <w:right w:val="none" w:sz="0" w:space="0" w:color="auto"/>
              </w:divBdr>
            </w:div>
          </w:divsChild>
        </w:div>
        <w:div w:id="282926551">
          <w:marLeft w:val="0"/>
          <w:marRight w:val="0"/>
          <w:marTop w:val="0"/>
          <w:marBottom w:val="0"/>
          <w:divBdr>
            <w:top w:val="none" w:sz="0" w:space="0" w:color="auto"/>
            <w:left w:val="none" w:sz="0" w:space="0" w:color="auto"/>
            <w:bottom w:val="none" w:sz="0" w:space="0" w:color="auto"/>
            <w:right w:val="none" w:sz="0" w:space="0" w:color="auto"/>
          </w:divBdr>
          <w:divsChild>
            <w:div w:id="1498883789">
              <w:marLeft w:val="0"/>
              <w:marRight w:val="0"/>
              <w:marTop w:val="0"/>
              <w:marBottom w:val="0"/>
              <w:divBdr>
                <w:top w:val="none" w:sz="0" w:space="0" w:color="auto"/>
                <w:left w:val="none" w:sz="0" w:space="0" w:color="auto"/>
                <w:bottom w:val="none" w:sz="0" w:space="0" w:color="auto"/>
                <w:right w:val="none" w:sz="0" w:space="0" w:color="auto"/>
              </w:divBdr>
            </w:div>
          </w:divsChild>
        </w:div>
        <w:div w:id="325131236">
          <w:marLeft w:val="0"/>
          <w:marRight w:val="0"/>
          <w:marTop w:val="0"/>
          <w:marBottom w:val="0"/>
          <w:divBdr>
            <w:top w:val="none" w:sz="0" w:space="0" w:color="auto"/>
            <w:left w:val="none" w:sz="0" w:space="0" w:color="auto"/>
            <w:bottom w:val="none" w:sz="0" w:space="0" w:color="auto"/>
            <w:right w:val="none" w:sz="0" w:space="0" w:color="auto"/>
          </w:divBdr>
          <w:divsChild>
            <w:div w:id="1926264090">
              <w:marLeft w:val="0"/>
              <w:marRight w:val="0"/>
              <w:marTop w:val="0"/>
              <w:marBottom w:val="0"/>
              <w:divBdr>
                <w:top w:val="none" w:sz="0" w:space="0" w:color="auto"/>
                <w:left w:val="none" w:sz="0" w:space="0" w:color="auto"/>
                <w:bottom w:val="none" w:sz="0" w:space="0" w:color="auto"/>
                <w:right w:val="none" w:sz="0" w:space="0" w:color="auto"/>
              </w:divBdr>
            </w:div>
          </w:divsChild>
        </w:div>
        <w:div w:id="376051792">
          <w:marLeft w:val="0"/>
          <w:marRight w:val="0"/>
          <w:marTop w:val="0"/>
          <w:marBottom w:val="0"/>
          <w:divBdr>
            <w:top w:val="none" w:sz="0" w:space="0" w:color="auto"/>
            <w:left w:val="none" w:sz="0" w:space="0" w:color="auto"/>
            <w:bottom w:val="none" w:sz="0" w:space="0" w:color="auto"/>
            <w:right w:val="none" w:sz="0" w:space="0" w:color="auto"/>
          </w:divBdr>
          <w:divsChild>
            <w:div w:id="1870949975">
              <w:marLeft w:val="0"/>
              <w:marRight w:val="0"/>
              <w:marTop w:val="0"/>
              <w:marBottom w:val="0"/>
              <w:divBdr>
                <w:top w:val="none" w:sz="0" w:space="0" w:color="auto"/>
                <w:left w:val="none" w:sz="0" w:space="0" w:color="auto"/>
                <w:bottom w:val="none" w:sz="0" w:space="0" w:color="auto"/>
                <w:right w:val="none" w:sz="0" w:space="0" w:color="auto"/>
              </w:divBdr>
            </w:div>
          </w:divsChild>
        </w:div>
        <w:div w:id="557475794">
          <w:marLeft w:val="0"/>
          <w:marRight w:val="0"/>
          <w:marTop w:val="0"/>
          <w:marBottom w:val="0"/>
          <w:divBdr>
            <w:top w:val="none" w:sz="0" w:space="0" w:color="auto"/>
            <w:left w:val="none" w:sz="0" w:space="0" w:color="auto"/>
            <w:bottom w:val="none" w:sz="0" w:space="0" w:color="auto"/>
            <w:right w:val="none" w:sz="0" w:space="0" w:color="auto"/>
          </w:divBdr>
          <w:divsChild>
            <w:div w:id="2125298310">
              <w:marLeft w:val="0"/>
              <w:marRight w:val="0"/>
              <w:marTop w:val="0"/>
              <w:marBottom w:val="0"/>
              <w:divBdr>
                <w:top w:val="none" w:sz="0" w:space="0" w:color="auto"/>
                <w:left w:val="none" w:sz="0" w:space="0" w:color="auto"/>
                <w:bottom w:val="none" w:sz="0" w:space="0" w:color="auto"/>
                <w:right w:val="none" w:sz="0" w:space="0" w:color="auto"/>
              </w:divBdr>
            </w:div>
          </w:divsChild>
        </w:div>
        <w:div w:id="578290628">
          <w:marLeft w:val="0"/>
          <w:marRight w:val="0"/>
          <w:marTop w:val="0"/>
          <w:marBottom w:val="0"/>
          <w:divBdr>
            <w:top w:val="none" w:sz="0" w:space="0" w:color="auto"/>
            <w:left w:val="none" w:sz="0" w:space="0" w:color="auto"/>
            <w:bottom w:val="none" w:sz="0" w:space="0" w:color="auto"/>
            <w:right w:val="none" w:sz="0" w:space="0" w:color="auto"/>
          </w:divBdr>
          <w:divsChild>
            <w:div w:id="918640760">
              <w:marLeft w:val="0"/>
              <w:marRight w:val="0"/>
              <w:marTop w:val="0"/>
              <w:marBottom w:val="0"/>
              <w:divBdr>
                <w:top w:val="none" w:sz="0" w:space="0" w:color="auto"/>
                <w:left w:val="none" w:sz="0" w:space="0" w:color="auto"/>
                <w:bottom w:val="none" w:sz="0" w:space="0" w:color="auto"/>
                <w:right w:val="none" w:sz="0" w:space="0" w:color="auto"/>
              </w:divBdr>
            </w:div>
          </w:divsChild>
        </w:div>
        <w:div w:id="606740851">
          <w:marLeft w:val="0"/>
          <w:marRight w:val="0"/>
          <w:marTop w:val="0"/>
          <w:marBottom w:val="0"/>
          <w:divBdr>
            <w:top w:val="none" w:sz="0" w:space="0" w:color="auto"/>
            <w:left w:val="none" w:sz="0" w:space="0" w:color="auto"/>
            <w:bottom w:val="none" w:sz="0" w:space="0" w:color="auto"/>
            <w:right w:val="none" w:sz="0" w:space="0" w:color="auto"/>
          </w:divBdr>
          <w:divsChild>
            <w:div w:id="1569876657">
              <w:marLeft w:val="0"/>
              <w:marRight w:val="0"/>
              <w:marTop w:val="0"/>
              <w:marBottom w:val="0"/>
              <w:divBdr>
                <w:top w:val="none" w:sz="0" w:space="0" w:color="auto"/>
                <w:left w:val="none" w:sz="0" w:space="0" w:color="auto"/>
                <w:bottom w:val="none" w:sz="0" w:space="0" w:color="auto"/>
                <w:right w:val="none" w:sz="0" w:space="0" w:color="auto"/>
              </w:divBdr>
            </w:div>
          </w:divsChild>
        </w:div>
        <w:div w:id="632490147">
          <w:marLeft w:val="0"/>
          <w:marRight w:val="0"/>
          <w:marTop w:val="0"/>
          <w:marBottom w:val="0"/>
          <w:divBdr>
            <w:top w:val="none" w:sz="0" w:space="0" w:color="auto"/>
            <w:left w:val="none" w:sz="0" w:space="0" w:color="auto"/>
            <w:bottom w:val="none" w:sz="0" w:space="0" w:color="auto"/>
            <w:right w:val="none" w:sz="0" w:space="0" w:color="auto"/>
          </w:divBdr>
          <w:divsChild>
            <w:div w:id="867253280">
              <w:marLeft w:val="0"/>
              <w:marRight w:val="0"/>
              <w:marTop w:val="0"/>
              <w:marBottom w:val="0"/>
              <w:divBdr>
                <w:top w:val="none" w:sz="0" w:space="0" w:color="auto"/>
                <w:left w:val="none" w:sz="0" w:space="0" w:color="auto"/>
                <w:bottom w:val="none" w:sz="0" w:space="0" w:color="auto"/>
                <w:right w:val="none" w:sz="0" w:space="0" w:color="auto"/>
              </w:divBdr>
            </w:div>
          </w:divsChild>
        </w:div>
        <w:div w:id="780611613">
          <w:marLeft w:val="0"/>
          <w:marRight w:val="0"/>
          <w:marTop w:val="0"/>
          <w:marBottom w:val="0"/>
          <w:divBdr>
            <w:top w:val="none" w:sz="0" w:space="0" w:color="auto"/>
            <w:left w:val="none" w:sz="0" w:space="0" w:color="auto"/>
            <w:bottom w:val="none" w:sz="0" w:space="0" w:color="auto"/>
            <w:right w:val="none" w:sz="0" w:space="0" w:color="auto"/>
          </w:divBdr>
          <w:divsChild>
            <w:div w:id="583882172">
              <w:marLeft w:val="0"/>
              <w:marRight w:val="0"/>
              <w:marTop w:val="0"/>
              <w:marBottom w:val="0"/>
              <w:divBdr>
                <w:top w:val="none" w:sz="0" w:space="0" w:color="auto"/>
                <w:left w:val="none" w:sz="0" w:space="0" w:color="auto"/>
                <w:bottom w:val="none" w:sz="0" w:space="0" w:color="auto"/>
                <w:right w:val="none" w:sz="0" w:space="0" w:color="auto"/>
              </w:divBdr>
            </w:div>
          </w:divsChild>
        </w:div>
        <w:div w:id="946082587">
          <w:marLeft w:val="0"/>
          <w:marRight w:val="0"/>
          <w:marTop w:val="0"/>
          <w:marBottom w:val="0"/>
          <w:divBdr>
            <w:top w:val="none" w:sz="0" w:space="0" w:color="auto"/>
            <w:left w:val="none" w:sz="0" w:space="0" w:color="auto"/>
            <w:bottom w:val="none" w:sz="0" w:space="0" w:color="auto"/>
            <w:right w:val="none" w:sz="0" w:space="0" w:color="auto"/>
          </w:divBdr>
          <w:divsChild>
            <w:div w:id="127431903">
              <w:marLeft w:val="0"/>
              <w:marRight w:val="0"/>
              <w:marTop w:val="0"/>
              <w:marBottom w:val="0"/>
              <w:divBdr>
                <w:top w:val="none" w:sz="0" w:space="0" w:color="auto"/>
                <w:left w:val="none" w:sz="0" w:space="0" w:color="auto"/>
                <w:bottom w:val="none" w:sz="0" w:space="0" w:color="auto"/>
                <w:right w:val="none" w:sz="0" w:space="0" w:color="auto"/>
              </w:divBdr>
            </w:div>
          </w:divsChild>
        </w:div>
        <w:div w:id="950239078">
          <w:marLeft w:val="0"/>
          <w:marRight w:val="0"/>
          <w:marTop w:val="0"/>
          <w:marBottom w:val="0"/>
          <w:divBdr>
            <w:top w:val="none" w:sz="0" w:space="0" w:color="auto"/>
            <w:left w:val="none" w:sz="0" w:space="0" w:color="auto"/>
            <w:bottom w:val="none" w:sz="0" w:space="0" w:color="auto"/>
            <w:right w:val="none" w:sz="0" w:space="0" w:color="auto"/>
          </w:divBdr>
          <w:divsChild>
            <w:div w:id="1668358394">
              <w:marLeft w:val="0"/>
              <w:marRight w:val="0"/>
              <w:marTop w:val="0"/>
              <w:marBottom w:val="0"/>
              <w:divBdr>
                <w:top w:val="none" w:sz="0" w:space="0" w:color="auto"/>
                <w:left w:val="none" w:sz="0" w:space="0" w:color="auto"/>
                <w:bottom w:val="none" w:sz="0" w:space="0" w:color="auto"/>
                <w:right w:val="none" w:sz="0" w:space="0" w:color="auto"/>
              </w:divBdr>
            </w:div>
          </w:divsChild>
        </w:div>
        <w:div w:id="971717818">
          <w:marLeft w:val="0"/>
          <w:marRight w:val="0"/>
          <w:marTop w:val="0"/>
          <w:marBottom w:val="0"/>
          <w:divBdr>
            <w:top w:val="none" w:sz="0" w:space="0" w:color="auto"/>
            <w:left w:val="none" w:sz="0" w:space="0" w:color="auto"/>
            <w:bottom w:val="none" w:sz="0" w:space="0" w:color="auto"/>
            <w:right w:val="none" w:sz="0" w:space="0" w:color="auto"/>
          </w:divBdr>
          <w:divsChild>
            <w:div w:id="182591523">
              <w:marLeft w:val="0"/>
              <w:marRight w:val="0"/>
              <w:marTop w:val="0"/>
              <w:marBottom w:val="0"/>
              <w:divBdr>
                <w:top w:val="none" w:sz="0" w:space="0" w:color="auto"/>
                <w:left w:val="none" w:sz="0" w:space="0" w:color="auto"/>
                <w:bottom w:val="none" w:sz="0" w:space="0" w:color="auto"/>
                <w:right w:val="none" w:sz="0" w:space="0" w:color="auto"/>
              </w:divBdr>
            </w:div>
            <w:div w:id="1625497750">
              <w:marLeft w:val="0"/>
              <w:marRight w:val="0"/>
              <w:marTop w:val="0"/>
              <w:marBottom w:val="0"/>
              <w:divBdr>
                <w:top w:val="none" w:sz="0" w:space="0" w:color="auto"/>
                <w:left w:val="none" w:sz="0" w:space="0" w:color="auto"/>
                <w:bottom w:val="none" w:sz="0" w:space="0" w:color="auto"/>
                <w:right w:val="none" w:sz="0" w:space="0" w:color="auto"/>
              </w:divBdr>
            </w:div>
          </w:divsChild>
        </w:div>
        <w:div w:id="1006178532">
          <w:marLeft w:val="0"/>
          <w:marRight w:val="0"/>
          <w:marTop w:val="0"/>
          <w:marBottom w:val="0"/>
          <w:divBdr>
            <w:top w:val="none" w:sz="0" w:space="0" w:color="auto"/>
            <w:left w:val="none" w:sz="0" w:space="0" w:color="auto"/>
            <w:bottom w:val="none" w:sz="0" w:space="0" w:color="auto"/>
            <w:right w:val="none" w:sz="0" w:space="0" w:color="auto"/>
          </w:divBdr>
          <w:divsChild>
            <w:div w:id="1567452049">
              <w:marLeft w:val="0"/>
              <w:marRight w:val="0"/>
              <w:marTop w:val="0"/>
              <w:marBottom w:val="0"/>
              <w:divBdr>
                <w:top w:val="none" w:sz="0" w:space="0" w:color="auto"/>
                <w:left w:val="none" w:sz="0" w:space="0" w:color="auto"/>
                <w:bottom w:val="none" w:sz="0" w:space="0" w:color="auto"/>
                <w:right w:val="none" w:sz="0" w:space="0" w:color="auto"/>
              </w:divBdr>
            </w:div>
          </w:divsChild>
        </w:div>
        <w:div w:id="1049575995">
          <w:marLeft w:val="0"/>
          <w:marRight w:val="0"/>
          <w:marTop w:val="0"/>
          <w:marBottom w:val="0"/>
          <w:divBdr>
            <w:top w:val="none" w:sz="0" w:space="0" w:color="auto"/>
            <w:left w:val="none" w:sz="0" w:space="0" w:color="auto"/>
            <w:bottom w:val="none" w:sz="0" w:space="0" w:color="auto"/>
            <w:right w:val="none" w:sz="0" w:space="0" w:color="auto"/>
          </w:divBdr>
          <w:divsChild>
            <w:div w:id="1684622206">
              <w:marLeft w:val="0"/>
              <w:marRight w:val="0"/>
              <w:marTop w:val="0"/>
              <w:marBottom w:val="0"/>
              <w:divBdr>
                <w:top w:val="none" w:sz="0" w:space="0" w:color="auto"/>
                <w:left w:val="none" w:sz="0" w:space="0" w:color="auto"/>
                <w:bottom w:val="none" w:sz="0" w:space="0" w:color="auto"/>
                <w:right w:val="none" w:sz="0" w:space="0" w:color="auto"/>
              </w:divBdr>
            </w:div>
          </w:divsChild>
        </w:div>
        <w:div w:id="1112826607">
          <w:marLeft w:val="0"/>
          <w:marRight w:val="0"/>
          <w:marTop w:val="0"/>
          <w:marBottom w:val="0"/>
          <w:divBdr>
            <w:top w:val="none" w:sz="0" w:space="0" w:color="auto"/>
            <w:left w:val="none" w:sz="0" w:space="0" w:color="auto"/>
            <w:bottom w:val="none" w:sz="0" w:space="0" w:color="auto"/>
            <w:right w:val="none" w:sz="0" w:space="0" w:color="auto"/>
          </w:divBdr>
          <w:divsChild>
            <w:div w:id="867841066">
              <w:marLeft w:val="0"/>
              <w:marRight w:val="0"/>
              <w:marTop w:val="0"/>
              <w:marBottom w:val="0"/>
              <w:divBdr>
                <w:top w:val="none" w:sz="0" w:space="0" w:color="auto"/>
                <w:left w:val="none" w:sz="0" w:space="0" w:color="auto"/>
                <w:bottom w:val="none" w:sz="0" w:space="0" w:color="auto"/>
                <w:right w:val="none" w:sz="0" w:space="0" w:color="auto"/>
              </w:divBdr>
            </w:div>
          </w:divsChild>
        </w:div>
        <w:div w:id="1121074772">
          <w:marLeft w:val="0"/>
          <w:marRight w:val="0"/>
          <w:marTop w:val="0"/>
          <w:marBottom w:val="0"/>
          <w:divBdr>
            <w:top w:val="none" w:sz="0" w:space="0" w:color="auto"/>
            <w:left w:val="none" w:sz="0" w:space="0" w:color="auto"/>
            <w:bottom w:val="none" w:sz="0" w:space="0" w:color="auto"/>
            <w:right w:val="none" w:sz="0" w:space="0" w:color="auto"/>
          </w:divBdr>
          <w:divsChild>
            <w:div w:id="1168667868">
              <w:marLeft w:val="0"/>
              <w:marRight w:val="0"/>
              <w:marTop w:val="0"/>
              <w:marBottom w:val="0"/>
              <w:divBdr>
                <w:top w:val="none" w:sz="0" w:space="0" w:color="auto"/>
                <w:left w:val="none" w:sz="0" w:space="0" w:color="auto"/>
                <w:bottom w:val="none" w:sz="0" w:space="0" w:color="auto"/>
                <w:right w:val="none" w:sz="0" w:space="0" w:color="auto"/>
              </w:divBdr>
            </w:div>
          </w:divsChild>
        </w:div>
        <w:div w:id="1127551159">
          <w:marLeft w:val="0"/>
          <w:marRight w:val="0"/>
          <w:marTop w:val="0"/>
          <w:marBottom w:val="0"/>
          <w:divBdr>
            <w:top w:val="none" w:sz="0" w:space="0" w:color="auto"/>
            <w:left w:val="none" w:sz="0" w:space="0" w:color="auto"/>
            <w:bottom w:val="none" w:sz="0" w:space="0" w:color="auto"/>
            <w:right w:val="none" w:sz="0" w:space="0" w:color="auto"/>
          </w:divBdr>
          <w:divsChild>
            <w:div w:id="1119451360">
              <w:marLeft w:val="0"/>
              <w:marRight w:val="0"/>
              <w:marTop w:val="0"/>
              <w:marBottom w:val="0"/>
              <w:divBdr>
                <w:top w:val="none" w:sz="0" w:space="0" w:color="auto"/>
                <w:left w:val="none" w:sz="0" w:space="0" w:color="auto"/>
                <w:bottom w:val="none" w:sz="0" w:space="0" w:color="auto"/>
                <w:right w:val="none" w:sz="0" w:space="0" w:color="auto"/>
              </w:divBdr>
            </w:div>
          </w:divsChild>
        </w:div>
        <w:div w:id="1301617825">
          <w:marLeft w:val="0"/>
          <w:marRight w:val="0"/>
          <w:marTop w:val="0"/>
          <w:marBottom w:val="0"/>
          <w:divBdr>
            <w:top w:val="none" w:sz="0" w:space="0" w:color="auto"/>
            <w:left w:val="none" w:sz="0" w:space="0" w:color="auto"/>
            <w:bottom w:val="none" w:sz="0" w:space="0" w:color="auto"/>
            <w:right w:val="none" w:sz="0" w:space="0" w:color="auto"/>
          </w:divBdr>
          <w:divsChild>
            <w:div w:id="1071002706">
              <w:marLeft w:val="0"/>
              <w:marRight w:val="0"/>
              <w:marTop w:val="0"/>
              <w:marBottom w:val="0"/>
              <w:divBdr>
                <w:top w:val="none" w:sz="0" w:space="0" w:color="auto"/>
                <w:left w:val="none" w:sz="0" w:space="0" w:color="auto"/>
                <w:bottom w:val="none" w:sz="0" w:space="0" w:color="auto"/>
                <w:right w:val="none" w:sz="0" w:space="0" w:color="auto"/>
              </w:divBdr>
            </w:div>
          </w:divsChild>
        </w:div>
        <w:div w:id="1322080779">
          <w:marLeft w:val="0"/>
          <w:marRight w:val="0"/>
          <w:marTop w:val="0"/>
          <w:marBottom w:val="0"/>
          <w:divBdr>
            <w:top w:val="none" w:sz="0" w:space="0" w:color="auto"/>
            <w:left w:val="none" w:sz="0" w:space="0" w:color="auto"/>
            <w:bottom w:val="none" w:sz="0" w:space="0" w:color="auto"/>
            <w:right w:val="none" w:sz="0" w:space="0" w:color="auto"/>
          </w:divBdr>
          <w:divsChild>
            <w:div w:id="1665425714">
              <w:marLeft w:val="0"/>
              <w:marRight w:val="0"/>
              <w:marTop w:val="0"/>
              <w:marBottom w:val="0"/>
              <w:divBdr>
                <w:top w:val="none" w:sz="0" w:space="0" w:color="auto"/>
                <w:left w:val="none" w:sz="0" w:space="0" w:color="auto"/>
                <w:bottom w:val="none" w:sz="0" w:space="0" w:color="auto"/>
                <w:right w:val="none" w:sz="0" w:space="0" w:color="auto"/>
              </w:divBdr>
            </w:div>
          </w:divsChild>
        </w:div>
        <w:div w:id="1367757503">
          <w:marLeft w:val="0"/>
          <w:marRight w:val="0"/>
          <w:marTop w:val="0"/>
          <w:marBottom w:val="0"/>
          <w:divBdr>
            <w:top w:val="none" w:sz="0" w:space="0" w:color="auto"/>
            <w:left w:val="none" w:sz="0" w:space="0" w:color="auto"/>
            <w:bottom w:val="none" w:sz="0" w:space="0" w:color="auto"/>
            <w:right w:val="none" w:sz="0" w:space="0" w:color="auto"/>
          </w:divBdr>
          <w:divsChild>
            <w:div w:id="258178779">
              <w:marLeft w:val="0"/>
              <w:marRight w:val="0"/>
              <w:marTop w:val="0"/>
              <w:marBottom w:val="0"/>
              <w:divBdr>
                <w:top w:val="none" w:sz="0" w:space="0" w:color="auto"/>
                <w:left w:val="none" w:sz="0" w:space="0" w:color="auto"/>
                <w:bottom w:val="none" w:sz="0" w:space="0" w:color="auto"/>
                <w:right w:val="none" w:sz="0" w:space="0" w:color="auto"/>
              </w:divBdr>
            </w:div>
          </w:divsChild>
        </w:div>
        <w:div w:id="1438482056">
          <w:marLeft w:val="0"/>
          <w:marRight w:val="0"/>
          <w:marTop w:val="0"/>
          <w:marBottom w:val="0"/>
          <w:divBdr>
            <w:top w:val="none" w:sz="0" w:space="0" w:color="auto"/>
            <w:left w:val="none" w:sz="0" w:space="0" w:color="auto"/>
            <w:bottom w:val="none" w:sz="0" w:space="0" w:color="auto"/>
            <w:right w:val="none" w:sz="0" w:space="0" w:color="auto"/>
          </w:divBdr>
          <w:divsChild>
            <w:div w:id="726804121">
              <w:marLeft w:val="0"/>
              <w:marRight w:val="0"/>
              <w:marTop w:val="0"/>
              <w:marBottom w:val="0"/>
              <w:divBdr>
                <w:top w:val="none" w:sz="0" w:space="0" w:color="auto"/>
                <w:left w:val="none" w:sz="0" w:space="0" w:color="auto"/>
                <w:bottom w:val="none" w:sz="0" w:space="0" w:color="auto"/>
                <w:right w:val="none" w:sz="0" w:space="0" w:color="auto"/>
              </w:divBdr>
            </w:div>
          </w:divsChild>
        </w:div>
        <w:div w:id="1438673935">
          <w:marLeft w:val="0"/>
          <w:marRight w:val="0"/>
          <w:marTop w:val="0"/>
          <w:marBottom w:val="0"/>
          <w:divBdr>
            <w:top w:val="none" w:sz="0" w:space="0" w:color="auto"/>
            <w:left w:val="none" w:sz="0" w:space="0" w:color="auto"/>
            <w:bottom w:val="none" w:sz="0" w:space="0" w:color="auto"/>
            <w:right w:val="none" w:sz="0" w:space="0" w:color="auto"/>
          </w:divBdr>
          <w:divsChild>
            <w:div w:id="1777362049">
              <w:marLeft w:val="0"/>
              <w:marRight w:val="0"/>
              <w:marTop w:val="0"/>
              <w:marBottom w:val="0"/>
              <w:divBdr>
                <w:top w:val="none" w:sz="0" w:space="0" w:color="auto"/>
                <w:left w:val="none" w:sz="0" w:space="0" w:color="auto"/>
                <w:bottom w:val="none" w:sz="0" w:space="0" w:color="auto"/>
                <w:right w:val="none" w:sz="0" w:space="0" w:color="auto"/>
              </w:divBdr>
            </w:div>
          </w:divsChild>
        </w:div>
        <w:div w:id="1450736893">
          <w:marLeft w:val="0"/>
          <w:marRight w:val="0"/>
          <w:marTop w:val="0"/>
          <w:marBottom w:val="0"/>
          <w:divBdr>
            <w:top w:val="none" w:sz="0" w:space="0" w:color="auto"/>
            <w:left w:val="none" w:sz="0" w:space="0" w:color="auto"/>
            <w:bottom w:val="none" w:sz="0" w:space="0" w:color="auto"/>
            <w:right w:val="none" w:sz="0" w:space="0" w:color="auto"/>
          </w:divBdr>
          <w:divsChild>
            <w:div w:id="1730349522">
              <w:marLeft w:val="0"/>
              <w:marRight w:val="0"/>
              <w:marTop w:val="0"/>
              <w:marBottom w:val="0"/>
              <w:divBdr>
                <w:top w:val="none" w:sz="0" w:space="0" w:color="auto"/>
                <w:left w:val="none" w:sz="0" w:space="0" w:color="auto"/>
                <w:bottom w:val="none" w:sz="0" w:space="0" w:color="auto"/>
                <w:right w:val="none" w:sz="0" w:space="0" w:color="auto"/>
              </w:divBdr>
            </w:div>
          </w:divsChild>
        </w:div>
        <w:div w:id="1523546949">
          <w:marLeft w:val="0"/>
          <w:marRight w:val="0"/>
          <w:marTop w:val="0"/>
          <w:marBottom w:val="0"/>
          <w:divBdr>
            <w:top w:val="none" w:sz="0" w:space="0" w:color="auto"/>
            <w:left w:val="none" w:sz="0" w:space="0" w:color="auto"/>
            <w:bottom w:val="none" w:sz="0" w:space="0" w:color="auto"/>
            <w:right w:val="none" w:sz="0" w:space="0" w:color="auto"/>
          </w:divBdr>
          <w:divsChild>
            <w:div w:id="472016942">
              <w:marLeft w:val="0"/>
              <w:marRight w:val="0"/>
              <w:marTop w:val="0"/>
              <w:marBottom w:val="0"/>
              <w:divBdr>
                <w:top w:val="none" w:sz="0" w:space="0" w:color="auto"/>
                <w:left w:val="none" w:sz="0" w:space="0" w:color="auto"/>
                <w:bottom w:val="none" w:sz="0" w:space="0" w:color="auto"/>
                <w:right w:val="none" w:sz="0" w:space="0" w:color="auto"/>
              </w:divBdr>
            </w:div>
          </w:divsChild>
        </w:div>
        <w:div w:id="1535312661">
          <w:marLeft w:val="0"/>
          <w:marRight w:val="0"/>
          <w:marTop w:val="0"/>
          <w:marBottom w:val="0"/>
          <w:divBdr>
            <w:top w:val="none" w:sz="0" w:space="0" w:color="auto"/>
            <w:left w:val="none" w:sz="0" w:space="0" w:color="auto"/>
            <w:bottom w:val="none" w:sz="0" w:space="0" w:color="auto"/>
            <w:right w:val="none" w:sz="0" w:space="0" w:color="auto"/>
          </w:divBdr>
          <w:divsChild>
            <w:div w:id="263198374">
              <w:marLeft w:val="0"/>
              <w:marRight w:val="0"/>
              <w:marTop w:val="0"/>
              <w:marBottom w:val="0"/>
              <w:divBdr>
                <w:top w:val="none" w:sz="0" w:space="0" w:color="auto"/>
                <w:left w:val="none" w:sz="0" w:space="0" w:color="auto"/>
                <w:bottom w:val="none" w:sz="0" w:space="0" w:color="auto"/>
                <w:right w:val="none" w:sz="0" w:space="0" w:color="auto"/>
              </w:divBdr>
            </w:div>
          </w:divsChild>
        </w:div>
        <w:div w:id="1595362190">
          <w:marLeft w:val="0"/>
          <w:marRight w:val="0"/>
          <w:marTop w:val="0"/>
          <w:marBottom w:val="0"/>
          <w:divBdr>
            <w:top w:val="none" w:sz="0" w:space="0" w:color="auto"/>
            <w:left w:val="none" w:sz="0" w:space="0" w:color="auto"/>
            <w:bottom w:val="none" w:sz="0" w:space="0" w:color="auto"/>
            <w:right w:val="none" w:sz="0" w:space="0" w:color="auto"/>
          </w:divBdr>
          <w:divsChild>
            <w:div w:id="1694573569">
              <w:marLeft w:val="0"/>
              <w:marRight w:val="0"/>
              <w:marTop w:val="0"/>
              <w:marBottom w:val="0"/>
              <w:divBdr>
                <w:top w:val="none" w:sz="0" w:space="0" w:color="auto"/>
                <w:left w:val="none" w:sz="0" w:space="0" w:color="auto"/>
                <w:bottom w:val="none" w:sz="0" w:space="0" w:color="auto"/>
                <w:right w:val="none" w:sz="0" w:space="0" w:color="auto"/>
              </w:divBdr>
            </w:div>
          </w:divsChild>
        </w:div>
        <w:div w:id="1596131893">
          <w:marLeft w:val="0"/>
          <w:marRight w:val="0"/>
          <w:marTop w:val="0"/>
          <w:marBottom w:val="0"/>
          <w:divBdr>
            <w:top w:val="none" w:sz="0" w:space="0" w:color="auto"/>
            <w:left w:val="none" w:sz="0" w:space="0" w:color="auto"/>
            <w:bottom w:val="none" w:sz="0" w:space="0" w:color="auto"/>
            <w:right w:val="none" w:sz="0" w:space="0" w:color="auto"/>
          </w:divBdr>
          <w:divsChild>
            <w:div w:id="1888177313">
              <w:marLeft w:val="0"/>
              <w:marRight w:val="0"/>
              <w:marTop w:val="0"/>
              <w:marBottom w:val="0"/>
              <w:divBdr>
                <w:top w:val="none" w:sz="0" w:space="0" w:color="auto"/>
                <w:left w:val="none" w:sz="0" w:space="0" w:color="auto"/>
                <w:bottom w:val="none" w:sz="0" w:space="0" w:color="auto"/>
                <w:right w:val="none" w:sz="0" w:space="0" w:color="auto"/>
              </w:divBdr>
            </w:div>
          </w:divsChild>
        </w:div>
        <w:div w:id="1600136273">
          <w:marLeft w:val="0"/>
          <w:marRight w:val="0"/>
          <w:marTop w:val="0"/>
          <w:marBottom w:val="0"/>
          <w:divBdr>
            <w:top w:val="none" w:sz="0" w:space="0" w:color="auto"/>
            <w:left w:val="none" w:sz="0" w:space="0" w:color="auto"/>
            <w:bottom w:val="none" w:sz="0" w:space="0" w:color="auto"/>
            <w:right w:val="none" w:sz="0" w:space="0" w:color="auto"/>
          </w:divBdr>
          <w:divsChild>
            <w:div w:id="2012946206">
              <w:marLeft w:val="0"/>
              <w:marRight w:val="0"/>
              <w:marTop w:val="0"/>
              <w:marBottom w:val="0"/>
              <w:divBdr>
                <w:top w:val="none" w:sz="0" w:space="0" w:color="auto"/>
                <w:left w:val="none" w:sz="0" w:space="0" w:color="auto"/>
                <w:bottom w:val="none" w:sz="0" w:space="0" w:color="auto"/>
                <w:right w:val="none" w:sz="0" w:space="0" w:color="auto"/>
              </w:divBdr>
            </w:div>
          </w:divsChild>
        </w:div>
        <w:div w:id="1609197104">
          <w:marLeft w:val="0"/>
          <w:marRight w:val="0"/>
          <w:marTop w:val="0"/>
          <w:marBottom w:val="0"/>
          <w:divBdr>
            <w:top w:val="none" w:sz="0" w:space="0" w:color="auto"/>
            <w:left w:val="none" w:sz="0" w:space="0" w:color="auto"/>
            <w:bottom w:val="none" w:sz="0" w:space="0" w:color="auto"/>
            <w:right w:val="none" w:sz="0" w:space="0" w:color="auto"/>
          </w:divBdr>
          <w:divsChild>
            <w:div w:id="1996562603">
              <w:marLeft w:val="0"/>
              <w:marRight w:val="0"/>
              <w:marTop w:val="0"/>
              <w:marBottom w:val="0"/>
              <w:divBdr>
                <w:top w:val="none" w:sz="0" w:space="0" w:color="auto"/>
                <w:left w:val="none" w:sz="0" w:space="0" w:color="auto"/>
                <w:bottom w:val="none" w:sz="0" w:space="0" w:color="auto"/>
                <w:right w:val="none" w:sz="0" w:space="0" w:color="auto"/>
              </w:divBdr>
            </w:div>
          </w:divsChild>
        </w:div>
        <w:div w:id="1625116447">
          <w:marLeft w:val="0"/>
          <w:marRight w:val="0"/>
          <w:marTop w:val="0"/>
          <w:marBottom w:val="0"/>
          <w:divBdr>
            <w:top w:val="none" w:sz="0" w:space="0" w:color="auto"/>
            <w:left w:val="none" w:sz="0" w:space="0" w:color="auto"/>
            <w:bottom w:val="none" w:sz="0" w:space="0" w:color="auto"/>
            <w:right w:val="none" w:sz="0" w:space="0" w:color="auto"/>
          </w:divBdr>
          <w:divsChild>
            <w:div w:id="345134545">
              <w:marLeft w:val="0"/>
              <w:marRight w:val="0"/>
              <w:marTop w:val="0"/>
              <w:marBottom w:val="0"/>
              <w:divBdr>
                <w:top w:val="none" w:sz="0" w:space="0" w:color="auto"/>
                <w:left w:val="none" w:sz="0" w:space="0" w:color="auto"/>
                <w:bottom w:val="none" w:sz="0" w:space="0" w:color="auto"/>
                <w:right w:val="none" w:sz="0" w:space="0" w:color="auto"/>
              </w:divBdr>
            </w:div>
          </w:divsChild>
        </w:div>
        <w:div w:id="1633512908">
          <w:marLeft w:val="0"/>
          <w:marRight w:val="0"/>
          <w:marTop w:val="0"/>
          <w:marBottom w:val="0"/>
          <w:divBdr>
            <w:top w:val="none" w:sz="0" w:space="0" w:color="auto"/>
            <w:left w:val="none" w:sz="0" w:space="0" w:color="auto"/>
            <w:bottom w:val="none" w:sz="0" w:space="0" w:color="auto"/>
            <w:right w:val="none" w:sz="0" w:space="0" w:color="auto"/>
          </w:divBdr>
          <w:divsChild>
            <w:div w:id="934286600">
              <w:marLeft w:val="0"/>
              <w:marRight w:val="0"/>
              <w:marTop w:val="0"/>
              <w:marBottom w:val="0"/>
              <w:divBdr>
                <w:top w:val="none" w:sz="0" w:space="0" w:color="auto"/>
                <w:left w:val="none" w:sz="0" w:space="0" w:color="auto"/>
                <w:bottom w:val="none" w:sz="0" w:space="0" w:color="auto"/>
                <w:right w:val="none" w:sz="0" w:space="0" w:color="auto"/>
              </w:divBdr>
            </w:div>
          </w:divsChild>
        </w:div>
        <w:div w:id="1703360264">
          <w:marLeft w:val="0"/>
          <w:marRight w:val="0"/>
          <w:marTop w:val="0"/>
          <w:marBottom w:val="0"/>
          <w:divBdr>
            <w:top w:val="none" w:sz="0" w:space="0" w:color="auto"/>
            <w:left w:val="none" w:sz="0" w:space="0" w:color="auto"/>
            <w:bottom w:val="none" w:sz="0" w:space="0" w:color="auto"/>
            <w:right w:val="none" w:sz="0" w:space="0" w:color="auto"/>
          </w:divBdr>
          <w:divsChild>
            <w:div w:id="420640736">
              <w:marLeft w:val="0"/>
              <w:marRight w:val="0"/>
              <w:marTop w:val="0"/>
              <w:marBottom w:val="0"/>
              <w:divBdr>
                <w:top w:val="none" w:sz="0" w:space="0" w:color="auto"/>
                <w:left w:val="none" w:sz="0" w:space="0" w:color="auto"/>
                <w:bottom w:val="none" w:sz="0" w:space="0" w:color="auto"/>
                <w:right w:val="none" w:sz="0" w:space="0" w:color="auto"/>
              </w:divBdr>
            </w:div>
          </w:divsChild>
        </w:div>
        <w:div w:id="1710884626">
          <w:marLeft w:val="0"/>
          <w:marRight w:val="0"/>
          <w:marTop w:val="0"/>
          <w:marBottom w:val="0"/>
          <w:divBdr>
            <w:top w:val="none" w:sz="0" w:space="0" w:color="auto"/>
            <w:left w:val="none" w:sz="0" w:space="0" w:color="auto"/>
            <w:bottom w:val="none" w:sz="0" w:space="0" w:color="auto"/>
            <w:right w:val="none" w:sz="0" w:space="0" w:color="auto"/>
          </w:divBdr>
          <w:divsChild>
            <w:div w:id="970790339">
              <w:marLeft w:val="0"/>
              <w:marRight w:val="0"/>
              <w:marTop w:val="0"/>
              <w:marBottom w:val="0"/>
              <w:divBdr>
                <w:top w:val="none" w:sz="0" w:space="0" w:color="auto"/>
                <w:left w:val="none" w:sz="0" w:space="0" w:color="auto"/>
                <w:bottom w:val="none" w:sz="0" w:space="0" w:color="auto"/>
                <w:right w:val="none" w:sz="0" w:space="0" w:color="auto"/>
              </w:divBdr>
            </w:div>
          </w:divsChild>
        </w:div>
        <w:div w:id="1723672172">
          <w:marLeft w:val="0"/>
          <w:marRight w:val="0"/>
          <w:marTop w:val="0"/>
          <w:marBottom w:val="0"/>
          <w:divBdr>
            <w:top w:val="none" w:sz="0" w:space="0" w:color="auto"/>
            <w:left w:val="none" w:sz="0" w:space="0" w:color="auto"/>
            <w:bottom w:val="none" w:sz="0" w:space="0" w:color="auto"/>
            <w:right w:val="none" w:sz="0" w:space="0" w:color="auto"/>
          </w:divBdr>
          <w:divsChild>
            <w:div w:id="1012024955">
              <w:marLeft w:val="0"/>
              <w:marRight w:val="0"/>
              <w:marTop w:val="0"/>
              <w:marBottom w:val="0"/>
              <w:divBdr>
                <w:top w:val="none" w:sz="0" w:space="0" w:color="auto"/>
                <w:left w:val="none" w:sz="0" w:space="0" w:color="auto"/>
                <w:bottom w:val="none" w:sz="0" w:space="0" w:color="auto"/>
                <w:right w:val="none" w:sz="0" w:space="0" w:color="auto"/>
              </w:divBdr>
            </w:div>
          </w:divsChild>
        </w:div>
        <w:div w:id="1739548507">
          <w:marLeft w:val="0"/>
          <w:marRight w:val="0"/>
          <w:marTop w:val="0"/>
          <w:marBottom w:val="0"/>
          <w:divBdr>
            <w:top w:val="none" w:sz="0" w:space="0" w:color="auto"/>
            <w:left w:val="none" w:sz="0" w:space="0" w:color="auto"/>
            <w:bottom w:val="none" w:sz="0" w:space="0" w:color="auto"/>
            <w:right w:val="none" w:sz="0" w:space="0" w:color="auto"/>
          </w:divBdr>
          <w:divsChild>
            <w:div w:id="1333872671">
              <w:marLeft w:val="0"/>
              <w:marRight w:val="0"/>
              <w:marTop w:val="0"/>
              <w:marBottom w:val="0"/>
              <w:divBdr>
                <w:top w:val="none" w:sz="0" w:space="0" w:color="auto"/>
                <w:left w:val="none" w:sz="0" w:space="0" w:color="auto"/>
                <w:bottom w:val="none" w:sz="0" w:space="0" w:color="auto"/>
                <w:right w:val="none" w:sz="0" w:space="0" w:color="auto"/>
              </w:divBdr>
            </w:div>
          </w:divsChild>
        </w:div>
        <w:div w:id="1770658841">
          <w:marLeft w:val="0"/>
          <w:marRight w:val="0"/>
          <w:marTop w:val="0"/>
          <w:marBottom w:val="0"/>
          <w:divBdr>
            <w:top w:val="none" w:sz="0" w:space="0" w:color="auto"/>
            <w:left w:val="none" w:sz="0" w:space="0" w:color="auto"/>
            <w:bottom w:val="none" w:sz="0" w:space="0" w:color="auto"/>
            <w:right w:val="none" w:sz="0" w:space="0" w:color="auto"/>
          </w:divBdr>
          <w:divsChild>
            <w:div w:id="325011997">
              <w:marLeft w:val="0"/>
              <w:marRight w:val="0"/>
              <w:marTop w:val="0"/>
              <w:marBottom w:val="0"/>
              <w:divBdr>
                <w:top w:val="none" w:sz="0" w:space="0" w:color="auto"/>
                <w:left w:val="none" w:sz="0" w:space="0" w:color="auto"/>
                <w:bottom w:val="none" w:sz="0" w:space="0" w:color="auto"/>
                <w:right w:val="none" w:sz="0" w:space="0" w:color="auto"/>
              </w:divBdr>
            </w:div>
          </w:divsChild>
        </w:div>
        <w:div w:id="1771511231">
          <w:marLeft w:val="0"/>
          <w:marRight w:val="0"/>
          <w:marTop w:val="0"/>
          <w:marBottom w:val="0"/>
          <w:divBdr>
            <w:top w:val="none" w:sz="0" w:space="0" w:color="auto"/>
            <w:left w:val="none" w:sz="0" w:space="0" w:color="auto"/>
            <w:bottom w:val="none" w:sz="0" w:space="0" w:color="auto"/>
            <w:right w:val="none" w:sz="0" w:space="0" w:color="auto"/>
          </w:divBdr>
          <w:divsChild>
            <w:div w:id="835341016">
              <w:marLeft w:val="0"/>
              <w:marRight w:val="0"/>
              <w:marTop w:val="0"/>
              <w:marBottom w:val="0"/>
              <w:divBdr>
                <w:top w:val="none" w:sz="0" w:space="0" w:color="auto"/>
                <w:left w:val="none" w:sz="0" w:space="0" w:color="auto"/>
                <w:bottom w:val="none" w:sz="0" w:space="0" w:color="auto"/>
                <w:right w:val="none" w:sz="0" w:space="0" w:color="auto"/>
              </w:divBdr>
            </w:div>
          </w:divsChild>
        </w:div>
        <w:div w:id="1787968309">
          <w:marLeft w:val="0"/>
          <w:marRight w:val="0"/>
          <w:marTop w:val="0"/>
          <w:marBottom w:val="0"/>
          <w:divBdr>
            <w:top w:val="none" w:sz="0" w:space="0" w:color="auto"/>
            <w:left w:val="none" w:sz="0" w:space="0" w:color="auto"/>
            <w:bottom w:val="none" w:sz="0" w:space="0" w:color="auto"/>
            <w:right w:val="none" w:sz="0" w:space="0" w:color="auto"/>
          </w:divBdr>
          <w:divsChild>
            <w:div w:id="781656259">
              <w:marLeft w:val="0"/>
              <w:marRight w:val="0"/>
              <w:marTop w:val="0"/>
              <w:marBottom w:val="0"/>
              <w:divBdr>
                <w:top w:val="none" w:sz="0" w:space="0" w:color="auto"/>
                <w:left w:val="none" w:sz="0" w:space="0" w:color="auto"/>
                <w:bottom w:val="none" w:sz="0" w:space="0" w:color="auto"/>
                <w:right w:val="none" w:sz="0" w:space="0" w:color="auto"/>
              </w:divBdr>
            </w:div>
          </w:divsChild>
        </w:div>
        <w:div w:id="1792555989">
          <w:marLeft w:val="0"/>
          <w:marRight w:val="0"/>
          <w:marTop w:val="0"/>
          <w:marBottom w:val="0"/>
          <w:divBdr>
            <w:top w:val="none" w:sz="0" w:space="0" w:color="auto"/>
            <w:left w:val="none" w:sz="0" w:space="0" w:color="auto"/>
            <w:bottom w:val="none" w:sz="0" w:space="0" w:color="auto"/>
            <w:right w:val="none" w:sz="0" w:space="0" w:color="auto"/>
          </w:divBdr>
          <w:divsChild>
            <w:div w:id="1022585642">
              <w:marLeft w:val="0"/>
              <w:marRight w:val="0"/>
              <w:marTop w:val="0"/>
              <w:marBottom w:val="0"/>
              <w:divBdr>
                <w:top w:val="none" w:sz="0" w:space="0" w:color="auto"/>
                <w:left w:val="none" w:sz="0" w:space="0" w:color="auto"/>
                <w:bottom w:val="none" w:sz="0" w:space="0" w:color="auto"/>
                <w:right w:val="none" w:sz="0" w:space="0" w:color="auto"/>
              </w:divBdr>
            </w:div>
            <w:div w:id="1200432423">
              <w:marLeft w:val="0"/>
              <w:marRight w:val="0"/>
              <w:marTop w:val="0"/>
              <w:marBottom w:val="0"/>
              <w:divBdr>
                <w:top w:val="none" w:sz="0" w:space="0" w:color="auto"/>
                <w:left w:val="none" w:sz="0" w:space="0" w:color="auto"/>
                <w:bottom w:val="none" w:sz="0" w:space="0" w:color="auto"/>
                <w:right w:val="none" w:sz="0" w:space="0" w:color="auto"/>
              </w:divBdr>
            </w:div>
          </w:divsChild>
        </w:div>
        <w:div w:id="1818842914">
          <w:marLeft w:val="0"/>
          <w:marRight w:val="0"/>
          <w:marTop w:val="0"/>
          <w:marBottom w:val="0"/>
          <w:divBdr>
            <w:top w:val="none" w:sz="0" w:space="0" w:color="auto"/>
            <w:left w:val="none" w:sz="0" w:space="0" w:color="auto"/>
            <w:bottom w:val="none" w:sz="0" w:space="0" w:color="auto"/>
            <w:right w:val="none" w:sz="0" w:space="0" w:color="auto"/>
          </w:divBdr>
          <w:divsChild>
            <w:div w:id="2081101561">
              <w:marLeft w:val="0"/>
              <w:marRight w:val="0"/>
              <w:marTop w:val="0"/>
              <w:marBottom w:val="0"/>
              <w:divBdr>
                <w:top w:val="none" w:sz="0" w:space="0" w:color="auto"/>
                <w:left w:val="none" w:sz="0" w:space="0" w:color="auto"/>
                <w:bottom w:val="none" w:sz="0" w:space="0" w:color="auto"/>
                <w:right w:val="none" w:sz="0" w:space="0" w:color="auto"/>
              </w:divBdr>
            </w:div>
          </w:divsChild>
        </w:div>
        <w:div w:id="1832524494">
          <w:marLeft w:val="0"/>
          <w:marRight w:val="0"/>
          <w:marTop w:val="0"/>
          <w:marBottom w:val="0"/>
          <w:divBdr>
            <w:top w:val="none" w:sz="0" w:space="0" w:color="auto"/>
            <w:left w:val="none" w:sz="0" w:space="0" w:color="auto"/>
            <w:bottom w:val="none" w:sz="0" w:space="0" w:color="auto"/>
            <w:right w:val="none" w:sz="0" w:space="0" w:color="auto"/>
          </w:divBdr>
          <w:divsChild>
            <w:div w:id="1306545417">
              <w:marLeft w:val="0"/>
              <w:marRight w:val="0"/>
              <w:marTop w:val="0"/>
              <w:marBottom w:val="0"/>
              <w:divBdr>
                <w:top w:val="none" w:sz="0" w:space="0" w:color="auto"/>
                <w:left w:val="none" w:sz="0" w:space="0" w:color="auto"/>
                <w:bottom w:val="none" w:sz="0" w:space="0" w:color="auto"/>
                <w:right w:val="none" w:sz="0" w:space="0" w:color="auto"/>
              </w:divBdr>
            </w:div>
          </w:divsChild>
        </w:div>
        <w:div w:id="1864435796">
          <w:marLeft w:val="0"/>
          <w:marRight w:val="0"/>
          <w:marTop w:val="0"/>
          <w:marBottom w:val="0"/>
          <w:divBdr>
            <w:top w:val="none" w:sz="0" w:space="0" w:color="auto"/>
            <w:left w:val="none" w:sz="0" w:space="0" w:color="auto"/>
            <w:bottom w:val="none" w:sz="0" w:space="0" w:color="auto"/>
            <w:right w:val="none" w:sz="0" w:space="0" w:color="auto"/>
          </w:divBdr>
          <w:divsChild>
            <w:div w:id="1037776169">
              <w:marLeft w:val="0"/>
              <w:marRight w:val="0"/>
              <w:marTop w:val="0"/>
              <w:marBottom w:val="0"/>
              <w:divBdr>
                <w:top w:val="none" w:sz="0" w:space="0" w:color="auto"/>
                <w:left w:val="none" w:sz="0" w:space="0" w:color="auto"/>
                <w:bottom w:val="none" w:sz="0" w:space="0" w:color="auto"/>
                <w:right w:val="none" w:sz="0" w:space="0" w:color="auto"/>
              </w:divBdr>
            </w:div>
          </w:divsChild>
        </w:div>
        <w:div w:id="2001692880">
          <w:marLeft w:val="0"/>
          <w:marRight w:val="0"/>
          <w:marTop w:val="0"/>
          <w:marBottom w:val="0"/>
          <w:divBdr>
            <w:top w:val="none" w:sz="0" w:space="0" w:color="auto"/>
            <w:left w:val="none" w:sz="0" w:space="0" w:color="auto"/>
            <w:bottom w:val="none" w:sz="0" w:space="0" w:color="auto"/>
            <w:right w:val="none" w:sz="0" w:space="0" w:color="auto"/>
          </w:divBdr>
          <w:divsChild>
            <w:div w:id="1561403314">
              <w:marLeft w:val="0"/>
              <w:marRight w:val="0"/>
              <w:marTop w:val="0"/>
              <w:marBottom w:val="0"/>
              <w:divBdr>
                <w:top w:val="none" w:sz="0" w:space="0" w:color="auto"/>
                <w:left w:val="none" w:sz="0" w:space="0" w:color="auto"/>
                <w:bottom w:val="none" w:sz="0" w:space="0" w:color="auto"/>
                <w:right w:val="none" w:sz="0" w:space="0" w:color="auto"/>
              </w:divBdr>
            </w:div>
          </w:divsChild>
        </w:div>
        <w:div w:id="2134206363">
          <w:marLeft w:val="0"/>
          <w:marRight w:val="0"/>
          <w:marTop w:val="0"/>
          <w:marBottom w:val="0"/>
          <w:divBdr>
            <w:top w:val="none" w:sz="0" w:space="0" w:color="auto"/>
            <w:left w:val="none" w:sz="0" w:space="0" w:color="auto"/>
            <w:bottom w:val="none" w:sz="0" w:space="0" w:color="auto"/>
            <w:right w:val="none" w:sz="0" w:space="0" w:color="auto"/>
          </w:divBdr>
          <w:divsChild>
            <w:div w:id="1035733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8039641">
      <w:bodyDiv w:val="1"/>
      <w:marLeft w:val="0"/>
      <w:marRight w:val="0"/>
      <w:marTop w:val="0"/>
      <w:marBottom w:val="0"/>
      <w:divBdr>
        <w:top w:val="none" w:sz="0" w:space="0" w:color="auto"/>
        <w:left w:val="none" w:sz="0" w:space="0" w:color="auto"/>
        <w:bottom w:val="none" w:sz="0" w:space="0" w:color="auto"/>
        <w:right w:val="none" w:sz="0" w:space="0" w:color="auto"/>
      </w:divBdr>
    </w:div>
    <w:div w:id="938410835">
      <w:bodyDiv w:val="1"/>
      <w:marLeft w:val="0"/>
      <w:marRight w:val="0"/>
      <w:marTop w:val="0"/>
      <w:marBottom w:val="0"/>
      <w:divBdr>
        <w:top w:val="none" w:sz="0" w:space="0" w:color="auto"/>
        <w:left w:val="none" w:sz="0" w:space="0" w:color="auto"/>
        <w:bottom w:val="none" w:sz="0" w:space="0" w:color="auto"/>
        <w:right w:val="none" w:sz="0" w:space="0" w:color="auto"/>
      </w:divBdr>
    </w:div>
    <w:div w:id="1184133559">
      <w:bodyDiv w:val="1"/>
      <w:marLeft w:val="0"/>
      <w:marRight w:val="0"/>
      <w:marTop w:val="0"/>
      <w:marBottom w:val="0"/>
      <w:divBdr>
        <w:top w:val="none" w:sz="0" w:space="0" w:color="auto"/>
        <w:left w:val="none" w:sz="0" w:space="0" w:color="auto"/>
        <w:bottom w:val="none" w:sz="0" w:space="0" w:color="auto"/>
        <w:right w:val="none" w:sz="0" w:space="0" w:color="auto"/>
      </w:divBdr>
    </w:div>
    <w:div w:id="1442414470">
      <w:bodyDiv w:val="1"/>
      <w:marLeft w:val="0"/>
      <w:marRight w:val="0"/>
      <w:marTop w:val="0"/>
      <w:marBottom w:val="0"/>
      <w:divBdr>
        <w:top w:val="none" w:sz="0" w:space="0" w:color="auto"/>
        <w:left w:val="none" w:sz="0" w:space="0" w:color="auto"/>
        <w:bottom w:val="none" w:sz="0" w:space="0" w:color="auto"/>
        <w:right w:val="none" w:sz="0" w:space="0" w:color="auto"/>
      </w:divBdr>
      <w:divsChild>
        <w:div w:id="18507346">
          <w:marLeft w:val="0"/>
          <w:marRight w:val="0"/>
          <w:marTop w:val="0"/>
          <w:marBottom w:val="0"/>
          <w:divBdr>
            <w:top w:val="none" w:sz="0" w:space="0" w:color="auto"/>
            <w:left w:val="none" w:sz="0" w:space="0" w:color="auto"/>
            <w:bottom w:val="none" w:sz="0" w:space="0" w:color="auto"/>
            <w:right w:val="none" w:sz="0" w:space="0" w:color="auto"/>
          </w:divBdr>
          <w:divsChild>
            <w:div w:id="1957519373">
              <w:marLeft w:val="0"/>
              <w:marRight w:val="0"/>
              <w:marTop w:val="0"/>
              <w:marBottom w:val="0"/>
              <w:divBdr>
                <w:top w:val="none" w:sz="0" w:space="0" w:color="auto"/>
                <w:left w:val="none" w:sz="0" w:space="0" w:color="auto"/>
                <w:bottom w:val="none" w:sz="0" w:space="0" w:color="auto"/>
                <w:right w:val="none" w:sz="0" w:space="0" w:color="auto"/>
              </w:divBdr>
            </w:div>
          </w:divsChild>
        </w:div>
        <w:div w:id="30347673">
          <w:marLeft w:val="0"/>
          <w:marRight w:val="0"/>
          <w:marTop w:val="0"/>
          <w:marBottom w:val="0"/>
          <w:divBdr>
            <w:top w:val="none" w:sz="0" w:space="0" w:color="auto"/>
            <w:left w:val="none" w:sz="0" w:space="0" w:color="auto"/>
            <w:bottom w:val="none" w:sz="0" w:space="0" w:color="auto"/>
            <w:right w:val="none" w:sz="0" w:space="0" w:color="auto"/>
          </w:divBdr>
          <w:divsChild>
            <w:div w:id="738867117">
              <w:marLeft w:val="0"/>
              <w:marRight w:val="0"/>
              <w:marTop w:val="0"/>
              <w:marBottom w:val="0"/>
              <w:divBdr>
                <w:top w:val="none" w:sz="0" w:space="0" w:color="auto"/>
                <w:left w:val="none" w:sz="0" w:space="0" w:color="auto"/>
                <w:bottom w:val="none" w:sz="0" w:space="0" w:color="auto"/>
                <w:right w:val="none" w:sz="0" w:space="0" w:color="auto"/>
              </w:divBdr>
            </w:div>
          </w:divsChild>
        </w:div>
        <w:div w:id="69039195">
          <w:marLeft w:val="0"/>
          <w:marRight w:val="0"/>
          <w:marTop w:val="0"/>
          <w:marBottom w:val="0"/>
          <w:divBdr>
            <w:top w:val="none" w:sz="0" w:space="0" w:color="auto"/>
            <w:left w:val="none" w:sz="0" w:space="0" w:color="auto"/>
            <w:bottom w:val="none" w:sz="0" w:space="0" w:color="auto"/>
            <w:right w:val="none" w:sz="0" w:space="0" w:color="auto"/>
          </w:divBdr>
          <w:divsChild>
            <w:div w:id="1594246105">
              <w:marLeft w:val="0"/>
              <w:marRight w:val="0"/>
              <w:marTop w:val="0"/>
              <w:marBottom w:val="0"/>
              <w:divBdr>
                <w:top w:val="none" w:sz="0" w:space="0" w:color="auto"/>
                <w:left w:val="none" w:sz="0" w:space="0" w:color="auto"/>
                <w:bottom w:val="none" w:sz="0" w:space="0" w:color="auto"/>
                <w:right w:val="none" w:sz="0" w:space="0" w:color="auto"/>
              </w:divBdr>
            </w:div>
          </w:divsChild>
        </w:div>
        <w:div w:id="114178271">
          <w:marLeft w:val="0"/>
          <w:marRight w:val="0"/>
          <w:marTop w:val="0"/>
          <w:marBottom w:val="0"/>
          <w:divBdr>
            <w:top w:val="none" w:sz="0" w:space="0" w:color="auto"/>
            <w:left w:val="none" w:sz="0" w:space="0" w:color="auto"/>
            <w:bottom w:val="none" w:sz="0" w:space="0" w:color="auto"/>
            <w:right w:val="none" w:sz="0" w:space="0" w:color="auto"/>
          </w:divBdr>
          <w:divsChild>
            <w:div w:id="1050299137">
              <w:marLeft w:val="0"/>
              <w:marRight w:val="0"/>
              <w:marTop w:val="0"/>
              <w:marBottom w:val="0"/>
              <w:divBdr>
                <w:top w:val="none" w:sz="0" w:space="0" w:color="auto"/>
                <w:left w:val="none" w:sz="0" w:space="0" w:color="auto"/>
                <w:bottom w:val="none" w:sz="0" w:space="0" w:color="auto"/>
                <w:right w:val="none" w:sz="0" w:space="0" w:color="auto"/>
              </w:divBdr>
            </w:div>
          </w:divsChild>
        </w:div>
        <w:div w:id="204559716">
          <w:marLeft w:val="0"/>
          <w:marRight w:val="0"/>
          <w:marTop w:val="0"/>
          <w:marBottom w:val="0"/>
          <w:divBdr>
            <w:top w:val="none" w:sz="0" w:space="0" w:color="auto"/>
            <w:left w:val="none" w:sz="0" w:space="0" w:color="auto"/>
            <w:bottom w:val="none" w:sz="0" w:space="0" w:color="auto"/>
            <w:right w:val="none" w:sz="0" w:space="0" w:color="auto"/>
          </w:divBdr>
          <w:divsChild>
            <w:div w:id="176584179">
              <w:marLeft w:val="0"/>
              <w:marRight w:val="0"/>
              <w:marTop w:val="0"/>
              <w:marBottom w:val="0"/>
              <w:divBdr>
                <w:top w:val="none" w:sz="0" w:space="0" w:color="auto"/>
                <w:left w:val="none" w:sz="0" w:space="0" w:color="auto"/>
                <w:bottom w:val="none" w:sz="0" w:space="0" w:color="auto"/>
                <w:right w:val="none" w:sz="0" w:space="0" w:color="auto"/>
              </w:divBdr>
            </w:div>
          </w:divsChild>
        </w:div>
        <w:div w:id="314574005">
          <w:marLeft w:val="0"/>
          <w:marRight w:val="0"/>
          <w:marTop w:val="0"/>
          <w:marBottom w:val="0"/>
          <w:divBdr>
            <w:top w:val="none" w:sz="0" w:space="0" w:color="auto"/>
            <w:left w:val="none" w:sz="0" w:space="0" w:color="auto"/>
            <w:bottom w:val="none" w:sz="0" w:space="0" w:color="auto"/>
            <w:right w:val="none" w:sz="0" w:space="0" w:color="auto"/>
          </w:divBdr>
          <w:divsChild>
            <w:div w:id="899830767">
              <w:marLeft w:val="0"/>
              <w:marRight w:val="0"/>
              <w:marTop w:val="0"/>
              <w:marBottom w:val="0"/>
              <w:divBdr>
                <w:top w:val="none" w:sz="0" w:space="0" w:color="auto"/>
                <w:left w:val="none" w:sz="0" w:space="0" w:color="auto"/>
                <w:bottom w:val="none" w:sz="0" w:space="0" w:color="auto"/>
                <w:right w:val="none" w:sz="0" w:space="0" w:color="auto"/>
              </w:divBdr>
            </w:div>
          </w:divsChild>
        </w:div>
        <w:div w:id="317618076">
          <w:marLeft w:val="0"/>
          <w:marRight w:val="0"/>
          <w:marTop w:val="0"/>
          <w:marBottom w:val="0"/>
          <w:divBdr>
            <w:top w:val="none" w:sz="0" w:space="0" w:color="auto"/>
            <w:left w:val="none" w:sz="0" w:space="0" w:color="auto"/>
            <w:bottom w:val="none" w:sz="0" w:space="0" w:color="auto"/>
            <w:right w:val="none" w:sz="0" w:space="0" w:color="auto"/>
          </w:divBdr>
          <w:divsChild>
            <w:div w:id="865363411">
              <w:marLeft w:val="0"/>
              <w:marRight w:val="0"/>
              <w:marTop w:val="0"/>
              <w:marBottom w:val="0"/>
              <w:divBdr>
                <w:top w:val="none" w:sz="0" w:space="0" w:color="auto"/>
                <w:left w:val="none" w:sz="0" w:space="0" w:color="auto"/>
                <w:bottom w:val="none" w:sz="0" w:space="0" w:color="auto"/>
                <w:right w:val="none" w:sz="0" w:space="0" w:color="auto"/>
              </w:divBdr>
            </w:div>
            <w:div w:id="2082680936">
              <w:marLeft w:val="0"/>
              <w:marRight w:val="0"/>
              <w:marTop w:val="0"/>
              <w:marBottom w:val="0"/>
              <w:divBdr>
                <w:top w:val="none" w:sz="0" w:space="0" w:color="auto"/>
                <w:left w:val="none" w:sz="0" w:space="0" w:color="auto"/>
                <w:bottom w:val="none" w:sz="0" w:space="0" w:color="auto"/>
                <w:right w:val="none" w:sz="0" w:space="0" w:color="auto"/>
              </w:divBdr>
            </w:div>
          </w:divsChild>
        </w:div>
        <w:div w:id="390269179">
          <w:marLeft w:val="0"/>
          <w:marRight w:val="0"/>
          <w:marTop w:val="0"/>
          <w:marBottom w:val="0"/>
          <w:divBdr>
            <w:top w:val="none" w:sz="0" w:space="0" w:color="auto"/>
            <w:left w:val="none" w:sz="0" w:space="0" w:color="auto"/>
            <w:bottom w:val="none" w:sz="0" w:space="0" w:color="auto"/>
            <w:right w:val="none" w:sz="0" w:space="0" w:color="auto"/>
          </w:divBdr>
          <w:divsChild>
            <w:div w:id="345518037">
              <w:marLeft w:val="0"/>
              <w:marRight w:val="0"/>
              <w:marTop w:val="0"/>
              <w:marBottom w:val="0"/>
              <w:divBdr>
                <w:top w:val="none" w:sz="0" w:space="0" w:color="auto"/>
                <w:left w:val="none" w:sz="0" w:space="0" w:color="auto"/>
                <w:bottom w:val="none" w:sz="0" w:space="0" w:color="auto"/>
                <w:right w:val="none" w:sz="0" w:space="0" w:color="auto"/>
              </w:divBdr>
            </w:div>
          </w:divsChild>
        </w:div>
        <w:div w:id="445467641">
          <w:marLeft w:val="0"/>
          <w:marRight w:val="0"/>
          <w:marTop w:val="0"/>
          <w:marBottom w:val="0"/>
          <w:divBdr>
            <w:top w:val="none" w:sz="0" w:space="0" w:color="auto"/>
            <w:left w:val="none" w:sz="0" w:space="0" w:color="auto"/>
            <w:bottom w:val="none" w:sz="0" w:space="0" w:color="auto"/>
            <w:right w:val="none" w:sz="0" w:space="0" w:color="auto"/>
          </w:divBdr>
          <w:divsChild>
            <w:div w:id="1547175774">
              <w:marLeft w:val="0"/>
              <w:marRight w:val="0"/>
              <w:marTop w:val="0"/>
              <w:marBottom w:val="0"/>
              <w:divBdr>
                <w:top w:val="none" w:sz="0" w:space="0" w:color="auto"/>
                <w:left w:val="none" w:sz="0" w:space="0" w:color="auto"/>
                <w:bottom w:val="none" w:sz="0" w:space="0" w:color="auto"/>
                <w:right w:val="none" w:sz="0" w:space="0" w:color="auto"/>
              </w:divBdr>
            </w:div>
          </w:divsChild>
        </w:div>
        <w:div w:id="452139171">
          <w:marLeft w:val="0"/>
          <w:marRight w:val="0"/>
          <w:marTop w:val="0"/>
          <w:marBottom w:val="0"/>
          <w:divBdr>
            <w:top w:val="none" w:sz="0" w:space="0" w:color="auto"/>
            <w:left w:val="none" w:sz="0" w:space="0" w:color="auto"/>
            <w:bottom w:val="none" w:sz="0" w:space="0" w:color="auto"/>
            <w:right w:val="none" w:sz="0" w:space="0" w:color="auto"/>
          </w:divBdr>
          <w:divsChild>
            <w:div w:id="1104955514">
              <w:marLeft w:val="0"/>
              <w:marRight w:val="0"/>
              <w:marTop w:val="0"/>
              <w:marBottom w:val="0"/>
              <w:divBdr>
                <w:top w:val="none" w:sz="0" w:space="0" w:color="auto"/>
                <w:left w:val="none" w:sz="0" w:space="0" w:color="auto"/>
                <w:bottom w:val="none" w:sz="0" w:space="0" w:color="auto"/>
                <w:right w:val="none" w:sz="0" w:space="0" w:color="auto"/>
              </w:divBdr>
            </w:div>
          </w:divsChild>
        </w:div>
        <w:div w:id="481625633">
          <w:marLeft w:val="0"/>
          <w:marRight w:val="0"/>
          <w:marTop w:val="0"/>
          <w:marBottom w:val="0"/>
          <w:divBdr>
            <w:top w:val="none" w:sz="0" w:space="0" w:color="auto"/>
            <w:left w:val="none" w:sz="0" w:space="0" w:color="auto"/>
            <w:bottom w:val="none" w:sz="0" w:space="0" w:color="auto"/>
            <w:right w:val="none" w:sz="0" w:space="0" w:color="auto"/>
          </w:divBdr>
          <w:divsChild>
            <w:div w:id="1333795305">
              <w:marLeft w:val="0"/>
              <w:marRight w:val="0"/>
              <w:marTop w:val="0"/>
              <w:marBottom w:val="0"/>
              <w:divBdr>
                <w:top w:val="none" w:sz="0" w:space="0" w:color="auto"/>
                <w:left w:val="none" w:sz="0" w:space="0" w:color="auto"/>
                <w:bottom w:val="none" w:sz="0" w:space="0" w:color="auto"/>
                <w:right w:val="none" w:sz="0" w:space="0" w:color="auto"/>
              </w:divBdr>
            </w:div>
          </w:divsChild>
        </w:div>
        <w:div w:id="501239256">
          <w:marLeft w:val="0"/>
          <w:marRight w:val="0"/>
          <w:marTop w:val="0"/>
          <w:marBottom w:val="0"/>
          <w:divBdr>
            <w:top w:val="none" w:sz="0" w:space="0" w:color="auto"/>
            <w:left w:val="none" w:sz="0" w:space="0" w:color="auto"/>
            <w:bottom w:val="none" w:sz="0" w:space="0" w:color="auto"/>
            <w:right w:val="none" w:sz="0" w:space="0" w:color="auto"/>
          </w:divBdr>
          <w:divsChild>
            <w:div w:id="237594542">
              <w:marLeft w:val="0"/>
              <w:marRight w:val="0"/>
              <w:marTop w:val="0"/>
              <w:marBottom w:val="0"/>
              <w:divBdr>
                <w:top w:val="none" w:sz="0" w:space="0" w:color="auto"/>
                <w:left w:val="none" w:sz="0" w:space="0" w:color="auto"/>
                <w:bottom w:val="none" w:sz="0" w:space="0" w:color="auto"/>
                <w:right w:val="none" w:sz="0" w:space="0" w:color="auto"/>
              </w:divBdr>
            </w:div>
          </w:divsChild>
        </w:div>
        <w:div w:id="549803252">
          <w:marLeft w:val="0"/>
          <w:marRight w:val="0"/>
          <w:marTop w:val="0"/>
          <w:marBottom w:val="0"/>
          <w:divBdr>
            <w:top w:val="none" w:sz="0" w:space="0" w:color="auto"/>
            <w:left w:val="none" w:sz="0" w:space="0" w:color="auto"/>
            <w:bottom w:val="none" w:sz="0" w:space="0" w:color="auto"/>
            <w:right w:val="none" w:sz="0" w:space="0" w:color="auto"/>
          </w:divBdr>
          <w:divsChild>
            <w:div w:id="238684391">
              <w:marLeft w:val="0"/>
              <w:marRight w:val="0"/>
              <w:marTop w:val="0"/>
              <w:marBottom w:val="0"/>
              <w:divBdr>
                <w:top w:val="none" w:sz="0" w:space="0" w:color="auto"/>
                <w:left w:val="none" w:sz="0" w:space="0" w:color="auto"/>
                <w:bottom w:val="none" w:sz="0" w:space="0" w:color="auto"/>
                <w:right w:val="none" w:sz="0" w:space="0" w:color="auto"/>
              </w:divBdr>
            </w:div>
          </w:divsChild>
        </w:div>
        <w:div w:id="667485198">
          <w:marLeft w:val="0"/>
          <w:marRight w:val="0"/>
          <w:marTop w:val="0"/>
          <w:marBottom w:val="0"/>
          <w:divBdr>
            <w:top w:val="none" w:sz="0" w:space="0" w:color="auto"/>
            <w:left w:val="none" w:sz="0" w:space="0" w:color="auto"/>
            <w:bottom w:val="none" w:sz="0" w:space="0" w:color="auto"/>
            <w:right w:val="none" w:sz="0" w:space="0" w:color="auto"/>
          </w:divBdr>
          <w:divsChild>
            <w:div w:id="387996616">
              <w:marLeft w:val="0"/>
              <w:marRight w:val="0"/>
              <w:marTop w:val="0"/>
              <w:marBottom w:val="0"/>
              <w:divBdr>
                <w:top w:val="none" w:sz="0" w:space="0" w:color="auto"/>
                <w:left w:val="none" w:sz="0" w:space="0" w:color="auto"/>
                <w:bottom w:val="none" w:sz="0" w:space="0" w:color="auto"/>
                <w:right w:val="none" w:sz="0" w:space="0" w:color="auto"/>
              </w:divBdr>
            </w:div>
          </w:divsChild>
        </w:div>
        <w:div w:id="667943381">
          <w:marLeft w:val="0"/>
          <w:marRight w:val="0"/>
          <w:marTop w:val="0"/>
          <w:marBottom w:val="0"/>
          <w:divBdr>
            <w:top w:val="none" w:sz="0" w:space="0" w:color="auto"/>
            <w:left w:val="none" w:sz="0" w:space="0" w:color="auto"/>
            <w:bottom w:val="none" w:sz="0" w:space="0" w:color="auto"/>
            <w:right w:val="none" w:sz="0" w:space="0" w:color="auto"/>
          </w:divBdr>
          <w:divsChild>
            <w:div w:id="934901406">
              <w:marLeft w:val="0"/>
              <w:marRight w:val="0"/>
              <w:marTop w:val="0"/>
              <w:marBottom w:val="0"/>
              <w:divBdr>
                <w:top w:val="none" w:sz="0" w:space="0" w:color="auto"/>
                <w:left w:val="none" w:sz="0" w:space="0" w:color="auto"/>
                <w:bottom w:val="none" w:sz="0" w:space="0" w:color="auto"/>
                <w:right w:val="none" w:sz="0" w:space="0" w:color="auto"/>
              </w:divBdr>
            </w:div>
            <w:div w:id="1228298571">
              <w:marLeft w:val="0"/>
              <w:marRight w:val="0"/>
              <w:marTop w:val="0"/>
              <w:marBottom w:val="0"/>
              <w:divBdr>
                <w:top w:val="none" w:sz="0" w:space="0" w:color="auto"/>
                <w:left w:val="none" w:sz="0" w:space="0" w:color="auto"/>
                <w:bottom w:val="none" w:sz="0" w:space="0" w:color="auto"/>
                <w:right w:val="none" w:sz="0" w:space="0" w:color="auto"/>
              </w:divBdr>
            </w:div>
          </w:divsChild>
        </w:div>
        <w:div w:id="678967328">
          <w:marLeft w:val="0"/>
          <w:marRight w:val="0"/>
          <w:marTop w:val="0"/>
          <w:marBottom w:val="0"/>
          <w:divBdr>
            <w:top w:val="none" w:sz="0" w:space="0" w:color="auto"/>
            <w:left w:val="none" w:sz="0" w:space="0" w:color="auto"/>
            <w:bottom w:val="none" w:sz="0" w:space="0" w:color="auto"/>
            <w:right w:val="none" w:sz="0" w:space="0" w:color="auto"/>
          </w:divBdr>
          <w:divsChild>
            <w:div w:id="1805462909">
              <w:marLeft w:val="0"/>
              <w:marRight w:val="0"/>
              <w:marTop w:val="0"/>
              <w:marBottom w:val="0"/>
              <w:divBdr>
                <w:top w:val="none" w:sz="0" w:space="0" w:color="auto"/>
                <w:left w:val="none" w:sz="0" w:space="0" w:color="auto"/>
                <w:bottom w:val="none" w:sz="0" w:space="0" w:color="auto"/>
                <w:right w:val="none" w:sz="0" w:space="0" w:color="auto"/>
              </w:divBdr>
            </w:div>
          </w:divsChild>
        </w:div>
        <w:div w:id="681932478">
          <w:marLeft w:val="0"/>
          <w:marRight w:val="0"/>
          <w:marTop w:val="0"/>
          <w:marBottom w:val="0"/>
          <w:divBdr>
            <w:top w:val="none" w:sz="0" w:space="0" w:color="auto"/>
            <w:left w:val="none" w:sz="0" w:space="0" w:color="auto"/>
            <w:bottom w:val="none" w:sz="0" w:space="0" w:color="auto"/>
            <w:right w:val="none" w:sz="0" w:space="0" w:color="auto"/>
          </w:divBdr>
          <w:divsChild>
            <w:div w:id="1974675310">
              <w:marLeft w:val="0"/>
              <w:marRight w:val="0"/>
              <w:marTop w:val="0"/>
              <w:marBottom w:val="0"/>
              <w:divBdr>
                <w:top w:val="none" w:sz="0" w:space="0" w:color="auto"/>
                <w:left w:val="none" w:sz="0" w:space="0" w:color="auto"/>
                <w:bottom w:val="none" w:sz="0" w:space="0" w:color="auto"/>
                <w:right w:val="none" w:sz="0" w:space="0" w:color="auto"/>
              </w:divBdr>
            </w:div>
          </w:divsChild>
        </w:div>
        <w:div w:id="692725400">
          <w:marLeft w:val="0"/>
          <w:marRight w:val="0"/>
          <w:marTop w:val="0"/>
          <w:marBottom w:val="0"/>
          <w:divBdr>
            <w:top w:val="none" w:sz="0" w:space="0" w:color="auto"/>
            <w:left w:val="none" w:sz="0" w:space="0" w:color="auto"/>
            <w:bottom w:val="none" w:sz="0" w:space="0" w:color="auto"/>
            <w:right w:val="none" w:sz="0" w:space="0" w:color="auto"/>
          </w:divBdr>
          <w:divsChild>
            <w:div w:id="2003389693">
              <w:marLeft w:val="0"/>
              <w:marRight w:val="0"/>
              <w:marTop w:val="0"/>
              <w:marBottom w:val="0"/>
              <w:divBdr>
                <w:top w:val="none" w:sz="0" w:space="0" w:color="auto"/>
                <w:left w:val="none" w:sz="0" w:space="0" w:color="auto"/>
                <w:bottom w:val="none" w:sz="0" w:space="0" w:color="auto"/>
                <w:right w:val="none" w:sz="0" w:space="0" w:color="auto"/>
              </w:divBdr>
            </w:div>
          </w:divsChild>
        </w:div>
        <w:div w:id="708916073">
          <w:marLeft w:val="0"/>
          <w:marRight w:val="0"/>
          <w:marTop w:val="0"/>
          <w:marBottom w:val="0"/>
          <w:divBdr>
            <w:top w:val="none" w:sz="0" w:space="0" w:color="auto"/>
            <w:left w:val="none" w:sz="0" w:space="0" w:color="auto"/>
            <w:bottom w:val="none" w:sz="0" w:space="0" w:color="auto"/>
            <w:right w:val="none" w:sz="0" w:space="0" w:color="auto"/>
          </w:divBdr>
          <w:divsChild>
            <w:div w:id="567230636">
              <w:marLeft w:val="0"/>
              <w:marRight w:val="0"/>
              <w:marTop w:val="0"/>
              <w:marBottom w:val="0"/>
              <w:divBdr>
                <w:top w:val="none" w:sz="0" w:space="0" w:color="auto"/>
                <w:left w:val="none" w:sz="0" w:space="0" w:color="auto"/>
                <w:bottom w:val="none" w:sz="0" w:space="0" w:color="auto"/>
                <w:right w:val="none" w:sz="0" w:space="0" w:color="auto"/>
              </w:divBdr>
            </w:div>
          </w:divsChild>
        </w:div>
        <w:div w:id="731081750">
          <w:marLeft w:val="0"/>
          <w:marRight w:val="0"/>
          <w:marTop w:val="0"/>
          <w:marBottom w:val="0"/>
          <w:divBdr>
            <w:top w:val="none" w:sz="0" w:space="0" w:color="auto"/>
            <w:left w:val="none" w:sz="0" w:space="0" w:color="auto"/>
            <w:bottom w:val="none" w:sz="0" w:space="0" w:color="auto"/>
            <w:right w:val="none" w:sz="0" w:space="0" w:color="auto"/>
          </w:divBdr>
          <w:divsChild>
            <w:div w:id="1805388738">
              <w:marLeft w:val="0"/>
              <w:marRight w:val="0"/>
              <w:marTop w:val="0"/>
              <w:marBottom w:val="0"/>
              <w:divBdr>
                <w:top w:val="none" w:sz="0" w:space="0" w:color="auto"/>
                <w:left w:val="none" w:sz="0" w:space="0" w:color="auto"/>
                <w:bottom w:val="none" w:sz="0" w:space="0" w:color="auto"/>
                <w:right w:val="none" w:sz="0" w:space="0" w:color="auto"/>
              </w:divBdr>
            </w:div>
          </w:divsChild>
        </w:div>
        <w:div w:id="755832235">
          <w:marLeft w:val="0"/>
          <w:marRight w:val="0"/>
          <w:marTop w:val="0"/>
          <w:marBottom w:val="0"/>
          <w:divBdr>
            <w:top w:val="none" w:sz="0" w:space="0" w:color="auto"/>
            <w:left w:val="none" w:sz="0" w:space="0" w:color="auto"/>
            <w:bottom w:val="none" w:sz="0" w:space="0" w:color="auto"/>
            <w:right w:val="none" w:sz="0" w:space="0" w:color="auto"/>
          </w:divBdr>
          <w:divsChild>
            <w:div w:id="177621468">
              <w:marLeft w:val="0"/>
              <w:marRight w:val="0"/>
              <w:marTop w:val="0"/>
              <w:marBottom w:val="0"/>
              <w:divBdr>
                <w:top w:val="none" w:sz="0" w:space="0" w:color="auto"/>
                <w:left w:val="none" w:sz="0" w:space="0" w:color="auto"/>
                <w:bottom w:val="none" w:sz="0" w:space="0" w:color="auto"/>
                <w:right w:val="none" w:sz="0" w:space="0" w:color="auto"/>
              </w:divBdr>
            </w:div>
          </w:divsChild>
        </w:div>
        <w:div w:id="841700265">
          <w:marLeft w:val="0"/>
          <w:marRight w:val="0"/>
          <w:marTop w:val="0"/>
          <w:marBottom w:val="0"/>
          <w:divBdr>
            <w:top w:val="none" w:sz="0" w:space="0" w:color="auto"/>
            <w:left w:val="none" w:sz="0" w:space="0" w:color="auto"/>
            <w:bottom w:val="none" w:sz="0" w:space="0" w:color="auto"/>
            <w:right w:val="none" w:sz="0" w:space="0" w:color="auto"/>
          </w:divBdr>
          <w:divsChild>
            <w:div w:id="1238438281">
              <w:marLeft w:val="0"/>
              <w:marRight w:val="0"/>
              <w:marTop w:val="0"/>
              <w:marBottom w:val="0"/>
              <w:divBdr>
                <w:top w:val="none" w:sz="0" w:space="0" w:color="auto"/>
                <w:left w:val="none" w:sz="0" w:space="0" w:color="auto"/>
                <w:bottom w:val="none" w:sz="0" w:space="0" w:color="auto"/>
                <w:right w:val="none" w:sz="0" w:space="0" w:color="auto"/>
              </w:divBdr>
            </w:div>
          </w:divsChild>
        </w:div>
        <w:div w:id="864829218">
          <w:marLeft w:val="0"/>
          <w:marRight w:val="0"/>
          <w:marTop w:val="0"/>
          <w:marBottom w:val="0"/>
          <w:divBdr>
            <w:top w:val="none" w:sz="0" w:space="0" w:color="auto"/>
            <w:left w:val="none" w:sz="0" w:space="0" w:color="auto"/>
            <w:bottom w:val="none" w:sz="0" w:space="0" w:color="auto"/>
            <w:right w:val="none" w:sz="0" w:space="0" w:color="auto"/>
          </w:divBdr>
          <w:divsChild>
            <w:div w:id="1321034493">
              <w:marLeft w:val="0"/>
              <w:marRight w:val="0"/>
              <w:marTop w:val="0"/>
              <w:marBottom w:val="0"/>
              <w:divBdr>
                <w:top w:val="none" w:sz="0" w:space="0" w:color="auto"/>
                <w:left w:val="none" w:sz="0" w:space="0" w:color="auto"/>
                <w:bottom w:val="none" w:sz="0" w:space="0" w:color="auto"/>
                <w:right w:val="none" w:sz="0" w:space="0" w:color="auto"/>
              </w:divBdr>
            </w:div>
          </w:divsChild>
        </w:div>
        <w:div w:id="872691262">
          <w:marLeft w:val="0"/>
          <w:marRight w:val="0"/>
          <w:marTop w:val="0"/>
          <w:marBottom w:val="0"/>
          <w:divBdr>
            <w:top w:val="none" w:sz="0" w:space="0" w:color="auto"/>
            <w:left w:val="none" w:sz="0" w:space="0" w:color="auto"/>
            <w:bottom w:val="none" w:sz="0" w:space="0" w:color="auto"/>
            <w:right w:val="none" w:sz="0" w:space="0" w:color="auto"/>
          </w:divBdr>
          <w:divsChild>
            <w:div w:id="474027061">
              <w:marLeft w:val="0"/>
              <w:marRight w:val="0"/>
              <w:marTop w:val="0"/>
              <w:marBottom w:val="0"/>
              <w:divBdr>
                <w:top w:val="none" w:sz="0" w:space="0" w:color="auto"/>
                <w:left w:val="none" w:sz="0" w:space="0" w:color="auto"/>
                <w:bottom w:val="none" w:sz="0" w:space="0" w:color="auto"/>
                <w:right w:val="none" w:sz="0" w:space="0" w:color="auto"/>
              </w:divBdr>
            </w:div>
          </w:divsChild>
        </w:div>
        <w:div w:id="873735042">
          <w:marLeft w:val="0"/>
          <w:marRight w:val="0"/>
          <w:marTop w:val="0"/>
          <w:marBottom w:val="0"/>
          <w:divBdr>
            <w:top w:val="none" w:sz="0" w:space="0" w:color="auto"/>
            <w:left w:val="none" w:sz="0" w:space="0" w:color="auto"/>
            <w:bottom w:val="none" w:sz="0" w:space="0" w:color="auto"/>
            <w:right w:val="none" w:sz="0" w:space="0" w:color="auto"/>
          </w:divBdr>
          <w:divsChild>
            <w:div w:id="542712482">
              <w:marLeft w:val="0"/>
              <w:marRight w:val="0"/>
              <w:marTop w:val="0"/>
              <w:marBottom w:val="0"/>
              <w:divBdr>
                <w:top w:val="none" w:sz="0" w:space="0" w:color="auto"/>
                <w:left w:val="none" w:sz="0" w:space="0" w:color="auto"/>
                <w:bottom w:val="none" w:sz="0" w:space="0" w:color="auto"/>
                <w:right w:val="none" w:sz="0" w:space="0" w:color="auto"/>
              </w:divBdr>
            </w:div>
          </w:divsChild>
        </w:div>
        <w:div w:id="939872528">
          <w:marLeft w:val="0"/>
          <w:marRight w:val="0"/>
          <w:marTop w:val="0"/>
          <w:marBottom w:val="0"/>
          <w:divBdr>
            <w:top w:val="none" w:sz="0" w:space="0" w:color="auto"/>
            <w:left w:val="none" w:sz="0" w:space="0" w:color="auto"/>
            <w:bottom w:val="none" w:sz="0" w:space="0" w:color="auto"/>
            <w:right w:val="none" w:sz="0" w:space="0" w:color="auto"/>
          </w:divBdr>
          <w:divsChild>
            <w:div w:id="2145273786">
              <w:marLeft w:val="0"/>
              <w:marRight w:val="0"/>
              <w:marTop w:val="0"/>
              <w:marBottom w:val="0"/>
              <w:divBdr>
                <w:top w:val="none" w:sz="0" w:space="0" w:color="auto"/>
                <w:left w:val="none" w:sz="0" w:space="0" w:color="auto"/>
                <w:bottom w:val="none" w:sz="0" w:space="0" w:color="auto"/>
                <w:right w:val="none" w:sz="0" w:space="0" w:color="auto"/>
              </w:divBdr>
            </w:div>
          </w:divsChild>
        </w:div>
        <w:div w:id="945842136">
          <w:marLeft w:val="0"/>
          <w:marRight w:val="0"/>
          <w:marTop w:val="0"/>
          <w:marBottom w:val="0"/>
          <w:divBdr>
            <w:top w:val="none" w:sz="0" w:space="0" w:color="auto"/>
            <w:left w:val="none" w:sz="0" w:space="0" w:color="auto"/>
            <w:bottom w:val="none" w:sz="0" w:space="0" w:color="auto"/>
            <w:right w:val="none" w:sz="0" w:space="0" w:color="auto"/>
          </w:divBdr>
          <w:divsChild>
            <w:div w:id="2012370448">
              <w:marLeft w:val="0"/>
              <w:marRight w:val="0"/>
              <w:marTop w:val="0"/>
              <w:marBottom w:val="0"/>
              <w:divBdr>
                <w:top w:val="none" w:sz="0" w:space="0" w:color="auto"/>
                <w:left w:val="none" w:sz="0" w:space="0" w:color="auto"/>
                <w:bottom w:val="none" w:sz="0" w:space="0" w:color="auto"/>
                <w:right w:val="none" w:sz="0" w:space="0" w:color="auto"/>
              </w:divBdr>
            </w:div>
          </w:divsChild>
        </w:div>
        <w:div w:id="949581891">
          <w:marLeft w:val="0"/>
          <w:marRight w:val="0"/>
          <w:marTop w:val="0"/>
          <w:marBottom w:val="0"/>
          <w:divBdr>
            <w:top w:val="none" w:sz="0" w:space="0" w:color="auto"/>
            <w:left w:val="none" w:sz="0" w:space="0" w:color="auto"/>
            <w:bottom w:val="none" w:sz="0" w:space="0" w:color="auto"/>
            <w:right w:val="none" w:sz="0" w:space="0" w:color="auto"/>
          </w:divBdr>
          <w:divsChild>
            <w:div w:id="1630820159">
              <w:marLeft w:val="0"/>
              <w:marRight w:val="0"/>
              <w:marTop w:val="0"/>
              <w:marBottom w:val="0"/>
              <w:divBdr>
                <w:top w:val="none" w:sz="0" w:space="0" w:color="auto"/>
                <w:left w:val="none" w:sz="0" w:space="0" w:color="auto"/>
                <w:bottom w:val="none" w:sz="0" w:space="0" w:color="auto"/>
                <w:right w:val="none" w:sz="0" w:space="0" w:color="auto"/>
              </w:divBdr>
            </w:div>
          </w:divsChild>
        </w:div>
        <w:div w:id="1036664348">
          <w:marLeft w:val="0"/>
          <w:marRight w:val="0"/>
          <w:marTop w:val="0"/>
          <w:marBottom w:val="0"/>
          <w:divBdr>
            <w:top w:val="none" w:sz="0" w:space="0" w:color="auto"/>
            <w:left w:val="none" w:sz="0" w:space="0" w:color="auto"/>
            <w:bottom w:val="none" w:sz="0" w:space="0" w:color="auto"/>
            <w:right w:val="none" w:sz="0" w:space="0" w:color="auto"/>
          </w:divBdr>
          <w:divsChild>
            <w:div w:id="1786732555">
              <w:marLeft w:val="0"/>
              <w:marRight w:val="0"/>
              <w:marTop w:val="0"/>
              <w:marBottom w:val="0"/>
              <w:divBdr>
                <w:top w:val="none" w:sz="0" w:space="0" w:color="auto"/>
                <w:left w:val="none" w:sz="0" w:space="0" w:color="auto"/>
                <w:bottom w:val="none" w:sz="0" w:space="0" w:color="auto"/>
                <w:right w:val="none" w:sz="0" w:space="0" w:color="auto"/>
              </w:divBdr>
            </w:div>
          </w:divsChild>
        </w:div>
        <w:div w:id="1076243879">
          <w:marLeft w:val="0"/>
          <w:marRight w:val="0"/>
          <w:marTop w:val="0"/>
          <w:marBottom w:val="0"/>
          <w:divBdr>
            <w:top w:val="none" w:sz="0" w:space="0" w:color="auto"/>
            <w:left w:val="none" w:sz="0" w:space="0" w:color="auto"/>
            <w:bottom w:val="none" w:sz="0" w:space="0" w:color="auto"/>
            <w:right w:val="none" w:sz="0" w:space="0" w:color="auto"/>
          </w:divBdr>
          <w:divsChild>
            <w:div w:id="733356039">
              <w:marLeft w:val="0"/>
              <w:marRight w:val="0"/>
              <w:marTop w:val="0"/>
              <w:marBottom w:val="0"/>
              <w:divBdr>
                <w:top w:val="none" w:sz="0" w:space="0" w:color="auto"/>
                <w:left w:val="none" w:sz="0" w:space="0" w:color="auto"/>
                <w:bottom w:val="none" w:sz="0" w:space="0" w:color="auto"/>
                <w:right w:val="none" w:sz="0" w:space="0" w:color="auto"/>
              </w:divBdr>
            </w:div>
          </w:divsChild>
        </w:div>
        <w:div w:id="1104030958">
          <w:marLeft w:val="0"/>
          <w:marRight w:val="0"/>
          <w:marTop w:val="0"/>
          <w:marBottom w:val="0"/>
          <w:divBdr>
            <w:top w:val="none" w:sz="0" w:space="0" w:color="auto"/>
            <w:left w:val="none" w:sz="0" w:space="0" w:color="auto"/>
            <w:bottom w:val="none" w:sz="0" w:space="0" w:color="auto"/>
            <w:right w:val="none" w:sz="0" w:space="0" w:color="auto"/>
          </w:divBdr>
          <w:divsChild>
            <w:div w:id="1411468952">
              <w:marLeft w:val="0"/>
              <w:marRight w:val="0"/>
              <w:marTop w:val="0"/>
              <w:marBottom w:val="0"/>
              <w:divBdr>
                <w:top w:val="none" w:sz="0" w:space="0" w:color="auto"/>
                <w:left w:val="none" w:sz="0" w:space="0" w:color="auto"/>
                <w:bottom w:val="none" w:sz="0" w:space="0" w:color="auto"/>
                <w:right w:val="none" w:sz="0" w:space="0" w:color="auto"/>
              </w:divBdr>
            </w:div>
          </w:divsChild>
        </w:div>
        <w:div w:id="1115447347">
          <w:marLeft w:val="0"/>
          <w:marRight w:val="0"/>
          <w:marTop w:val="0"/>
          <w:marBottom w:val="0"/>
          <w:divBdr>
            <w:top w:val="none" w:sz="0" w:space="0" w:color="auto"/>
            <w:left w:val="none" w:sz="0" w:space="0" w:color="auto"/>
            <w:bottom w:val="none" w:sz="0" w:space="0" w:color="auto"/>
            <w:right w:val="none" w:sz="0" w:space="0" w:color="auto"/>
          </w:divBdr>
          <w:divsChild>
            <w:div w:id="1914046493">
              <w:marLeft w:val="0"/>
              <w:marRight w:val="0"/>
              <w:marTop w:val="0"/>
              <w:marBottom w:val="0"/>
              <w:divBdr>
                <w:top w:val="none" w:sz="0" w:space="0" w:color="auto"/>
                <w:left w:val="none" w:sz="0" w:space="0" w:color="auto"/>
                <w:bottom w:val="none" w:sz="0" w:space="0" w:color="auto"/>
                <w:right w:val="none" w:sz="0" w:space="0" w:color="auto"/>
              </w:divBdr>
            </w:div>
          </w:divsChild>
        </w:div>
        <w:div w:id="1162694376">
          <w:marLeft w:val="0"/>
          <w:marRight w:val="0"/>
          <w:marTop w:val="0"/>
          <w:marBottom w:val="0"/>
          <w:divBdr>
            <w:top w:val="none" w:sz="0" w:space="0" w:color="auto"/>
            <w:left w:val="none" w:sz="0" w:space="0" w:color="auto"/>
            <w:bottom w:val="none" w:sz="0" w:space="0" w:color="auto"/>
            <w:right w:val="none" w:sz="0" w:space="0" w:color="auto"/>
          </w:divBdr>
          <w:divsChild>
            <w:div w:id="49959917">
              <w:marLeft w:val="0"/>
              <w:marRight w:val="0"/>
              <w:marTop w:val="0"/>
              <w:marBottom w:val="0"/>
              <w:divBdr>
                <w:top w:val="none" w:sz="0" w:space="0" w:color="auto"/>
                <w:left w:val="none" w:sz="0" w:space="0" w:color="auto"/>
                <w:bottom w:val="none" w:sz="0" w:space="0" w:color="auto"/>
                <w:right w:val="none" w:sz="0" w:space="0" w:color="auto"/>
              </w:divBdr>
            </w:div>
          </w:divsChild>
        </w:div>
        <w:div w:id="1216889204">
          <w:marLeft w:val="0"/>
          <w:marRight w:val="0"/>
          <w:marTop w:val="0"/>
          <w:marBottom w:val="0"/>
          <w:divBdr>
            <w:top w:val="none" w:sz="0" w:space="0" w:color="auto"/>
            <w:left w:val="none" w:sz="0" w:space="0" w:color="auto"/>
            <w:bottom w:val="none" w:sz="0" w:space="0" w:color="auto"/>
            <w:right w:val="none" w:sz="0" w:space="0" w:color="auto"/>
          </w:divBdr>
          <w:divsChild>
            <w:div w:id="1112362949">
              <w:marLeft w:val="0"/>
              <w:marRight w:val="0"/>
              <w:marTop w:val="0"/>
              <w:marBottom w:val="0"/>
              <w:divBdr>
                <w:top w:val="none" w:sz="0" w:space="0" w:color="auto"/>
                <w:left w:val="none" w:sz="0" w:space="0" w:color="auto"/>
                <w:bottom w:val="none" w:sz="0" w:space="0" w:color="auto"/>
                <w:right w:val="none" w:sz="0" w:space="0" w:color="auto"/>
              </w:divBdr>
            </w:div>
          </w:divsChild>
        </w:div>
        <w:div w:id="1236626747">
          <w:marLeft w:val="0"/>
          <w:marRight w:val="0"/>
          <w:marTop w:val="0"/>
          <w:marBottom w:val="0"/>
          <w:divBdr>
            <w:top w:val="none" w:sz="0" w:space="0" w:color="auto"/>
            <w:left w:val="none" w:sz="0" w:space="0" w:color="auto"/>
            <w:bottom w:val="none" w:sz="0" w:space="0" w:color="auto"/>
            <w:right w:val="none" w:sz="0" w:space="0" w:color="auto"/>
          </w:divBdr>
          <w:divsChild>
            <w:div w:id="1139299216">
              <w:marLeft w:val="0"/>
              <w:marRight w:val="0"/>
              <w:marTop w:val="0"/>
              <w:marBottom w:val="0"/>
              <w:divBdr>
                <w:top w:val="none" w:sz="0" w:space="0" w:color="auto"/>
                <w:left w:val="none" w:sz="0" w:space="0" w:color="auto"/>
                <w:bottom w:val="none" w:sz="0" w:space="0" w:color="auto"/>
                <w:right w:val="none" w:sz="0" w:space="0" w:color="auto"/>
              </w:divBdr>
            </w:div>
          </w:divsChild>
        </w:div>
        <w:div w:id="1253585079">
          <w:marLeft w:val="0"/>
          <w:marRight w:val="0"/>
          <w:marTop w:val="0"/>
          <w:marBottom w:val="0"/>
          <w:divBdr>
            <w:top w:val="none" w:sz="0" w:space="0" w:color="auto"/>
            <w:left w:val="none" w:sz="0" w:space="0" w:color="auto"/>
            <w:bottom w:val="none" w:sz="0" w:space="0" w:color="auto"/>
            <w:right w:val="none" w:sz="0" w:space="0" w:color="auto"/>
          </w:divBdr>
          <w:divsChild>
            <w:div w:id="793791949">
              <w:marLeft w:val="0"/>
              <w:marRight w:val="0"/>
              <w:marTop w:val="0"/>
              <w:marBottom w:val="0"/>
              <w:divBdr>
                <w:top w:val="none" w:sz="0" w:space="0" w:color="auto"/>
                <w:left w:val="none" w:sz="0" w:space="0" w:color="auto"/>
                <w:bottom w:val="none" w:sz="0" w:space="0" w:color="auto"/>
                <w:right w:val="none" w:sz="0" w:space="0" w:color="auto"/>
              </w:divBdr>
            </w:div>
          </w:divsChild>
        </w:div>
        <w:div w:id="1288857050">
          <w:marLeft w:val="0"/>
          <w:marRight w:val="0"/>
          <w:marTop w:val="0"/>
          <w:marBottom w:val="0"/>
          <w:divBdr>
            <w:top w:val="none" w:sz="0" w:space="0" w:color="auto"/>
            <w:left w:val="none" w:sz="0" w:space="0" w:color="auto"/>
            <w:bottom w:val="none" w:sz="0" w:space="0" w:color="auto"/>
            <w:right w:val="none" w:sz="0" w:space="0" w:color="auto"/>
          </w:divBdr>
          <w:divsChild>
            <w:div w:id="1124806631">
              <w:marLeft w:val="0"/>
              <w:marRight w:val="0"/>
              <w:marTop w:val="0"/>
              <w:marBottom w:val="0"/>
              <w:divBdr>
                <w:top w:val="none" w:sz="0" w:space="0" w:color="auto"/>
                <w:left w:val="none" w:sz="0" w:space="0" w:color="auto"/>
                <w:bottom w:val="none" w:sz="0" w:space="0" w:color="auto"/>
                <w:right w:val="none" w:sz="0" w:space="0" w:color="auto"/>
              </w:divBdr>
            </w:div>
          </w:divsChild>
        </w:div>
        <w:div w:id="1304772859">
          <w:marLeft w:val="0"/>
          <w:marRight w:val="0"/>
          <w:marTop w:val="0"/>
          <w:marBottom w:val="0"/>
          <w:divBdr>
            <w:top w:val="none" w:sz="0" w:space="0" w:color="auto"/>
            <w:left w:val="none" w:sz="0" w:space="0" w:color="auto"/>
            <w:bottom w:val="none" w:sz="0" w:space="0" w:color="auto"/>
            <w:right w:val="none" w:sz="0" w:space="0" w:color="auto"/>
          </w:divBdr>
          <w:divsChild>
            <w:div w:id="344207595">
              <w:marLeft w:val="0"/>
              <w:marRight w:val="0"/>
              <w:marTop w:val="0"/>
              <w:marBottom w:val="0"/>
              <w:divBdr>
                <w:top w:val="none" w:sz="0" w:space="0" w:color="auto"/>
                <w:left w:val="none" w:sz="0" w:space="0" w:color="auto"/>
                <w:bottom w:val="none" w:sz="0" w:space="0" w:color="auto"/>
                <w:right w:val="none" w:sz="0" w:space="0" w:color="auto"/>
              </w:divBdr>
            </w:div>
          </w:divsChild>
        </w:div>
        <w:div w:id="1319387016">
          <w:marLeft w:val="0"/>
          <w:marRight w:val="0"/>
          <w:marTop w:val="0"/>
          <w:marBottom w:val="0"/>
          <w:divBdr>
            <w:top w:val="none" w:sz="0" w:space="0" w:color="auto"/>
            <w:left w:val="none" w:sz="0" w:space="0" w:color="auto"/>
            <w:bottom w:val="none" w:sz="0" w:space="0" w:color="auto"/>
            <w:right w:val="none" w:sz="0" w:space="0" w:color="auto"/>
          </w:divBdr>
          <w:divsChild>
            <w:div w:id="963928990">
              <w:marLeft w:val="0"/>
              <w:marRight w:val="0"/>
              <w:marTop w:val="0"/>
              <w:marBottom w:val="0"/>
              <w:divBdr>
                <w:top w:val="none" w:sz="0" w:space="0" w:color="auto"/>
                <w:left w:val="none" w:sz="0" w:space="0" w:color="auto"/>
                <w:bottom w:val="none" w:sz="0" w:space="0" w:color="auto"/>
                <w:right w:val="none" w:sz="0" w:space="0" w:color="auto"/>
              </w:divBdr>
            </w:div>
          </w:divsChild>
        </w:div>
        <w:div w:id="1326057687">
          <w:marLeft w:val="0"/>
          <w:marRight w:val="0"/>
          <w:marTop w:val="0"/>
          <w:marBottom w:val="0"/>
          <w:divBdr>
            <w:top w:val="none" w:sz="0" w:space="0" w:color="auto"/>
            <w:left w:val="none" w:sz="0" w:space="0" w:color="auto"/>
            <w:bottom w:val="none" w:sz="0" w:space="0" w:color="auto"/>
            <w:right w:val="none" w:sz="0" w:space="0" w:color="auto"/>
          </w:divBdr>
          <w:divsChild>
            <w:div w:id="1473055416">
              <w:marLeft w:val="0"/>
              <w:marRight w:val="0"/>
              <w:marTop w:val="0"/>
              <w:marBottom w:val="0"/>
              <w:divBdr>
                <w:top w:val="none" w:sz="0" w:space="0" w:color="auto"/>
                <w:left w:val="none" w:sz="0" w:space="0" w:color="auto"/>
                <w:bottom w:val="none" w:sz="0" w:space="0" w:color="auto"/>
                <w:right w:val="none" w:sz="0" w:space="0" w:color="auto"/>
              </w:divBdr>
            </w:div>
          </w:divsChild>
        </w:div>
        <w:div w:id="1405446924">
          <w:marLeft w:val="0"/>
          <w:marRight w:val="0"/>
          <w:marTop w:val="0"/>
          <w:marBottom w:val="0"/>
          <w:divBdr>
            <w:top w:val="none" w:sz="0" w:space="0" w:color="auto"/>
            <w:left w:val="none" w:sz="0" w:space="0" w:color="auto"/>
            <w:bottom w:val="none" w:sz="0" w:space="0" w:color="auto"/>
            <w:right w:val="none" w:sz="0" w:space="0" w:color="auto"/>
          </w:divBdr>
          <w:divsChild>
            <w:div w:id="1424491796">
              <w:marLeft w:val="0"/>
              <w:marRight w:val="0"/>
              <w:marTop w:val="0"/>
              <w:marBottom w:val="0"/>
              <w:divBdr>
                <w:top w:val="none" w:sz="0" w:space="0" w:color="auto"/>
                <w:left w:val="none" w:sz="0" w:space="0" w:color="auto"/>
                <w:bottom w:val="none" w:sz="0" w:space="0" w:color="auto"/>
                <w:right w:val="none" w:sz="0" w:space="0" w:color="auto"/>
              </w:divBdr>
            </w:div>
          </w:divsChild>
        </w:div>
        <w:div w:id="1479414616">
          <w:marLeft w:val="0"/>
          <w:marRight w:val="0"/>
          <w:marTop w:val="0"/>
          <w:marBottom w:val="0"/>
          <w:divBdr>
            <w:top w:val="none" w:sz="0" w:space="0" w:color="auto"/>
            <w:left w:val="none" w:sz="0" w:space="0" w:color="auto"/>
            <w:bottom w:val="none" w:sz="0" w:space="0" w:color="auto"/>
            <w:right w:val="none" w:sz="0" w:space="0" w:color="auto"/>
          </w:divBdr>
          <w:divsChild>
            <w:div w:id="557202799">
              <w:marLeft w:val="0"/>
              <w:marRight w:val="0"/>
              <w:marTop w:val="0"/>
              <w:marBottom w:val="0"/>
              <w:divBdr>
                <w:top w:val="none" w:sz="0" w:space="0" w:color="auto"/>
                <w:left w:val="none" w:sz="0" w:space="0" w:color="auto"/>
                <w:bottom w:val="none" w:sz="0" w:space="0" w:color="auto"/>
                <w:right w:val="none" w:sz="0" w:space="0" w:color="auto"/>
              </w:divBdr>
            </w:div>
          </w:divsChild>
        </w:div>
        <w:div w:id="1542397021">
          <w:marLeft w:val="0"/>
          <w:marRight w:val="0"/>
          <w:marTop w:val="0"/>
          <w:marBottom w:val="0"/>
          <w:divBdr>
            <w:top w:val="none" w:sz="0" w:space="0" w:color="auto"/>
            <w:left w:val="none" w:sz="0" w:space="0" w:color="auto"/>
            <w:bottom w:val="none" w:sz="0" w:space="0" w:color="auto"/>
            <w:right w:val="none" w:sz="0" w:space="0" w:color="auto"/>
          </w:divBdr>
          <w:divsChild>
            <w:div w:id="1985306593">
              <w:marLeft w:val="0"/>
              <w:marRight w:val="0"/>
              <w:marTop w:val="0"/>
              <w:marBottom w:val="0"/>
              <w:divBdr>
                <w:top w:val="none" w:sz="0" w:space="0" w:color="auto"/>
                <w:left w:val="none" w:sz="0" w:space="0" w:color="auto"/>
                <w:bottom w:val="none" w:sz="0" w:space="0" w:color="auto"/>
                <w:right w:val="none" w:sz="0" w:space="0" w:color="auto"/>
              </w:divBdr>
            </w:div>
          </w:divsChild>
        </w:div>
        <w:div w:id="1627396902">
          <w:marLeft w:val="0"/>
          <w:marRight w:val="0"/>
          <w:marTop w:val="0"/>
          <w:marBottom w:val="0"/>
          <w:divBdr>
            <w:top w:val="none" w:sz="0" w:space="0" w:color="auto"/>
            <w:left w:val="none" w:sz="0" w:space="0" w:color="auto"/>
            <w:bottom w:val="none" w:sz="0" w:space="0" w:color="auto"/>
            <w:right w:val="none" w:sz="0" w:space="0" w:color="auto"/>
          </w:divBdr>
          <w:divsChild>
            <w:div w:id="1126896834">
              <w:marLeft w:val="0"/>
              <w:marRight w:val="0"/>
              <w:marTop w:val="0"/>
              <w:marBottom w:val="0"/>
              <w:divBdr>
                <w:top w:val="none" w:sz="0" w:space="0" w:color="auto"/>
                <w:left w:val="none" w:sz="0" w:space="0" w:color="auto"/>
                <w:bottom w:val="none" w:sz="0" w:space="0" w:color="auto"/>
                <w:right w:val="none" w:sz="0" w:space="0" w:color="auto"/>
              </w:divBdr>
            </w:div>
          </w:divsChild>
        </w:div>
        <w:div w:id="1642877876">
          <w:marLeft w:val="0"/>
          <w:marRight w:val="0"/>
          <w:marTop w:val="0"/>
          <w:marBottom w:val="0"/>
          <w:divBdr>
            <w:top w:val="none" w:sz="0" w:space="0" w:color="auto"/>
            <w:left w:val="none" w:sz="0" w:space="0" w:color="auto"/>
            <w:bottom w:val="none" w:sz="0" w:space="0" w:color="auto"/>
            <w:right w:val="none" w:sz="0" w:space="0" w:color="auto"/>
          </w:divBdr>
          <w:divsChild>
            <w:div w:id="1699425035">
              <w:marLeft w:val="0"/>
              <w:marRight w:val="0"/>
              <w:marTop w:val="0"/>
              <w:marBottom w:val="0"/>
              <w:divBdr>
                <w:top w:val="none" w:sz="0" w:space="0" w:color="auto"/>
                <w:left w:val="none" w:sz="0" w:space="0" w:color="auto"/>
                <w:bottom w:val="none" w:sz="0" w:space="0" w:color="auto"/>
                <w:right w:val="none" w:sz="0" w:space="0" w:color="auto"/>
              </w:divBdr>
            </w:div>
          </w:divsChild>
        </w:div>
        <w:div w:id="1671102945">
          <w:marLeft w:val="0"/>
          <w:marRight w:val="0"/>
          <w:marTop w:val="0"/>
          <w:marBottom w:val="0"/>
          <w:divBdr>
            <w:top w:val="none" w:sz="0" w:space="0" w:color="auto"/>
            <w:left w:val="none" w:sz="0" w:space="0" w:color="auto"/>
            <w:bottom w:val="none" w:sz="0" w:space="0" w:color="auto"/>
            <w:right w:val="none" w:sz="0" w:space="0" w:color="auto"/>
          </w:divBdr>
          <w:divsChild>
            <w:div w:id="256062130">
              <w:marLeft w:val="0"/>
              <w:marRight w:val="0"/>
              <w:marTop w:val="0"/>
              <w:marBottom w:val="0"/>
              <w:divBdr>
                <w:top w:val="none" w:sz="0" w:space="0" w:color="auto"/>
                <w:left w:val="none" w:sz="0" w:space="0" w:color="auto"/>
                <w:bottom w:val="none" w:sz="0" w:space="0" w:color="auto"/>
                <w:right w:val="none" w:sz="0" w:space="0" w:color="auto"/>
              </w:divBdr>
            </w:div>
          </w:divsChild>
        </w:div>
        <w:div w:id="1727299190">
          <w:marLeft w:val="0"/>
          <w:marRight w:val="0"/>
          <w:marTop w:val="0"/>
          <w:marBottom w:val="0"/>
          <w:divBdr>
            <w:top w:val="none" w:sz="0" w:space="0" w:color="auto"/>
            <w:left w:val="none" w:sz="0" w:space="0" w:color="auto"/>
            <w:bottom w:val="none" w:sz="0" w:space="0" w:color="auto"/>
            <w:right w:val="none" w:sz="0" w:space="0" w:color="auto"/>
          </w:divBdr>
          <w:divsChild>
            <w:div w:id="1705321647">
              <w:marLeft w:val="0"/>
              <w:marRight w:val="0"/>
              <w:marTop w:val="0"/>
              <w:marBottom w:val="0"/>
              <w:divBdr>
                <w:top w:val="none" w:sz="0" w:space="0" w:color="auto"/>
                <w:left w:val="none" w:sz="0" w:space="0" w:color="auto"/>
                <w:bottom w:val="none" w:sz="0" w:space="0" w:color="auto"/>
                <w:right w:val="none" w:sz="0" w:space="0" w:color="auto"/>
              </w:divBdr>
            </w:div>
          </w:divsChild>
        </w:div>
        <w:div w:id="1732456941">
          <w:marLeft w:val="0"/>
          <w:marRight w:val="0"/>
          <w:marTop w:val="0"/>
          <w:marBottom w:val="0"/>
          <w:divBdr>
            <w:top w:val="none" w:sz="0" w:space="0" w:color="auto"/>
            <w:left w:val="none" w:sz="0" w:space="0" w:color="auto"/>
            <w:bottom w:val="none" w:sz="0" w:space="0" w:color="auto"/>
            <w:right w:val="none" w:sz="0" w:space="0" w:color="auto"/>
          </w:divBdr>
          <w:divsChild>
            <w:div w:id="606812160">
              <w:marLeft w:val="0"/>
              <w:marRight w:val="0"/>
              <w:marTop w:val="0"/>
              <w:marBottom w:val="0"/>
              <w:divBdr>
                <w:top w:val="none" w:sz="0" w:space="0" w:color="auto"/>
                <w:left w:val="none" w:sz="0" w:space="0" w:color="auto"/>
                <w:bottom w:val="none" w:sz="0" w:space="0" w:color="auto"/>
                <w:right w:val="none" w:sz="0" w:space="0" w:color="auto"/>
              </w:divBdr>
            </w:div>
          </w:divsChild>
        </w:div>
        <w:div w:id="1737391457">
          <w:marLeft w:val="0"/>
          <w:marRight w:val="0"/>
          <w:marTop w:val="0"/>
          <w:marBottom w:val="0"/>
          <w:divBdr>
            <w:top w:val="none" w:sz="0" w:space="0" w:color="auto"/>
            <w:left w:val="none" w:sz="0" w:space="0" w:color="auto"/>
            <w:bottom w:val="none" w:sz="0" w:space="0" w:color="auto"/>
            <w:right w:val="none" w:sz="0" w:space="0" w:color="auto"/>
          </w:divBdr>
          <w:divsChild>
            <w:div w:id="672605803">
              <w:marLeft w:val="0"/>
              <w:marRight w:val="0"/>
              <w:marTop w:val="0"/>
              <w:marBottom w:val="0"/>
              <w:divBdr>
                <w:top w:val="none" w:sz="0" w:space="0" w:color="auto"/>
                <w:left w:val="none" w:sz="0" w:space="0" w:color="auto"/>
                <w:bottom w:val="none" w:sz="0" w:space="0" w:color="auto"/>
                <w:right w:val="none" w:sz="0" w:space="0" w:color="auto"/>
              </w:divBdr>
            </w:div>
          </w:divsChild>
        </w:div>
        <w:div w:id="1805150775">
          <w:marLeft w:val="0"/>
          <w:marRight w:val="0"/>
          <w:marTop w:val="0"/>
          <w:marBottom w:val="0"/>
          <w:divBdr>
            <w:top w:val="none" w:sz="0" w:space="0" w:color="auto"/>
            <w:left w:val="none" w:sz="0" w:space="0" w:color="auto"/>
            <w:bottom w:val="none" w:sz="0" w:space="0" w:color="auto"/>
            <w:right w:val="none" w:sz="0" w:space="0" w:color="auto"/>
          </w:divBdr>
          <w:divsChild>
            <w:div w:id="222907710">
              <w:marLeft w:val="0"/>
              <w:marRight w:val="0"/>
              <w:marTop w:val="0"/>
              <w:marBottom w:val="0"/>
              <w:divBdr>
                <w:top w:val="none" w:sz="0" w:space="0" w:color="auto"/>
                <w:left w:val="none" w:sz="0" w:space="0" w:color="auto"/>
                <w:bottom w:val="none" w:sz="0" w:space="0" w:color="auto"/>
                <w:right w:val="none" w:sz="0" w:space="0" w:color="auto"/>
              </w:divBdr>
            </w:div>
          </w:divsChild>
        </w:div>
        <w:div w:id="1811438938">
          <w:marLeft w:val="0"/>
          <w:marRight w:val="0"/>
          <w:marTop w:val="0"/>
          <w:marBottom w:val="0"/>
          <w:divBdr>
            <w:top w:val="none" w:sz="0" w:space="0" w:color="auto"/>
            <w:left w:val="none" w:sz="0" w:space="0" w:color="auto"/>
            <w:bottom w:val="none" w:sz="0" w:space="0" w:color="auto"/>
            <w:right w:val="none" w:sz="0" w:space="0" w:color="auto"/>
          </w:divBdr>
          <w:divsChild>
            <w:div w:id="1239053990">
              <w:marLeft w:val="0"/>
              <w:marRight w:val="0"/>
              <w:marTop w:val="0"/>
              <w:marBottom w:val="0"/>
              <w:divBdr>
                <w:top w:val="none" w:sz="0" w:space="0" w:color="auto"/>
                <w:left w:val="none" w:sz="0" w:space="0" w:color="auto"/>
                <w:bottom w:val="none" w:sz="0" w:space="0" w:color="auto"/>
                <w:right w:val="none" w:sz="0" w:space="0" w:color="auto"/>
              </w:divBdr>
            </w:div>
          </w:divsChild>
        </w:div>
        <w:div w:id="1821655637">
          <w:marLeft w:val="0"/>
          <w:marRight w:val="0"/>
          <w:marTop w:val="0"/>
          <w:marBottom w:val="0"/>
          <w:divBdr>
            <w:top w:val="none" w:sz="0" w:space="0" w:color="auto"/>
            <w:left w:val="none" w:sz="0" w:space="0" w:color="auto"/>
            <w:bottom w:val="none" w:sz="0" w:space="0" w:color="auto"/>
            <w:right w:val="none" w:sz="0" w:space="0" w:color="auto"/>
          </w:divBdr>
          <w:divsChild>
            <w:div w:id="1022362997">
              <w:marLeft w:val="0"/>
              <w:marRight w:val="0"/>
              <w:marTop w:val="0"/>
              <w:marBottom w:val="0"/>
              <w:divBdr>
                <w:top w:val="none" w:sz="0" w:space="0" w:color="auto"/>
                <w:left w:val="none" w:sz="0" w:space="0" w:color="auto"/>
                <w:bottom w:val="none" w:sz="0" w:space="0" w:color="auto"/>
                <w:right w:val="none" w:sz="0" w:space="0" w:color="auto"/>
              </w:divBdr>
            </w:div>
          </w:divsChild>
        </w:div>
        <w:div w:id="2090885887">
          <w:marLeft w:val="0"/>
          <w:marRight w:val="0"/>
          <w:marTop w:val="0"/>
          <w:marBottom w:val="0"/>
          <w:divBdr>
            <w:top w:val="none" w:sz="0" w:space="0" w:color="auto"/>
            <w:left w:val="none" w:sz="0" w:space="0" w:color="auto"/>
            <w:bottom w:val="none" w:sz="0" w:space="0" w:color="auto"/>
            <w:right w:val="none" w:sz="0" w:space="0" w:color="auto"/>
          </w:divBdr>
          <w:divsChild>
            <w:div w:id="1164970571">
              <w:marLeft w:val="0"/>
              <w:marRight w:val="0"/>
              <w:marTop w:val="0"/>
              <w:marBottom w:val="0"/>
              <w:divBdr>
                <w:top w:val="none" w:sz="0" w:space="0" w:color="auto"/>
                <w:left w:val="none" w:sz="0" w:space="0" w:color="auto"/>
                <w:bottom w:val="none" w:sz="0" w:space="0" w:color="auto"/>
                <w:right w:val="none" w:sz="0" w:space="0" w:color="auto"/>
              </w:divBdr>
            </w:div>
          </w:divsChild>
        </w:div>
        <w:div w:id="2109542293">
          <w:marLeft w:val="0"/>
          <w:marRight w:val="0"/>
          <w:marTop w:val="0"/>
          <w:marBottom w:val="0"/>
          <w:divBdr>
            <w:top w:val="none" w:sz="0" w:space="0" w:color="auto"/>
            <w:left w:val="none" w:sz="0" w:space="0" w:color="auto"/>
            <w:bottom w:val="none" w:sz="0" w:space="0" w:color="auto"/>
            <w:right w:val="none" w:sz="0" w:space="0" w:color="auto"/>
          </w:divBdr>
          <w:divsChild>
            <w:div w:id="550309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Blueprint 3">
      <a:dk1>
        <a:sysClr val="windowText" lastClr="000000"/>
      </a:dk1>
      <a:lt1>
        <a:sysClr val="window" lastClr="FFFFFF"/>
      </a:lt1>
      <a:dk2>
        <a:srgbClr val="336699"/>
      </a:dk2>
      <a:lt2>
        <a:srgbClr val="CEDBE6"/>
      </a:lt2>
      <a:accent1>
        <a:srgbClr val="3494BA"/>
      </a:accent1>
      <a:accent2>
        <a:srgbClr val="58B6C0"/>
      </a:accent2>
      <a:accent3>
        <a:srgbClr val="75BDA7"/>
      </a:accent3>
      <a:accent4>
        <a:srgbClr val="7A8C8E"/>
      </a:accent4>
      <a:accent5>
        <a:srgbClr val="84ACB6"/>
      </a:accent5>
      <a:accent6>
        <a:srgbClr val="2683C6"/>
      </a:accent6>
      <a:hlink>
        <a:srgbClr val="6B9F25"/>
      </a:hlink>
      <a:folHlink>
        <a:srgbClr val="9F6715"/>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40858E-CEB5-4AAA-8B2F-9927271178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1404</Words>
  <Characters>8009</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National Planning Reform Blueprint – progress summary March 2025</vt:lpstr>
    </vt:vector>
  </TitlesOfParts>
  <Manager/>
  <Company/>
  <LinksUpToDate>false</LinksUpToDate>
  <CharactersWithSpaces>9395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Planning Reform Blueprint – progress summary March 2025</dc:title>
  <dc:subject/>
  <dc:creator>Australian Government</dc:creator>
  <cp:keywords/>
  <dc:description/>
  <cp:lastModifiedBy/>
  <cp:revision>1</cp:revision>
  <dcterms:created xsi:type="dcterms:W3CDTF">2025-09-24T05:24:00Z</dcterms:created>
  <dcterms:modified xsi:type="dcterms:W3CDTF">2025-09-24T05:26:00Z</dcterms:modified>
  <dc:language>English</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f932d64-9ab1-4d9b-81d2-a3a8b82dd47d_Enabled">
    <vt:lpwstr>true</vt:lpwstr>
  </property>
  <property fmtid="{D5CDD505-2E9C-101B-9397-08002B2CF9AE}" pid="3" name="MSIP_Label_4f932d64-9ab1-4d9b-81d2-a3a8b82dd47d_SetDate">
    <vt:lpwstr>2025-09-24T05:25:52Z</vt:lpwstr>
  </property>
  <property fmtid="{D5CDD505-2E9C-101B-9397-08002B2CF9AE}" pid="4" name="MSIP_Label_4f932d64-9ab1-4d9b-81d2-a3a8b82dd47d_Method">
    <vt:lpwstr>Privileged</vt:lpwstr>
  </property>
  <property fmtid="{D5CDD505-2E9C-101B-9397-08002B2CF9AE}" pid="5" name="MSIP_Label_4f932d64-9ab1-4d9b-81d2-a3a8b82dd47d_Name">
    <vt:lpwstr>OFFICIAL No Visual Marking</vt:lpwstr>
  </property>
  <property fmtid="{D5CDD505-2E9C-101B-9397-08002B2CF9AE}" pid="6" name="MSIP_Label_4f932d64-9ab1-4d9b-81d2-a3a8b82dd47d_SiteId">
    <vt:lpwstr>214f1646-2021-47cc-8397-e3d3a7ba7d9d</vt:lpwstr>
  </property>
  <property fmtid="{D5CDD505-2E9C-101B-9397-08002B2CF9AE}" pid="7" name="MSIP_Label_4f932d64-9ab1-4d9b-81d2-a3a8b82dd47d_ActionId">
    <vt:lpwstr>5d304911-5451-4b17-9df8-9836c823a140</vt:lpwstr>
  </property>
  <property fmtid="{D5CDD505-2E9C-101B-9397-08002B2CF9AE}" pid="8" name="MSIP_Label_4f932d64-9ab1-4d9b-81d2-a3a8b82dd47d_ContentBits">
    <vt:lpwstr>0</vt:lpwstr>
  </property>
  <property fmtid="{D5CDD505-2E9C-101B-9397-08002B2CF9AE}" pid="9" name="MSIP_Label_4f932d64-9ab1-4d9b-81d2-a3a8b82dd47d_Tag">
    <vt:lpwstr>10, 0, 1, 1</vt:lpwstr>
  </property>
</Properties>
</file>