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289537"/>
        <w:docPartObj>
          <w:docPartGallery w:val="Cover Pages"/>
          <w:docPartUnique/>
        </w:docPartObj>
      </w:sdtPr>
      <w:sdtEndPr/>
      <w:sdtContent>
        <w:p w14:paraId="25BF4A00" w14:textId="1201DC54" w:rsidR="00A97160" w:rsidRPr="006D0240" w:rsidRDefault="00A97160" w:rsidP="006469CC">
          <w:pPr>
            <w:pStyle w:val="ListParagraph"/>
          </w:pPr>
          <w:r>
            <w:rPr>
              <w:noProof/>
            </w:rPr>
            <w:drawing>
              <wp:anchor distT="0" distB="0" distL="114300" distR="114300" simplePos="0" relativeHeight="251658240" behindDoc="1" locked="0" layoutInCell="1" allowOverlap="1" wp14:anchorId="23C06FEA" wp14:editId="32678851">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6B9AB" w14:textId="77777777" w:rsidR="00A97160" w:rsidRPr="006D0240" w:rsidRDefault="00A97160" w:rsidP="00301755">
          <w:pPr>
            <w:pStyle w:val="Header"/>
            <w:spacing w:after="1200"/>
          </w:pPr>
        </w:p>
        <w:p w14:paraId="698D9C87" w14:textId="49384BDD" w:rsidR="00A97160" w:rsidRPr="006923DF" w:rsidRDefault="008F1667" w:rsidP="002A7A31">
          <w:pPr>
            <w:pStyle w:val="Title"/>
            <w:tabs>
              <w:tab w:val="left" w:pos="6379"/>
            </w:tabs>
            <w:spacing w:after="120" w:line="720" w:lineRule="exact"/>
            <w:ind w:right="1982"/>
          </w:pPr>
          <w:r>
            <w:t xml:space="preserve">Treasury Evaluation </w:t>
          </w:r>
          <w:r w:rsidR="00E703E1">
            <w:t>Strategy</w:t>
          </w:r>
        </w:p>
        <w:p w14:paraId="474F1F75" w14:textId="268EF707" w:rsidR="00454549" w:rsidRDefault="00454549" w:rsidP="00454549">
          <w:pPr>
            <w:pStyle w:val="Subtitle"/>
            <w:spacing w:after="360"/>
          </w:pPr>
          <w:r>
            <w:t>Embedding a culture of evaluation</w:t>
          </w:r>
        </w:p>
        <w:p w14:paraId="280EC49A" w14:textId="77777777" w:rsidR="00A97160" w:rsidRDefault="00A97160">
          <w:pPr>
            <w:spacing w:before="0" w:after="160" w:line="259" w:lineRule="auto"/>
            <w:rPr>
              <w:noProof/>
            </w:rPr>
          </w:pPr>
        </w:p>
        <w:p w14:paraId="5F39B5A7" w14:textId="77777777" w:rsidR="00A97160" w:rsidRDefault="00A97160" w:rsidP="00BE7EA5">
          <w:pPr>
            <w:spacing w:before="0" w:after="160" w:line="259" w:lineRule="auto"/>
            <w:rPr>
              <w:noProof/>
            </w:rPr>
          </w:pPr>
        </w:p>
        <w:p w14:paraId="021E1DE0" w14:textId="77777777" w:rsidR="00A97160" w:rsidRDefault="00A97160">
          <w:pPr>
            <w:spacing w:before="0" w:after="160" w:line="259" w:lineRule="auto"/>
          </w:pPr>
          <w:r>
            <w:br w:type="page"/>
          </w:r>
        </w:p>
      </w:sdtContent>
    </w:sdt>
    <w:p w14:paraId="122EB806" w14:textId="4B6C22AF" w:rsidR="000E0B74" w:rsidRDefault="000E0B74" w:rsidP="005877AC">
      <w:pPr>
        <w:spacing w:before="0" w:after="160" w:line="259" w:lineRule="auto"/>
      </w:pPr>
      <w:r w:rsidRPr="00661BF0">
        <w:lastRenderedPageBreak/>
        <w:t xml:space="preserve">© Commonwealth of Australia </w:t>
      </w:r>
      <w:r w:rsidRPr="000B32E6">
        <w:t>20</w:t>
      </w:r>
      <w:r w:rsidR="00D64CEC" w:rsidRPr="000B32E6">
        <w:t>2</w:t>
      </w:r>
      <w:r w:rsidR="000B7AD4" w:rsidRPr="000B32E6">
        <w:t>5</w:t>
      </w:r>
    </w:p>
    <w:p w14:paraId="03F0A210"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00444CDB">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00444CDB" w:rsidRPr="004F5ACF">
        <w:t>third party materials, materials protected by a trademark,</w:t>
      </w:r>
      <w:r w:rsidR="00444CDB">
        <w:t xml:space="preserve"> </w:t>
      </w:r>
      <w:r>
        <w:t xml:space="preserve">signatures </w:t>
      </w:r>
      <w:r w:rsidRPr="002F1BC2">
        <w:t>and where otherwise stated</w:t>
      </w:r>
      <w:r w:rsidR="00444CDB">
        <w:t xml:space="preserve">. </w:t>
      </w:r>
      <w:r w:rsidRPr="002F1BC2">
        <w:t>The full licence terms are available from</w:t>
      </w:r>
      <w:r w:rsidRPr="00476F09">
        <w:rPr>
          <w:rFonts w:cstheme="minorHAnsi"/>
          <w:sz w:val="24"/>
          <w:szCs w:val="24"/>
        </w:rPr>
        <w:t xml:space="preserve"> </w:t>
      </w:r>
      <w:hyperlink r:id="rId9" w:history="1">
        <w:r w:rsidR="00444CDB">
          <w:rPr>
            <w:rStyle w:val="Hyperlink"/>
          </w:rPr>
          <w:t>creativecommons.org/licenses/by/4.0/legalcode</w:t>
        </w:r>
      </w:hyperlink>
      <w:r w:rsidRPr="00444CDB">
        <w:t>.</w:t>
      </w:r>
      <w:r w:rsidRPr="00D06A21">
        <w:rPr>
          <w:sz w:val="24"/>
          <w:szCs w:val="24"/>
        </w:rPr>
        <w:t xml:space="preserve"> </w:t>
      </w:r>
    </w:p>
    <w:p w14:paraId="41860293" w14:textId="77777777" w:rsidR="000E0B74" w:rsidRDefault="000E0B74" w:rsidP="000E0B74">
      <w:pPr>
        <w:pStyle w:val="ChartGraphic"/>
        <w:jc w:val="left"/>
      </w:pPr>
      <w:r w:rsidRPr="00E56DFB">
        <w:rPr>
          <w:noProof/>
        </w:rPr>
        <w:drawing>
          <wp:inline distT="0" distB="0" distL="0" distR="0" wp14:anchorId="3F73BEF9" wp14:editId="56723CF5">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D1D952C"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00444CDB">
          <w:rPr>
            <w:rStyle w:val="Hyperlink"/>
          </w:rPr>
          <w:t>Creative Commons Attribution 4.0 International</w:t>
        </w:r>
      </w:hyperlink>
      <w:r w:rsidR="00A155F0">
        <w:t xml:space="preserve"> l</w:t>
      </w:r>
      <w:r w:rsidRPr="006627B4">
        <w:t>icence requires you to attribute the work (but not in any way that suggests that the Treasury endorse</w:t>
      </w:r>
      <w:r>
        <w:t>s you or your use of the work).</w:t>
      </w:r>
    </w:p>
    <w:p w14:paraId="02F095AD" w14:textId="77777777" w:rsidR="000E0B74" w:rsidRPr="00444CDB" w:rsidRDefault="000E0B74" w:rsidP="006469CC">
      <w:pPr>
        <w:spacing w:before="240"/>
        <w:rPr>
          <w:rStyle w:val="Strong"/>
        </w:rPr>
      </w:pPr>
      <w:r w:rsidRPr="00444CDB">
        <w:rPr>
          <w:rStyle w:val="Strong"/>
        </w:rPr>
        <w:t>Treasury material used ‘as supplied’</w:t>
      </w:r>
    </w:p>
    <w:p w14:paraId="62AAB568"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444CDB">
        <w:rPr>
          <w:rFonts w:cs="Calibri Light"/>
        </w:rPr>
        <w:t>–</w:t>
      </w:r>
      <w:r>
        <w:t xml:space="preserve"> then Treasury prefers t</w:t>
      </w:r>
      <w:r w:rsidRPr="00476F09">
        <w:t xml:space="preserve">he following attribution: </w:t>
      </w:r>
    </w:p>
    <w:p w14:paraId="49FE5364" w14:textId="77777777" w:rsidR="00444CDB" w:rsidRPr="00A13A11" w:rsidRDefault="00444CDB" w:rsidP="00444CDB">
      <w:pPr>
        <w:ind w:firstLine="720"/>
      </w:pPr>
      <w:r w:rsidRPr="00E17231">
        <w:rPr>
          <w:iCs/>
        </w:rPr>
        <w:t>Source:</w:t>
      </w:r>
      <w:r w:rsidRPr="002F1BC2">
        <w:rPr>
          <w:i/>
        </w:rPr>
        <w:t xml:space="preserve"> </w:t>
      </w:r>
      <w:r w:rsidRPr="00AC2B70">
        <w:rPr>
          <w:rStyle w:val="Emphasis"/>
        </w:rPr>
        <w:t>The Commonwealth of Australia.</w:t>
      </w:r>
    </w:p>
    <w:p w14:paraId="3CD1F06E" w14:textId="77777777" w:rsidR="000E0B74" w:rsidRPr="00444CDB" w:rsidRDefault="000E0B74" w:rsidP="000E0B74">
      <w:pPr>
        <w:spacing w:before="240"/>
        <w:rPr>
          <w:rStyle w:val="Strong"/>
        </w:rPr>
      </w:pPr>
      <w:r w:rsidRPr="00444CDB">
        <w:rPr>
          <w:rStyle w:val="Strong"/>
        </w:rPr>
        <w:t>Derivative material</w:t>
      </w:r>
    </w:p>
    <w:p w14:paraId="5D018247"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DEFC13A" w14:textId="77777777" w:rsidR="00444CDB" w:rsidRPr="00AC2B70" w:rsidRDefault="00444CDB" w:rsidP="00444CDB">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11D482F9" w14:textId="77777777" w:rsidR="000E0B74" w:rsidRPr="00444CDB" w:rsidRDefault="000E0B74" w:rsidP="000E0B74">
      <w:pPr>
        <w:spacing w:before="240"/>
        <w:rPr>
          <w:rStyle w:val="Strong"/>
        </w:rPr>
      </w:pPr>
      <w:r w:rsidRPr="00444CDB">
        <w:rPr>
          <w:rStyle w:val="Strong"/>
        </w:rPr>
        <w:t>Use of the Coat of Arms</w:t>
      </w:r>
    </w:p>
    <w:p w14:paraId="20B14714"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2" w:history="1">
        <w:r w:rsidR="00444CDB">
          <w:rPr>
            <w:rStyle w:val="Hyperlink"/>
          </w:rPr>
          <w:t>www.pmc.gov.au/government/commonwealth-coat-arms</w:t>
        </w:r>
      </w:hyperlink>
      <w:r w:rsidRPr="005C503A">
        <w:t>).</w:t>
      </w:r>
    </w:p>
    <w:p w14:paraId="4C007BB8" w14:textId="77777777" w:rsidR="000E0B74" w:rsidRPr="00444CDB" w:rsidRDefault="000E0B74" w:rsidP="000E0B74">
      <w:pPr>
        <w:spacing w:before="240"/>
        <w:rPr>
          <w:rStyle w:val="Strong"/>
        </w:rPr>
      </w:pPr>
      <w:r w:rsidRPr="00444CDB">
        <w:rPr>
          <w:rStyle w:val="Strong"/>
        </w:rPr>
        <w:t>Other uses</w:t>
      </w:r>
    </w:p>
    <w:p w14:paraId="49971730" w14:textId="77777777" w:rsidR="000E0B74" w:rsidRPr="006627B4" w:rsidRDefault="000E0B74" w:rsidP="000E0B74">
      <w:r>
        <w:t>E</w:t>
      </w:r>
      <w:r w:rsidRPr="006627B4">
        <w:t>nquiries regarding this licence and any other use of this document are welcome at:</w:t>
      </w:r>
    </w:p>
    <w:p w14:paraId="44616201" w14:textId="77777777"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386297">
          <w:rPr>
            <w:rStyle w:val="Hyperlink"/>
          </w:rPr>
          <w:t>media@treasury.gov.au</w:t>
        </w:r>
      </w:hyperlink>
    </w:p>
    <w:p w14:paraId="66F9AAD6" w14:textId="77777777" w:rsidR="00F836F9" w:rsidRPr="003F1597" w:rsidRDefault="00D32709" w:rsidP="00DF7CBD">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62EE6" w:rsidRPr="003F1597">
        <w:rPr>
          <w:rStyle w:val="Emphasis"/>
        </w:rPr>
        <w:t>.</w:t>
      </w:r>
    </w:p>
    <w:p w14:paraId="131BB1DB" w14:textId="77777777" w:rsidR="00D32709" w:rsidRDefault="00D32709" w:rsidP="00D32709"/>
    <w:p w14:paraId="2882D76E" w14:textId="77777777" w:rsidR="00D32709" w:rsidRPr="00D32709" w:rsidRDefault="00D32709" w:rsidP="00D32709">
      <w:pPr>
        <w:sectPr w:rsidR="00D32709" w:rsidRPr="00D32709" w:rsidSect="00A97160">
          <w:footerReference w:type="default" r:id="rId14"/>
          <w:pgSz w:w="11906" w:h="16838" w:code="9"/>
          <w:pgMar w:top="1843" w:right="1418" w:bottom="1418" w:left="1418" w:header="709" w:footer="709" w:gutter="0"/>
          <w:pgNumType w:fmt="lowerRoman" w:start="0"/>
          <w:cols w:space="708"/>
          <w:titlePg/>
          <w:docGrid w:linePitch="360"/>
        </w:sectPr>
      </w:pPr>
    </w:p>
    <w:p w14:paraId="2A335BDF" w14:textId="77777777" w:rsidR="000C3929" w:rsidRDefault="000E0B74" w:rsidP="00561D36">
      <w:pPr>
        <w:pStyle w:val="Heading1"/>
      </w:pPr>
      <w:bookmarkStart w:id="0" w:name="_Toc195716628"/>
      <w:bookmarkStart w:id="1" w:name="_Toc111026801"/>
      <w:bookmarkStart w:id="2" w:name="_Toc207698323"/>
      <w:bookmarkStart w:id="3" w:name="_Toc208932154"/>
      <w:bookmarkStart w:id="4" w:name="_Toc208932665"/>
      <w:r w:rsidRPr="00B550BC">
        <w:lastRenderedPageBreak/>
        <w:t>C</w:t>
      </w:r>
      <w:bookmarkEnd w:id="0"/>
      <w:r w:rsidRPr="00B550BC">
        <w:t>ontents</w:t>
      </w:r>
      <w:bookmarkEnd w:id="1"/>
      <w:bookmarkEnd w:id="2"/>
      <w:bookmarkEnd w:id="3"/>
      <w:bookmarkEnd w:id="4"/>
    </w:p>
    <w:p w14:paraId="4DFEC1C5" w14:textId="0DE1E244" w:rsidR="00AA5E1D" w:rsidRDefault="00B25C82">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"1-2" \h \z \u </w:instrText>
      </w:r>
      <w:r>
        <w:fldChar w:fldCharType="separate"/>
      </w:r>
      <w:hyperlink w:anchor="_Toc208932665" w:history="1"/>
    </w:p>
    <w:p w14:paraId="415C7E34" w14:textId="0AC56347" w:rsidR="00AA5E1D" w:rsidRDefault="00AA5E1D">
      <w:pPr>
        <w:pStyle w:val="TOC1"/>
        <w:rPr>
          <w:rFonts w:asciiTheme="minorHAnsi" w:eastAsiaTheme="minorEastAsia" w:hAnsiTheme="minorHAnsi" w:cstheme="minorBidi"/>
          <w:b w:val="0"/>
          <w:color w:val="auto"/>
          <w:kern w:val="2"/>
          <w:sz w:val="24"/>
          <w:szCs w:val="24"/>
          <w14:ligatures w14:val="standardContextual"/>
        </w:rPr>
      </w:pPr>
      <w:hyperlink w:anchor="_Toc208932666" w:history="1">
        <w:r w:rsidRPr="00E82EE0">
          <w:rPr>
            <w:rStyle w:val="Hyperlink"/>
          </w:rPr>
          <w:t>Foreword</w:t>
        </w:r>
        <w:r>
          <w:rPr>
            <w:webHidden/>
          </w:rPr>
          <w:tab/>
        </w:r>
        <w:r>
          <w:rPr>
            <w:webHidden/>
          </w:rPr>
          <w:fldChar w:fldCharType="begin"/>
        </w:r>
        <w:r>
          <w:rPr>
            <w:webHidden/>
          </w:rPr>
          <w:instrText xml:space="preserve"> PAGEREF _Toc208932666 \h </w:instrText>
        </w:r>
        <w:r>
          <w:rPr>
            <w:webHidden/>
          </w:rPr>
        </w:r>
        <w:r>
          <w:rPr>
            <w:webHidden/>
          </w:rPr>
          <w:fldChar w:fldCharType="separate"/>
        </w:r>
        <w:r w:rsidR="007C2CA4">
          <w:rPr>
            <w:webHidden/>
          </w:rPr>
          <w:t>3</w:t>
        </w:r>
        <w:r>
          <w:rPr>
            <w:webHidden/>
          </w:rPr>
          <w:fldChar w:fldCharType="end"/>
        </w:r>
      </w:hyperlink>
    </w:p>
    <w:p w14:paraId="1462705A" w14:textId="261D885D" w:rsidR="00AA5E1D" w:rsidRDefault="00AA5E1D">
      <w:pPr>
        <w:pStyle w:val="TOC1"/>
        <w:rPr>
          <w:rFonts w:asciiTheme="minorHAnsi" w:eastAsiaTheme="minorEastAsia" w:hAnsiTheme="minorHAnsi" w:cstheme="minorBidi"/>
          <w:b w:val="0"/>
          <w:color w:val="auto"/>
          <w:kern w:val="2"/>
          <w:sz w:val="24"/>
          <w:szCs w:val="24"/>
          <w14:ligatures w14:val="standardContextual"/>
        </w:rPr>
      </w:pPr>
      <w:hyperlink w:anchor="_Toc208932667" w:history="1">
        <w:r w:rsidRPr="00E82EE0">
          <w:rPr>
            <w:rStyle w:val="Hyperlink"/>
          </w:rPr>
          <w:t>Executive Summary</w:t>
        </w:r>
        <w:r>
          <w:rPr>
            <w:webHidden/>
          </w:rPr>
          <w:tab/>
        </w:r>
        <w:r>
          <w:rPr>
            <w:webHidden/>
          </w:rPr>
          <w:fldChar w:fldCharType="begin"/>
        </w:r>
        <w:r>
          <w:rPr>
            <w:webHidden/>
          </w:rPr>
          <w:instrText xml:space="preserve"> PAGEREF _Toc208932667 \h </w:instrText>
        </w:r>
        <w:r>
          <w:rPr>
            <w:webHidden/>
          </w:rPr>
        </w:r>
        <w:r>
          <w:rPr>
            <w:webHidden/>
          </w:rPr>
          <w:fldChar w:fldCharType="separate"/>
        </w:r>
        <w:r w:rsidR="007C2CA4">
          <w:rPr>
            <w:webHidden/>
          </w:rPr>
          <w:t>4</w:t>
        </w:r>
        <w:r>
          <w:rPr>
            <w:webHidden/>
          </w:rPr>
          <w:fldChar w:fldCharType="end"/>
        </w:r>
      </w:hyperlink>
    </w:p>
    <w:p w14:paraId="1F7CEFE9" w14:textId="1FCC3E9E" w:rsidR="00AA5E1D" w:rsidRDefault="00AA5E1D">
      <w:pPr>
        <w:pStyle w:val="TOC1"/>
        <w:rPr>
          <w:rFonts w:asciiTheme="minorHAnsi" w:eastAsiaTheme="minorEastAsia" w:hAnsiTheme="minorHAnsi" w:cstheme="minorBidi"/>
          <w:b w:val="0"/>
          <w:color w:val="auto"/>
          <w:kern w:val="2"/>
          <w:sz w:val="24"/>
          <w:szCs w:val="24"/>
          <w14:ligatures w14:val="standardContextual"/>
        </w:rPr>
      </w:pPr>
      <w:hyperlink w:anchor="_Toc208932668" w:history="1">
        <w:r w:rsidRPr="00E82EE0">
          <w:rPr>
            <w:rStyle w:val="Hyperlink"/>
          </w:rPr>
          <w:t>Treasury</w:t>
        </w:r>
        <w:r w:rsidRPr="00E82EE0">
          <w:rPr>
            <w:rStyle w:val="Hyperlink"/>
            <w:rFonts w:eastAsia="Aptos Display"/>
          </w:rPr>
          <w:t>’s approach to evaluation</w:t>
        </w:r>
        <w:r>
          <w:rPr>
            <w:webHidden/>
          </w:rPr>
          <w:tab/>
        </w:r>
        <w:r>
          <w:rPr>
            <w:webHidden/>
          </w:rPr>
          <w:fldChar w:fldCharType="begin"/>
        </w:r>
        <w:r>
          <w:rPr>
            <w:webHidden/>
          </w:rPr>
          <w:instrText xml:space="preserve"> PAGEREF _Toc208932668 \h </w:instrText>
        </w:r>
        <w:r>
          <w:rPr>
            <w:webHidden/>
          </w:rPr>
        </w:r>
        <w:r>
          <w:rPr>
            <w:webHidden/>
          </w:rPr>
          <w:fldChar w:fldCharType="separate"/>
        </w:r>
        <w:r w:rsidR="007C2CA4">
          <w:rPr>
            <w:webHidden/>
          </w:rPr>
          <w:t>5</w:t>
        </w:r>
        <w:r>
          <w:rPr>
            <w:webHidden/>
          </w:rPr>
          <w:fldChar w:fldCharType="end"/>
        </w:r>
      </w:hyperlink>
    </w:p>
    <w:p w14:paraId="170C6E80" w14:textId="65821A99" w:rsidR="00AA5E1D" w:rsidRDefault="00AA5E1D">
      <w:pPr>
        <w:pStyle w:val="TOC1"/>
        <w:rPr>
          <w:rFonts w:asciiTheme="minorHAnsi" w:eastAsiaTheme="minorEastAsia" w:hAnsiTheme="minorHAnsi" w:cstheme="minorBidi"/>
          <w:b w:val="0"/>
          <w:color w:val="auto"/>
          <w:kern w:val="2"/>
          <w:sz w:val="24"/>
          <w:szCs w:val="24"/>
          <w14:ligatures w14:val="standardContextual"/>
        </w:rPr>
      </w:pPr>
      <w:hyperlink w:anchor="_Toc208932669" w:history="1">
        <w:r w:rsidRPr="00E82EE0">
          <w:rPr>
            <w:rStyle w:val="Hyperlink"/>
          </w:rPr>
          <w:t>Priorities and actions</w:t>
        </w:r>
        <w:r>
          <w:rPr>
            <w:webHidden/>
          </w:rPr>
          <w:tab/>
        </w:r>
        <w:r>
          <w:rPr>
            <w:webHidden/>
          </w:rPr>
          <w:fldChar w:fldCharType="begin"/>
        </w:r>
        <w:r>
          <w:rPr>
            <w:webHidden/>
          </w:rPr>
          <w:instrText xml:space="preserve"> PAGEREF _Toc208932669 \h </w:instrText>
        </w:r>
        <w:r>
          <w:rPr>
            <w:webHidden/>
          </w:rPr>
        </w:r>
        <w:r>
          <w:rPr>
            <w:webHidden/>
          </w:rPr>
          <w:fldChar w:fldCharType="separate"/>
        </w:r>
        <w:r w:rsidR="007C2CA4">
          <w:rPr>
            <w:webHidden/>
          </w:rPr>
          <w:t>6</w:t>
        </w:r>
        <w:r>
          <w:rPr>
            <w:webHidden/>
          </w:rPr>
          <w:fldChar w:fldCharType="end"/>
        </w:r>
      </w:hyperlink>
    </w:p>
    <w:p w14:paraId="52F7E876" w14:textId="71658335" w:rsidR="00AA5E1D" w:rsidRDefault="00AA5E1D">
      <w:pPr>
        <w:pStyle w:val="TOC2"/>
        <w:rPr>
          <w:rFonts w:asciiTheme="minorHAnsi" w:eastAsiaTheme="minorEastAsia" w:hAnsiTheme="minorHAnsi" w:cstheme="minorBidi"/>
          <w:color w:val="auto"/>
          <w:kern w:val="2"/>
          <w:sz w:val="24"/>
          <w:szCs w:val="24"/>
          <w14:ligatures w14:val="standardContextual"/>
        </w:rPr>
      </w:pPr>
      <w:hyperlink w:anchor="_Toc208932670" w:history="1">
        <w:r w:rsidRPr="00E82EE0">
          <w:rPr>
            <w:rStyle w:val="Hyperlink"/>
          </w:rPr>
          <w:t>1. Evaluation leadership and promotion</w:t>
        </w:r>
        <w:r>
          <w:rPr>
            <w:webHidden/>
          </w:rPr>
          <w:tab/>
        </w:r>
        <w:r>
          <w:rPr>
            <w:webHidden/>
          </w:rPr>
          <w:fldChar w:fldCharType="begin"/>
        </w:r>
        <w:r>
          <w:rPr>
            <w:webHidden/>
          </w:rPr>
          <w:instrText xml:space="preserve"> PAGEREF _Toc208932670 \h </w:instrText>
        </w:r>
        <w:r>
          <w:rPr>
            <w:webHidden/>
          </w:rPr>
        </w:r>
        <w:r>
          <w:rPr>
            <w:webHidden/>
          </w:rPr>
          <w:fldChar w:fldCharType="separate"/>
        </w:r>
        <w:r w:rsidR="007C2CA4">
          <w:rPr>
            <w:webHidden/>
          </w:rPr>
          <w:t>6</w:t>
        </w:r>
        <w:r>
          <w:rPr>
            <w:webHidden/>
          </w:rPr>
          <w:fldChar w:fldCharType="end"/>
        </w:r>
      </w:hyperlink>
    </w:p>
    <w:p w14:paraId="0B9DC70B" w14:textId="44388A45" w:rsidR="00AA5E1D" w:rsidRDefault="00AA5E1D">
      <w:pPr>
        <w:pStyle w:val="TOC2"/>
        <w:rPr>
          <w:rFonts w:asciiTheme="minorHAnsi" w:eastAsiaTheme="minorEastAsia" w:hAnsiTheme="minorHAnsi" w:cstheme="minorBidi"/>
          <w:color w:val="auto"/>
          <w:kern w:val="2"/>
          <w:sz w:val="24"/>
          <w:szCs w:val="24"/>
          <w14:ligatures w14:val="standardContextual"/>
        </w:rPr>
      </w:pPr>
      <w:hyperlink w:anchor="_Toc208932671" w:history="1">
        <w:r w:rsidRPr="00E82EE0">
          <w:rPr>
            <w:rStyle w:val="Hyperlink"/>
          </w:rPr>
          <w:t>2. Fit-for-purpose evaluation delivery</w:t>
        </w:r>
        <w:r>
          <w:rPr>
            <w:webHidden/>
          </w:rPr>
          <w:tab/>
        </w:r>
        <w:r>
          <w:rPr>
            <w:webHidden/>
          </w:rPr>
          <w:fldChar w:fldCharType="begin"/>
        </w:r>
        <w:r>
          <w:rPr>
            <w:webHidden/>
          </w:rPr>
          <w:instrText xml:space="preserve"> PAGEREF _Toc208932671 \h </w:instrText>
        </w:r>
        <w:r>
          <w:rPr>
            <w:webHidden/>
          </w:rPr>
        </w:r>
        <w:r>
          <w:rPr>
            <w:webHidden/>
          </w:rPr>
          <w:fldChar w:fldCharType="separate"/>
        </w:r>
        <w:r w:rsidR="007C2CA4">
          <w:rPr>
            <w:webHidden/>
          </w:rPr>
          <w:t>6</w:t>
        </w:r>
        <w:r>
          <w:rPr>
            <w:webHidden/>
          </w:rPr>
          <w:fldChar w:fldCharType="end"/>
        </w:r>
      </w:hyperlink>
    </w:p>
    <w:p w14:paraId="3EE9B21C" w14:textId="27084B35" w:rsidR="00AA5E1D" w:rsidRDefault="00AA5E1D">
      <w:pPr>
        <w:pStyle w:val="TOC2"/>
        <w:rPr>
          <w:rFonts w:asciiTheme="minorHAnsi" w:eastAsiaTheme="minorEastAsia" w:hAnsiTheme="minorHAnsi" w:cstheme="minorBidi"/>
          <w:color w:val="auto"/>
          <w:kern w:val="2"/>
          <w:sz w:val="24"/>
          <w:szCs w:val="24"/>
          <w14:ligatures w14:val="standardContextual"/>
        </w:rPr>
      </w:pPr>
      <w:hyperlink w:anchor="_Toc208932672" w:history="1">
        <w:r w:rsidRPr="00E82EE0">
          <w:rPr>
            <w:rStyle w:val="Hyperlink"/>
          </w:rPr>
          <w:t>3. Evaluation use and continuous learning</w:t>
        </w:r>
        <w:r>
          <w:rPr>
            <w:webHidden/>
          </w:rPr>
          <w:tab/>
        </w:r>
        <w:r>
          <w:rPr>
            <w:webHidden/>
          </w:rPr>
          <w:fldChar w:fldCharType="begin"/>
        </w:r>
        <w:r>
          <w:rPr>
            <w:webHidden/>
          </w:rPr>
          <w:instrText xml:space="preserve"> PAGEREF _Toc208932672 \h </w:instrText>
        </w:r>
        <w:r>
          <w:rPr>
            <w:webHidden/>
          </w:rPr>
        </w:r>
        <w:r>
          <w:rPr>
            <w:webHidden/>
          </w:rPr>
          <w:fldChar w:fldCharType="separate"/>
        </w:r>
        <w:r w:rsidR="007C2CA4">
          <w:rPr>
            <w:webHidden/>
          </w:rPr>
          <w:t>8</w:t>
        </w:r>
        <w:r>
          <w:rPr>
            <w:webHidden/>
          </w:rPr>
          <w:fldChar w:fldCharType="end"/>
        </w:r>
      </w:hyperlink>
    </w:p>
    <w:p w14:paraId="2662B018" w14:textId="3DCDD87E" w:rsidR="00AA5E1D" w:rsidRDefault="00AA5E1D">
      <w:pPr>
        <w:pStyle w:val="TOC2"/>
        <w:rPr>
          <w:rFonts w:asciiTheme="minorHAnsi" w:eastAsiaTheme="minorEastAsia" w:hAnsiTheme="minorHAnsi" w:cstheme="minorBidi"/>
          <w:color w:val="auto"/>
          <w:kern w:val="2"/>
          <w:sz w:val="24"/>
          <w:szCs w:val="24"/>
          <w14:ligatures w14:val="standardContextual"/>
        </w:rPr>
      </w:pPr>
      <w:hyperlink w:anchor="_Toc208932673" w:history="1">
        <w:r w:rsidRPr="00E82EE0">
          <w:rPr>
            <w:rStyle w:val="Hyperlink"/>
          </w:rPr>
          <w:t>4. Evaluation capability building and culture</w:t>
        </w:r>
        <w:r>
          <w:rPr>
            <w:webHidden/>
          </w:rPr>
          <w:tab/>
        </w:r>
        <w:r>
          <w:rPr>
            <w:webHidden/>
          </w:rPr>
          <w:fldChar w:fldCharType="begin"/>
        </w:r>
        <w:r>
          <w:rPr>
            <w:webHidden/>
          </w:rPr>
          <w:instrText xml:space="preserve"> PAGEREF _Toc208932673 \h </w:instrText>
        </w:r>
        <w:r>
          <w:rPr>
            <w:webHidden/>
          </w:rPr>
        </w:r>
        <w:r>
          <w:rPr>
            <w:webHidden/>
          </w:rPr>
          <w:fldChar w:fldCharType="separate"/>
        </w:r>
        <w:r w:rsidR="007C2CA4">
          <w:rPr>
            <w:webHidden/>
          </w:rPr>
          <w:t>8</w:t>
        </w:r>
        <w:r>
          <w:rPr>
            <w:webHidden/>
          </w:rPr>
          <w:fldChar w:fldCharType="end"/>
        </w:r>
      </w:hyperlink>
    </w:p>
    <w:p w14:paraId="330A4CFB" w14:textId="505358ED" w:rsidR="00AA5E1D" w:rsidRDefault="00AA5E1D">
      <w:pPr>
        <w:pStyle w:val="TOC1"/>
        <w:rPr>
          <w:rFonts w:asciiTheme="minorHAnsi" w:eastAsiaTheme="minorEastAsia" w:hAnsiTheme="minorHAnsi" w:cstheme="minorBidi"/>
          <w:b w:val="0"/>
          <w:color w:val="auto"/>
          <w:kern w:val="2"/>
          <w:sz w:val="24"/>
          <w:szCs w:val="24"/>
          <w14:ligatures w14:val="standardContextual"/>
        </w:rPr>
      </w:pPr>
      <w:hyperlink w:anchor="_Toc208932674" w:history="1">
        <w:r w:rsidRPr="00E82EE0">
          <w:rPr>
            <w:rStyle w:val="Hyperlink"/>
          </w:rPr>
          <w:t>Measuring our success</w:t>
        </w:r>
        <w:r>
          <w:rPr>
            <w:webHidden/>
          </w:rPr>
          <w:tab/>
        </w:r>
        <w:r>
          <w:rPr>
            <w:webHidden/>
          </w:rPr>
          <w:fldChar w:fldCharType="begin"/>
        </w:r>
        <w:r>
          <w:rPr>
            <w:webHidden/>
          </w:rPr>
          <w:instrText xml:space="preserve"> PAGEREF _Toc208932674 \h </w:instrText>
        </w:r>
        <w:r>
          <w:rPr>
            <w:webHidden/>
          </w:rPr>
        </w:r>
        <w:r>
          <w:rPr>
            <w:webHidden/>
          </w:rPr>
          <w:fldChar w:fldCharType="separate"/>
        </w:r>
        <w:r w:rsidR="007C2CA4">
          <w:rPr>
            <w:webHidden/>
          </w:rPr>
          <w:t>10</w:t>
        </w:r>
        <w:r>
          <w:rPr>
            <w:webHidden/>
          </w:rPr>
          <w:fldChar w:fldCharType="end"/>
        </w:r>
      </w:hyperlink>
    </w:p>
    <w:p w14:paraId="2D37FEDE" w14:textId="6A99CE20" w:rsidR="00AA5E1D" w:rsidRDefault="00AA5E1D">
      <w:pPr>
        <w:pStyle w:val="TOC1"/>
        <w:rPr>
          <w:rFonts w:asciiTheme="minorHAnsi" w:eastAsiaTheme="minorEastAsia" w:hAnsiTheme="minorHAnsi" w:cstheme="minorBidi"/>
          <w:b w:val="0"/>
          <w:color w:val="auto"/>
          <w:kern w:val="2"/>
          <w:sz w:val="24"/>
          <w:szCs w:val="24"/>
          <w14:ligatures w14:val="standardContextual"/>
        </w:rPr>
      </w:pPr>
      <w:hyperlink w:anchor="_Toc208932675" w:history="1">
        <w:r w:rsidRPr="00E82EE0">
          <w:rPr>
            <w:rStyle w:val="Hyperlink"/>
            <w:rFonts w:eastAsia="Calibri Light"/>
          </w:rPr>
          <w:t>Actions and responsibilities</w:t>
        </w:r>
        <w:r>
          <w:rPr>
            <w:webHidden/>
          </w:rPr>
          <w:tab/>
        </w:r>
        <w:r>
          <w:rPr>
            <w:webHidden/>
          </w:rPr>
          <w:fldChar w:fldCharType="begin"/>
        </w:r>
        <w:r>
          <w:rPr>
            <w:webHidden/>
          </w:rPr>
          <w:instrText xml:space="preserve"> PAGEREF _Toc208932675 \h </w:instrText>
        </w:r>
        <w:r>
          <w:rPr>
            <w:webHidden/>
          </w:rPr>
        </w:r>
        <w:r>
          <w:rPr>
            <w:webHidden/>
          </w:rPr>
          <w:fldChar w:fldCharType="separate"/>
        </w:r>
        <w:r w:rsidR="007C2CA4">
          <w:rPr>
            <w:webHidden/>
          </w:rPr>
          <w:t>11</w:t>
        </w:r>
        <w:r>
          <w:rPr>
            <w:webHidden/>
          </w:rPr>
          <w:fldChar w:fldCharType="end"/>
        </w:r>
      </w:hyperlink>
    </w:p>
    <w:p w14:paraId="44DFACCF" w14:textId="583961A4" w:rsidR="009E762D" w:rsidRDefault="00B25C82" w:rsidP="00167E68">
      <w:pPr>
        <w:sectPr w:rsidR="009E762D" w:rsidSect="00AE12EA">
          <w:headerReference w:type="even" r:id="rId15"/>
          <w:headerReference w:type="default" r:id="rId16"/>
          <w:footerReference w:type="even" r:id="rId17"/>
          <w:footerReference w:type="default" r:id="rId18"/>
          <w:headerReference w:type="first" r:id="rId19"/>
          <w:footerReference w:type="first" r:id="rId20"/>
          <w:pgSz w:w="11906" w:h="16838" w:code="9"/>
          <w:pgMar w:top="1843" w:right="1417" w:bottom="1417" w:left="1417" w:header="709" w:footer="709" w:gutter="0"/>
          <w:cols w:space="708"/>
          <w:docGrid w:linePitch="360"/>
        </w:sectPr>
      </w:pPr>
      <w:r>
        <w:fldChar w:fldCharType="end"/>
      </w:r>
      <w:bookmarkStart w:id="5" w:name="_Toc432067103"/>
      <w:bookmarkStart w:id="6" w:name="_Toc452635030"/>
      <w:r w:rsidR="000A7AE5">
        <w:br w:type="page"/>
      </w:r>
    </w:p>
    <w:p w14:paraId="46A8BD4D" w14:textId="479F5763" w:rsidR="00475085" w:rsidRPr="00F045E0" w:rsidRDefault="00475085" w:rsidP="00C11011">
      <w:pPr>
        <w:pStyle w:val="Heading1"/>
      </w:pPr>
      <w:bookmarkStart w:id="7" w:name="_Toc195716629"/>
      <w:bookmarkStart w:id="8" w:name="_Toc208932155"/>
      <w:bookmarkStart w:id="9" w:name="_Toc208932666"/>
      <w:r w:rsidRPr="00F045E0">
        <w:lastRenderedPageBreak/>
        <w:t>Foreword</w:t>
      </w:r>
      <w:bookmarkEnd w:id="5"/>
      <w:bookmarkEnd w:id="6"/>
      <w:bookmarkEnd w:id="7"/>
      <w:bookmarkEnd w:id="8"/>
      <w:bookmarkEnd w:id="9"/>
    </w:p>
    <w:p w14:paraId="726E9995" w14:textId="34666900" w:rsidR="00EC60A9" w:rsidRDefault="00EC60A9" w:rsidP="00EC60A9">
      <w:r w:rsidRPr="00A14CB3">
        <w:t xml:space="preserve">I am pleased to present our </w:t>
      </w:r>
      <w:r w:rsidR="00B37261">
        <w:t>Treasury</w:t>
      </w:r>
      <w:r w:rsidRPr="00A14CB3">
        <w:t xml:space="preserve"> </w:t>
      </w:r>
      <w:r>
        <w:t>E</w:t>
      </w:r>
      <w:r w:rsidRPr="00A14CB3">
        <w:t>valuation</w:t>
      </w:r>
      <w:r w:rsidR="00D5122F">
        <w:t xml:space="preserve"> Strategy</w:t>
      </w:r>
      <w:r w:rsidR="006C4929">
        <w:t xml:space="preserve"> </w:t>
      </w:r>
      <w:r w:rsidR="007773FC">
        <w:t xml:space="preserve">– </w:t>
      </w:r>
      <w:r w:rsidRPr="00A14CB3">
        <w:t>a</w:t>
      </w:r>
      <w:r>
        <w:t xml:space="preserve">n important </w:t>
      </w:r>
      <w:r w:rsidR="00111FA1">
        <w:t>element of</w:t>
      </w:r>
      <w:r>
        <w:t xml:space="preserve"> </w:t>
      </w:r>
      <w:r w:rsidR="00D5122F">
        <w:t xml:space="preserve">Treasury’s </w:t>
      </w:r>
      <w:r>
        <w:t>commitment to transparency, continuous improvement, learning and adaptation.</w:t>
      </w:r>
    </w:p>
    <w:p w14:paraId="1806F03A" w14:textId="78FAB912" w:rsidR="00EC60A9" w:rsidRPr="009671F9" w:rsidRDefault="00EC60A9" w:rsidP="00EC60A9">
      <w:r w:rsidRPr="009671F9">
        <w:t xml:space="preserve">As stewards of economic and fiscal policy advice, </w:t>
      </w:r>
      <w:r w:rsidR="00362E5E">
        <w:t>Treasury’s</w:t>
      </w:r>
      <w:r w:rsidRPr="009671F9">
        <w:t xml:space="preserve"> responsibility </w:t>
      </w:r>
      <w:r w:rsidRPr="009671F9" w:rsidDel="00DF349B">
        <w:t xml:space="preserve">is </w:t>
      </w:r>
      <w:r w:rsidRPr="009671F9">
        <w:t xml:space="preserve">to ensure </w:t>
      </w:r>
      <w:r w:rsidRPr="009671F9" w:rsidDel="00DF349B">
        <w:t xml:space="preserve">that </w:t>
      </w:r>
      <w:r w:rsidRPr="009671F9">
        <w:t>the policies and program</w:t>
      </w:r>
      <w:r>
        <w:t>s</w:t>
      </w:r>
      <w:r w:rsidRPr="009671F9">
        <w:t xml:space="preserve"> we support a</w:t>
      </w:r>
      <w:r>
        <w:t>re</w:t>
      </w:r>
      <w:r w:rsidRPr="009671F9">
        <w:t xml:space="preserve"> </w:t>
      </w:r>
      <w:r w:rsidRPr="007D337E">
        <w:t>effective and beneficial</w:t>
      </w:r>
      <w:r w:rsidR="00CC4ADD">
        <w:t xml:space="preserve">. </w:t>
      </w:r>
      <w:r>
        <w:t>T</w:t>
      </w:r>
      <w:r w:rsidRPr="009671F9">
        <w:t>he</w:t>
      </w:r>
      <w:r w:rsidR="002447FD">
        <w:t xml:space="preserve"> evidence Treasury </w:t>
      </w:r>
      <w:r w:rsidR="00936C30">
        <w:t xml:space="preserve">generates and uses </w:t>
      </w:r>
      <w:r w:rsidR="00A256F2">
        <w:t xml:space="preserve">to support </w:t>
      </w:r>
      <w:r w:rsidRPr="009671F9">
        <w:t xml:space="preserve">decisions </w:t>
      </w:r>
      <w:r w:rsidR="00936C30">
        <w:t xml:space="preserve">has </w:t>
      </w:r>
      <w:r w:rsidRPr="009671F9">
        <w:t>real and lasting impacts on the lives of Australians</w:t>
      </w:r>
      <w:r w:rsidR="00A953FA">
        <w:t>. I</w:t>
      </w:r>
      <w:r w:rsidRPr="009671F9">
        <w:t>t is our duty to provide</w:t>
      </w:r>
      <w:r w:rsidR="009905D2">
        <w:t xml:space="preserve"> </w:t>
      </w:r>
      <w:r w:rsidRPr="009671F9">
        <w:t>government with the best possible advice to achieve strong</w:t>
      </w:r>
      <w:r>
        <w:t>,</w:t>
      </w:r>
      <w:r w:rsidRPr="009671F9">
        <w:t xml:space="preserve"> sustainable</w:t>
      </w:r>
      <w:r>
        <w:t xml:space="preserve"> economic and fiscal </w:t>
      </w:r>
      <w:r w:rsidRPr="009671F9">
        <w:t>outcomes</w:t>
      </w:r>
      <w:r w:rsidR="00122164">
        <w:t xml:space="preserve"> for the community</w:t>
      </w:r>
      <w:r w:rsidRPr="009671F9">
        <w:t>.</w:t>
      </w:r>
    </w:p>
    <w:p w14:paraId="5D3AA7BA" w14:textId="459ACEDD" w:rsidR="00EC60A9" w:rsidRDefault="00EC60A9" w:rsidP="00EC60A9">
      <w:r w:rsidRPr="007D337E">
        <w:t xml:space="preserve">Evaluation plays a crucial part in this endeavour. </w:t>
      </w:r>
      <w:r w:rsidR="00EF684C">
        <w:t>Alongside our data</w:t>
      </w:r>
      <w:r w:rsidR="00A700E7">
        <w:t xml:space="preserve"> analysis and modelling capabilities, evaluation help</w:t>
      </w:r>
      <w:r w:rsidR="0027158C">
        <w:t>s</w:t>
      </w:r>
      <w:r w:rsidR="00A700E7">
        <w:t xml:space="preserve"> equip</w:t>
      </w:r>
      <w:r w:rsidRPr="007D337E">
        <w:t xml:space="preserve"> us with the necessary insights to build trust in our actions and decisions, reinforcing our </w:t>
      </w:r>
      <w:r w:rsidR="00A71EE6">
        <w:t>responsibility</w:t>
      </w:r>
      <w:r w:rsidR="00A71EE6" w:rsidRPr="007D337E">
        <w:t xml:space="preserve"> </w:t>
      </w:r>
      <w:r w:rsidRPr="007D337E">
        <w:t xml:space="preserve">and accountability to the </w:t>
      </w:r>
      <w:r>
        <w:t xml:space="preserve">Australian </w:t>
      </w:r>
      <w:r w:rsidRPr="007D337E">
        <w:t>public</w:t>
      </w:r>
      <w:r>
        <w:t>.</w:t>
      </w:r>
    </w:p>
    <w:p w14:paraId="2E416F6D" w14:textId="543414DD" w:rsidR="00EC60A9" w:rsidRDefault="00EC60A9" w:rsidP="00EC60A9">
      <w:r w:rsidRPr="00A14CB3">
        <w:t>Evaluation is not merely</w:t>
      </w:r>
      <w:r>
        <w:t xml:space="preserve"> a nice to have</w:t>
      </w:r>
      <w:r w:rsidR="00C316D6">
        <w:t>,</w:t>
      </w:r>
      <w:r>
        <w:t xml:space="preserve"> </w:t>
      </w:r>
      <w:r w:rsidR="002A32C4">
        <w:t>one-off process</w:t>
      </w:r>
      <w:r>
        <w:t xml:space="preserve"> at the end of a program</w:t>
      </w:r>
      <w:r w:rsidRPr="00A14CB3">
        <w:t xml:space="preserve">; </w:t>
      </w:r>
      <w:r w:rsidR="006525D1">
        <w:t>i</w:t>
      </w:r>
      <w:r w:rsidRPr="00A14CB3">
        <w:t>t is the mechanism by which we learn, adapt, and continuously improve</w:t>
      </w:r>
      <w:r>
        <w:t xml:space="preserve"> across the policy cycle</w:t>
      </w:r>
      <w:r w:rsidRPr="00A14CB3">
        <w:t>.</w:t>
      </w:r>
      <w:r>
        <w:t xml:space="preserve"> B</w:t>
      </w:r>
      <w:r w:rsidRPr="000842C0">
        <w:t>y embedding evaluation into the way we design</w:t>
      </w:r>
      <w:r>
        <w:t>,</w:t>
      </w:r>
      <w:r w:rsidRPr="000842C0">
        <w:t xml:space="preserve"> implement and review our initiatives</w:t>
      </w:r>
      <w:r w:rsidRPr="00E45855">
        <w:t xml:space="preserve">, we can ensure that our policies </w:t>
      </w:r>
      <w:r w:rsidR="00A7768D">
        <w:t>are achieving their intended outcomes</w:t>
      </w:r>
      <w:r w:rsidRPr="00E45855">
        <w:t>.</w:t>
      </w:r>
    </w:p>
    <w:p w14:paraId="1F5C6ECF" w14:textId="3ADDEBC0" w:rsidR="00EC60A9" w:rsidRDefault="00EC60A9" w:rsidP="00EC60A9">
      <w:r w:rsidRPr="007D337E">
        <w:t xml:space="preserve">We are committed to being transparent and accountable, and this Evaluation </w:t>
      </w:r>
      <w:r w:rsidR="00E703E1">
        <w:t>Strategy</w:t>
      </w:r>
      <w:r w:rsidR="00E703E1" w:rsidRPr="007D337E">
        <w:t xml:space="preserve"> </w:t>
      </w:r>
      <w:r w:rsidRPr="007D337E">
        <w:t xml:space="preserve">serves as a testament to that commitment. It is designed to </w:t>
      </w:r>
      <w:r w:rsidR="0076775E">
        <w:t>ensure that all of our</w:t>
      </w:r>
      <w:r w:rsidRPr="007D337E">
        <w:t xml:space="preserve"> </w:t>
      </w:r>
      <w:r>
        <w:t xml:space="preserve">policies and </w:t>
      </w:r>
      <w:r w:rsidRPr="007D337E">
        <w:t>programs</w:t>
      </w:r>
      <w:r w:rsidR="0076775E">
        <w:t xml:space="preserve"> are </w:t>
      </w:r>
      <w:r w:rsidR="002D5F95">
        <w:t>‘</w:t>
      </w:r>
      <w:r w:rsidR="0076775E">
        <w:t>evaluation ready</w:t>
      </w:r>
      <w:r w:rsidR="002D5F95">
        <w:t>’</w:t>
      </w:r>
      <w:r w:rsidR="001068E9">
        <w:t>,</w:t>
      </w:r>
      <w:r w:rsidRPr="007D337E">
        <w:t xml:space="preserve"> ensuring they </w:t>
      </w:r>
      <w:r w:rsidR="00B27E3B">
        <w:t>have clear objectives</w:t>
      </w:r>
      <w:r w:rsidR="00076E50">
        <w:t xml:space="preserve">, </w:t>
      </w:r>
      <w:r w:rsidRPr="007D337E">
        <w:t>deliver measurable benefits</w:t>
      </w:r>
      <w:r w:rsidR="00076E50">
        <w:t>,</w:t>
      </w:r>
      <w:r w:rsidRPr="007D337E">
        <w:t xml:space="preserve"> and contribute to </w:t>
      </w:r>
      <w:r>
        <w:t>our purpose</w:t>
      </w:r>
      <w:r w:rsidRPr="007D337E">
        <w:t>.</w:t>
      </w:r>
    </w:p>
    <w:p w14:paraId="3813B63E" w14:textId="149679D2" w:rsidR="00EC60A9" w:rsidRPr="00A14CB3" w:rsidRDefault="00EC60A9" w:rsidP="00EC60A9">
      <w:r w:rsidRPr="00A14CB3">
        <w:t>Th</w:t>
      </w:r>
      <w:r>
        <w:t>e</w:t>
      </w:r>
      <w:r w:rsidRPr="00A14CB3">
        <w:t xml:space="preserve"> </w:t>
      </w:r>
      <w:r w:rsidR="00A7768D">
        <w:t>Strategy</w:t>
      </w:r>
      <w:r w:rsidR="00A7768D" w:rsidRPr="00A14CB3">
        <w:t xml:space="preserve"> </w:t>
      </w:r>
      <w:r>
        <w:t xml:space="preserve">complements and adds value to our existing </w:t>
      </w:r>
      <w:r w:rsidRPr="00A14CB3">
        <w:t>evidence an</w:t>
      </w:r>
      <w:r>
        <w:t xml:space="preserve">d assurance </w:t>
      </w:r>
      <w:r w:rsidRPr="00A14CB3">
        <w:t>ecosystem</w:t>
      </w:r>
      <w:r w:rsidRPr="00215F5F">
        <w:t xml:space="preserve">. It provides structure </w:t>
      </w:r>
      <w:r w:rsidR="003635DD">
        <w:t>for</w:t>
      </w:r>
      <w:r w:rsidR="003635DD" w:rsidRPr="00215F5F">
        <w:t xml:space="preserve"> </w:t>
      </w:r>
      <w:r w:rsidRPr="00215F5F">
        <w:t>what</w:t>
      </w:r>
      <w:r w:rsidR="003635DD">
        <w:t>, when and how</w:t>
      </w:r>
      <w:r w:rsidRPr="00215F5F">
        <w:t xml:space="preserve"> we evaluate, and </w:t>
      </w:r>
      <w:r w:rsidR="003635DD">
        <w:t>prioritises</w:t>
      </w:r>
      <w:r w:rsidR="0026562E">
        <w:t xml:space="preserve"> efforts to</w:t>
      </w:r>
      <w:r w:rsidRPr="00215F5F">
        <w:t xml:space="preserve"> translate findings into actionable recommendations.</w:t>
      </w:r>
      <w:r w:rsidRPr="00A14CB3">
        <w:t xml:space="preserve"> </w:t>
      </w:r>
      <w:r>
        <w:t>It outlines a set of strategic priorities and actions to support evaluation planning</w:t>
      </w:r>
      <w:r w:rsidR="00A3705F">
        <w:t>,</w:t>
      </w:r>
      <w:r>
        <w:t xml:space="preserve"> delivery </w:t>
      </w:r>
      <w:r w:rsidR="00A3705F">
        <w:t xml:space="preserve">and capability </w:t>
      </w:r>
      <w:r>
        <w:t>in Treasury.</w:t>
      </w:r>
    </w:p>
    <w:p w14:paraId="67434775" w14:textId="3B765C2F" w:rsidR="00EC60A9" w:rsidRDefault="00EC60A9" w:rsidP="00EC60A9">
      <w:r w:rsidRPr="000842C0">
        <w:t xml:space="preserve">I commend this </w:t>
      </w:r>
      <w:r w:rsidR="00E703E1">
        <w:t>Strategy</w:t>
      </w:r>
      <w:r w:rsidR="00E703E1" w:rsidRPr="000842C0">
        <w:t xml:space="preserve"> </w:t>
      </w:r>
      <w:r w:rsidRPr="000842C0">
        <w:t xml:space="preserve">to all </w:t>
      </w:r>
      <w:r w:rsidR="0064513C">
        <w:t xml:space="preserve">Treasury </w:t>
      </w:r>
      <w:r w:rsidRPr="000842C0">
        <w:t xml:space="preserve">staff as a </w:t>
      </w:r>
      <w:r w:rsidR="00F442B2">
        <w:t>key</w:t>
      </w:r>
      <w:r w:rsidRPr="000842C0">
        <w:t xml:space="preserve"> instrument in our pursuit of excellence</w:t>
      </w:r>
      <w:r w:rsidR="006F05F0">
        <w:t xml:space="preserve"> </w:t>
      </w:r>
      <w:r w:rsidRPr="00A14CB3">
        <w:t>as trusted advisors to government</w:t>
      </w:r>
      <w:r w:rsidR="006035E1">
        <w:t>, to learn from experience and</w:t>
      </w:r>
      <w:r w:rsidR="001C6458">
        <w:t xml:space="preserve"> always strive to do things better</w:t>
      </w:r>
      <w:r w:rsidRPr="00A14CB3">
        <w:t>.</w:t>
      </w:r>
    </w:p>
    <w:p w14:paraId="411335C8" w14:textId="77777777" w:rsidR="0057601B" w:rsidRDefault="0057601B" w:rsidP="0057601B"/>
    <w:p w14:paraId="411A6209" w14:textId="77777777" w:rsidR="00EC60A9" w:rsidRDefault="00EC60A9" w:rsidP="0057601B"/>
    <w:p w14:paraId="3D1806D1" w14:textId="13893FCB" w:rsidR="00EC60A9" w:rsidRDefault="0003601B" w:rsidP="0057601B">
      <w:r>
        <w:t>Jenny Wilkinson</w:t>
      </w:r>
      <w:r w:rsidR="00CF54F6">
        <w:t xml:space="preserve"> PSM</w:t>
      </w:r>
    </w:p>
    <w:p w14:paraId="7596FA18" w14:textId="21D06396" w:rsidR="00482C43" w:rsidRDefault="002E4D40" w:rsidP="0057601B">
      <w:r w:rsidRPr="002E4D40">
        <w:t>Secretary</w:t>
      </w:r>
    </w:p>
    <w:p w14:paraId="57B65FB5" w14:textId="77777777" w:rsidR="002E4D40" w:rsidRDefault="002E4D40" w:rsidP="0057601B"/>
    <w:p w14:paraId="505F4B72" w14:textId="46BE1FA1" w:rsidR="0058379E" w:rsidRDefault="0058379E" w:rsidP="0057601B">
      <w:r>
        <w:t>August 2025</w:t>
      </w:r>
    </w:p>
    <w:p w14:paraId="6B20395A" w14:textId="77777777" w:rsidR="00827301" w:rsidRDefault="00827301">
      <w:pPr>
        <w:spacing w:before="0" w:after="160" w:line="259" w:lineRule="auto"/>
        <w:rPr>
          <w:rFonts w:ascii="Calibri" w:hAnsi="Calibri" w:cs="Arial"/>
          <w:b/>
          <w:color w:val="5D779D" w:themeColor="accent3"/>
          <w:kern w:val="32"/>
          <w:sz w:val="44"/>
          <w:szCs w:val="36"/>
        </w:rPr>
      </w:pPr>
      <w:bookmarkStart w:id="10" w:name="_Toc432067104"/>
      <w:bookmarkStart w:id="11" w:name="_Toc452635031"/>
      <w:bookmarkStart w:id="12" w:name="_Toc195716630"/>
      <w:r>
        <w:br w:type="page"/>
      </w:r>
    </w:p>
    <w:bookmarkStart w:id="13" w:name="_Toc208932156"/>
    <w:bookmarkStart w:id="14" w:name="_Toc208932667"/>
    <w:p w14:paraId="3D1AB58B" w14:textId="659A5217" w:rsidR="006C5B73" w:rsidRDefault="006179CF" w:rsidP="00C11011">
      <w:pPr>
        <w:pStyle w:val="Heading1"/>
      </w:pPr>
      <w:r>
        <w:rPr>
          <w:noProof/>
        </w:rPr>
        <w:lastRenderedPageBreak/>
        <mc:AlternateContent>
          <mc:Choice Requires="wps">
            <w:drawing>
              <wp:anchor distT="0" distB="0" distL="114300" distR="114300" simplePos="0" relativeHeight="251658241" behindDoc="1" locked="0" layoutInCell="1" allowOverlap="1" wp14:anchorId="6C4C1A03" wp14:editId="120520BB">
                <wp:simplePos x="0" y="0"/>
                <wp:positionH relativeFrom="column">
                  <wp:posOffset>-18346</wp:posOffset>
                </wp:positionH>
                <wp:positionV relativeFrom="paragraph">
                  <wp:posOffset>361933</wp:posOffset>
                </wp:positionV>
                <wp:extent cx="5791200" cy="8114270"/>
                <wp:effectExtent l="0" t="0" r="0" b="1270"/>
                <wp:wrapNone/>
                <wp:docPr id="1474845434" name="Rectangle 1"/>
                <wp:cNvGraphicFramePr/>
                <a:graphic xmlns:a="http://schemas.openxmlformats.org/drawingml/2006/main">
                  <a:graphicData uri="http://schemas.microsoft.com/office/word/2010/wordprocessingShape">
                    <wps:wsp>
                      <wps:cNvSpPr/>
                      <wps:spPr>
                        <a:xfrm>
                          <a:off x="0" y="0"/>
                          <a:ext cx="5791200" cy="8114270"/>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223C6F" id="Rectangle 1" o:spid="_x0000_s1026" style="position:absolute;margin-left:-1.45pt;margin-top:28.5pt;width:456pt;height:638.9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Q2kQIAAJ4FAAAOAAAAZHJzL2Uyb0RvYy54bWysVN9P2zAQfp+0/8Hy+0jTlQEVKapATJPY&#10;QIOJZ+PYxJLj885u0+6v39lJ0w7QHqa9JPb9+O7u892dX2xay9YKgwFX8fJowplyEmrjniv+4+H6&#10;wylnIQpXCwtOVXyrAr9YvH933vm5mkIDtlbICMSFeecr3sTo50URZKNaEY7AK0dKDdiKSFd8LmoU&#10;HaG3tphOJp+KDrD2CFKFQNKrXskXGV9rJeOt1kFFZitOucX8xfx9St9icS7mzyh8Y+SQhviHLFph&#10;HAUdoa5EFGyF5hVUayRCAB2PJLQFaG2kyjVQNeXkRTX3jfAq10LkBD/SFP4frPy2vvd3SDR0PswD&#10;HVMVG41t+lN+bJPJ2o5kqU1kkoTHJ2clvQBnknSnZTmbnmQ6i727xxA/K2hZOlQc6TUySWJ9EyKF&#10;JNOdSYoWwJr62libL6kD1KVFthb0dkJK5eLH7G5X7VeoezllQDnkVyQxvXUvPt2JKUTupYSUA/4R&#10;xLoUykEK2ueTJMWeinyKW6uSnXXflWampuKnOZER+TDHslc1ola9uDweUnyVSwZMyJrij9gDwFv1&#10;l6lSghnsk6vKTT46T/6WWO88euTI4OLo3BoH+BaAjWPk3n5HUk9NYukJ6u0dMoR+xIKX14Ze/UaE&#10;eCeQZoo6hfZEvKWPttBVHIYTZw3gr7fkyZ5anbScdTSjFQ8/VwIVZ/aLoyE4K2ezNNT5Mjs+mdIF&#10;DzVPhxq3ai+BWqmkjeRlPib7aHdHjdA+0jpZpqikEk5S7IrLiLvLZex3By0kqZbLbEaD7EW8cfde&#10;JvDEaurqh82jQD+0fqSp+Qa7eRbzFxPQ2yZPB8tVBG3yeOx5HfimJZDff1hYacsc3rPVfq0ufgMA&#10;AP//AwBQSwMEFAAGAAgAAAAhAKBsBqfgAAAACgEAAA8AAABkcnMvZG93bnJldi54bWxMj8FqwzAQ&#10;RO+F/oPYQm+J5CRNbcdyKIUeCoXQxB8gW4otYq2MpTjO33d7ao/LvJmdKfaz69lkxmA9SkiWApjB&#10;xmuLrYTq9LFIgYWoUKveo5FwNwH25eNDoXLtb/htpmNsGYVgyJWELsYh5zw0nXEqLP1gkLSzH52K&#10;dI4t16O6Ubjr+UqILXfKIn3o1GDeO9NcjldHNU7bS/WZ2snVragOX8n9MGyslM9P89sOWDRz/IPh&#10;tz55oKROtb+iDqyXsFhlREp4eaVJpGciS4DVBK7XmxR4WfD/E8ofAAAA//8DAFBLAQItABQABgAI&#10;AAAAIQC2gziS/gAAAOEBAAATAAAAAAAAAAAAAAAAAAAAAABbQ29udGVudF9UeXBlc10ueG1sUEsB&#10;Ai0AFAAGAAgAAAAhADj9If/WAAAAlAEAAAsAAAAAAAAAAAAAAAAALwEAAF9yZWxzLy5yZWxzUEsB&#10;Ai0AFAAGAAgAAAAhAHAZdDaRAgAAngUAAA4AAAAAAAAAAAAAAAAALgIAAGRycy9lMm9Eb2MueG1s&#10;UEsBAi0AFAAGAAgAAAAhAKBsBqfgAAAACgEAAA8AAAAAAAAAAAAAAAAA6wQAAGRycy9kb3ducmV2&#10;LnhtbFBLBQYAAAAABAAEAPMAAAD4BQAAAAA=&#10;" fillcolor="#dee3eb [662]" stroked="f" strokeweight="2pt"/>
            </w:pict>
          </mc:Fallback>
        </mc:AlternateContent>
      </w:r>
      <w:r w:rsidR="00C904F9">
        <w:t xml:space="preserve">Executive </w:t>
      </w:r>
      <w:r w:rsidR="006C5B73" w:rsidRPr="00A524B9">
        <w:t>Summary</w:t>
      </w:r>
      <w:bookmarkEnd w:id="10"/>
      <w:bookmarkEnd w:id="11"/>
      <w:bookmarkEnd w:id="12"/>
      <w:bookmarkEnd w:id="13"/>
      <w:bookmarkEnd w:id="14"/>
    </w:p>
    <w:tbl>
      <w:tblPr>
        <w:tblStyle w:val="TableGrid"/>
        <w:tblW w:w="0" w:type="auto"/>
        <w:shd w:val="clear" w:color="auto" w:fill="DEE3EB" w:themeFill="accent3" w:themeFillTint="33"/>
        <w:tblLook w:val="04A0" w:firstRow="1" w:lastRow="0" w:firstColumn="1" w:lastColumn="0" w:noHBand="0" w:noVBand="1"/>
      </w:tblPr>
      <w:tblGrid>
        <w:gridCol w:w="9072"/>
      </w:tblGrid>
      <w:tr w:rsidR="00F9546E" w14:paraId="7F7A6C09" w14:textId="77777777" w:rsidTr="00315457">
        <w:trPr>
          <w:cnfStyle w:val="100000000000" w:firstRow="1" w:lastRow="0" w:firstColumn="0" w:lastColumn="0" w:oddVBand="0" w:evenVBand="0" w:oddHBand="0" w:evenHBand="0" w:firstRowFirstColumn="0" w:firstRowLastColumn="0" w:lastRowFirstColumn="0" w:lastRowLastColumn="0"/>
        </w:trPr>
        <w:tc>
          <w:tcPr>
            <w:tcW w:w="9072" w:type="dxa"/>
            <w:tcBorders>
              <w:top w:val="single" w:sz="4" w:space="0" w:color="auto"/>
              <w:bottom w:val="single" w:sz="4" w:space="0" w:color="auto"/>
            </w:tcBorders>
            <w:shd w:val="clear" w:color="auto" w:fill="DEE3EB" w:themeFill="accent3" w:themeFillTint="33"/>
          </w:tcPr>
          <w:p w14:paraId="3FDF9596" w14:textId="3299F301" w:rsidR="00F9546E" w:rsidRPr="00F9546E" w:rsidRDefault="00F9546E" w:rsidP="00827301">
            <w:pPr>
              <w:rPr>
                <w:i/>
                <w:iCs/>
                <w:szCs w:val="22"/>
              </w:rPr>
            </w:pPr>
            <w:r>
              <w:rPr>
                <w:bCs/>
                <w:i/>
                <w:iCs/>
                <w:sz w:val="22"/>
                <w:szCs w:val="22"/>
              </w:rPr>
              <w:t xml:space="preserve">Treasury’s </w:t>
            </w:r>
            <w:r w:rsidRPr="0058724B">
              <w:rPr>
                <w:bCs/>
                <w:i/>
                <w:iCs/>
                <w:sz w:val="22"/>
                <w:szCs w:val="22"/>
              </w:rPr>
              <w:t>Vision</w:t>
            </w:r>
            <w:r>
              <w:rPr>
                <w:bCs/>
                <w:i/>
                <w:iCs/>
                <w:sz w:val="22"/>
                <w:szCs w:val="22"/>
              </w:rPr>
              <w:t xml:space="preserve"> for Evaluation</w:t>
            </w:r>
            <w:r w:rsidRPr="0058724B">
              <w:rPr>
                <w:bCs/>
                <w:i/>
                <w:iCs/>
                <w:sz w:val="22"/>
                <w:szCs w:val="22"/>
              </w:rPr>
              <w:t xml:space="preserve">: </w:t>
            </w:r>
            <w:r w:rsidRPr="00F9546E">
              <w:rPr>
                <w:b w:val="0"/>
                <w:bCs/>
                <w:i/>
                <w:iCs/>
                <w:sz w:val="22"/>
                <w:szCs w:val="22"/>
              </w:rPr>
              <w:t>We evaluate to ensure our advice, policies and programs achieve strong and sustainable economic and fiscal outcomes for Australians.</w:t>
            </w:r>
          </w:p>
        </w:tc>
      </w:tr>
    </w:tbl>
    <w:p w14:paraId="43160753" w14:textId="77777777" w:rsidR="0073457E" w:rsidRPr="00AC3B67" w:rsidRDefault="0073457E" w:rsidP="0073457E">
      <w:pPr>
        <w:pStyle w:val="TableTextLeft"/>
        <w:jc w:val="center"/>
        <w:rPr>
          <w:noProof/>
          <w:color w:val="455875" w:themeColor="accent3" w:themeShade="BF"/>
          <w:sz w:val="20"/>
          <w:szCs w:val="22"/>
        </w:rPr>
      </w:pPr>
      <w:r w:rsidRPr="00AC3B67">
        <w:rPr>
          <w:noProof/>
          <w:color w:val="455875" w:themeColor="accent3" w:themeShade="BF"/>
          <w:sz w:val="20"/>
          <w:szCs w:val="22"/>
        </w:rPr>
        <w:t>This Strategy aims to:</w:t>
      </w:r>
    </w:p>
    <w:p w14:paraId="3F23C28F" w14:textId="77777777" w:rsidR="0073457E" w:rsidRPr="00AC3B67" w:rsidRDefault="0073457E" w:rsidP="0073457E">
      <w:pPr>
        <w:pStyle w:val="TableTextLeft"/>
        <w:jc w:val="center"/>
        <w:rPr>
          <w:noProof/>
          <w:color w:val="455875" w:themeColor="accent3" w:themeShade="BF"/>
          <w:sz w:val="20"/>
          <w:szCs w:val="22"/>
        </w:rPr>
      </w:pPr>
      <w:r w:rsidRPr="00AC3B67">
        <w:rPr>
          <w:noProof/>
          <w:color w:val="455875" w:themeColor="accent3" w:themeShade="BF"/>
          <w:sz w:val="20"/>
          <w:szCs w:val="22"/>
        </w:rPr>
        <w:t>Embed</w:t>
      </w:r>
      <w:r w:rsidRPr="00AC3B67">
        <w:rPr>
          <w:b/>
          <w:bCs/>
          <w:noProof/>
          <w:color w:val="455875" w:themeColor="accent3" w:themeShade="BF"/>
          <w:sz w:val="20"/>
          <w:szCs w:val="22"/>
        </w:rPr>
        <w:t xml:space="preserve"> one vision</w:t>
      </w:r>
      <w:r w:rsidRPr="00AC3B67">
        <w:rPr>
          <w:noProof/>
          <w:color w:val="455875" w:themeColor="accent3" w:themeShade="BF"/>
          <w:sz w:val="20"/>
          <w:szCs w:val="22"/>
        </w:rPr>
        <w:t xml:space="preserve"> for evaluation across Treasury</w:t>
      </w:r>
    </w:p>
    <w:p w14:paraId="59EBC5C2" w14:textId="77777777" w:rsidR="0073457E" w:rsidRPr="00AC3B67" w:rsidRDefault="0073457E" w:rsidP="0073457E">
      <w:pPr>
        <w:pStyle w:val="TableTextLeft"/>
        <w:jc w:val="center"/>
        <w:rPr>
          <w:noProof/>
          <w:color w:val="455875" w:themeColor="accent3" w:themeShade="BF"/>
          <w:sz w:val="20"/>
          <w:szCs w:val="22"/>
        </w:rPr>
      </w:pPr>
      <w:r w:rsidRPr="00AC3B67">
        <w:rPr>
          <w:noProof/>
          <w:color w:val="455875" w:themeColor="accent3" w:themeShade="BF"/>
          <w:sz w:val="20"/>
          <w:szCs w:val="22"/>
        </w:rPr>
        <w:t xml:space="preserve">Clarify </w:t>
      </w:r>
      <w:r w:rsidRPr="00AC3B67">
        <w:rPr>
          <w:b/>
          <w:color w:val="455875" w:themeColor="accent3" w:themeShade="BF"/>
          <w:sz w:val="20"/>
          <w:szCs w:val="22"/>
        </w:rPr>
        <w:t>roles and</w:t>
      </w:r>
      <w:r w:rsidRPr="00AC3B67">
        <w:rPr>
          <w:noProof/>
          <w:color w:val="455875" w:themeColor="accent3" w:themeShade="BF"/>
          <w:sz w:val="20"/>
          <w:szCs w:val="22"/>
        </w:rPr>
        <w:t xml:space="preserve"> </w:t>
      </w:r>
      <w:r w:rsidRPr="00AC3B67">
        <w:rPr>
          <w:b/>
          <w:bCs/>
          <w:noProof/>
          <w:color w:val="455875" w:themeColor="accent3" w:themeShade="BF"/>
          <w:sz w:val="20"/>
          <w:szCs w:val="22"/>
        </w:rPr>
        <w:t>responsibilities for evaluation</w:t>
      </w:r>
    </w:p>
    <w:p w14:paraId="57B11E7E" w14:textId="37984F9C" w:rsidR="00C616B1" w:rsidRPr="008A081E" w:rsidRDefault="0073457E" w:rsidP="008A081E">
      <w:pPr>
        <w:pStyle w:val="TableTextLeft"/>
        <w:spacing w:after="120"/>
        <w:jc w:val="center"/>
        <w:rPr>
          <w:noProof/>
          <w:color w:val="455875" w:themeColor="accent3" w:themeShade="BF"/>
          <w:sz w:val="20"/>
          <w:szCs w:val="22"/>
        </w:rPr>
      </w:pPr>
      <w:r w:rsidRPr="00AC3B67">
        <w:rPr>
          <w:color w:val="455875" w:themeColor="accent3" w:themeShade="BF"/>
          <w:sz w:val="20"/>
          <w:szCs w:val="22"/>
        </w:rPr>
        <w:t>Establish</w:t>
      </w:r>
      <w:r w:rsidRPr="00AC3B67">
        <w:rPr>
          <w:b/>
          <w:bCs/>
          <w:noProof/>
          <w:color w:val="455875" w:themeColor="accent3" w:themeShade="BF"/>
          <w:sz w:val="20"/>
          <w:szCs w:val="22"/>
        </w:rPr>
        <w:t xml:space="preserve"> support to implement, monitor and learn </w:t>
      </w:r>
      <w:r w:rsidRPr="00AC3B67">
        <w:rPr>
          <w:noProof/>
          <w:color w:val="455875" w:themeColor="accent3" w:themeShade="BF"/>
          <w:sz w:val="20"/>
          <w:szCs w:val="22"/>
        </w:rPr>
        <w:t>from</w:t>
      </w:r>
      <w:r w:rsidRPr="00AC3B67">
        <w:rPr>
          <w:b/>
          <w:bCs/>
          <w:noProof/>
          <w:color w:val="455875" w:themeColor="accent3" w:themeShade="BF"/>
          <w:sz w:val="20"/>
          <w:szCs w:val="22"/>
        </w:rPr>
        <w:t xml:space="preserve"> </w:t>
      </w:r>
      <w:r w:rsidRPr="00AC3B67">
        <w:rPr>
          <w:noProof/>
          <w:color w:val="455875" w:themeColor="accent3" w:themeShade="BF"/>
          <w:sz w:val="20"/>
          <w:szCs w:val="22"/>
        </w:rPr>
        <w:t>evaluation findings</w:t>
      </w:r>
    </w:p>
    <w:p w14:paraId="73F9EECF" w14:textId="77777777" w:rsidR="00F22D5E" w:rsidRPr="00AC3B67" w:rsidRDefault="00F22D5E" w:rsidP="00827301">
      <w:pPr>
        <w:rPr>
          <w:sz w:val="24"/>
          <w:szCs w:val="22"/>
        </w:rPr>
        <w:sectPr w:rsidR="00F22D5E" w:rsidRPr="00AC3B67" w:rsidSect="0073457E">
          <w:footerReference w:type="default" r:id="rId21"/>
          <w:type w:val="continuous"/>
          <w:pgSz w:w="11906" w:h="16838" w:code="9"/>
          <w:pgMar w:top="1843" w:right="1417" w:bottom="1417" w:left="1417" w:header="709" w:footer="709" w:gutter="0"/>
          <w:cols w:space="708"/>
          <w:docGrid w:linePitch="360"/>
        </w:sectPr>
      </w:pPr>
    </w:p>
    <w:p w14:paraId="6AAA1041" w14:textId="77777777" w:rsidR="00DE17B9" w:rsidRPr="0093038C" w:rsidRDefault="00DE17B9" w:rsidP="0093038C">
      <w:pPr>
        <w:pStyle w:val="BoxHeading"/>
        <w:rPr>
          <w:sz w:val="22"/>
          <w:szCs w:val="22"/>
        </w:rPr>
      </w:pPr>
      <w:r w:rsidRPr="0093038C">
        <w:rPr>
          <w:sz w:val="22"/>
          <w:szCs w:val="22"/>
        </w:rPr>
        <w:t>Why we need an Evaluation Strategy</w:t>
      </w:r>
    </w:p>
    <w:p w14:paraId="193E8D5E" w14:textId="77777777" w:rsidR="00DE17B9" w:rsidRPr="00AC3B67" w:rsidRDefault="00DE17B9" w:rsidP="00CB5871">
      <w:pPr>
        <w:pStyle w:val="TableTextLeft"/>
        <w:numPr>
          <w:ilvl w:val="0"/>
          <w:numId w:val="12"/>
        </w:numPr>
        <w:ind w:left="426" w:right="282"/>
        <w:rPr>
          <w:sz w:val="20"/>
          <w:szCs w:val="22"/>
        </w:rPr>
      </w:pPr>
      <w:r w:rsidRPr="00AC3B67">
        <w:rPr>
          <w:sz w:val="20"/>
          <w:szCs w:val="22"/>
        </w:rPr>
        <w:t>Evaluation is relevant to all of Treasury’s responsibilities. In mid-2025, these responsibilities include t</w:t>
      </w:r>
      <w:r w:rsidRPr="00AC3B67">
        <w:rPr>
          <w:rFonts w:eastAsia="Calibri Light"/>
          <w:sz w:val="20"/>
          <w:szCs w:val="22"/>
        </w:rPr>
        <w:t>he design and implementation of policies and regulations, r</w:t>
      </w:r>
      <w:r w:rsidRPr="00AC3B67">
        <w:rPr>
          <w:sz w:val="20"/>
          <w:szCs w:val="22"/>
        </w:rPr>
        <w:t>egulatory responsibilities, economic and fiscal forecasts and modelling, budget preparation and central agency oversight of budget proposals, Commonwealth-State relations, and international engagement.</w:t>
      </w:r>
      <w:r w:rsidRPr="00AC3B67" w:rsidDel="00FE5585">
        <w:rPr>
          <w:sz w:val="20"/>
          <w:szCs w:val="22"/>
        </w:rPr>
        <w:t xml:space="preserve"> </w:t>
      </w:r>
    </w:p>
    <w:p w14:paraId="0FC21D60" w14:textId="77777777" w:rsidR="00DE17B9" w:rsidRPr="00AC3B67" w:rsidRDefault="00DE17B9" w:rsidP="00CB5871">
      <w:pPr>
        <w:pStyle w:val="TableTextLeft"/>
        <w:numPr>
          <w:ilvl w:val="0"/>
          <w:numId w:val="12"/>
        </w:numPr>
        <w:ind w:left="426" w:right="282"/>
        <w:rPr>
          <w:sz w:val="20"/>
          <w:szCs w:val="22"/>
        </w:rPr>
      </w:pPr>
      <w:r w:rsidRPr="00AC3B67">
        <w:rPr>
          <w:sz w:val="20"/>
          <w:szCs w:val="22"/>
        </w:rPr>
        <w:t>Developing a proportionate and centralised governance approach to prioritising formal evaluation in the department will ensure we measure the right things, in the right way, at the right time.</w:t>
      </w:r>
    </w:p>
    <w:p w14:paraId="082D0C6A" w14:textId="77777777" w:rsidR="00DE17B9" w:rsidRPr="00AC3B67" w:rsidRDefault="00DE17B9" w:rsidP="00CB5871">
      <w:pPr>
        <w:pStyle w:val="TableTextLeft"/>
        <w:numPr>
          <w:ilvl w:val="0"/>
          <w:numId w:val="12"/>
        </w:numPr>
        <w:ind w:left="426" w:right="282"/>
        <w:rPr>
          <w:sz w:val="20"/>
          <w:szCs w:val="22"/>
        </w:rPr>
      </w:pPr>
      <w:r w:rsidRPr="00AC3B67">
        <w:rPr>
          <w:sz w:val="20"/>
          <w:szCs w:val="22"/>
        </w:rPr>
        <w:t>With consistent, practical and efficient processes in place, we can improve the quality of evaluation evidence available for use in Treasury and share lessons to support continuous learning.</w:t>
      </w:r>
    </w:p>
    <w:p w14:paraId="77E14D82" w14:textId="77777777" w:rsidR="00DE17B9" w:rsidRPr="00AC3B67" w:rsidRDefault="00DE17B9" w:rsidP="00DE17B9">
      <w:pPr>
        <w:rPr>
          <w:sz w:val="24"/>
          <w:szCs w:val="22"/>
        </w:rPr>
      </w:pPr>
    </w:p>
    <w:p w14:paraId="3C1CFEBA" w14:textId="77777777" w:rsidR="00DE17B9" w:rsidRPr="0093038C" w:rsidRDefault="00DE17B9" w:rsidP="0093038C">
      <w:pPr>
        <w:pStyle w:val="BoxHeading"/>
        <w:rPr>
          <w:sz w:val="22"/>
          <w:szCs w:val="22"/>
        </w:rPr>
      </w:pPr>
      <w:r w:rsidRPr="0093038C">
        <w:rPr>
          <w:sz w:val="22"/>
          <w:szCs w:val="22"/>
        </w:rPr>
        <w:t>Our current state</w:t>
      </w:r>
    </w:p>
    <w:p w14:paraId="3F64E855" w14:textId="77777777" w:rsidR="00DE17B9" w:rsidRPr="00AC3B67" w:rsidRDefault="00DE17B9" w:rsidP="00DE17B9">
      <w:pPr>
        <w:pStyle w:val="TableTextLeft"/>
        <w:numPr>
          <w:ilvl w:val="0"/>
          <w:numId w:val="12"/>
        </w:numPr>
        <w:rPr>
          <w:sz w:val="20"/>
          <w:szCs w:val="22"/>
        </w:rPr>
      </w:pPr>
      <w:r w:rsidRPr="00AC3B67">
        <w:rPr>
          <w:sz w:val="20"/>
          <w:szCs w:val="22"/>
        </w:rPr>
        <w:t>Treasury is a leader in developing evidence-informed policy through our research, data analysis, modelling capabilities, and stakeholder outreach.</w:t>
      </w:r>
    </w:p>
    <w:p w14:paraId="1D31D8A7" w14:textId="77777777" w:rsidR="00DE17B9" w:rsidRPr="00AC3B67" w:rsidRDefault="00DE17B9" w:rsidP="00DE17B9">
      <w:pPr>
        <w:pStyle w:val="TableTextLeft"/>
        <w:numPr>
          <w:ilvl w:val="0"/>
          <w:numId w:val="12"/>
        </w:numPr>
        <w:rPr>
          <w:sz w:val="20"/>
          <w:szCs w:val="22"/>
        </w:rPr>
      </w:pPr>
      <w:r w:rsidRPr="00AC3B67">
        <w:rPr>
          <w:sz w:val="20"/>
          <w:szCs w:val="22"/>
        </w:rPr>
        <w:t>We have a robust evidence and assurance system including a performance framework, program management framework, risk management framework, data governance framework, integrity strategy and strategic internal audit program.</w:t>
      </w:r>
    </w:p>
    <w:p w14:paraId="1C5134FE" w14:textId="77777777" w:rsidR="00DE17B9" w:rsidRPr="00AC3B67" w:rsidRDefault="00DE17B9" w:rsidP="00DE17B9">
      <w:pPr>
        <w:pStyle w:val="TableTextLeft"/>
        <w:numPr>
          <w:ilvl w:val="0"/>
          <w:numId w:val="12"/>
        </w:numPr>
        <w:rPr>
          <w:sz w:val="20"/>
          <w:szCs w:val="22"/>
        </w:rPr>
      </w:pPr>
      <w:r w:rsidRPr="00AC3B67">
        <w:rPr>
          <w:sz w:val="20"/>
          <w:szCs w:val="22"/>
        </w:rPr>
        <w:t xml:space="preserve">Treasury regularly conducts evaluation or evaluation-like activities (such as statutory reviews). However, there is no central system for tracking evaluation activity, prioritising evaluation effort, or monitoring the use of evaluation evidence. There is also scope to improve evaluation capability amongst staff, and to deepen a culture of evaluation across the Department. </w:t>
      </w:r>
    </w:p>
    <w:p w14:paraId="7A10A792" w14:textId="726AC232" w:rsidR="00877957" w:rsidRPr="00AC3B67" w:rsidRDefault="00DE17B9" w:rsidP="00DE17B9">
      <w:pPr>
        <w:pStyle w:val="TableTextLeft"/>
        <w:numPr>
          <w:ilvl w:val="0"/>
          <w:numId w:val="12"/>
        </w:numPr>
        <w:rPr>
          <w:sz w:val="20"/>
          <w:szCs w:val="22"/>
        </w:rPr>
        <w:sectPr w:rsidR="00877957" w:rsidRPr="00AC3B67" w:rsidSect="00AC3B67">
          <w:type w:val="continuous"/>
          <w:pgSz w:w="11906" w:h="16838" w:code="9"/>
          <w:pgMar w:top="1843" w:right="1417" w:bottom="1560" w:left="1417" w:header="709" w:footer="709" w:gutter="0"/>
          <w:cols w:num="2" w:space="2"/>
          <w:docGrid w:linePitch="360"/>
        </w:sectPr>
      </w:pPr>
      <w:r w:rsidRPr="00AC3B67">
        <w:rPr>
          <w:sz w:val="20"/>
          <w:szCs w:val="22"/>
        </w:rPr>
        <w:t>The Australian Centre for Evaluation (ACE) has a whole of government mandate to help embed a culture of evaluation across the Australian Government. We can leverage the expertise in the ACE to drive evaluation excellence in Treasury</w:t>
      </w:r>
    </w:p>
    <w:p w14:paraId="280A75CE" w14:textId="03A42614" w:rsidR="00877957" w:rsidRPr="0093038C" w:rsidRDefault="00BC26A2" w:rsidP="0093038C">
      <w:pPr>
        <w:pStyle w:val="BoxHeading"/>
        <w:spacing w:before="0"/>
        <w:rPr>
          <w:sz w:val="22"/>
          <w:szCs w:val="22"/>
        </w:rPr>
      </w:pPr>
      <w:r w:rsidRPr="0093038C">
        <w:rPr>
          <w:sz w:val="22"/>
          <w:szCs w:val="22"/>
        </w:rPr>
        <w:t>Priorities and actions</w:t>
      </w:r>
    </w:p>
    <w:tbl>
      <w:tblPr>
        <w:tblStyle w:val="PlainTable4"/>
        <w:tblW w:w="5078" w:type="pct"/>
        <w:tblLook w:val="01E0" w:firstRow="1" w:lastRow="1" w:firstColumn="1" w:lastColumn="1" w:noHBand="0" w:noVBand="0"/>
      </w:tblPr>
      <w:tblGrid>
        <w:gridCol w:w="2552"/>
        <w:gridCol w:w="2409"/>
        <w:gridCol w:w="2128"/>
        <w:gridCol w:w="2125"/>
      </w:tblGrid>
      <w:tr w:rsidR="00CB5871" w:rsidRPr="00AC3B67" w14:paraId="62F4E597" w14:textId="77777777" w:rsidTr="004A7F0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5" w:type="pct"/>
          </w:tcPr>
          <w:p w14:paraId="74BF28AB" w14:textId="2619D416" w:rsidR="00BC26A2" w:rsidRPr="00AC3B67" w:rsidRDefault="00BC26A2" w:rsidP="00CB5871">
            <w:pPr>
              <w:pStyle w:val="TableTextLeft"/>
              <w:numPr>
                <w:ilvl w:val="0"/>
                <w:numId w:val="13"/>
              </w:numPr>
              <w:ind w:left="181" w:hanging="218"/>
              <w:rPr>
                <w:sz w:val="20"/>
                <w:szCs w:val="22"/>
              </w:rPr>
            </w:pPr>
            <w:r w:rsidRPr="00AC3B67">
              <w:rPr>
                <w:sz w:val="20"/>
                <w:szCs w:val="22"/>
              </w:rPr>
              <w:t>Evaluation leadership and promotion</w:t>
            </w:r>
          </w:p>
        </w:tc>
        <w:tc>
          <w:tcPr>
            <w:cnfStyle w:val="000010000000" w:firstRow="0" w:lastRow="0" w:firstColumn="0" w:lastColumn="0" w:oddVBand="1" w:evenVBand="0" w:oddHBand="0" w:evenHBand="0" w:firstRowFirstColumn="0" w:firstRowLastColumn="0" w:lastRowFirstColumn="0" w:lastRowLastColumn="0"/>
            <w:tcW w:w="1307" w:type="pct"/>
            <w:shd w:val="clear" w:color="auto" w:fill="DEE3EB" w:themeFill="accent3" w:themeFillTint="33"/>
          </w:tcPr>
          <w:p w14:paraId="6488125E" w14:textId="5209FB26" w:rsidR="00BC26A2" w:rsidRPr="00AC3B67" w:rsidRDefault="00BC26A2" w:rsidP="00CB5871">
            <w:pPr>
              <w:pStyle w:val="TableTextLeft"/>
              <w:numPr>
                <w:ilvl w:val="0"/>
                <w:numId w:val="13"/>
              </w:numPr>
              <w:ind w:left="181" w:hanging="218"/>
              <w:rPr>
                <w:sz w:val="20"/>
                <w:szCs w:val="22"/>
              </w:rPr>
            </w:pPr>
            <w:r w:rsidRPr="00AC3B67">
              <w:rPr>
                <w:sz w:val="20"/>
                <w:szCs w:val="22"/>
              </w:rPr>
              <w:t>Fit-for-purpose evaluation delivery</w:t>
            </w:r>
          </w:p>
        </w:tc>
        <w:tc>
          <w:tcPr>
            <w:tcW w:w="1155" w:type="pct"/>
          </w:tcPr>
          <w:p w14:paraId="53358FDE" w14:textId="013B9470" w:rsidR="00BC26A2" w:rsidRPr="00AC3B67" w:rsidRDefault="00BC26A2" w:rsidP="00CB5871">
            <w:pPr>
              <w:pStyle w:val="TableTextLeft"/>
              <w:numPr>
                <w:ilvl w:val="0"/>
                <w:numId w:val="13"/>
              </w:numPr>
              <w:ind w:left="181" w:hanging="218"/>
              <w:cnfStyle w:val="100000000000" w:firstRow="1" w:lastRow="0" w:firstColumn="0" w:lastColumn="0" w:oddVBand="0" w:evenVBand="0" w:oddHBand="0" w:evenHBand="0" w:firstRowFirstColumn="0" w:firstRowLastColumn="0" w:lastRowFirstColumn="0" w:lastRowLastColumn="0"/>
              <w:rPr>
                <w:sz w:val="20"/>
                <w:szCs w:val="22"/>
              </w:rPr>
            </w:pPr>
            <w:r w:rsidRPr="00AC3B67">
              <w:rPr>
                <w:sz w:val="20"/>
                <w:szCs w:val="22"/>
              </w:rPr>
              <w:t>Evaluation use and continuous learning</w:t>
            </w:r>
          </w:p>
        </w:tc>
        <w:tc>
          <w:tcPr>
            <w:cnfStyle w:val="000100000000" w:firstRow="0" w:lastRow="0" w:firstColumn="0" w:lastColumn="1" w:oddVBand="0" w:evenVBand="0" w:oddHBand="0" w:evenHBand="0" w:firstRowFirstColumn="0" w:firstRowLastColumn="0" w:lastRowFirstColumn="0" w:lastRowLastColumn="0"/>
            <w:tcW w:w="1153" w:type="pct"/>
          </w:tcPr>
          <w:p w14:paraId="48DD0AD2" w14:textId="17D65B21" w:rsidR="00BC26A2" w:rsidRPr="00AC3B67" w:rsidRDefault="00BC26A2" w:rsidP="00CB5871">
            <w:pPr>
              <w:pStyle w:val="TableTextLeft"/>
              <w:numPr>
                <w:ilvl w:val="0"/>
                <w:numId w:val="13"/>
              </w:numPr>
              <w:ind w:left="181" w:hanging="218"/>
              <w:rPr>
                <w:sz w:val="20"/>
                <w:szCs w:val="22"/>
              </w:rPr>
            </w:pPr>
            <w:r w:rsidRPr="00AC3B67">
              <w:rPr>
                <w:sz w:val="20"/>
                <w:szCs w:val="22"/>
              </w:rPr>
              <w:t>Evaluation capability and culture</w:t>
            </w:r>
          </w:p>
        </w:tc>
      </w:tr>
      <w:tr w:rsidR="00AC3B67" w:rsidRPr="00AC3B67" w14:paraId="08C583E9" w14:textId="77777777" w:rsidTr="004A7F05">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5" w:type="pct"/>
          </w:tcPr>
          <w:p w14:paraId="4F74D644" w14:textId="4A0B1A81" w:rsidR="00877957" w:rsidRPr="00AC3B67" w:rsidRDefault="007A7EEF" w:rsidP="00872132">
            <w:pPr>
              <w:pStyle w:val="TableTextLeft"/>
              <w:ind w:left="181" w:hanging="181"/>
              <w:rPr>
                <w:b w:val="0"/>
                <w:bCs w:val="0"/>
                <w:sz w:val="20"/>
                <w:szCs w:val="22"/>
              </w:rPr>
            </w:pPr>
            <w:r w:rsidRPr="00AC3B67">
              <w:rPr>
                <w:b w:val="0"/>
                <w:bCs w:val="0"/>
                <w:sz w:val="20"/>
                <w:szCs w:val="22"/>
              </w:rPr>
              <w:t>1.</w:t>
            </w:r>
            <w:r w:rsidR="00B12E16" w:rsidRPr="00AC3B67">
              <w:rPr>
                <w:b w:val="0"/>
                <w:bCs w:val="0"/>
                <w:sz w:val="20"/>
                <w:szCs w:val="22"/>
              </w:rPr>
              <w:t>1</w:t>
            </w:r>
            <w:r w:rsidRPr="00AC3B67">
              <w:rPr>
                <w:b w:val="0"/>
                <w:bCs w:val="0"/>
                <w:sz w:val="20"/>
                <w:szCs w:val="22"/>
              </w:rPr>
              <w:t xml:space="preserve"> </w:t>
            </w:r>
            <w:r w:rsidR="00877957" w:rsidRPr="00AC3B67">
              <w:rPr>
                <w:b w:val="0"/>
                <w:bCs w:val="0"/>
                <w:sz w:val="20"/>
                <w:szCs w:val="22"/>
              </w:rPr>
              <w:t xml:space="preserve">Define and promote clear roles and responsibilities for evaluation in Treasury </w:t>
            </w:r>
          </w:p>
          <w:p w14:paraId="504CDB0C" w14:textId="538D8D19" w:rsidR="00877957" w:rsidRPr="00AC3B67" w:rsidRDefault="007A7EEF" w:rsidP="00872132">
            <w:pPr>
              <w:pStyle w:val="TableTextLeft"/>
              <w:ind w:left="181" w:hanging="181"/>
              <w:rPr>
                <w:b w:val="0"/>
                <w:bCs w:val="0"/>
                <w:sz w:val="20"/>
                <w:szCs w:val="22"/>
              </w:rPr>
            </w:pPr>
            <w:r w:rsidRPr="00AC3B67">
              <w:rPr>
                <w:b w:val="0"/>
                <w:bCs w:val="0"/>
                <w:sz w:val="20"/>
                <w:szCs w:val="22"/>
              </w:rPr>
              <w:t>1.</w:t>
            </w:r>
            <w:r w:rsidR="00B12E16" w:rsidRPr="00AC3B67">
              <w:rPr>
                <w:b w:val="0"/>
                <w:bCs w:val="0"/>
                <w:sz w:val="20"/>
                <w:szCs w:val="22"/>
              </w:rPr>
              <w:t>2</w:t>
            </w:r>
            <w:r w:rsidRPr="00AC3B67">
              <w:rPr>
                <w:b w:val="0"/>
                <w:bCs w:val="0"/>
                <w:sz w:val="20"/>
                <w:szCs w:val="22"/>
              </w:rPr>
              <w:t xml:space="preserve"> </w:t>
            </w:r>
            <w:r w:rsidR="00877957" w:rsidRPr="00AC3B67">
              <w:rPr>
                <w:b w:val="0"/>
                <w:bCs w:val="0"/>
                <w:sz w:val="20"/>
                <w:szCs w:val="22"/>
              </w:rPr>
              <w:t>Further embed evaluation into planning, policy and decision-making processes</w:t>
            </w:r>
          </w:p>
          <w:p w14:paraId="4ED1CC01" w14:textId="37C5F843" w:rsidR="00877957" w:rsidRPr="00AC3B67" w:rsidRDefault="00B12E16" w:rsidP="00872132">
            <w:pPr>
              <w:pStyle w:val="TableTextLeft"/>
              <w:ind w:left="181" w:hanging="181"/>
              <w:rPr>
                <w:b w:val="0"/>
                <w:bCs w:val="0"/>
                <w:sz w:val="20"/>
                <w:szCs w:val="22"/>
              </w:rPr>
            </w:pPr>
            <w:r w:rsidRPr="00AC3B67">
              <w:rPr>
                <w:b w:val="0"/>
                <w:bCs w:val="0"/>
                <w:sz w:val="20"/>
                <w:szCs w:val="22"/>
              </w:rPr>
              <w:t xml:space="preserve">1.3 </w:t>
            </w:r>
            <w:r w:rsidR="00877957" w:rsidRPr="00AC3B67">
              <w:rPr>
                <w:b w:val="0"/>
                <w:bCs w:val="0"/>
                <w:sz w:val="20"/>
                <w:szCs w:val="22"/>
              </w:rPr>
              <w:t>Report to the Performance and Risk Committee on evaluation activities, findings, and responses to and implementation of findings</w:t>
            </w:r>
          </w:p>
        </w:tc>
        <w:tc>
          <w:tcPr>
            <w:cnfStyle w:val="000010000000" w:firstRow="0" w:lastRow="0" w:firstColumn="0" w:lastColumn="0" w:oddVBand="1" w:evenVBand="0" w:oddHBand="0" w:evenHBand="0" w:firstRowFirstColumn="0" w:firstRowLastColumn="0" w:lastRowFirstColumn="0" w:lastRowLastColumn="0"/>
            <w:tcW w:w="1307" w:type="pct"/>
            <w:shd w:val="clear" w:color="auto" w:fill="DEE3EB" w:themeFill="accent3" w:themeFillTint="33"/>
          </w:tcPr>
          <w:p w14:paraId="57C3C152" w14:textId="797ED346" w:rsidR="00877957" w:rsidRPr="00AC3B67" w:rsidRDefault="00534F82" w:rsidP="00872132">
            <w:pPr>
              <w:pStyle w:val="TableTextLeft"/>
              <w:ind w:left="181" w:hanging="181"/>
              <w:rPr>
                <w:b w:val="0"/>
                <w:bCs w:val="0"/>
                <w:sz w:val="20"/>
                <w:szCs w:val="22"/>
              </w:rPr>
            </w:pPr>
            <w:r w:rsidRPr="00AC3B67">
              <w:rPr>
                <w:b w:val="0"/>
                <w:bCs w:val="0"/>
                <w:sz w:val="20"/>
                <w:szCs w:val="22"/>
              </w:rPr>
              <w:t xml:space="preserve">2.1 </w:t>
            </w:r>
            <w:r w:rsidR="00877957" w:rsidRPr="00AC3B67">
              <w:rPr>
                <w:b w:val="0"/>
                <w:bCs w:val="0"/>
                <w:sz w:val="20"/>
                <w:szCs w:val="22"/>
              </w:rPr>
              <w:t>Establish and promote the Evaluation Prioritisation Model</w:t>
            </w:r>
          </w:p>
          <w:p w14:paraId="0BDC3F95" w14:textId="3E719363" w:rsidR="00877957" w:rsidRPr="00AC3B67" w:rsidRDefault="00534F82" w:rsidP="00872132">
            <w:pPr>
              <w:pStyle w:val="TableTextLeft"/>
              <w:ind w:left="181" w:hanging="181"/>
              <w:rPr>
                <w:b w:val="0"/>
                <w:bCs w:val="0"/>
                <w:sz w:val="20"/>
                <w:szCs w:val="22"/>
              </w:rPr>
            </w:pPr>
            <w:r w:rsidRPr="00AC3B67">
              <w:rPr>
                <w:b w:val="0"/>
                <w:bCs w:val="0"/>
                <w:sz w:val="20"/>
                <w:szCs w:val="22"/>
              </w:rPr>
              <w:t xml:space="preserve">2.2 </w:t>
            </w:r>
            <w:r w:rsidR="00877957" w:rsidRPr="00AC3B67">
              <w:rPr>
                <w:b w:val="0"/>
                <w:bCs w:val="0"/>
                <w:sz w:val="20"/>
                <w:szCs w:val="22"/>
              </w:rPr>
              <w:t>Establish an Evaluation Register and forward work program for Treasury</w:t>
            </w:r>
          </w:p>
          <w:p w14:paraId="1B7FF3F9" w14:textId="65ACD1F0" w:rsidR="00877957" w:rsidRPr="00AC3B67" w:rsidRDefault="00534F82" w:rsidP="00872132">
            <w:pPr>
              <w:pStyle w:val="TableTextLeft"/>
              <w:ind w:left="181" w:hanging="181"/>
              <w:rPr>
                <w:b w:val="0"/>
                <w:bCs w:val="0"/>
                <w:sz w:val="20"/>
                <w:szCs w:val="22"/>
              </w:rPr>
            </w:pPr>
            <w:r w:rsidRPr="00AC3B67">
              <w:rPr>
                <w:b w:val="0"/>
                <w:bCs w:val="0"/>
                <w:sz w:val="20"/>
                <w:szCs w:val="22"/>
              </w:rPr>
              <w:t xml:space="preserve">2.3 </w:t>
            </w:r>
            <w:r w:rsidR="00877957" w:rsidRPr="00AC3B67">
              <w:rPr>
                <w:b w:val="0"/>
                <w:bCs w:val="0"/>
                <w:sz w:val="20"/>
                <w:szCs w:val="22"/>
              </w:rPr>
              <w:t>Assess the feasibility of high-quality impact evaluations</w:t>
            </w:r>
          </w:p>
          <w:p w14:paraId="0CFA11FA" w14:textId="0DC0F0F8" w:rsidR="00877957" w:rsidRPr="00AC3B67" w:rsidRDefault="00534F82" w:rsidP="00872132">
            <w:pPr>
              <w:pStyle w:val="TableTextLeft"/>
              <w:ind w:left="181" w:hanging="181"/>
              <w:rPr>
                <w:b w:val="0"/>
                <w:bCs w:val="0"/>
                <w:sz w:val="20"/>
                <w:szCs w:val="22"/>
              </w:rPr>
            </w:pPr>
            <w:r w:rsidRPr="00AC3B67">
              <w:rPr>
                <w:b w:val="0"/>
                <w:bCs w:val="0"/>
                <w:sz w:val="20"/>
                <w:szCs w:val="22"/>
              </w:rPr>
              <w:t xml:space="preserve">2.4 </w:t>
            </w:r>
            <w:r w:rsidR="00877957" w:rsidRPr="00AC3B67">
              <w:rPr>
                <w:b w:val="0"/>
                <w:bCs w:val="0"/>
                <w:sz w:val="20"/>
                <w:szCs w:val="22"/>
              </w:rPr>
              <w:t>Build better evaluation planning into New Policy Proposals.</w:t>
            </w:r>
          </w:p>
        </w:tc>
        <w:tc>
          <w:tcPr>
            <w:tcW w:w="1155" w:type="pct"/>
          </w:tcPr>
          <w:p w14:paraId="6D5AA5CE" w14:textId="2EF73D69" w:rsidR="00877957" w:rsidRPr="00AC3B67" w:rsidRDefault="00534F82" w:rsidP="00872132">
            <w:pPr>
              <w:pStyle w:val="TableTextLeft"/>
              <w:ind w:left="181" w:hanging="181"/>
              <w:cnfStyle w:val="010000000000" w:firstRow="0" w:lastRow="1" w:firstColumn="0" w:lastColumn="0" w:oddVBand="0" w:evenVBand="0" w:oddHBand="0" w:evenHBand="0" w:firstRowFirstColumn="0" w:firstRowLastColumn="0" w:lastRowFirstColumn="0" w:lastRowLastColumn="0"/>
              <w:rPr>
                <w:b w:val="0"/>
                <w:bCs w:val="0"/>
                <w:sz w:val="20"/>
                <w:szCs w:val="22"/>
              </w:rPr>
            </w:pPr>
            <w:r w:rsidRPr="00AC3B67">
              <w:rPr>
                <w:b w:val="0"/>
                <w:bCs w:val="0"/>
                <w:sz w:val="20"/>
                <w:szCs w:val="22"/>
              </w:rPr>
              <w:t xml:space="preserve">3.1 </w:t>
            </w:r>
            <w:r w:rsidR="00877957" w:rsidRPr="00AC3B67">
              <w:rPr>
                <w:b w:val="0"/>
                <w:bCs w:val="0"/>
                <w:sz w:val="20"/>
                <w:szCs w:val="22"/>
              </w:rPr>
              <w:t>Publish evaluation reports, summaries and management responses by default</w:t>
            </w:r>
          </w:p>
          <w:p w14:paraId="5BFE9074" w14:textId="08F29C82" w:rsidR="00877957" w:rsidRPr="00AC3B67" w:rsidRDefault="00534F82" w:rsidP="00872132">
            <w:pPr>
              <w:pStyle w:val="TableTextLeft"/>
              <w:ind w:left="181" w:hanging="181"/>
              <w:cnfStyle w:val="010000000000" w:firstRow="0" w:lastRow="1" w:firstColumn="0" w:lastColumn="0" w:oddVBand="0" w:evenVBand="0" w:oddHBand="0" w:evenHBand="0" w:firstRowFirstColumn="0" w:firstRowLastColumn="0" w:lastRowFirstColumn="0" w:lastRowLastColumn="0"/>
              <w:rPr>
                <w:b w:val="0"/>
                <w:bCs w:val="0"/>
                <w:sz w:val="20"/>
                <w:szCs w:val="22"/>
              </w:rPr>
            </w:pPr>
            <w:r w:rsidRPr="00AC3B67">
              <w:rPr>
                <w:b w:val="0"/>
                <w:bCs w:val="0"/>
                <w:sz w:val="20"/>
                <w:szCs w:val="22"/>
              </w:rPr>
              <w:t xml:space="preserve">3.2 </w:t>
            </w:r>
            <w:r w:rsidR="00877957" w:rsidRPr="00AC3B67">
              <w:rPr>
                <w:b w:val="0"/>
                <w:bCs w:val="0"/>
                <w:sz w:val="20"/>
                <w:szCs w:val="22"/>
              </w:rPr>
              <w:t>Promote findings from published evaluation reports and management responses</w:t>
            </w:r>
          </w:p>
        </w:tc>
        <w:tc>
          <w:tcPr>
            <w:cnfStyle w:val="000100000000" w:firstRow="0" w:lastRow="0" w:firstColumn="0" w:lastColumn="1" w:oddVBand="0" w:evenVBand="0" w:oddHBand="0" w:evenHBand="0" w:firstRowFirstColumn="0" w:firstRowLastColumn="0" w:lastRowFirstColumn="0" w:lastRowLastColumn="0"/>
            <w:tcW w:w="1153" w:type="pct"/>
          </w:tcPr>
          <w:p w14:paraId="0EAE7BE2" w14:textId="558EDBF2" w:rsidR="00877957" w:rsidRPr="00AC3B67" w:rsidRDefault="00534F82" w:rsidP="00872132">
            <w:pPr>
              <w:pStyle w:val="TableTextLeft"/>
              <w:ind w:left="181" w:hanging="181"/>
              <w:rPr>
                <w:b w:val="0"/>
                <w:bCs w:val="0"/>
                <w:sz w:val="20"/>
                <w:szCs w:val="22"/>
              </w:rPr>
            </w:pPr>
            <w:r w:rsidRPr="00AC3B67">
              <w:rPr>
                <w:b w:val="0"/>
                <w:bCs w:val="0"/>
                <w:sz w:val="20"/>
                <w:szCs w:val="22"/>
              </w:rPr>
              <w:t xml:space="preserve">4.1 </w:t>
            </w:r>
            <w:r w:rsidR="00877957" w:rsidRPr="00AC3B67">
              <w:rPr>
                <w:b w:val="0"/>
                <w:bCs w:val="0"/>
                <w:sz w:val="20"/>
                <w:szCs w:val="22"/>
              </w:rPr>
              <w:t>Promote existing evaluation resources on the Evaluation Toolkit, including resources to make policies, programs and regulations ‘evaluation ready’</w:t>
            </w:r>
          </w:p>
          <w:p w14:paraId="01B49BB1" w14:textId="0CB2612D" w:rsidR="00877957" w:rsidRPr="00AC3B67" w:rsidRDefault="00534F82" w:rsidP="00872132">
            <w:pPr>
              <w:pStyle w:val="TableTextLeft"/>
              <w:ind w:left="181" w:hanging="181"/>
              <w:rPr>
                <w:b w:val="0"/>
                <w:bCs w:val="0"/>
                <w:sz w:val="20"/>
                <w:szCs w:val="22"/>
              </w:rPr>
            </w:pPr>
            <w:r w:rsidRPr="00AC3B67">
              <w:rPr>
                <w:b w:val="0"/>
                <w:bCs w:val="0"/>
                <w:sz w:val="20"/>
                <w:szCs w:val="22"/>
              </w:rPr>
              <w:t xml:space="preserve">4.2 </w:t>
            </w:r>
            <w:r w:rsidR="00877957" w:rsidRPr="00AC3B67">
              <w:rPr>
                <w:b w:val="0"/>
                <w:bCs w:val="0"/>
                <w:sz w:val="20"/>
                <w:szCs w:val="22"/>
              </w:rPr>
              <w:t>Provide evaluation training and advisory support</w:t>
            </w:r>
          </w:p>
        </w:tc>
      </w:tr>
    </w:tbl>
    <w:p w14:paraId="393E6CC4" w14:textId="77777777" w:rsidR="00E8054E" w:rsidRDefault="00E8054E" w:rsidP="00E8054E">
      <w:pPr>
        <w:sectPr w:rsidR="00E8054E" w:rsidSect="0073457E">
          <w:type w:val="continuous"/>
          <w:pgSz w:w="11906" w:h="16838" w:code="9"/>
          <w:pgMar w:top="1843" w:right="1417" w:bottom="1417" w:left="1417" w:header="709" w:footer="709" w:gutter="0"/>
          <w:cols w:space="708"/>
          <w:docGrid w:linePitch="360"/>
        </w:sectPr>
      </w:pPr>
    </w:p>
    <w:p w14:paraId="65164535" w14:textId="1592FFD0" w:rsidR="00E02E32" w:rsidRDefault="00A95162" w:rsidP="00C11011">
      <w:pPr>
        <w:pStyle w:val="Heading1"/>
      </w:pPr>
      <w:bookmarkStart w:id="15" w:name="_Toc195716633"/>
      <w:bookmarkStart w:id="16" w:name="_Toc208932157"/>
      <w:bookmarkStart w:id="17" w:name="_Toc208932668"/>
      <w:r w:rsidRPr="00A95162">
        <w:lastRenderedPageBreak/>
        <w:t>T</w:t>
      </w:r>
      <w:r w:rsidR="00D02103">
        <w:t>r</w:t>
      </w:r>
      <w:r w:rsidRPr="00A95162">
        <w:t>easury</w:t>
      </w:r>
      <w:bookmarkEnd w:id="15"/>
      <w:r w:rsidR="00877717">
        <w:rPr>
          <w:rFonts w:eastAsia="Aptos Display"/>
        </w:rPr>
        <w:t>’s approach to evalu</w:t>
      </w:r>
      <w:r w:rsidR="007B3539">
        <w:rPr>
          <w:rFonts w:eastAsia="Aptos Display"/>
        </w:rPr>
        <w:t>a</w:t>
      </w:r>
      <w:r w:rsidR="00877717">
        <w:rPr>
          <w:rFonts w:eastAsia="Aptos Display"/>
        </w:rPr>
        <w:t>tion</w:t>
      </w:r>
      <w:bookmarkEnd w:id="16"/>
      <w:bookmarkEnd w:id="17"/>
    </w:p>
    <w:p w14:paraId="352BD742" w14:textId="4FD3173D" w:rsidR="00AA4AD7" w:rsidRDefault="00AA4AD7" w:rsidP="00AA4AD7">
      <w:pPr>
        <w:spacing w:before="0" w:after="160" w:line="259" w:lineRule="auto"/>
      </w:pPr>
      <w:r>
        <w:t>Treasury recognises that e</w:t>
      </w:r>
      <w:r w:rsidRPr="00710432">
        <w:t xml:space="preserve">ffective monitoring and evaluation </w:t>
      </w:r>
      <w:r>
        <w:t xml:space="preserve">is </w:t>
      </w:r>
      <w:r w:rsidRPr="00710432">
        <w:t>important at all stages of the policy cycle</w:t>
      </w:r>
      <w:r w:rsidRPr="00C12E60">
        <w:t>. Evaluation can provide valuable insight</w:t>
      </w:r>
      <w:r>
        <w:t>s</w:t>
      </w:r>
      <w:r w:rsidRPr="00C12E60">
        <w:t xml:space="preserve"> and evidence </w:t>
      </w:r>
      <w:r>
        <w:t xml:space="preserve">across policy design, delivery </w:t>
      </w:r>
      <w:r w:rsidRPr="00710432">
        <w:t>and implementation</w:t>
      </w:r>
      <w:r>
        <w:t xml:space="preserve"> and Treasury recognises the importance of using a range of evaluation approaches including process, impact and economic evaluation. </w:t>
      </w:r>
      <w:r w:rsidRPr="00AA4AD7">
        <w:t xml:space="preserve">Treasury places a particular emphasis on the </w:t>
      </w:r>
      <w:r w:rsidRPr="00AA4AD7">
        <w:rPr>
          <w:i/>
          <w:iCs/>
        </w:rPr>
        <w:t>quality</w:t>
      </w:r>
      <w:r w:rsidRPr="00AA4AD7">
        <w:t xml:space="preserve"> of impact evaluation</w:t>
      </w:r>
      <w:r>
        <w:t xml:space="preserve"> </w:t>
      </w:r>
      <w:bookmarkStart w:id="18" w:name="_Hlk202943116"/>
      <w:r>
        <w:t>and promotes greater use of this method where feasible</w:t>
      </w:r>
      <w:bookmarkEnd w:id="18"/>
      <w:r w:rsidRPr="00AA4AD7">
        <w:t>.</w:t>
      </w:r>
    </w:p>
    <w:p w14:paraId="52E6204A" w14:textId="48D07C2B" w:rsidR="00820203" w:rsidRDefault="00AD0D51" w:rsidP="00820203">
      <w:r w:rsidRPr="002E586C">
        <w:rPr>
          <w:rFonts w:eastAsia="Calibri Light"/>
        </w:rPr>
        <w:t xml:space="preserve">The </w:t>
      </w:r>
      <w:r w:rsidR="003F2778">
        <w:rPr>
          <w:rFonts w:eastAsia="Calibri Light"/>
        </w:rPr>
        <w:t>Strategy complements</w:t>
      </w:r>
      <w:r w:rsidRPr="002E586C">
        <w:rPr>
          <w:rFonts w:eastAsia="Calibri Light"/>
        </w:rPr>
        <w:t xml:space="preserve"> Treasury’s current evidence and assurance</w:t>
      </w:r>
      <w:r w:rsidR="00727164">
        <w:rPr>
          <w:rFonts w:eastAsia="Calibri Light"/>
        </w:rPr>
        <w:t xml:space="preserve"> ecosystem and </w:t>
      </w:r>
      <w:r w:rsidR="004E3F74">
        <w:rPr>
          <w:rFonts w:eastAsia="Calibri Light"/>
        </w:rPr>
        <w:t xml:space="preserve">operates in partnership to deliver end to end evidence and assurance support. </w:t>
      </w:r>
      <w:bookmarkStart w:id="19" w:name="_Toc195716635"/>
      <w:r w:rsidR="00402816">
        <w:rPr>
          <w:lang w:eastAsia="en-US"/>
        </w:rPr>
        <w:t>These activities include</w:t>
      </w:r>
      <w:r w:rsidR="00820203">
        <w:rPr>
          <w:lang w:eastAsia="en-US"/>
        </w:rPr>
        <w:t>:</w:t>
      </w:r>
      <w:r w:rsidR="00820203">
        <w:t xml:space="preserve"> </w:t>
      </w:r>
    </w:p>
    <w:p w14:paraId="4BE69592" w14:textId="24041A87" w:rsidR="00A76F1D" w:rsidRDefault="00E92BA7" w:rsidP="004D0C67">
      <w:pPr>
        <w:pStyle w:val="Bullet"/>
        <w:spacing w:after="0"/>
        <w:ind w:right="-426"/>
      </w:pPr>
      <w:r>
        <w:t xml:space="preserve">policy </w:t>
      </w:r>
      <w:r w:rsidR="00A76F1D">
        <w:t>impact analysis</w:t>
      </w:r>
      <w:r>
        <w:t xml:space="preserve">, consistent </w:t>
      </w:r>
      <w:r w:rsidRPr="00E92BA7">
        <w:t xml:space="preserve">with the </w:t>
      </w:r>
      <w:r w:rsidR="00FF14E9">
        <w:t xml:space="preserve">Australian Government </w:t>
      </w:r>
      <w:r w:rsidRPr="00E92BA7">
        <w:t>Guide to Policy Impact Analysis</w:t>
      </w:r>
    </w:p>
    <w:p w14:paraId="61718A80" w14:textId="12EA91C3" w:rsidR="00820203" w:rsidRDefault="00820203" w:rsidP="004D0C67">
      <w:pPr>
        <w:pStyle w:val="Bullet"/>
        <w:spacing w:after="0"/>
        <w:ind w:right="-426"/>
      </w:pPr>
      <w:r>
        <w:t>policy research, including modelling, forecasting, costings, and microdata analysis</w:t>
      </w:r>
    </w:p>
    <w:p w14:paraId="5BDB459D" w14:textId="77777777" w:rsidR="00820203" w:rsidRDefault="00820203" w:rsidP="004D0C67">
      <w:pPr>
        <w:pStyle w:val="Bullet"/>
        <w:spacing w:after="0"/>
        <w:ind w:right="-426"/>
      </w:pPr>
      <w:r>
        <w:rPr>
          <w:lang w:eastAsia="en-US"/>
        </w:rPr>
        <w:t>performance</w:t>
      </w:r>
      <w:r>
        <w:t xml:space="preserve"> measurement and monitoring</w:t>
      </w:r>
    </w:p>
    <w:p w14:paraId="060A6E35" w14:textId="6288C955" w:rsidR="00820203" w:rsidRPr="0009618B" w:rsidRDefault="00820203" w:rsidP="004D0C67">
      <w:pPr>
        <w:pStyle w:val="Bullet"/>
        <w:spacing w:after="0"/>
        <w:ind w:right="-426"/>
      </w:pPr>
      <w:r>
        <w:rPr>
          <w:lang w:eastAsia="en-US"/>
        </w:rPr>
        <w:t>internal audit</w:t>
      </w:r>
      <w:r w:rsidR="00F75822">
        <w:rPr>
          <w:lang w:eastAsia="en-US"/>
        </w:rPr>
        <w:t>.</w:t>
      </w:r>
    </w:p>
    <w:bookmarkEnd w:id="19"/>
    <w:p w14:paraId="112496E2" w14:textId="24030F03" w:rsidR="00AD000A" w:rsidRDefault="00AD000A" w:rsidP="0007163E">
      <w:pPr>
        <w:pStyle w:val="FigureChartMainHeading"/>
        <w:numPr>
          <w:ilvl w:val="0"/>
          <w:numId w:val="0"/>
        </w:numPr>
        <w:spacing w:before="120"/>
        <w:ind w:left="567" w:hanging="567"/>
      </w:pPr>
      <w:r w:rsidRPr="00AD000A">
        <w:t xml:space="preserve">Figure </w:t>
      </w:r>
      <w:r>
        <w:t>1</w:t>
      </w:r>
      <w:r w:rsidRPr="00AD000A">
        <w:t>: Evaluation and the policy cycle* </w:t>
      </w:r>
    </w:p>
    <w:p w14:paraId="6B5B980C" w14:textId="4EF4C6C5" w:rsidR="006C68CF" w:rsidRDefault="000C782C" w:rsidP="002E7F58">
      <w:pPr>
        <w:spacing w:before="0" w:after="160" w:line="259" w:lineRule="auto"/>
      </w:pPr>
      <w:r w:rsidRPr="000C782C">
        <w:rPr>
          <w:noProof/>
        </w:rPr>
        <w:drawing>
          <wp:inline distT="0" distB="0" distL="0" distR="0" wp14:anchorId="480BC6F0" wp14:editId="36001E7B">
            <wp:extent cx="5760720" cy="3629025"/>
            <wp:effectExtent l="0" t="0" r="0" b="9525"/>
            <wp:docPr id="1845445144" name="Picture 2" descr="A circular diagram is divided into three concentric rings.&#10;&#10;Innermost ring: Evaluation as part of the policy cycle.&#10;The middle ring has four coloured segments: Sharing findings, Planning for evaluation, Monitoring &amp; evaluating, and Using findings.&#10;The outermost ring shows stages of the policy cycle: Consultation, Coordination, Design, Decision, Implementation, and Policy Analysis.&#10;Surrounding the circle are descriptions for each stage:&#10;Sharing: Sharing findings to reflect on and inform policy design&#10;Planning: Planning for evaluation integrated into policy and program design&#10;Doing: Undertaking monitoring and evaluation activities before, during or after implementation&#10;Using: Using evaluation findings as an evidence base to inform improvements or decision ma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45144" name="Picture 2" descr="A circular diagram is divided into three concentric rings.&#10;&#10;Innermost ring: Evaluation as part of the policy cycle.&#10;The middle ring has four coloured segments: Sharing findings, Planning for evaluation, Monitoring &amp; evaluating, and Using findings.&#10;The outermost ring shows stages of the policy cycle: Consultation, Coordination, Design, Decision, Implementation, and Policy Analysis.&#10;Surrounding the circle are descriptions for each stage:&#10;Sharing: Sharing findings to reflect on and inform policy design&#10;Planning: Planning for evaluation integrated into policy and program design&#10;Doing: Undertaking monitoring and evaluation activities before, during or after implementation&#10;Using: Using evaluation findings as an evidence base to inform improvements or decision making.&#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629025"/>
                    </a:xfrm>
                    <a:prstGeom prst="rect">
                      <a:avLst/>
                    </a:prstGeom>
                    <a:noFill/>
                    <a:ln>
                      <a:noFill/>
                    </a:ln>
                  </pic:spPr>
                </pic:pic>
              </a:graphicData>
            </a:graphic>
          </wp:inline>
        </w:drawing>
      </w:r>
    </w:p>
    <w:p w14:paraId="3ED0D28E" w14:textId="7FD865F0" w:rsidR="004E2516" w:rsidRDefault="004E2516" w:rsidP="002E7F58">
      <w:pPr>
        <w:spacing w:before="0" w:after="160" w:line="259" w:lineRule="auto"/>
        <w:rPr>
          <w:sz w:val="16"/>
          <w:szCs w:val="16"/>
        </w:rPr>
      </w:pPr>
      <w:r w:rsidRPr="00B74D5C">
        <w:rPr>
          <w:sz w:val="16"/>
          <w:szCs w:val="16"/>
        </w:rPr>
        <w:t>*</w:t>
      </w:r>
      <w:r w:rsidR="00CC6B8A">
        <w:rPr>
          <w:sz w:val="16"/>
          <w:szCs w:val="16"/>
        </w:rPr>
        <w:t xml:space="preserve">Source: </w:t>
      </w:r>
      <w:r w:rsidRPr="00B74D5C">
        <w:rPr>
          <w:sz w:val="16"/>
          <w:szCs w:val="16"/>
        </w:rPr>
        <w:t xml:space="preserve">Department of Infrastructure, Transport, Regional Development, Communications and the Arts (2023), </w:t>
      </w:r>
      <w:r w:rsidRPr="00B74D5C">
        <w:rPr>
          <w:i/>
          <w:iCs/>
          <w:sz w:val="16"/>
          <w:szCs w:val="16"/>
        </w:rPr>
        <w:t>Evaluation Strategy 2024</w:t>
      </w:r>
      <w:r w:rsidR="00E02837">
        <w:rPr>
          <w:i/>
          <w:iCs/>
          <w:sz w:val="16"/>
          <w:szCs w:val="16"/>
        </w:rPr>
        <w:noBreakHyphen/>
      </w:r>
      <w:r w:rsidRPr="00B74D5C">
        <w:rPr>
          <w:i/>
          <w:iCs/>
          <w:sz w:val="16"/>
          <w:szCs w:val="16"/>
        </w:rPr>
        <w:t>27</w:t>
      </w:r>
      <w:r w:rsidRPr="00B74D5C">
        <w:rPr>
          <w:sz w:val="16"/>
          <w:szCs w:val="16"/>
        </w:rPr>
        <w:t> </w:t>
      </w:r>
    </w:p>
    <w:p w14:paraId="5246953C" w14:textId="64F88576" w:rsidR="006C68CF" w:rsidRPr="007C478E" w:rsidRDefault="007C478E" w:rsidP="002E7F58">
      <w:pPr>
        <w:spacing w:before="0" w:after="160" w:line="259" w:lineRule="auto"/>
        <w:rPr>
          <w:szCs w:val="22"/>
        </w:rPr>
      </w:pPr>
      <w:r>
        <w:rPr>
          <w:szCs w:val="22"/>
        </w:rPr>
        <w:t xml:space="preserve">Treasury also </w:t>
      </w:r>
      <w:r w:rsidR="001871F1">
        <w:rPr>
          <w:szCs w:val="22"/>
        </w:rPr>
        <w:t xml:space="preserve">hosts the Australian Centre for Evaluation (ACE) </w:t>
      </w:r>
      <w:r w:rsidR="001B2078">
        <w:rPr>
          <w:szCs w:val="22"/>
        </w:rPr>
        <w:t>which</w:t>
      </w:r>
      <w:r w:rsidR="001871F1">
        <w:rPr>
          <w:szCs w:val="22"/>
        </w:rPr>
        <w:t xml:space="preserve"> seeks to increase the volume, quality and use of evaluation across the Australian Public Service. The Treasury Evaluation Strategy aligns closely with the </w:t>
      </w:r>
      <w:r w:rsidR="00B221D6">
        <w:rPr>
          <w:szCs w:val="22"/>
        </w:rPr>
        <w:t>4 </w:t>
      </w:r>
      <w:r w:rsidR="001871F1">
        <w:rPr>
          <w:szCs w:val="22"/>
        </w:rPr>
        <w:t xml:space="preserve">streams of the </w:t>
      </w:r>
      <w:hyperlink r:id="rId23" w:history="1">
        <w:r w:rsidR="001871F1" w:rsidRPr="00415095">
          <w:rPr>
            <w:rStyle w:val="Hyperlink"/>
            <w:szCs w:val="22"/>
          </w:rPr>
          <w:t>ACE Strategy</w:t>
        </w:r>
      </w:hyperlink>
      <w:r w:rsidR="001871F1">
        <w:rPr>
          <w:szCs w:val="22"/>
        </w:rPr>
        <w:t xml:space="preserve"> and seeks to embed the principles of the </w:t>
      </w:r>
      <w:hyperlink r:id="rId24" w:history="1">
        <w:r w:rsidR="001871F1" w:rsidRPr="00AA56E1">
          <w:rPr>
            <w:rStyle w:val="Hyperlink"/>
            <w:szCs w:val="22"/>
          </w:rPr>
          <w:t>Commonwealth Evaluation Policy</w:t>
        </w:r>
      </w:hyperlink>
      <w:r w:rsidR="001871F1">
        <w:rPr>
          <w:szCs w:val="22"/>
        </w:rPr>
        <w:t>.</w:t>
      </w:r>
    </w:p>
    <w:p w14:paraId="0C4D1710" w14:textId="7D147B13" w:rsidR="00DB4648" w:rsidRDefault="00E70E56" w:rsidP="00C11011">
      <w:pPr>
        <w:pStyle w:val="Heading1"/>
      </w:pPr>
      <w:bookmarkStart w:id="20" w:name="_Toc195716637"/>
      <w:bookmarkStart w:id="21" w:name="_Toc208932158"/>
      <w:bookmarkStart w:id="22" w:name="_Toc208932669"/>
      <w:r>
        <w:lastRenderedPageBreak/>
        <w:t>Priorities and actions</w:t>
      </w:r>
      <w:bookmarkEnd w:id="20"/>
      <w:bookmarkEnd w:id="21"/>
      <w:bookmarkEnd w:id="22"/>
    </w:p>
    <w:p w14:paraId="5AA7B683" w14:textId="056B506C" w:rsidR="006F52D4" w:rsidRDefault="006F52D4" w:rsidP="006F52D4">
      <w:r>
        <w:t xml:space="preserve">The </w:t>
      </w:r>
      <w:r w:rsidR="008418FB">
        <w:t xml:space="preserve">Strategy </w:t>
      </w:r>
      <w:r w:rsidRPr="00A61B19">
        <w:t xml:space="preserve">focuses on </w:t>
      </w:r>
      <w:r w:rsidR="00B221D6">
        <w:t>4 </w:t>
      </w:r>
      <w:r>
        <w:t>interconnected streams of work</w:t>
      </w:r>
      <w:r w:rsidR="0006529B">
        <w:t>—</w:t>
      </w:r>
      <w:r w:rsidR="00514A41">
        <w:t>leadership, delivery, use</w:t>
      </w:r>
      <w:r w:rsidR="007C19A4">
        <w:t>,</w:t>
      </w:r>
      <w:r w:rsidR="00514A41">
        <w:t xml:space="preserve"> and capability</w:t>
      </w:r>
      <w:r w:rsidR="008418FB">
        <w:t>.</w:t>
      </w:r>
      <w:r w:rsidR="00615AA7">
        <w:t xml:space="preserve"> </w:t>
      </w:r>
      <w:r w:rsidR="008418FB">
        <w:t xml:space="preserve">In addition, it outlines </w:t>
      </w:r>
      <w:r w:rsidR="00E71B6F">
        <w:t>the authorising environment</w:t>
      </w:r>
      <w:r w:rsidR="00203C30">
        <w:t xml:space="preserve"> </w:t>
      </w:r>
      <w:r>
        <w:t>required to mature Treasury’s expertise in, and use of, high</w:t>
      </w:r>
      <w:r w:rsidR="00B221D6">
        <w:noBreakHyphen/>
      </w:r>
      <w:r>
        <w:t>quality evaluation evidence</w:t>
      </w:r>
      <w:r w:rsidR="00F276DE">
        <w:t xml:space="preserve"> for continu</w:t>
      </w:r>
      <w:r w:rsidR="00536B2D">
        <w:t>ous</w:t>
      </w:r>
      <w:r w:rsidR="00F276DE">
        <w:t xml:space="preserve"> learning</w:t>
      </w:r>
      <w:r>
        <w:t>.</w:t>
      </w:r>
      <w:r w:rsidR="001F654A">
        <w:t xml:space="preserve"> The themes align with the ACE Strategy</w:t>
      </w:r>
      <w:r w:rsidR="00957A9A">
        <w:t>,</w:t>
      </w:r>
      <w:r w:rsidR="001F654A">
        <w:t xml:space="preserve"> which aim</w:t>
      </w:r>
      <w:r w:rsidR="00B221D6">
        <w:t>s</w:t>
      </w:r>
      <w:r w:rsidR="001F654A">
        <w:t xml:space="preserve"> to achieve improved evaluation outcomes across the APS.</w:t>
      </w:r>
    </w:p>
    <w:p w14:paraId="2F9F99DC" w14:textId="0A1992C7" w:rsidR="00F86D7C" w:rsidRDefault="00F86D7C" w:rsidP="00C11011">
      <w:pPr>
        <w:pStyle w:val="Heading2"/>
      </w:pPr>
      <w:bookmarkStart w:id="23" w:name="_Toc208932159"/>
      <w:bookmarkStart w:id="24" w:name="_Toc208932670"/>
      <w:bookmarkStart w:id="25" w:name="_Toc195716638"/>
      <w:r>
        <w:t>1</w:t>
      </w:r>
      <w:r w:rsidR="00140948">
        <w:t>.</w:t>
      </w:r>
      <w:r w:rsidRPr="003276AF">
        <w:t xml:space="preserve"> </w:t>
      </w:r>
      <w:r>
        <w:t>Evaluation leadership and promotion</w:t>
      </w:r>
      <w:bookmarkEnd w:id="23"/>
      <w:bookmarkEnd w:id="24"/>
    </w:p>
    <w:p w14:paraId="18DE5575" w14:textId="0CCD896F" w:rsidR="00F86D7C" w:rsidRPr="0059016E" w:rsidRDefault="00103FC7" w:rsidP="00F86D7C">
      <w:pPr>
        <w:spacing w:before="0" w:after="160" w:line="259" w:lineRule="auto"/>
      </w:pPr>
      <w:r>
        <w:t xml:space="preserve">Evaluation leadership </w:t>
      </w:r>
      <w:r w:rsidR="00047999">
        <w:t xml:space="preserve">and promotion is the central tenet to achieving a culture of evaluation. </w:t>
      </w:r>
      <w:r w:rsidR="00AF7B5C">
        <w:t xml:space="preserve">Treasury’s </w:t>
      </w:r>
      <w:r w:rsidR="00EC6239">
        <w:t>evaluation approach aims to meet the high standards outline</w:t>
      </w:r>
      <w:r w:rsidR="004A655D">
        <w:t>d</w:t>
      </w:r>
      <w:r w:rsidR="00EC6239">
        <w:t xml:space="preserve"> in</w:t>
      </w:r>
      <w:r w:rsidR="00F86D7C" w:rsidRPr="0059016E">
        <w:t xml:space="preserve"> </w:t>
      </w:r>
      <w:r w:rsidR="00F86D7C">
        <w:t xml:space="preserve">the Commonwealth </w:t>
      </w:r>
      <w:r w:rsidR="0039200D">
        <w:t>Resource Management</w:t>
      </w:r>
      <w:r w:rsidR="00F86D7C" w:rsidRPr="0059016E">
        <w:t xml:space="preserve"> </w:t>
      </w:r>
      <w:r w:rsidR="00F86D7C">
        <w:t>F</w:t>
      </w:r>
      <w:r w:rsidR="00F86D7C" w:rsidRPr="0059016E">
        <w:t>ramework</w:t>
      </w:r>
      <w:r w:rsidR="00F97EA7">
        <w:t>.</w:t>
      </w:r>
      <w:r w:rsidR="00F86D7C">
        <w:t xml:space="preserve"> </w:t>
      </w:r>
      <w:r w:rsidR="006E1858">
        <w:t>Specifically</w:t>
      </w:r>
      <w:r w:rsidR="00F97EA7">
        <w:t xml:space="preserve">, Treasury’s evaluation approach seeks to </w:t>
      </w:r>
      <w:r w:rsidR="007D095A">
        <w:t xml:space="preserve">embed evaluation into Treasury’s governance processes, </w:t>
      </w:r>
      <w:r w:rsidR="00F86D7C" w:rsidRPr="0059016E">
        <w:t>provid</w:t>
      </w:r>
      <w:r w:rsidR="00F97EA7">
        <w:t>e</w:t>
      </w:r>
      <w:r w:rsidR="00F86D7C" w:rsidRPr="0059016E">
        <w:t xml:space="preserve"> meaningful </w:t>
      </w:r>
      <w:r w:rsidR="004474CF">
        <w:t xml:space="preserve">performance </w:t>
      </w:r>
      <w:r w:rsidR="00F86D7C" w:rsidRPr="0059016E">
        <w:t xml:space="preserve">information, and </w:t>
      </w:r>
      <w:r w:rsidR="00443777">
        <w:t>ensure</w:t>
      </w:r>
      <w:r w:rsidR="005D7853">
        <w:t xml:space="preserve"> </w:t>
      </w:r>
      <w:r w:rsidR="00F97EA7">
        <w:t>collaborat</w:t>
      </w:r>
      <w:r w:rsidR="00415D3D">
        <w:t>ion</w:t>
      </w:r>
      <w:r w:rsidR="00F86D7C" w:rsidRPr="0059016E">
        <w:t xml:space="preserve"> to achieve objectives and deliver outcomes</w:t>
      </w:r>
      <w:r w:rsidR="00F86D7C">
        <w:t>.</w:t>
      </w:r>
    </w:p>
    <w:p w14:paraId="248121E4" w14:textId="5A4E7637" w:rsidR="00F86D7C" w:rsidRPr="003124F8" w:rsidRDefault="00F86D7C" w:rsidP="00F86D7C">
      <w:pPr>
        <w:spacing w:before="0" w:after="160" w:line="259" w:lineRule="auto"/>
      </w:pPr>
      <w:r>
        <w:t>M</w:t>
      </w:r>
      <w:r w:rsidRPr="003124F8">
        <w:t xml:space="preserve">onitoring and evaluation activities are </w:t>
      </w:r>
      <w:r>
        <w:t xml:space="preserve">already </w:t>
      </w:r>
      <w:r w:rsidRPr="003124F8">
        <w:t xml:space="preserve">built into Treasury’s </w:t>
      </w:r>
      <w:r>
        <w:t xml:space="preserve">processes, including </w:t>
      </w:r>
      <w:r w:rsidR="0041165C">
        <w:t xml:space="preserve">through </w:t>
      </w:r>
      <w:r>
        <w:t xml:space="preserve">its </w:t>
      </w:r>
      <w:r w:rsidRPr="003124F8">
        <w:t>Program Management Framework, Strategic Audit Program, Risk Management Framework, Performance Framework</w:t>
      </w:r>
      <w:r w:rsidR="007C19A4">
        <w:t>,</w:t>
      </w:r>
      <w:r w:rsidRPr="003124F8">
        <w:t xml:space="preserve"> and research efforts</w:t>
      </w:r>
      <w:r w:rsidR="00AF7B5C">
        <w:t>.</w:t>
      </w:r>
    </w:p>
    <w:p w14:paraId="08FDE263" w14:textId="2DF24367" w:rsidR="00F86D7C" w:rsidRPr="003124F8" w:rsidRDefault="00F86D7C" w:rsidP="00F86D7C">
      <w:pPr>
        <w:spacing w:before="0" w:after="160" w:line="259" w:lineRule="auto"/>
      </w:pPr>
      <w:r w:rsidRPr="003124F8">
        <w:t xml:space="preserve">In addition, </w:t>
      </w:r>
      <w:r w:rsidR="0041165C">
        <w:t>Treasury’s</w:t>
      </w:r>
      <w:r w:rsidRPr="003124F8">
        <w:t xml:space="preserve"> monitoring and evaluation activities are supported by </w:t>
      </w:r>
      <w:r w:rsidR="007E6950">
        <w:t>the</w:t>
      </w:r>
      <w:r w:rsidRPr="003124F8">
        <w:t xml:space="preserve"> Enterprise Data Strategy and Governance Framework, the Digital and Cyber Security Strategy</w:t>
      </w:r>
      <w:r w:rsidR="00CB55A0">
        <w:t>,</w:t>
      </w:r>
      <w:r w:rsidR="009B56C2">
        <w:t xml:space="preserve"> and</w:t>
      </w:r>
      <w:r w:rsidRPr="003124F8">
        <w:t xml:space="preserve"> the Integrity Strategy.</w:t>
      </w:r>
    </w:p>
    <w:p w14:paraId="0EE2B4CA" w14:textId="5E0BB6E7" w:rsidR="00F86D7C" w:rsidRDefault="00F86D7C" w:rsidP="00F86D7C">
      <w:pPr>
        <w:spacing w:before="0" w:after="0" w:line="276" w:lineRule="auto"/>
        <w:rPr>
          <w:rFonts w:eastAsia="Calibri Light" w:cs="Calibri Light"/>
        </w:rPr>
      </w:pPr>
      <w:r>
        <w:rPr>
          <w:rFonts w:eastAsia="Calibri Light" w:cs="Calibri Light"/>
        </w:rPr>
        <w:t>By establishing a</w:t>
      </w:r>
      <w:r w:rsidRPr="00B827B6">
        <w:rPr>
          <w:rFonts w:eastAsia="Calibri Light" w:cs="Calibri Light"/>
        </w:rPr>
        <w:t xml:space="preserve"> centralised </w:t>
      </w:r>
      <w:r w:rsidR="00103FC7">
        <w:rPr>
          <w:rFonts w:eastAsia="Calibri Light" w:cs="Calibri Light"/>
        </w:rPr>
        <w:t>approach to</w:t>
      </w:r>
      <w:r w:rsidRPr="00B827B6">
        <w:rPr>
          <w:rFonts w:eastAsia="Calibri Light" w:cs="Calibri Light"/>
        </w:rPr>
        <w:t xml:space="preserve"> evaluation</w:t>
      </w:r>
      <w:r>
        <w:rPr>
          <w:rFonts w:eastAsia="Calibri Light" w:cs="Calibri Light"/>
        </w:rPr>
        <w:t xml:space="preserve"> in Treasury,</w:t>
      </w:r>
      <w:r w:rsidRPr="00B827B6">
        <w:rPr>
          <w:rFonts w:eastAsia="Calibri Light" w:cs="Calibri Light"/>
        </w:rPr>
        <w:t xml:space="preserve"> </w:t>
      </w:r>
      <w:r>
        <w:rPr>
          <w:rFonts w:eastAsia="Calibri Light" w:cs="Calibri Light"/>
        </w:rPr>
        <w:t xml:space="preserve">this </w:t>
      </w:r>
      <w:r w:rsidR="00E31AA8">
        <w:rPr>
          <w:rFonts w:eastAsia="Calibri Light" w:cs="Calibri Light"/>
        </w:rPr>
        <w:t>Strategy</w:t>
      </w:r>
      <w:r>
        <w:rPr>
          <w:rFonts w:eastAsia="Calibri Light" w:cs="Calibri Light"/>
        </w:rPr>
        <w:t xml:space="preserve"> complement</w:t>
      </w:r>
      <w:r w:rsidR="00E31AA8">
        <w:rPr>
          <w:rFonts w:eastAsia="Calibri Light" w:cs="Calibri Light"/>
        </w:rPr>
        <w:t>s</w:t>
      </w:r>
      <w:r>
        <w:rPr>
          <w:rFonts w:eastAsia="Calibri Light" w:cs="Calibri Light"/>
        </w:rPr>
        <w:t xml:space="preserve"> </w:t>
      </w:r>
      <w:r w:rsidRPr="00B827B6">
        <w:rPr>
          <w:rFonts w:eastAsia="Calibri Light" w:cs="Calibri Light"/>
        </w:rPr>
        <w:t xml:space="preserve">these </w:t>
      </w:r>
      <w:r>
        <w:rPr>
          <w:rFonts w:eastAsia="Calibri Light" w:cs="Calibri Light"/>
        </w:rPr>
        <w:t xml:space="preserve">existing </w:t>
      </w:r>
      <w:r w:rsidRPr="00B827B6">
        <w:rPr>
          <w:rFonts w:eastAsia="Calibri Light" w:cs="Calibri Light"/>
        </w:rPr>
        <w:t xml:space="preserve">mechanisms </w:t>
      </w:r>
      <w:r>
        <w:rPr>
          <w:rFonts w:eastAsia="Calibri Light" w:cs="Calibri Light"/>
        </w:rPr>
        <w:t>and</w:t>
      </w:r>
      <w:r w:rsidRPr="00B827B6">
        <w:rPr>
          <w:rFonts w:eastAsia="Calibri Light" w:cs="Calibri Light"/>
        </w:rPr>
        <w:t xml:space="preserve"> help</w:t>
      </w:r>
      <w:r w:rsidR="00E31AA8">
        <w:rPr>
          <w:rFonts w:eastAsia="Calibri Light" w:cs="Calibri Light"/>
        </w:rPr>
        <w:t>s</w:t>
      </w:r>
      <w:r w:rsidRPr="00B827B6">
        <w:rPr>
          <w:rFonts w:eastAsia="Calibri Light" w:cs="Calibri Light"/>
        </w:rPr>
        <w:t xml:space="preserve"> minimis</w:t>
      </w:r>
      <w:r>
        <w:rPr>
          <w:rFonts w:eastAsia="Calibri Light" w:cs="Calibri Light"/>
        </w:rPr>
        <w:t>e</w:t>
      </w:r>
      <w:r w:rsidRPr="00B827B6">
        <w:rPr>
          <w:rFonts w:eastAsia="Calibri Light" w:cs="Calibri Light"/>
        </w:rPr>
        <w:t xml:space="preserve"> duplication of effort.</w:t>
      </w:r>
    </w:p>
    <w:p w14:paraId="2A3E69C9" w14:textId="691BE672" w:rsidR="00F86D7C" w:rsidRPr="00F451DB" w:rsidRDefault="00F86D7C" w:rsidP="00C11011">
      <w:pPr>
        <w:pStyle w:val="Heading3"/>
        <w:rPr>
          <w:rFonts w:eastAsia="Calibri Light"/>
        </w:rPr>
      </w:pPr>
      <w:bookmarkStart w:id="26" w:name="_Hlk203550341"/>
      <w:r>
        <w:rPr>
          <w:rFonts w:eastAsia="Calibri Light"/>
        </w:rPr>
        <w:t xml:space="preserve">Actions to support evaluation </w:t>
      </w:r>
      <w:r w:rsidR="003F4F46">
        <w:rPr>
          <w:rFonts w:eastAsia="Calibri Light"/>
        </w:rPr>
        <w:t xml:space="preserve">leadership </w:t>
      </w:r>
      <w:r>
        <w:rPr>
          <w:rFonts w:eastAsia="Calibri Light"/>
        </w:rPr>
        <w:t xml:space="preserve">in Treasury </w:t>
      </w:r>
    </w:p>
    <w:p w14:paraId="7CB31803" w14:textId="1CB886C1" w:rsidR="00D0570B" w:rsidRDefault="00F0785B" w:rsidP="00F86D7C">
      <w:pPr>
        <w:spacing w:before="0" w:after="0" w:line="276" w:lineRule="auto"/>
        <w:rPr>
          <w:rFonts w:eastAsia="Calibri Light" w:cs="Calibri Light"/>
        </w:rPr>
      </w:pPr>
      <w:r>
        <w:rPr>
          <w:rFonts w:eastAsia="Calibri Light" w:cs="Calibri Light"/>
          <w:b/>
          <w:bCs/>
        </w:rPr>
        <w:t>1</w:t>
      </w:r>
      <w:r w:rsidR="00F86D7C" w:rsidRPr="00C9488F">
        <w:rPr>
          <w:rFonts w:eastAsia="Calibri Light" w:cs="Calibri Light"/>
          <w:b/>
          <w:bCs/>
        </w:rPr>
        <w:t xml:space="preserve">.1 </w:t>
      </w:r>
      <w:r w:rsidR="00B86E70">
        <w:rPr>
          <w:rFonts w:eastAsia="Calibri Light" w:cs="Calibri Light"/>
          <w:b/>
          <w:bCs/>
        </w:rPr>
        <w:t>Define and p</w:t>
      </w:r>
      <w:r w:rsidR="00E31AA8">
        <w:rPr>
          <w:rFonts w:eastAsia="Calibri Light" w:cs="Calibri Light"/>
          <w:b/>
          <w:bCs/>
        </w:rPr>
        <w:t>rom</w:t>
      </w:r>
      <w:r w:rsidR="00D0570B">
        <w:rPr>
          <w:rFonts w:eastAsia="Calibri Light" w:cs="Calibri Light"/>
          <w:b/>
          <w:bCs/>
        </w:rPr>
        <w:t>ote clear</w:t>
      </w:r>
      <w:r w:rsidR="00F86D7C" w:rsidRPr="00C9488F">
        <w:rPr>
          <w:rFonts w:eastAsia="Calibri Light" w:cs="Calibri Light"/>
          <w:b/>
          <w:bCs/>
        </w:rPr>
        <w:t xml:space="preserve"> roles and responsibilities for evaluation in Treasury</w:t>
      </w:r>
      <w:r w:rsidR="00F86D7C">
        <w:rPr>
          <w:rFonts w:eastAsia="Calibri Light" w:cs="Calibri Light"/>
        </w:rPr>
        <w:t xml:space="preserve">, including </w:t>
      </w:r>
      <w:r w:rsidR="004D0C67">
        <w:rPr>
          <w:rFonts w:eastAsia="Calibri Light" w:cs="Calibri Light"/>
        </w:rPr>
        <w:t xml:space="preserve">the role of </w:t>
      </w:r>
      <w:r w:rsidR="00F86D7C">
        <w:rPr>
          <w:rFonts w:eastAsia="Calibri Light" w:cs="Calibri Light"/>
        </w:rPr>
        <w:t>SES evaluation</w:t>
      </w:r>
      <w:r w:rsidR="00F86D7C" w:rsidRPr="00D869F6">
        <w:rPr>
          <w:rFonts w:eastAsia="Calibri Light" w:cs="Calibri Light"/>
        </w:rPr>
        <w:t xml:space="preserve"> champions, line manager</w:t>
      </w:r>
      <w:r w:rsidR="004D0C67">
        <w:rPr>
          <w:rFonts w:eastAsia="Calibri Light" w:cs="Calibri Light"/>
        </w:rPr>
        <w:t>s</w:t>
      </w:r>
      <w:r w:rsidR="00F86D7C">
        <w:rPr>
          <w:rFonts w:eastAsia="Calibri Light" w:cs="Calibri Light"/>
        </w:rPr>
        <w:t xml:space="preserve">, </w:t>
      </w:r>
      <w:r w:rsidR="004D0C67">
        <w:rPr>
          <w:rFonts w:eastAsia="Calibri Light" w:cs="Calibri Light"/>
        </w:rPr>
        <w:t>relevant</w:t>
      </w:r>
      <w:r w:rsidR="00F86D7C">
        <w:rPr>
          <w:rFonts w:eastAsia="Calibri Light" w:cs="Calibri Light"/>
        </w:rPr>
        <w:t xml:space="preserve"> </w:t>
      </w:r>
      <w:r w:rsidR="00F86D7C" w:rsidRPr="00D869F6">
        <w:rPr>
          <w:rFonts w:eastAsia="Calibri Light" w:cs="Calibri Light"/>
        </w:rPr>
        <w:t xml:space="preserve">governance </w:t>
      </w:r>
      <w:r w:rsidR="008D4622">
        <w:rPr>
          <w:rFonts w:eastAsia="Calibri Light" w:cs="Calibri Light"/>
        </w:rPr>
        <w:t>bodies</w:t>
      </w:r>
      <w:r w:rsidR="00BA426F">
        <w:rPr>
          <w:rFonts w:eastAsia="Calibri Light" w:cs="Calibri Light"/>
        </w:rPr>
        <w:t>,</w:t>
      </w:r>
      <w:r w:rsidR="00F86D7C">
        <w:rPr>
          <w:rFonts w:eastAsia="Calibri Light" w:cs="Calibri Light"/>
        </w:rPr>
        <w:t xml:space="preserve"> </w:t>
      </w:r>
      <w:r w:rsidR="00F86D7C" w:rsidRPr="00D869F6">
        <w:rPr>
          <w:rFonts w:eastAsia="Calibri Light" w:cs="Calibri Light"/>
        </w:rPr>
        <w:t>all staff</w:t>
      </w:r>
      <w:r w:rsidR="00BA426F">
        <w:rPr>
          <w:rFonts w:eastAsia="Calibri Light" w:cs="Calibri Light"/>
        </w:rPr>
        <w:t xml:space="preserve">, and Macroeconomic Analysis </w:t>
      </w:r>
      <w:r w:rsidR="00A90CC7">
        <w:rPr>
          <w:rFonts w:eastAsia="Calibri Light" w:cs="Calibri Light"/>
        </w:rPr>
        <w:t xml:space="preserve">and Policy Division </w:t>
      </w:r>
      <w:r w:rsidR="00FC13BF">
        <w:rPr>
          <w:rFonts w:eastAsia="Calibri Light" w:cs="Calibri Light"/>
        </w:rPr>
        <w:t xml:space="preserve">(MAPD) </w:t>
      </w:r>
      <w:r w:rsidR="00AD418C">
        <w:rPr>
          <w:rFonts w:eastAsia="Calibri Light" w:cs="Calibri Light"/>
        </w:rPr>
        <w:t>and the ACE</w:t>
      </w:r>
      <w:r w:rsidR="004D0C67">
        <w:rPr>
          <w:rFonts w:eastAsia="Calibri Light" w:cs="Calibri Light"/>
        </w:rPr>
        <w:t>’s oversight role</w:t>
      </w:r>
      <w:r w:rsidR="00AD418C">
        <w:rPr>
          <w:rFonts w:eastAsia="Calibri Light" w:cs="Calibri Light"/>
        </w:rPr>
        <w:t xml:space="preserve"> </w:t>
      </w:r>
      <w:r w:rsidR="00D5141E">
        <w:rPr>
          <w:rFonts w:eastAsia="Calibri Light" w:cs="Calibri Light"/>
        </w:rPr>
        <w:t xml:space="preserve">in </w:t>
      </w:r>
      <w:r w:rsidR="004D0C67">
        <w:rPr>
          <w:rFonts w:eastAsia="Calibri Light" w:cs="Calibri Light"/>
        </w:rPr>
        <w:t xml:space="preserve">relation to </w:t>
      </w:r>
      <w:r w:rsidR="00D5141E">
        <w:rPr>
          <w:rFonts w:eastAsia="Calibri Light" w:cs="Calibri Light"/>
        </w:rPr>
        <w:t>the Strategy’s adoption</w:t>
      </w:r>
      <w:r w:rsidR="00F86D7C">
        <w:rPr>
          <w:rFonts w:eastAsia="Calibri Light" w:cs="Calibri Light"/>
        </w:rPr>
        <w:t xml:space="preserve">. </w:t>
      </w:r>
    </w:p>
    <w:p w14:paraId="376D0F49" w14:textId="24D63C50" w:rsidR="00F86D7C" w:rsidRPr="00D869F6" w:rsidRDefault="2A479FFC" w:rsidP="00F86D7C">
      <w:pPr>
        <w:spacing w:before="0" w:after="0" w:line="276" w:lineRule="auto"/>
        <w:rPr>
          <w:rFonts w:eastAsia="Calibri Light" w:cs="Calibri Light"/>
        </w:rPr>
      </w:pPr>
      <w:r w:rsidRPr="03C74CC7">
        <w:rPr>
          <w:rFonts w:eastAsia="Calibri Light" w:cs="Calibri Light"/>
          <w:b/>
          <w:bCs/>
        </w:rPr>
        <w:t>1</w:t>
      </w:r>
      <w:r w:rsidR="560EF488" w:rsidRPr="03C74CC7">
        <w:rPr>
          <w:rFonts w:eastAsia="Calibri Light" w:cs="Calibri Light"/>
          <w:b/>
          <w:bCs/>
        </w:rPr>
        <w:t xml:space="preserve">.2 </w:t>
      </w:r>
      <w:r w:rsidR="5E31176E" w:rsidRPr="03C74CC7">
        <w:rPr>
          <w:rFonts w:eastAsia="Calibri Light" w:cs="Calibri Light"/>
          <w:b/>
          <w:bCs/>
        </w:rPr>
        <w:t xml:space="preserve">Further embed evaluation into </w:t>
      </w:r>
      <w:r w:rsidR="00531C51">
        <w:rPr>
          <w:rFonts w:eastAsia="Calibri Light" w:cs="Calibri Light"/>
          <w:b/>
          <w:bCs/>
        </w:rPr>
        <w:t xml:space="preserve">Treasury’s planning, </w:t>
      </w:r>
      <w:r w:rsidR="5E31176E" w:rsidRPr="03C74CC7">
        <w:rPr>
          <w:rFonts w:eastAsia="Calibri Light" w:cs="Calibri Light"/>
          <w:b/>
          <w:bCs/>
        </w:rPr>
        <w:t>policy and decision-making processes</w:t>
      </w:r>
      <w:r w:rsidR="5E31176E" w:rsidRPr="03C74CC7">
        <w:rPr>
          <w:rFonts w:eastAsia="Calibri Light" w:cs="Calibri Light"/>
        </w:rPr>
        <w:t xml:space="preserve">, with an initial focus on </w:t>
      </w:r>
      <w:r w:rsidR="00787E9C">
        <w:rPr>
          <w:rFonts w:eastAsia="Calibri Light" w:cs="Calibri Light"/>
        </w:rPr>
        <w:t xml:space="preserve">integrating </w:t>
      </w:r>
      <w:r w:rsidR="002D5F95">
        <w:rPr>
          <w:rFonts w:eastAsia="Calibri Light" w:cs="Calibri Light"/>
        </w:rPr>
        <w:t xml:space="preserve">ACE’s </w:t>
      </w:r>
      <w:r w:rsidR="357F0241" w:rsidRPr="03C74CC7">
        <w:rPr>
          <w:rFonts w:eastAsia="Calibri Light" w:cs="Calibri Light"/>
        </w:rPr>
        <w:t>work in</w:t>
      </w:r>
      <w:r w:rsidR="00787E9C">
        <w:rPr>
          <w:rFonts w:eastAsia="Calibri Light" w:cs="Calibri Light"/>
        </w:rPr>
        <w:t>to</w:t>
      </w:r>
      <w:r w:rsidR="357F0241" w:rsidRPr="03C74CC7">
        <w:rPr>
          <w:rFonts w:eastAsia="Calibri Light" w:cs="Calibri Light"/>
        </w:rPr>
        <w:t xml:space="preserve"> </w:t>
      </w:r>
      <w:r w:rsidR="00787E9C">
        <w:rPr>
          <w:rFonts w:eastAsia="Calibri Light" w:cs="Calibri Light"/>
        </w:rPr>
        <w:t>Treasury’s corporate planning process</w:t>
      </w:r>
      <w:r w:rsidR="002D5F95">
        <w:rPr>
          <w:rFonts w:eastAsia="Calibri Light" w:cs="Calibri Light"/>
        </w:rPr>
        <w:t>,</w:t>
      </w:r>
      <w:r w:rsidR="00787E9C">
        <w:rPr>
          <w:rFonts w:eastAsia="Calibri Light" w:cs="Calibri Light"/>
        </w:rPr>
        <w:t xml:space="preserve"> </w:t>
      </w:r>
      <w:r w:rsidR="357F0241" w:rsidRPr="03C74CC7">
        <w:rPr>
          <w:rFonts w:eastAsia="Calibri Light" w:cs="Calibri Light"/>
        </w:rPr>
        <w:t>and explor</w:t>
      </w:r>
      <w:r w:rsidR="00787E9C">
        <w:rPr>
          <w:rFonts w:eastAsia="Calibri Light" w:cs="Calibri Light"/>
        </w:rPr>
        <w:t>ing</w:t>
      </w:r>
      <w:r w:rsidR="357F0241" w:rsidRPr="03C74CC7">
        <w:rPr>
          <w:rFonts w:eastAsia="Calibri Light" w:cs="Calibri Light"/>
        </w:rPr>
        <w:t xml:space="preserve"> opportunities to incorporate evaluation into </w:t>
      </w:r>
      <w:r w:rsidR="00787E9C">
        <w:rPr>
          <w:rFonts w:eastAsia="Calibri Light" w:cs="Calibri Light"/>
        </w:rPr>
        <w:t>divisional</w:t>
      </w:r>
      <w:r w:rsidR="357F0241" w:rsidRPr="03C74CC7">
        <w:rPr>
          <w:rFonts w:eastAsia="Calibri Light" w:cs="Calibri Light"/>
        </w:rPr>
        <w:t xml:space="preserve"> planning processes.</w:t>
      </w:r>
    </w:p>
    <w:p w14:paraId="4CE30CF6" w14:textId="2390CDB0" w:rsidR="00F86D7C" w:rsidRPr="00140948" w:rsidRDefault="00F0785B" w:rsidP="00140948">
      <w:pPr>
        <w:spacing w:before="0" w:after="0" w:line="276" w:lineRule="auto"/>
        <w:rPr>
          <w:rFonts w:eastAsia="Calibri Light" w:cs="Calibri Light"/>
        </w:rPr>
      </w:pPr>
      <w:r>
        <w:rPr>
          <w:rFonts w:eastAsia="Calibri Light" w:cs="Calibri Light"/>
          <w:b/>
          <w:bCs/>
        </w:rPr>
        <w:t>1</w:t>
      </w:r>
      <w:r w:rsidR="00F86D7C" w:rsidRPr="00C9488F">
        <w:rPr>
          <w:rFonts w:eastAsia="Calibri Light" w:cs="Calibri Light"/>
          <w:b/>
          <w:bCs/>
        </w:rPr>
        <w:t>.</w:t>
      </w:r>
      <w:r w:rsidR="00D0570B">
        <w:rPr>
          <w:rFonts w:eastAsia="Calibri Light" w:cs="Calibri Light"/>
          <w:b/>
          <w:bCs/>
        </w:rPr>
        <w:t>3</w:t>
      </w:r>
      <w:r w:rsidR="00F86D7C" w:rsidRPr="00C9488F">
        <w:rPr>
          <w:rFonts w:eastAsia="Calibri Light" w:cs="Calibri Light"/>
          <w:b/>
          <w:bCs/>
        </w:rPr>
        <w:t xml:space="preserve"> </w:t>
      </w:r>
      <w:r w:rsidR="00D0570B">
        <w:rPr>
          <w:rFonts w:eastAsia="Calibri Light" w:cs="Calibri Light"/>
          <w:b/>
          <w:bCs/>
        </w:rPr>
        <w:t>Report</w:t>
      </w:r>
      <w:r w:rsidR="00F86D7C" w:rsidRPr="00C9488F">
        <w:rPr>
          <w:rFonts w:eastAsia="Calibri Light" w:cs="Calibri Light"/>
          <w:b/>
          <w:bCs/>
        </w:rPr>
        <w:t xml:space="preserve"> to </w:t>
      </w:r>
      <w:r w:rsidR="0021182D">
        <w:rPr>
          <w:rFonts w:eastAsia="Calibri Light" w:cs="Calibri Light"/>
          <w:b/>
          <w:bCs/>
        </w:rPr>
        <w:t>the Performance and Risk Committee</w:t>
      </w:r>
      <w:r w:rsidR="00F86D7C">
        <w:rPr>
          <w:rFonts w:eastAsia="Calibri Light" w:cs="Calibri Light"/>
          <w:b/>
          <w:bCs/>
        </w:rPr>
        <w:t xml:space="preserve"> </w:t>
      </w:r>
      <w:bookmarkStart w:id="27" w:name="_Hlk203115343"/>
      <w:r w:rsidR="00F86D7C" w:rsidRPr="00C9488F">
        <w:rPr>
          <w:rFonts w:eastAsia="Calibri Light" w:cs="Calibri Light"/>
          <w:b/>
          <w:bCs/>
        </w:rPr>
        <w:t xml:space="preserve">on </w:t>
      </w:r>
      <w:r w:rsidR="00F86D7C">
        <w:rPr>
          <w:rFonts w:eastAsia="Calibri Light" w:cs="Calibri Light"/>
          <w:b/>
          <w:bCs/>
        </w:rPr>
        <w:t xml:space="preserve">evaluation </w:t>
      </w:r>
      <w:r w:rsidR="00F86D7C" w:rsidRPr="00C9488F">
        <w:rPr>
          <w:rFonts w:eastAsia="Calibri Light" w:cs="Calibri Light"/>
          <w:b/>
          <w:bCs/>
        </w:rPr>
        <w:t xml:space="preserve">activities and findings, </w:t>
      </w:r>
      <w:r w:rsidR="00531C51">
        <w:rPr>
          <w:rFonts w:eastAsia="Calibri Light" w:cs="Calibri Light"/>
          <w:b/>
          <w:bCs/>
        </w:rPr>
        <w:t xml:space="preserve">and </w:t>
      </w:r>
      <w:r w:rsidR="00F86D7C" w:rsidRPr="00C9488F">
        <w:rPr>
          <w:rFonts w:eastAsia="Calibri Light" w:cs="Calibri Light"/>
          <w:b/>
          <w:bCs/>
        </w:rPr>
        <w:t xml:space="preserve">responses </w:t>
      </w:r>
      <w:r w:rsidR="00531C51">
        <w:rPr>
          <w:rFonts w:eastAsia="Calibri Light" w:cs="Calibri Light"/>
          <w:b/>
          <w:bCs/>
        </w:rPr>
        <w:t xml:space="preserve">to </w:t>
      </w:r>
      <w:r w:rsidR="00F86D7C" w:rsidRPr="00C9488F">
        <w:rPr>
          <w:rFonts w:eastAsia="Calibri Light" w:cs="Calibri Light"/>
          <w:b/>
          <w:bCs/>
        </w:rPr>
        <w:t>and implementation of findings</w:t>
      </w:r>
      <w:bookmarkEnd w:id="27"/>
      <w:r w:rsidR="00F86D7C" w:rsidRPr="00C9488F">
        <w:rPr>
          <w:rFonts w:eastAsia="Calibri Light" w:cs="Calibri Light"/>
          <w:b/>
          <w:bCs/>
        </w:rPr>
        <w:t>.</w:t>
      </w:r>
      <w:r w:rsidR="00F86D7C">
        <w:rPr>
          <w:rFonts w:eastAsia="Calibri Light" w:cs="Calibri Light"/>
        </w:rPr>
        <w:t xml:space="preserve"> Once MAPD has established </w:t>
      </w:r>
      <w:r w:rsidR="00DF05AB">
        <w:rPr>
          <w:rFonts w:eastAsia="Calibri Light" w:cs="Calibri Light"/>
        </w:rPr>
        <w:t>a Treasury</w:t>
      </w:r>
      <w:r w:rsidR="00F86D7C">
        <w:rPr>
          <w:rFonts w:eastAsia="Calibri Light" w:cs="Calibri Light"/>
        </w:rPr>
        <w:t xml:space="preserve"> </w:t>
      </w:r>
      <w:r w:rsidR="005D0D81">
        <w:rPr>
          <w:rFonts w:eastAsia="Calibri Light" w:cs="Calibri Light"/>
        </w:rPr>
        <w:t>E</w:t>
      </w:r>
      <w:r w:rsidR="00F86D7C">
        <w:rPr>
          <w:rFonts w:eastAsia="Calibri Light" w:cs="Calibri Light"/>
        </w:rPr>
        <w:t xml:space="preserve">valuation </w:t>
      </w:r>
      <w:r w:rsidR="005D0D81">
        <w:rPr>
          <w:rFonts w:eastAsia="Calibri Light" w:cs="Calibri Light"/>
        </w:rPr>
        <w:t>R</w:t>
      </w:r>
      <w:r w:rsidR="00F86D7C">
        <w:rPr>
          <w:rFonts w:eastAsia="Calibri Light" w:cs="Calibri Light"/>
        </w:rPr>
        <w:t>egister and forward work plan</w:t>
      </w:r>
      <w:r w:rsidR="00BC74B8">
        <w:rPr>
          <w:rFonts w:eastAsia="Calibri Light" w:cs="Calibri Light"/>
        </w:rPr>
        <w:t xml:space="preserve"> (described </w:t>
      </w:r>
      <w:r w:rsidR="00531C51">
        <w:rPr>
          <w:rFonts w:eastAsia="Calibri Light" w:cs="Calibri Light"/>
        </w:rPr>
        <w:t xml:space="preserve">under </w:t>
      </w:r>
      <w:r w:rsidR="00BC74B8">
        <w:rPr>
          <w:rFonts w:eastAsia="Calibri Light" w:cs="Calibri Light"/>
        </w:rPr>
        <w:t>Priority 2</w:t>
      </w:r>
      <w:r w:rsidR="00531C51">
        <w:rPr>
          <w:rFonts w:eastAsia="Calibri Light" w:cs="Calibri Light"/>
        </w:rPr>
        <w:t xml:space="preserve"> below</w:t>
      </w:r>
      <w:r w:rsidR="00BC74B8">
        <w:rPr>
          <w:rFonts w:eastAsia="Calibri Light" w:cs="Calibri Light"/>
        </w:rPr>
        <w:t>)</w:t>
      </w:r>
      <w:r w:rsidR="00FC13BF">
        <w:rPr>
          <w:rFonts w:eastAsia="Calibri Light" w:cs="Calibri Light"/>
        </w:rPr>
        <w:t>,</w:t>
      </w:r>
      <w:r w:rsidR="00F86D7C">
        <w:rPr>
          <w:rFonts w:eastAsia="Calibri Light" w:cs="Calibri Light"/>
        </w:rPr>
        <w:t xml:space="preserve"> </w:t>
      </w:r>
      <w:r w:rsidR="00DF05AB">
        <w:rPr>
          <w:rFonts w:eastAsia="Calibri Light" w:cs="Calibri Light"/>
        </w:rPr>
        <w:t>MAPD</w:t>
      </w:r>
      <w:r w:rsidR="00F86D7C">
        <w:rPr>
          <w:rFonts w:eastAsia="Calibri Light" w:cs="Calibri Light"/>
        </w:rPr>
        <w:t xml:space="preserve"> will provide central oversight </w:t>
      </w:r>
      <w:r w:rsidR="00F86D7C" w:rsidRPr="001F3533">
        <w:rPr>
          <w:rFonts w:eastAsia="Calibri Light" w:cs="Calibri Light"/>
        </w:rPr>
        <w:t xml:space="preserve">of </w:t>
      </w:r>
      <w:r w:rsidR="00F86D7C">
        <w:rPr>
          <w:rFonts w:eastAsia="Calibri Light" w:cs="Calibri Light"/>
        </w:rPr>
        <w:t xml:space="preserve">reporting from Divisions/Groups on their </w:t>
      </w:r>
      <w:r w:rsidR="00F86D7C" w:rsidRPr="001F3533">
        <w:rPr>
          <w:rFonts w:eastAsia="Calibri Light" w:cs="Calibri Light"/>
        </w:rPr>
        <w:t>monitoring and evaluation activities</w:t>
      </w:r>
      <w:r w:rsidR="00F86D7C">
        <w:rPr>
          <w:rFonts w:eastAsia="Calibri Light" w:cs="Calibri Light"/>
        </w:rPr>
        <w:t>.</w:t>
      </w:r>
    </w:p>
    <w:p w14:paraId="4BEAA9F1" w14:textId="4148F61D" w:rsidR="00A95162" w:rsidRDefault="00AE4FB2" w:rsidP="00C11011">
      <w:pPr>
        <w:pStyle w:val="Heading2"/>
      </w:pPr>
      <w:bookmarkStart w:id="28" w:name="_Toc208932160"/>
      <w:bookmarkStart w:id="29" w:name="_Toc208932671"/>
      <w:bookmarkEnd w:id="26"/>
      <w:r>
        <w:t>2</w:t>
      </w:r>
      <w:r w:rsidR="00140948">
        <w:t>.</w:t>
      </w:r>
      <w:r w:rsidR="00A95162" w:rsidRPr="003276AF">
        <w:t xml:space="preserve"> </w:t>
      </w:r>
      <w:bookmarkEnd w:id="25"/>
      <w:r w:rsidR="00141031">
        <w:t>Fit-for-purpose evaluation delivery</w:t>
      </w:r>
      <w:bookmarkEnd w:id="28"/>
      <w:bookmarkEnd w:id="29"/>
      <w:r w:rsidR="00A95162" w:rsidRPr="7B425A75">
        <w:rPr>
          <w:rFonts w:ascii="Aptos Display" w:eastAsia="Aptos Display" w:hAnsi="Aptos Display" w:cs="Aptos Display"/>
        </w:rPr>
        <w:t xml:space="preserve"> </w:t>
      </w:r>
    </w:p>
    <w:p w14:paraId="6B43173B" w14:textId="4B469419" w:rsidR="00867A0C" w:rsidRPr="003A4F23" w:rsidRDefault="00964480" w:rsidP="00867A0C">
      <w:pPr>
        <w:rPr>
          <w:rFonts w:eastAsia="Calibri Light"/>
        </w:rPr>
      </w:pPr>
      <w:r>
        <w:rPr>
          <w:rFonts w:eastAsia="Calibri Light"/>
        </w:rPr>
        <w:t>E</w:t>
      </w:r>
      <w:r w:rsidR="00867A0C">
        <w:rPr>
          <w:rFonts w:eastAsia="Calibri Light"/>
        </w:rPr>
        <w:t>valuations should be fit-for-purpose</w:t>
      </w:r>
      <w:r w:rsidR="00A97873">
        <w:rPr>
          <w:rFonts w:eastAsia="Calibri Light"/>
        </w:rPr>
        <w:t xml:space="preserve"> </w:t>
      </w:r>
      <w:r w:rsidR="003B30B0">
        <w:rPr>
          <w:rFonts w:eastAsia="Calibri Light"/>
        </w:rPr>
        <w:t>and us</w:t>
      </w:r>
      <w:r w:rsidR="003825D0">
        <w:rPr>
          <w:rFonts w:eastAsia="Calibri Light"/>
        </w:rPr>
        <w:t>eful</w:t>
      </w:r>
      <w:r w:rsidR="00867A0C">
        <w:rPr>
          <w:rFonts w:eastAsia="Calibri Light"/>
        </w:rPr>
        <w:t>. That is, t</w:t>
      </w:r>
      <w:r w:rsidR="00867A0C" w:rsidRPr="003A4F23">
        <w:rPr>
          <w:rFonts w:eastAsia="Calibri Light"/>
        </w:rPr>
        <w:t>he choice to evaluate and the scale of effort and resources allocated to an evaluation should be proportional to the value, impact, strategic importance and risk profile</w:t>
      </w:r>
      <w:r w:rsidR="00132E5C">
        <w:rPr>
          <w:rFonts w:eastAsia="Calibri Light"/>
        </w:rPr>
        <w:t xml:space="preserve"> of the policy or program</w:t>
      </w:r>
      <w:r w:rsidR="00867A0C" w:rsidRPr="003A4F23">
        <w:rPr>
          <w:rFonts w:eastAsia="Calibri Light"/>
        </w:rPr>
        <w:t>.</w:t>
      </w:r>
      <w:r w:rsidR="00E118DF">
        <w:rPr>
          <w:rFonts w:eastAsia="Calibri Light"/>
        </w:rPr>
        <w:t xml:space="preserve"> </w:t>
      </w:r>
    </w:p>
    <w:p w14:paraId="0F0A9B1E" w14:textId="77777777" w:rsidR="00140948" w:rsidRDefault="00867A0C" w:rsidP="00867A0C">
      <w:r>
        <w:t xml:space="preserve">Treasury </w:t>
      </w:r>
      <w:r w:rsidR="001B2997">
        <w:t>will prioritise our evaluation activity base</w:t>
      </w:r>
      <w:r w:rsidR="00135B3F">
        <w:t>d</w:t>
      </w:r>
      <w:r w:rsidR="001B2997">
        <w:t xml:space="preserve"> on</w:t>
      </w:r>
      <w:r w:rsidR="007C495F">
        <w:t xml:space="preserve"> the following</w:t>
      </w:r>
      <w:r w:rsidR="00F31EBD">
        <w:t xml:space="preserve"> Prioritisation M</w:t>
      </w:r>
      <w:r>
        <w:t>odel</w:t>
      </w:r>
      <w:r w:rsidR="007C495F">
        <w:t xml:space="preserve">. </w:t>
      </w:r>
      <w:r w:rsidR="00140948">
        <w:t xml:space="preserve">This model forms the central guidance for how Treasury evaluations will be prioritised, resourced, and supported. It </w:t>
      </w:r>
      <w:r w:rsidR="007C495F">
        <w:t>will help</w:t>
      </w:r>
      <w:r>
        <w:t xml:space="preserve"> </w:t>
      </w:r>
      <w:r w:rsidR="00DF05AB">
        <w:t xml:space="preserve">identify </w:t>
      </w:r>
      <w:r w:rsidRPr="700DAF07">
        <w:rPr>
          <w:i/>
          <w:iCs/>
        </w:rPr>
        <w:t>evaluation activit</w:t>
      </w:r>
      <w:r w:rsidR="00DF05AB">
        <w:rPr>
          <w:i/>
          <w:iCs/>
        </w:rPr>
        <w:t>ies</w:t>
      </w:r>
      <w:r>
        <w:t xml:space="preserve"> that </w:t>
      </w:r>
      <w:r w:rsidR="00DF05AB">
        <w:t xml:space="preserve">are </w:t>
      </w:r>
      <w:r>
        <w:t xml:space="preserve">appropriate for different policies </w:t>
      </w:r>
      <w:r w:rsidR="00AE6A1F">
        <w:t xml:space="preserve">and </w:t>
      </w:r>
      <w:r w:rsidR="00204E56">
        <w:t>programs</w:t>
      </w:r>
      <w:r>
        <w:t xml:space="preserve">. </w:t>
      </w:r>
    </w:p>
    <w:p w14:paraId="07DF2DD8" w14:textId="6E6261E2" w:rsidR="00867A0C" w:rsidRDefault="00140948" w:rsidP="00867A0C">
      <w:r>
        <w:lastRenderedPageBreak/>
        <w:t>The first step in the Prioritisation Model is a</w:t>
      </w:r>
      <w:r w:rsidR="00DF05AB">
        <w:t xml:space="preserve">n assessment </w:t>
      </w:r>
      <w:r>
        <w:t xml:space="preserve">against </w:t>
      </w:r>
      <w:r w:rsidR="00DF05AB">
        <w:t>3 evaluation categories</w:t>
      </w:r>
      <w:r>
        <w:t xml:space="preserve">, reflecting the </w:t>
      </w:r>
      <w:r w:rsidR="00867A0C" w:rsidRPr="700DAF07">
        <w:rPr>
          <w:i/>
          <w:iCs/>
        </w:rPr>
        <w:t>characteristics of the policy, program or regulation</w:t>
      </w:r>
      <w:r w:rsidR="00DF05AB">
        <w:t xml:space="preserve">. </w:t>
      </w:r>
      <w:r>
        <w:t xml:space="preserve">There are multiple criteria describing each category: ultimately, each </w:t>
      </w:r>
      <w:r w:rsidR="00DF05AB">
        <w:t xml:space="preserve">assessment </w:t>
      </w:r>
      <w:r>
        <w:t xml:space="preserve">will be based on a judgement about which </w:t>
      </w:r>
      <w:r w:rsidR="000D4D6F">
        <w:t xml:space="preserve">criteria </w:t>
      </w:r>
      <w:r w:rsidR="000D4D6F" w:rsidRPr="00E02837">
        <w:rPr>
          <w:i/>
          <w:iCs/>
        </w:rPr>
        <w:t>best describe</w:t>
      </w:r>
      <w:r w:rsidR="000D4D6F">
        <w:t xml:space="preserve"> the policy, program </w:t>
      </w:r>
      <w:r>
        <w:t xml:space="preserve">or </w:t>
      </w:r>
      <w:r w:rsidR="000D4D6F">
        <w:t>regulation</w:t>
      </w:r>
      <w:r w:rsidR="00867A0C">
        <w:t>.</w:t>
      </w:r>
    </w:p>
    <w:p w14:paraId="58CE836C" w14:textId="1E19131D" w:rsidR="00CF6388" w:rsidRDefault="00CF6388" w:rsidP="00B02652">
      <w:pPr>
        <w:rPr>
          <w:szCs w:val="22"/>
        </w:rPr>
      </w:pPr>
      <w:r w:rsidRPr="00B02652">
        <w:rPr>
          <w:szCs w:val="22"/>
        </w:rPr>
        <w:t xml:space="preserve">This approach seeks to ensure that all Treasury policies and programs are </w:t>
      </w:r>
      <w:r w:rsidR="00140948">
        <w:rPr>
          <w:szCs w:val="22"/>
        </w:rPr>
        <w:t>‘</w:t>
      </w:r>
      <w:r w:rsidRPr="00B02652">
        <w:rPr>
          <w:szCs w:val="22"/>
        </w:rPr>
        <w:t>evaluation ready</w:t>
      </w:r>
      <w:r w:rsidR="00140948">
        <w:rPr>
          <w:szCs w:val="22"/>
        </w:rPr>
        <w:t>’</w:t>
      </w:r>
      <w:r w:rsidRPr="00B02652">
        <w:rPr>
          <w:szCs w:val="22"/>
        </w:rPr>
        <w:t xml:space="preserve">. Evaluation readiness means that all policies and programs </w:t>
      </w:r>
      <w:r w:rsidR="003E2F9A" w:rsidRPr="00B02652">
        <w:rPr>
          <w:szCs w:val="22"/>
        </w:rPr>
        <w:t xml:space="preserve">should be </w:t>
      </w:r>
      <w:r w:rsidRPr="00B02652">
        <w:rPr>
          <w:szCs w:val="22"/>
        </w:rPr>
        <w:t xml:space="preserve">supported by clearly defined and measurable objectives, with robust </w:t>
      </w:r>
      <w:r w:rsidR="00825608">
        <w:rPr>
          <w:szCs w:val="22"/>
        </w:rPr>
        <w:t xml:space="preserve">data collection and </w:t>
      </w:r>
      <w:r w:rsidRPr="00B02652">
        <w:rPr>
          <w:szCs w:val="22"/>
        </w:rPr>
        <w:t>performance monitoring that helps us understand what works, for whom, and why.</w:t>
      </w:r>
    </w:p>
    <w:p w14:paraId="3631C574" w14:textId="31DC8C71" w:rsidR="00BD7DCE" w:rsidRPr="005273C6" w:rsidRDefault="00C74273" w:rsidP="00374F15">
      <w:pPr>
        <w:pStyle w:val="FigureChartMainHeading"/>
        <w:numPr>
          <w:ilvl w:val="0"/>
          <w:numId w:val="0"/>
        </w:numPr>
        <w:rPr>
          <w:rFonts w:eastAsia="Calibri Light"/>
        </w:rPr>
      </w:pPr>
      <w:bookmarkStart w:id="30" w:name="_Toc195716639"/>
      <w:r w:rsidRPr="005273C6">
        <w:rPr>
          <w:rFonts w:eastAsia="Calibri Light"/>
        </w:rPr>
        <w:t xml:space="preserve">Figure </w:t>
      </w:r>
      <w:r w:rsidR="000D4D6F">
        <w:rPr>
          <w:rFonts w:eastAsia="Calibri Light"/>
        </w:rPr>
        <w:t>2</w:t>
      </w:r>
      <w:r w:rsidRPr="005273C6">
        <w:rPr>
          <w:rFonts w:eastAsia="Calibri Light"/>
        </w:rPr>
        <w:t xml:space="preserve">: </w:t>
      </w:r>
      <w:r w:rsidR="00F31EBD">
        <w:rPr>
          <w:rFonts w:eastAsia="Calibri Light"/>
        </w:rPr>
        <w:t>Evaluation Prioritisation Model</w:t>
      </w:r>
      <w:bookmarkEnd w:id="30"/>
      <w:r w:rsidR="00F23640" w:rsidRPr="00FF4908">
        <w:rPr>
          <w:rStyle w:val="FootnoteReference"/>
          <w:vertAlign w:val="superscript"/>
        </w:rPr>
        <w:footnoteReference w:id="2"/>
      </w:r>
    </w:p>
    <w:tbl>
      <w:tblPr>
        <w:tblStyle w:val="TableGrid"/>
        <w:tblW w:w="10226" w:type="dxa"/>
        <w:tblInd w:w="-567" w:type="dxa"/>
        <w:tblLook w:val="04A0" w:firstRow="1" w:lastRow="0" w:firstColumn="1" w:lastColumn="0" w:noHBand="0" w:noVBand="1"/>
      </w:tblPr>
      <w:tblGrid>
        <w:gridCol w:w="1553"/>
        <w:gridCol w:w="283"/>
        <w:gridCol w:w="2608"/>
        <w:gridCol w:w="283"/>
        <w:gridCol w:w="2608"/>
        <w:gridCol w:w="283"/>
        <w:gridCol w:w="2608"/>
      </w:tblGrid>
      <w:tr w:rsidR="005C3761" w14:paraId="1CEA13A5" w14:textId="77777777" w:rsidTr="00620D7F">
        <w:trPr>
          <w:cnfStyle w:val="100000000000" w:firstRow="1" w:lastRow="0" w:firstColumn="0" w:lastColumn="0" w:oddVBand="0" w:evenVBand="0" w:oddHBand="0" w:evenHBand="0" w:firstRowFirstColumn="0" w:firstRowLastColumn="0" w:lastRowFirstColumn="0" w:lastRowLastColumn="0"/>
        </w:trPr>
        <w:tc>
          <w:tcPr>
            <w:tcW w:w="1553" w:type="dxa"/>
            <w:tcBorders>
              <w:top w:val="nil"/>
              <w:left w:val="nil"/>
              <w:bottom w:val="dotted" w:sz="24" w:space="0" w:color="auto"/>
              <w:right w:val="nil"/>
            </w:tcBorders>
            <w:shd w:val="clear" w:color="auto" w:fill="DEE3EB" w:themeFill="accent3" w:themeFillTint="33"/>
          </w:tcPr>
          <w:p w14:paraId="7652FC71" w14:textId="77777777" w:rsidR="00D45FAF" w:rsidRPr="002F23A2" w:rsidRDefault="00D45FAF" w:rsidP="00140948">
            <w:pPr>
              <w:keepNext/>
              <w:spacing w:before="0" w:after="0"/>
              <w:rPr>
                <w:b w:val="0"/>
                <w:bCs/>
              </w:rPr>
            </w:pPr>
            <w:r w:rsidRPr="00AC3273">
              <w:rPr>
                <w:rFonts w:ascii="Calibri" w:eastAsiaTheme="minorHAnsi" w:hAnsi="Calibri" w:cstheme="minorBidi"/>
                <w:bCs/>
                <w:color w:val="2E3B4E" w:themeColor="accent3" w:themeShade="80"/>
                <w:kern w:val="2"/>
                <w:sz w:val="22"/>
                <w:szCs w:val="22"/>
                <w:lang w:eastAsia="en-US"/>
                <w14:ligatures w14:val="standardContextual"/>
              </w:rPr>
              <w:t>Evaluation category</w:t>
            </w:r>
          </w:p>
        </w:tc>
        <w:tc>
          <w:tcPr>
            <w:tcW w:w="283" w:type="dxa"/>
            <w:tcBorders>
              <w:top w:val="nil"/>
              <w:left w:val="nil"/>
              <w:bottom w:val="dotted" w:sz="24" w:space="0" w:color="auto"/>
              <w:right w:val="single" w:sz="24" w:space="0" w:color="4D7861"/>
            </w:tcBorders>
            <w:shd w:val="clear" w:color="auto" w:fill="DEE3EB" w:themeFill="accent3" w:themeFillTint="33"/>
          </w:tcPr>
          <w:p w14:paraId="68AB7DCC" w14:textId="77777777" w:rsidR="00D45FAF" w:rsidRDefault="00D45FAF" w:rsidP="00140948">
            <w:pPr>
              <w:keepNext/>
              <w:ind w:left="-567"/>
            </w:pPr>
          </w:p>
        </w:tc>
        <w:tc>
          <w:tcPr>
            <w:tcW w:w="2608" w:type="dxa"/>
            <w:tcBorders>
              <w:top w:val="single" w:sz="24" w:space="0" w:color="4D7861"/>
              <w:left w:val="single" w:sz="24" w:space="0" w:color="4D7861"/>
              <w:bottom w:val="dotted" w:sz="24" w:space="0" w:color="auto"/>
              <w:right w:val="single" w:sz="24" w:space="0" w:color="4D7861"/>
            </w:tcBorders>
            <w:shd w:val="clear" w:color="auto" w:fill="DEE3EB" w:themeFill="accent3" w:themeFillTint="33"/>
          </w:tcPr>
          <w:p w14:paraId="1605F9F7" w14:textId="77777777" w:rsidR="00D45FAF" w:rsidRPr="00054DE8" w:rsidRDefault="00D45FAF" w:rsidP="00140948">
            <w:pPr>
              <w:keepNext/>
              <w:spacing w:before="0" w:after="240"/>
              <w:jc w:val="center"/>
              <w:rPr>
                <w:sz w:val="44"/>
                <w:szCs w:val="44"/>
              </w:rPr>
            </w:pPr>
            <w:r w:rsidRPr="00AC3273">
              <w:rPr>
                <w:rFonts w:ascii="Calibri" w:eastAsiaTheme="minorHAnsi" w:hAnsi="Calibri" w:cstheme="minorBidi"/>
                <w:color w:val="115732" w:themeColor="accent4" w:themeShade="40"/>
                <w:kern w:val="2"/>
                <w:sz w:val="44"/>
                <w:szCs w:val="44"/>
                <w:lang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standardContextual"/>
              </w:rPr>
              <w:t>1</w:t>
            </w:r>
          </w:p>
        </w:tc>
        <w:tc>
          <w:tcPr>
            <w:tcW w:w="283" w:type="dxa"/>
            <w:tcBorders>
              <w:top w:val="nil"/>
              <w:left w:val="single" w:sz="24" w:space="0" w:color="4D7861"/>
              <w:bottom w:val="dotted" w:sz="24" w:space="0" w:color="auto"/>
              <w:right w:val="single" w:sz="24" w:space="0" w:color="5D779D" w:themeColor="accent3"/>
            </w:tcBorders>
            <w:shd w:val="clear" w:color="auto" w:fill="DEE3EB" w:themeFill="accent3" w:themeFillTint="33"/>
          </w:tcPr>
          <w:p w14:paraId="7E53400F" w14:textId="77777777" w:rsidR="00D45FAF" w:rsidRDefault="00D45FAF" w:rsidP="00140948">
            <w:pPr>
              <w:keepNext/>
              <w:ind w:left="-567"/>
            </w:pPr>
          </w:p>
        </w:tc>
        <w:tc>
          <w:tcPr>
            <w:tcW w:w="2608" w:type="dxa"/>
            <w:tcBorders>
              <w:top w:val="single" w:sz="24" w:space="0" w:color="5D779D" w:themeColor="accent3"/>
              <w:left w:val="single" w:sz="24" w:space="0" w:color="5D779D" w:themeColor="accent3"/>
              <w:bottom w:val="dotted" w:sz="24" w:space="0" w:color="auto"/>
              <w:right w:val="single" w:sz="24" w:space="0" w:color="5D779D" w:themeColor="accent3"/>
            </w:tcBorders>
            <w:shd w:val="clear" w:color="auto" w:fill="DEE3EB" w:themeFill="accent3" w:themeFillTint="33"/>
          </w:tcPr>
          <w:p w14:paraId="5ACD7CA7" w14:textId="77777777" w:rsidR="00D45FAF" w:rsidRDefault="00D45FAF" w:rsidP="00140948">
            <w:pPr>
              <w:keepNext/>
              <w:spacing w:before="0" w:after="240"/>
              <w:jc w:val="center"/>
            </w:pPr>
            <w:r w:rsidRPr="00422F28">
              <w:rPr>
                <w:rFonts w:ascii="Calibri" w:eastAsiaTheme="minorHAnsi" w:hAnsi="Calibri" w:cstheme="minorBidi"/>
                <w:color w:val="5D779D" w:themeColor="accent3"/>
                <w:kern w:val="2"/>
                <w:sz w:val="44"/>
                <w:szCs w:val="44"/>
                <w:lang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standardContextual"/>
              </w:rPr>
              <w:t>2</w:t>
            </w:r>
          </w:p>
        </w:tc>
        <w:tc>
          <w:tcPr>
            <w:tcW w:w="283" w:type="dxa"/>
            <w:tcBorders>
              <w:top w:val="nil"/>
              <w:left w:val="single" w:sz="24" w:space="0" w:color="5D779D" w:themeColor="accent3"/>
              <w:bottom w:val="dotted" w:sz="24" w:space="0" w:color="auto"/>
              <w:right w:val="single" w:sz="24" w:space="0" w:color="A54E13" w:themeColor="accent6" w:themeShade="80"/>
            </w:tcBorders>
            <w:shd w:val="clear" w:color="auto" w:fill="DEE3EB" w:themeFill="accent3" w:themeFillTint="33"/>
          </w:tcPr>
          <w:p w14:paraId="18340097" w14:textId="77777777" w:rsidR="00D45FAF" w:rsidRDefault="00D45FAF" w:rsidP="00140948">
            <w:pPr>
              <w:keepNext/>
              <w:ind w:left="-567"/>
            </w:pPr>
          </w:p>
        </w:tc>
        <w:tc>
          <w:tcPr>
            <w:tcW w:w="2608" w:type="dxa"/>
            <w:tcBorders>
              <w:top w:val="single" w:sz="24" w:space="0" w:color="A54E13" w:themeColor="accent6" w:themeShade="80"/>
              <w:left w:val="single" w:sz="24" w:space="0" w:color="A54E13" w:themeColor="accent6" w:themeShade="80"/>
              <w:bottom w:val="dotted" w:sz="24" w:space="0" w:color="auto"/>
              <w:right w:val="single" w:sz="24" w:space="0" w:color="A54E13" w:themeColor="accent6" w:themeShade="80"/>
            </w:tcBorders>
            <w:shd w:val="clear" w:color="auto" w:fill="DEE3EB" w:themeFill="accent3" w:themeFillTint="33"/>
          </w:tcPr>
          <w:p w14:paraId="1E07663E" w14:textId="77777777" w:rsidR="00D45FAF" w:rsidRDefault="00D45FAF" w:rsidP="00140948">
            <w:pPr>
              <w:keepNext/>
              <w:spacing w:before="0" w:after="240"/>
              <w:jc w:val="center"/>
            </w:pPr>
            <w:r w:rsidRPr="00620D7F">
              <w:rPr>
                <w:rFonts w:ascii="Calibri" w:eastAsiaTheme="minorHAnsi" w:hAnsi="Calibri" w:cstheme="minorBidi"/>
                <w:color w:val="A54E13" w:themeColor="accent6" w:themeShade="80"/>
                <w:kern w:val="2"/>
                <w:sz w:val="44"/>
                <w:szCs w:val="44"/>
                <w:lang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standardContextual"/>
              </w:rPr>
              <w:t>3</w:t>
            </w:r>
          </w:p>
        </w:tc>
      </w:tr>
      <w:tr w:rsidR="005C3761" w:rsidRPr="00AF5250" w14:paraId="2D50657F" w14:textId="77777777" w:rsidTr="00A86F1A">
        <w:trPr>
          <w:trHeight w:val="1968"/>
        </w:trPr>
        <w:tc>
          <w:tcPr>
            <w:tcW w:w="1553" w:type="dxa"/>
            <w:tcBorders>
              <w:top w:val="dotted" w:sz="24" w:space="0" w:color="auto"/>
              <w:left w:val="nil"/>
              <w:bottom w:val="dotted" w:sz="24" w:space="0" w:color="auto"/>
              <w:right w:val="nil"/>
            </w:tcBorders>
            <w:shd w:val="clear" w:color="auto" w:fill="DEE3EB" w:themeFill="accent3" w:themeFillTint="33"/>
          </w:tcPr>
          <w:p w14:paraId="5B00607B" w14:textId="55F7D1A9" w:rsidR="00D45FAF" w:rsidRDefault="00D45FAF" w:rsidP="00140948">
            <w:pPr>
              <w:keepNext/>
              <w:spacing w:before="0" w:after="0"/>
            </w:pPr>
            <w:r w:rsidRPr="00AC3273">
              <w:rPr>
                <w:rFonts w:ascii="Calibri" w:eastAsiaTheme="minorHAnsi" w:hAnsi="Calibri" w:cstheme="minorBidi"/>
                <w:b/>
                <w:bCs/>
                <w:color w:val="2E3B4E" w:themeColor="accent3" w:themeShade="80"/>
                <w:kern w:val="2"/>
                <w:sz w:val="22"/>
                <w:szCs w:val="22"/>
                <w:lang w:eastAsia="en-US"/>
                <w14:ligatures w14:val="standardContextual"/>
              </w:rPr>
              <w:t>Indicative characteristics of policy, program o</w:t>
            </w:r>
            <w:r w:rsidR="00F4478E" w:rsidRPr="00AC3273">
              <w:rPr>
                <w:rFonts w:ascii="Calibri" w:eastAsiaTheme="minorHAnsi" w:hAnsi="Calibri" w:cstheme="minorBidi"/>
                <w:b/>
                <w:bCs/>
                <w:color w:val="2E3B4E" w:themeColor="accent3" w:themeShade="80"/>
                <w:kern w:val="2"/>
                <w:sz w:val="22"/>
                <w:szCs w:val="22"/>
                <w:lang w:eastAsia="en-US"/>
                <w14:ligatures w14:val="standardContextual"/>
              </w:rPr>
              <w:t xml:space="preserve">r </w:t>
            </w:r>
            <w:r w:rsidRPr="00AC3273">
              <w:rPr>
                <w:rFonts w:ascii="Calibri" w:eastAsiaTheme="minorHAnsi" w:hAnsi="Calibri" w:cstheme="minorBidi"/>
                <w:b/>
                <w:bCs/>
                <w:color w:val="2E3B4E" w:themeColor="accent3" w:themeShade="80"/>
                <w:kern w:val="2"/>
                <w:sz w:val="22"/>
                <w:szCs w:val="22"/>
                <w:lang w:eastAsia="en-US"/>
                <w14:ligatures w14:val="standardContextual"/>
              </w:rPr>
              <w:t>regulation</w:t>
            </w:r>
          </w:p>
        </w:tc>
        <w:tc>
          <w:tcPr>
            <w:tcW w:w="283" w:type="dxa"/>
            <w:tcBorders>
              <w:top w:val="dotted" w:sz="24" w:space="0" w:color="auto"/>
              <w:left w:val="nil"/>
              <w:bottom w:val="dotted" w:sz="24" w:space="0" w:color="auto"/>
              <w:right w:val="single" w:sz="24" w:space="0" w:color="4D7861"/>
            </w:tcBorders>
          </w:tcPr>
          <w:p w14:paraId="388229B9" w14:textId="77777777" w:rsidR="00D45FAF" w:rsidRDefault="00D45FAF" w:rsidP="00140948">
            <w:pPr>
              <w:keepNext/>
              <w:ind w:left="-567"/>
            </w:pPr>
          </w:p>
        </w:tc>
        <w:tc>
          <w:tcPr>
            <w:tcW w:w="2608" w:type="dxa"/>
            <w:tcBorders>
              <w:top w:val="dotted" w:sz="24" w:space="0" w:color="auto"/>
              <w:left w:val="single" w:sz="24" w:space="0" w:color="4D7861"/>
              <w:bottom w:val="dotted" w:sz="24" w:space="0" w:color="auto"/>
              <w:right w:val="single" w:sz="24" w:space="0" w:color="4D7861"/>
            </w:tcBorders>
          </w:tcPr>
          <w:p w14:paraId="74876C48" w14:textId="07F09046" w:rsidR="00D45FAF" w:rsidRPr="007C2FC9" w:rsidRDefault="0064513C" w:rsidP="00140948">
            <w:pPr>
              <w:pStyle w:val="Bullet"/>
              <w:keepNext/>
              <w:spacing w:after="0" w:line="240" w:lineRule="auto"/>
              <w:ind w:left="181" w:hanging="181"/>
              <w:rPr>
                <w:sz w:val="17"/>
                <w:szCs w:val="17"/>
              </w:rPr>
            </w:pPr>
            <w:r>
              <w:rPr>
                <w:sz w:val="17"/>
                <w:szCs w:val="17"/>
              </w:rPr>
              <w:t>High g</w:t>
            </w:r>
            <w:r w:rsidR="00D45FAF" w:rsidRPr="007C2FC9">
              <w:rPr>
                <w:sz w:val="17"/>
                <w:szCs w:val="17"/>
              </w:rPr>
              <w:t>overnment and/or departmental priority</w:t>
            </w:r>
          </w:p>
          <w:p w14:paraId="0A51EA57" w14:textId="684FE5FD" w:rsidR="00D45FAF" w:rsidRPr="007C2FC9" w:rsidRDefault="00D45FAF" w:rsidP="00140948">
            <w:pPr>
              <w:pStyle w:val="Bullet"/>
              <w:keepNext/>
              <w:spacing w:after="0" w:line="240" w:lineRule="auto"/>
              <w:ind w:left="181" w:hanging="181"/>
              <w:rPr>
                <w:sz w:val="17"/>
                <w:szCs w:val="17"/>
              </w:rPr>
            </w:pPr>
            <w:r w:rsidRPr="007C2FC9">
              <w:rPr>
                <w:sz w:val="17"/>
                <w:szCs w:val="17"/>
              </w:rPr>
              <w:t>High risk and/or cost</w:t>
            </w:r>
          </w:p>
          <w:p w14:paraId="0397B98A" w14:textId="77777777" w:rsidR="00D45FAF" w:rsidRPr="007C2FC9" w:rsidRDefault="00D45FAF" w:rsidP="00140948">
            <w:pPr>
              <w:pStyle w:val="Bullet"/>
              <w:keepNext/>
              <w:spacing w:after="0" w:line="240" w:lineRule="auto"/>
              <w:ind w:left="181" w:hanging="181"/>
              <w:rPr>
                <w:sz w:val="17"/>
                <w:szCs w:val="17"/>
              </w:rPr>
            </w:pPr>
            <w:r w:rsidRPr="007C2FC9">
              <w:rPr>
                <w:sz w:val="17"/>
                <w:szCs w:val="17"/>
              </w:rPr>
              <w:t xml:space="preserve">High profile </w:t>
            </w:r>
          </w:p>
          <w:p w14:paraId="6EB5A3DE" w14:textId="1565FC32" w:rsidR="00D45FAF" w:rsidRPr="007C2FC9" w:rsidRDefault="00E57E3E" w:rsidP="00140948">
            <w:pPr>
              <w:pStyle w:val="Bullet"/>
              <w:keepNext/>
              <w:spacing w:after="0" w:line="240" w:lineRule="auto"/>
              <w:ind w:left="181" w:hanging="181"/>
              <w:rPr>
                <w:sz w:val="17"/>
                <w:szCs w:val="17"/>
              </w:rPr>
            </w:pPr>
            <w:r>
              <w:rPr>
                <w:sz w:val="17"/>
                <w:szCs w:val="17"/>
              </w:rPr>
              <w:t>Evaluation and/</w:t>
            </w:r>
            <w:r w:rsidR="00D45FAF" w:rsidRPr="007C2FC9">
              <w:rPr>
                <w:sz w:val="17"/>
                <w:szCs w:val="17"/>
              </w:rPr>
              <w:t>or review</w:t>
            </w:r>
            <w:r>
              <w:rPr>
                <w:sz w:val="17"/>
                <w:szCs w:val="17"/>
              </w:rPr>
              <w:t xml:space="preserve"> required</w:t>
            </w:r>
          </w:p>
          <w:p w14:paraId="495C7974" w14:textId="77777777" w:rsidR="00D45FAF" w:rsidRPr="007C2FC9" w:rsidRDefault="00D45FAF" w:rsidP="00140948">
            <w:pPr>
              <w:pStyle w:val="Bullet"/>
              <w:keepNext/>
              <w:spacing w:after="0" w:line="240" w:lineRule="auto"/>
              <w:ind w:left="181" w:hanging="181"/>
              <w:rPr>
                <w:sz w:val="17"/>
                <w:szCs w:val="17"/>
              </w:rPr>
            </w:pPr>
            <w:r w:rsidRPr="007C2FC9">
              <w:rPr>
                <w:sz w:val="17"/>
                <w:szCs w:val="17"/>
              </w:rPr>
              <w:t>Cross-agency delivery and/or coordination required</w:t>
            </w:r>
          </w:p>
          <w:p w14:paraId="7BAC3014" w14:textId="77777777" w:rsidR="00D45FAF" w:rsidRPr="007C2FC9" w:rsidRDefault="00D45FAF" w:rsidP="00140948">
            <w:pPr>
              <w:pStyle w:val="Bullet"/>
              <w:keepNext/>
              <w:spacing w:after="0" w:line="240" w:lineRule="auto"/>
              <w:ind w:left="181" w:hanging="181"/>
              <w:rPr>
                <w:sz w:val="17"/>
                <w:szCs w:val="17"/>
              </w:rPr>
            </w:pPr>
            <w:r w:rsidRPr="007C2FC9">
              <w:rPr>
                <w:sz w:val="17"/>
                <w:szCs w:val="17"/>
              </w:rPr>
              <w:t>Lack of existing evidence base</w:t>
            </w:r>
          </w:p>
          <w:p w14:paraId="17BD6069" w14:textId="77777777" w:rsidR="00D45FAF" w:rsidRPr="00AF5250" w:rsidRDefault="00D45FAF" w:rsidP="00140948">
            <w:pPr>
              <w:pStyle w:val="Bullet"/>
              <w:keepNext/>
              <w:numPr>
                <w:ilvl w:val="0"/>
                <w:numId w:val="0"/>
              </w:numPr>
              <w:ind w:left="-567"/>
              <w:rPr>
                <w:sz w:val="17"/>
                <w:szCs w:val="17"/>
              </w:rPr>
            </w:pPr>
          </w:p>
        </w:tc>
        <w:tc>
          <w:tcPr>
            <w:tcW w:w="283" w:type="dxa"/>
            <w:tcBorders>
              <w:top w:val="dotted" w:sz="24" w:space="0" w:color="auto"/>
              <w:left w:val="single" w:sz="24" w:space="0" w:color="4D7861"/>
              <w:bottom w:val="dotted" w:sz="24" w:space="0" w:color="auto"/>
              <w:right w:val="single" w:sz="24" w:space="0" w:color="5D779D" w:themeColor="accent3"/>
            </w:tcBorders>
          </w:tcPr>
          <w:p w14:paraId="57285A69" w14:textId="77777777" w:rsidR="00D45FAF" w:rsidRDefault="00D45FAF" w:rsidP="00140948">
            <w:pPr>
              <w:keepNext/>
              <w:ind w:left="-567"/>
            </w:pPr>
          </w:p>
        </w:tc>
        <w:tc>
          <w:tcPr>
            <w:tcW w:w="2608" w:type="dxa"/>
            <w:tcBorders>
              <w:top w:val="dotted" w:sz="24" w:space="0" w:color="auto"/>
              <w:left w:val="single" w:sz="24" w:space="0" w:color="5D779D" w:themeColor="accent3"/>
              <w:bottom w:val="dotted" w:sz="24" w:space="0" w:color="auto"/>
              <w:right w:val="single" w:sz="24" w:space="0" w:color="5D779D" w:themeColor="accent3"/>
            </w:tcBorders>
          </w:tcPr>
          <w:p w14:paraId="422145D0" w14:textId="77777777" w:rsidR="00D45FAF" w:rsidRPr="00AF5250" w:rsidRDefault="00D45FAF" w:rsidP="00140948">
            <w:pPr>
              <w:pStyle w:val="Bullet"/>
              <w:keepNext/>
              <w:spacing w:after="0" w:line="240" w:lineRule="auto"/>
              <w:ind w:left="181" w:right="-5" w:hanging="181"/>
              <w:rPr>
                <w:sz w:val="17"/>
                <w:szCs w:val="17"/>
              </w:rPr>
            </w:pPr>
            <w:r w:rsidRPr="00AF5250">
              <w:rPr>
                <w:sz w:val="17"/>
                <w:szCs w:val="17"/>
              </w:rPr>
              <w:t>Medium government and/or departmental priority</w:t>
            </w:r>
          </w:p>
          <w:p w14:paraId="118003F9" w14:textId="77777777" w:rsidR="00D45FAF" w:rsidRPr="00AF5250" w:rsidRDefault="00D45FAF" w:rsidP="00140948">
            <w:pPr>
              <w:pStyle w:val="Bullet"/>
              <w:keepNext/>
              <w:spacing w:after="0" w:line="240" w:lineRule="auto"/>
              <w:ind w:left="181" w:right="-5" w:hanging="181"/>
              <w:rPr>
                <w:sz w:val="17"/>
                <w:szCs w:val="17"/>
              </w:rPr>
            </w:pPr>
            <w:r w:rsidRPr="00AF5250">
              <w:rPr>
                <w:sz w:val="17"/>
                <w:szCs w:val="17"/>
              </w:rPr>
              <w:t>Medium risk and/or cost</w:t>
            </w:r>
          </w:p>
          <w:p w14:paraId="77251EE7" w14:textId="678F0630" w:rsidR="00D45FAF" w:rsidRDefault="00D45FAF" w:rsidP="00140948">
            <w:pPr>
              <w:pStyle w:val="Bullet"/>
              <w:keepNext/>
              <w:spacing w:after="0" w:line="240" w:lineRule="auto"/>
              <w:ind w:left="181" w:right="-5" w:hanging="181"/>
              <w:rPr>
                <w:sz w:val="17"/>
                <w:szCs w:val="17"/>
              </w:rPr>
            </w:pPr>
            <w:r w:rsidRPr="00AF5250">
              <w:rPr>
                <w:sz w:val="17"/>
                <w:szCs w:val="17"/>
              </w:rPr>
              <w:t>Moderate profile</w:t>
            </w:r>
          </w:p>
          <w:p w14:paraId="661F6DA4" w14:textId="5584F374" w:rsidR="00D45FAF" w:rsidRDefault="00D45FAF" w:rsidP="00140948">
            <w:pPr>
              <w:pStyle w:val="Bullet"/>
              <w:keepNext/>
              <w:spacing w:after="0" w:line="240" w:lineRule="auto"/>
              <w:ind w:left="181" w:right="-5" w:hanging="181"/>
              <w:rPr>
                <w:sz w:val="17"/>
                <w:szCs w:val="17"/>
              </w:rPr>
            </w:pPr>
            <w:r>
              <w:rPr>
                <w:sz w:val="17"/>
                <w:szCs w:val="17"/>
              </w:rPr>
              <w:t>Expectation of evaluation</w:t>
            </w:r>
            <w:r w:rsidR="0070629E">
              <w:rPr>
                <w:sz w:val="17"/>
                <w:szCs w:val="17"/>
              </w:rPr>
              <w:t xml:space="preserve"> and/or review</w:t>
            </w:r>
          </w:p>
          <w:p w14:paraId="5EBE11CE" w14:textId="77777777" w:rsidR="00D45FAF" w:rsidRPr="002506C6" w:rsidRDefault="00D45FAF" w:rsidP="00140948">
            <w:pPr>
              <w:pStyle w:val="Bullet"/>
              <w:keepNext/>
              <w:spacing w:after="0" w:line="240" w:lineRule="auto"/>
              <w:ind w:left="181" w:right="-5" w:hanging="181"/>
              <w:rPr>
                <w:sz w:val="17"/>
                <w:szCs w:val="17"/>
              </w:rPr>
            </w:pPr>
            <w:r>
              <w:rPr>
                <w:sz w:val="17"/>
                <w:szCs w:val="17"/>
              </w:rPr>
              <w:t>Cross-agency delivery and/or coordination required</w:t>
            </w:r>
          </w:p>
          <w:p w14:paraId="3CBDF4E3" w14:textId="34400D47" w:rsidR="00D45FAF" w:rsidRPr="00AF5250" w:rsidRDefault="00F00F37" w:rsidP="00140948">
            <w:pPr>
              <w:pStyle w:val="Bullet"/>
              <w:keepNext/>
              <w:spacing w:after="0" w:line="240" w:lineRule="auto"/>
              <w:ind w:left="181" w:right="-5" w:hanging="181"/>
              <w:rPr>
                <w:sz w:val="17"/>
                <w:szCs w:val="17"/>
              </w:rPr>
            </w:pPr>
            <w:r>
              <w:rPr>
                <w:sz w:val="17"/>
                <w:szCs w:val="17"/>
              </w:rPr>
              <w:t>Limited</w:t>
            </w:r>
            <w:r w:rsidR="00D45FAF" w:rsidRPr="00AF5250">
              <w:rPr>
                <w:sz w:val="17"/>
                <w:szCs w:val="17"/>
              </w:rPr>
              <w:t xml:space="preserve"> existing evidence base</w:t>
            </w:r>
          </w:p>
        </w:tc>
        <w:tc>
          <w:tcPr>
            <w:tcW w:w="283" w:type="dxa"/>
            <w:tcBorders>
              <w:top w:val="dotted" w:sz="24" w:space="0" w:color="auto"/>
              <w:left w:val="single" w:sz="24" w:space="0" w:color="5D779D" w:themeColor="accent3"/>
              <w:bottom w:val="dotted" w:sz="24" w:space="0" w:color="auto"/>
              <w:right w:val="single" w:sz="24" w:space="0" w:color="A54E13" w:themeColor="accent6" w:themeShade="80"/>
            </w:tcBorders>
          </w:tcPr>
          <w:p w14:paraId="5E687544" w14:textId="77777777" w:rsidR="00D45FAF" w:rsidRDefault="00D45FAF" w:rsidP="00140948">
            <w:pPr>
              <w:keepNext/>
              <w:ind w:left="-567"/>
            </w:pPr>
          </w:p>
        </w:tc>
        <w:tc>
          <w:tcPr>
            <w:tcW w:w="2608" w:type="dxa"/>
            <w:tcBorders>
              <w:top w:val="dotted" w:sz="24" w:space="0" w:color="auto"/>
              <w:left w:val="single" w:sz="24" w:space="0" w:color="A54E13" w:themeColor="accent6" w:themeShade="80"/>
              <w:bottom w:val="dotted" w:sz="24" w:space="0" w:color="auto"/>
              <w:right w:val="single" w:sz="24" w:space="0" w:color="A54E13" w:themeColor="accent6" w:themeShade="80"/>
            </w:tcBorders>
          </w:tcPr>
          <w:p w14:paraId="686C7923" w14:textId="28212AA6" w:rsidR="00D45FAF" w:rsidRDefault="00871C6C" w:rsidP="00140948">
            <w:pPr>
              <w:pStyle w:val="Bullet"/>
              <w:keepNext/>
              <w:spacing w:after="0" w:line="240" w:lineRule="auto"/>
              <w:ind w:left="181" w:hanging="181"/>
              <w:rPr>
                <w:sz w:val="17"/>
                <w:szCs w:val="17"/>
              </w:rPr>
            </w:pPr>
            <w:r>
              <w:rPr>
                <w:sz w:val="17"/>
                <w:szCs w:val="17"/>
              </w:rPr>
              <w:t>Low</w:t>
            </w:r>
            <w:r w:rsidR="0064513C">
              <w:rPr>
                <w:sz w:val="17"/>
                <w:szCs w:val="17"/>
              </w:rPr>
              <w:t>er</w:t>
            </w:r>
            <w:r w:rsidR="00D45FAF" w:rsidRPr="00AF5250">
              <w:rPr>
                <w:sz w:val="17"/>
                <w:szCs w:val="17"/>
              </w:rPr>
              <w:t xml:space="preserve"> government and/or departmental priority</w:t>
            </w:r>
          </w:p>
          <w:p w14:paraId="44BDC120" w14:textId="60B1DFB0" w:rsidR="00825608" w:rsidRPr="00825608" w:rsidRDefault="00825608" w:rsidP="00140948">
            <w:pPr>
              <w:pStyle w:val="Bullet"/>
              <w:keepNext/>
              <w:spacing w:after="0" w:line="240" w:lineRule="auto"/>
              <w:ind w:left="181" w:hanging="181"/>
              <w:rPr>
                <w:sz w:val="17"/>
                <w:szCs w:val="17"/>
              </w:rPr>
            </w:pPr>
            <w:r w:rsidRPr="00AF5250">
              <w:rPr>
                <w:sz w:val="17"/>
                <w:szCs w:val="17"/>
              </w:rPr>
              <w:t>Low</w:t>
            </w:r>
            <w:r w:rsidR="0064513C">
              <w:rPr>
                <w:sz w:val="17"/>
                <w:szCs w:val="17"/>
              </w:rPr>
              <w:t>er</w:t>
            </w:r>
            <w:r w:rsidRPr="00AF5250">
              <w:rPr>
                <w:sz w:val="17"/>
                <w:szCs w:val="17"/>
              </w:rPr>
              <w:t xml:space="preserve"> risk and/or cost</w:t>
            </w:r>
          </w:p>
          <w:p w14:paraId="247033D8" w14:textId="6B02DAC1" w:rsidR="00D45FAF" w:rsidRPr="00AF5250" w:rsidRDefault="00D45FAF" w:rsidP="00140948">
            <w:pPr>
              <w:pStyle w:val="Bullet"/>
              <w:keepNext/>
              <w:spacing w:after="0" w:line="240" w:lineRule="auto"/>
              <w:ind w:left="181" w:hanging="181"/>
              <w:rPr>
                <w:sz w:val="17"/>
                <w:szCs w:val="17"/>
              </w:rPr>
            </w:pPr>
            <w:r w:rsidRPr="00AF5250">
              <w:rPr>
                <w:sz w:val="17"/>
                <w:szCs w:val="17"/>
              </w:rPr>
              <w:t>Low</w:t>
            </w:r>
            <w:r w:rsidR="0064513C">
              <w:rPr>
                <w:sz w:val="17"/>
                <w:szCs w:val="17"/>
              </w:rPr>
              <w:t>er</w:t>
            </w:r>
            <w:r w:rsidRPr="00AF5250">
              <w:rPr>
                <w:sz w:val="17"/>
                <w:szCs w:val="17"/>
              </w:rPr>
              <w:t xml:space="preserve"> profile</w:t>
            </w:r>
          </w:p>
          <w:p w14:paraId="7F81B02B" w14:textId="77777777" w:rsidR="00D45FAF" w:rsidRPr="00AF5250" w:rsidRDefault="00D45FAF" w:rsidP="00140948">
            <w:pPr>
              <w:pStyle w:val="Bullet"/>
              <w:keepNext/>
              <w:spacing w:after="0" w:line="240" w:lineRule="auto"/>
              <w:ind w:left="181" w:hanging="181"/>
              <w:rPr>
                <w:sz w:val="17"/>
                <w:szCs w:val="17"/>
              </w:rPr>
            </w:pPr>
            <w:r w:rsidRPr="00AF5250">
              <w:rPr>
                <w:sz w:val="17"/>
                <w:szCs w:val="17"/>
              </w:rPr>
              <w:t>Extensive existing evidence base</w:t>
            </w:r>
          </w:p>
        </w:tc>
      </w:tr>
      <w:tr w:rsidR="005C3761" w:rsidRPr="00AF5250" w14:paraId="4AC1CB04" w14:textId="77777777" w:rsidTr="00A86F1A">
        <w:trPr>
          <w:trHeight w:val="2563"/>
        </w:trPr>
        <w:tc>
          <w:tcPr>
            <w:tcW w:w="1553" w:type="dxa"/>
            <w:tcBorders>
              <w:top w:val="dotted" w:sz="24" w:space="0" w:color="auto"/>
              <w:left w:val="nil"/>
              <w:bottom w:val="dotted" w:sz="24" w:space="0" w:color="auto"/>
              <w:right w:val="nil"/>
            </w:tcBorders>
            <w:shd w:val="clear" w:color="auto" w:fill="DEE3EB" w:themeFill="accent3" w:themeFillTint="33"/>
          </w:tcPr>
          <w:p w14:paraId="005286FE" w14:textId="77777777" w:rsidR="00D45FAF" w:rsidRDefault="00D45FAF" w:rsidP="00140948">
            <w:pPr>
              <w:keepNext/>
              <w:spacing w:before="0" w:after="0"/>
            </w:pPr>
            <w:r w:rsidRPr="00AC3273">
              <w:rPr>
                <w:rFonts w:ascii="Calibri" w:eastAsiaTheme="minorHAnsi" w:hAnsi="Calibri" w:cstheme="minorBidi"/>
                <w:b/>
                <w:bCs/>
                <w:color w:val="2E3B4E" w:themeColor="accent3" w:themeShade="80"/>
                <w:kern w:val="2"/>
                <w:sz w:val="22"/>
                <w:szCs w:val="22"/>
                <w:lang w:eastAsia="en-US"/>
                <w14:ligatures w14:val="standardContextual"/>
              </w:rPr>
              <w:t>Evaluation activity</w:t>
            </w:r>
          </w:p>
        </w:tc>
        <w:tc>
          <w:tcPr>
            <w:tcW w:w="283" w:type="dxa"/>
            <w:tcBorders>
              <w:top w:val="dotted" w:sz="24" w:space="0" w:color="auto"/>
              <w:left w:val="nil"/>
              <w:bottom w:val="dotted" w:sz="24" w:space="0" w:color="auto"/>
              <w:right w:val="single" w:sz="24" w:space="0" w:color="4D7861"/>
            </w:tcBorders>
          </w:tcPr>
          <w:p w14:paraId="7911672E" w14:textId="77777777" w:rsidR="00D45FAF" w:rsidRDefault="00D45FAF" w:rsidP="00140948">
            <w:pPr>
              <w:keepNext/>
              <w:ind w:left="-567"/>
            </w:pPr>
          </w:p>
        </w:tc>
        <w:tc>
          <w:tcPr>
            <w:tcW w:w="2608" w:type="dxa"/>
            <w:tcBorders>
              <w:top w:val="dotted" w:sz="24" w:space="0" w:color="auto"/>
              <w:left w:val="single" w:sz="24" w:space="0" w:color="4D7861"/>
              <w:bottom w:val="dotted" w:sz="24" w:space="0" w:color="auto"/>
              <w:right w:val="single" w:sz="24" w:space="0" w:color="4D7861"/>
            </w:tcBorders>
          </w:tcPr>
          <w:p w14:paraId="2BB056A9" w14:textId="6D91EF58" w:rsidR="00D45FAF" w:rsidRPr="00AF5250" w:rsidRDefault="00D45FAF" w:rsidP="00140948">
            <w:pPr>
              <w:pStyle w:val="Bullet"/>
              <w:keepNext/>
              <w:spacing w:after="0" w:line="240" w:lineRule="auto"/>
              <w:ind w:left="181" w:hanging="181"/>
              <w:rPr>
                <w:sz w:val="17"/>
                <w:szCs w:val="17"/>
              </w:rPr>
            </w:pPr>
            <w:r w:rsidRPr="00AF5250">
              <w:rPr>
                <w:sz w:val="17"/>
                <w:szCs w:val="17"/>
              </w:rPr>
              <w:t>Formal evaluation/s supported by robust ongoing measurement and monitoring</w:t>
            </w:r>
            <w:r w:rsidR="009E7401">
              <w:rPr>
                <w:sz w:val="17"/>
                <w:szCs w:val="17"/>
              </w:rPr>
              <w:t xml:space="preserve"> (or substantial evaluation input to alternate review mechanism)</w:t>
            </w:r>
          </w:p>
          <w:p w14:paraId="26F95881" w14:textId="1689BCE9" w:rsidR="00D45FAF" w:rsidRPr="00AF5250" w:rsidRDefault="00CC275E" w:rsidP="00140948">
            <w:pPr>
              <w:pStyle w:val="Bullet"/>
              <w:keepNext/>
              <w:spacing w:after="0" w:line="240" w:lineRule="auto"/>
              <w:ind w:left="181" w:hanging="181"/>
              <w:rPr>
                <w:sz w:val="17"/>
                <w:szCs w:val="17"/>
              </w:rPr>
            </w:pPr>
            <w:r>
              <w:rPr>
                <w:sz w:val="17"/>
                <w:szCs w:val="17"/>
              </w:rPr>
              <w:t>Comprehensive</w:t>
            </w:r>
            <w:r w:rsidR="00D45FAF" w:rsidRPr="00AF5250">
              <w:rPr>
                <w:sz w:val="17"/>
                <w:szCs w:val="17"/>
              </w:rPr>
              <w:t xml:space="preserve"> data collection</w:t>
            </w:r>
          </w:p>
          <w:p w14:paraId="46C50ECD" w14:textId="7C0FB440" w:rsidR="00D45FAF" w:rsidRPr="00AF5250" w:rsidRDefault="00D45FAF" w:rsidP="00140948">
            <w:pPr>
              <w:pStyle w:val="Bullet"/>
              <w:keepNext/>
              <w:spacing w:after="0" w:line="240" w:lineRule="auto"/>
              <w:ind w:left="181" w:hanging="181"/>
              <w:rPr>
                <w:sz w:val="17"/>
                <w:szCs w:val="17"/>
              </w:rPr>
            </w:pPr>
            <w:r w:rsidRPr="00AF5250">
              <w:rPr>
                <w:sz w:val="17"/>
                <w:szCs w:val="17"/>
              </w:rPr>
              <w:t xml:space="preserve">Use robust and credible evaluation </w:t>
            </w:r>
            <w:r w:rsidR="009E7401">
              <w:rPr>
                <w:sz w:val="17"/>
                <w:szCs w:val="17"/>
              </w:rPr>
              <w:t xml:space="preserve">and/or analytic </w:t>
            </w:r>
            <w:r w:rsidRPr="00AF5250">
              <w:rPr>
                <w:sz w:val="17"/>
                <w:szCs w:val="17"/>
              </w:rPr>
              <w:t>methods</w:t>
            </w:r>
          </w:p>
          <w:p w14:paraId="6DE898D6" w14:textId="77777777" w:rsidR="00D45FAF" w:rsidRDefault="00F00F37" w:rsidP="00140948">
            <w:pPr>
              <w:pStyle w:val="Bullet"/>
              <w:keepNext/>
              <w:spacing w:after="0" w:line="240" w:lineRule="auto"/>
              <w:ind w:left="181" w:hanging="181"/>
              <w:rPr>
                <w:sz w:val="17"/>
                <w:szCs w:val="17"/>
              </w:rPr>
            </w:pPr>
            <w:r>
              <w:rPr>
                <w:sz w:val="17"/>
                <w:szCs w:val="17"/>
              </w:rPr>
              <w:t>Likely to</w:t>
            </w:r>
            <w:r w:rsidRPr="00AF5250">
              <w:rPr>
                <w:sz w:val="17"/>
                <w:szCs w:val="17"/>
              </w:rPr>
              <w:t xml:space="preserve"> </w:t>
            </w:r>
            <w:r w:rsidR="00D45FAF" w:rsidRPr="00AF5250">
              <w:rPr>
                <w:sz w:val="17"/>
                <w:szCs w:val="17"/>
              </w:rPr>
              <w:t xml:space="preserve">involve </w:t>
            </w:r>
            <w:r w:rsidR="001301A8">
              <w:rPr>
                <w:sz w:val="17"/>
                <w:szCs w:val="17"/>
              </w:rPr>
              <w:t xml:space="preserve">combination of </w:t>
            </w:r>
            <w:r w:rsidR="00AE6A1F">
              <w:rPr>
                <w:sz w:val="17"/>
                <w:szCs w:val="17"/>
              </w:rPr>
              <w:t xml:space="preserve">process, outcome </w:t>
            </w:r>
            <w:r w:rsidR="007363ED">
              <w:rPr>
                <w:sz w:val="17"/>
                <w:szCs w:val="17"/>
              </w:rPr>
              <w:t>and</w:t>
            </w:r>
            <w:r w:rsidR="00AE6A1F">
              <w:rPr>
                <w:sz w:val="17"/>
                <w:szCs w:val="17"/>
              </w:rPr>
              <w:t>/or</w:t>
            </w:r>
            <w:r w:rsidR="007363ED">
              <w:rPr>
                <w:sz w:val="17"/>
                <w:szCs w:val="17"/>
              </w:rPr>
              <w:t xml:space="preserve"> </w:t>
            </w:r>
            <w:r w:rsidR="00D45FAF" w:rsidRPr="00AF5250">
              <w:rPr>
                <w:sz w:val="17"/>
                <w:szCs w:val="17"/>
              </w:rPr>
              <w:t>impact evaluation (</w:t>
            </w:r>
            <w:r w:rsidR="00AE6A1F">
              <w:rPr>
                <w:sz w:val="17"/>
                <w:szCs w:val="17"/>
              </w:rPr>
              <w:t>for example, randomised trial</w:t>
            </w:r>
            <w:r w:rsidR="000468E9">
              <w:rPr>
                <w:sz w:val="17"/>
                <w:szCs w:val="17"/>
              </w:rPr>
              <w:t xml:space="preserve"> </w:t>
            </w:r>
            <w:r w:rsidR="00AE6A1F">
              <w:rPr>
                <w:sz w:val="17"/>
                <w:szCs w:val="17"/>
              </w:rPr>
              <w:t xml:space="preserve">or </w:t>
            </w:r>
            <w:r w:rsidR="00D45FAF" w:rsidRPr="00AF5250">
              <w:rPr>
                <w:sz w:val="17"/>
                <w:szCs w:val="17"/>
              </w:rPr>
              <w:t>quasi-experimental</w:t>
            </w:r>
            <w:r w:rsidR="00AE6A1F">
              <w:rPr>
                <w:sz w:val="17"/>
                <w:szCs w:val="17"/>
              </w:rPr>
              <w:t xml:space="preserve"> approach</w:t>
            </w:r>
            <w:r w:rsidR="00D45FAF" w:rsidRPr="00AF5250">
              <w:rPr>
                <w:sz w:val="17"/>
                <w:szCs w:val="17"/>
              </w:rPr>
              <w:t xml:space="preserve">), economic modelling and/or </w:t>
            </w:r>
            <w:r w:rsidR="001301A8">
              <w:rPr>
                <w:sz w:val="17"/>
                <w:szCs w:val="17"/>
              </w:rPr>
              <w:t>economic evaluation</w:t>
            </w:r>
          </w:p>
          <w:p w14:paraId="7C94CB42" w14:textId="77777777" w:rsidR="004D0C67" w:rsidRDefault="004D0C67" w:rsidP="00140948">
            <w:pPr>
              <w:pStyle w:val="Bullet"/>
              <w:keepNext/>
              <w:numPr>
                <w:ilvl w:val="0"/>
                <w:numId w:val="0"/>
              </w:numPr>
              <w:spacing w:after="0" w:line="240" w:lineRule="auto"/>
              <w:rPr>
                <w:sz w:val="17"/>
                <w:szCs w:val="17"/>
              </w:rPr>
            </w:pPr>
          </w:p>
          <w:p w14:paraId="6EC0E114" w14:textId="15172BD8" w:rsidR="001C1224" w:rsidRPr="004D0C67" w:rsidRDefault="001C1224" w:rsidP="00140948">
            <w:pPr>
              <w:pStyle w:val="Bullet"/>
              <w:keepNext/>
              <w:numPr>
                <w:ilvl w:val="0"/>
                <w:numId w:val="0"/>
              </w:numPr>
              <w:spacing w:after="0" w:line="240" w:lineRule="auto"/>
              <w:ind w:left="181"/>
              <w:rPr>
                <w:sz w:val="17"/>
                <w:szCs w:val="17"/>
              </w:rPr>
            </w:pPr>
          </w:p>
        </w:tc>
        <w:tc>
          <w:tcPr>
            <w:tcW w:w="283" w:type="dxa"/>
            <w:tcBorders>
              <w:top w:val="dotted" w:sz="24" w:space="0" w:color="auto"/>
              <w:left w:val="single" w:sz="24" w:space="0" w:color="4D7861"/>
              <w:bottom w:val="dotted" w:sz="24" w:space="0" w:color="auto"/>
              <w:right w:val="single" w:sz="24" w:space="0" w:color="5D779D" w:themeColor="accent3"/>
            </w:tcBorders>
          </w:tcPr>
          <w:p w14:paraId="7887AC6E" w14:textId="77777777" w:rsidR="00D45FAF" w:rsidRDefault="00D45FAF" w:rsidP="00140948">
            <w:pPr>
              <w:keepNext/>
              <w:ind w:left="-567"/>
            </w:pPr>
          </w:p>
        </w:tc>
        <w:tc>
          <w:tcPr>
            <w:tcW w:w="2608" w:type="dxa"/>
            <w:tcBorders>
              <w:top w:val="dotted" w:sz="24" w:space="0" w:color="auto"/>
              <w:left w:val="single" w:sz="24" w:space="0" w:color="5D779D" w:themeColor="accent3"/>
              <w:bottom w:val="dotted" w:sz="24" w:space="0" w:color="auto"/>
              <w:right w:val="single" w:sz="24" w:space="0" w:color="5D779D" w:themeColor="accent3"/>
            </w:tcBorders>
          </w:tcPr>
          <w:p w14:paraId="07EEF505" w14:textId="55664C9B" w:rsidR="00D45FAF" w:rsidRPr="00AF5250" w:rsidRDefault="001301A8" w:rsidP="00140948">
            <w:pPr>
              <w:pStyle w:val="Bullet"/>
              <w:keepNext/>
              <w:spacing w:after="0" w:line="240" w:lineRule="auto"/>
              <w:ind w:left="181" w:hanging="181"/>
              <w:rPr>
                <w:sz w:val="17"/>
                <w:szCs w:val="17"/>
              </w:rPr>
            </w:pPr>
            <w:r>
              <w:rPr>
                <w:sz w:val="17"/>
                <w:szCs w:val="17"/>
              </w:rPr>
              <w:t>Typically requires</w:t>
            </w:r>
            <w:r w:rsidR="00D45FAF" w:rsidRPr="00AF5250">
              <w:rPr>
                <w:sz w:val="17"/>
                <w:szCs w:val="17"/>
              </w:rPr>
              <w:t xml:space="preserve"> one formal evaluation during life of intervention</w:t>
            </w:r>
          </w:p>
          <w:p w14:paraId="753A7A6F" w14:textId="77777777" w:rsidR="00D45FAF" w:rsidRPr="00AF5250" w:rsidRDefault="00D45FAF" w:rsidP="00140948">
            <w:pPr>
              <w:pStyle w:val="Bullet"/>
              <w:keepNext/>
              <w:spacing w:after="0" w:line="240" w:lineRule="auto"/>
              <w:ind w:left="181" w:hanging="181"/>
              <w:rPr>
                <w:sz w:val="17"/>
                <w:szCs w:val="17"/>
              </w:rPr>
            </w:pPr>
            <w:r w:rsidRPr="00AF5250">
              <w:rPr>
                <w:sz w:val="17"/>
                <w:szCs w:val="17"/>
              </w:rPr>
              <w:t>Additional evidence and data collection</w:t>
            </w:r>
          </w:p>
          <w:p w14:paraId="5F77E850" w14:textId="77777777" w:rsidR="00D45FAF" w:rsidRPr="00AF5250" w:rsidRDefault="00D45FAF" w:rsidP="00140948">
            <w:pPr>
              <w:pStyle w:val="Bullet"/>
              <w:keepNext/>
              <w:spacing w:after="0" w:line="240" w:lineRule="auto"/>
              <w:ind w:left="181" w:hanging="181"/>
              <w:rPr>
                <w:sz w:val="17"/>
                <w:szCs w:val="17"/>
              </w:rPr>
            </w:pPr>
            <w:r w:rsidRPr="00AF5250">
              <w:rPr>
                <w:sz w:val="17"/>
                <w:szCs w:val="17"/>
              </w:rPr>
              <w:t>Use robust and credible evaluation methods</w:t>
            </w:r>
          </w:p>
          <w:p w14:paraId="161825CC" w14:textId="236A18A0" w:rsidR="00D45FAF" w:rsidRPr="00AF5250" w:rsidRDefault="00D45FAF" w:rsidP="00140948">
            <w:pPr>
              <w:pStyle w:val="Bullet"/>
              <w:keepNext/>
              <w:spacing w:after="0" w:line="240" w:lineRule="auto"/>
              <w:ind w:left="181" w:hanging="181"/>
              <w:rPr>
                <w:sz w:val="17"/>
                <w:szCs w:val="17"/>
              </w:rPr>
            </w:pPr>
            <w:r w:rsidRPr="00AF5250">
              <w:rPr>
                <w:sz w:val="17"/>
                <w:szCs w:val="17"/>
              </w:rPr>
              <w:t xml:space="preserve">May involve </w:t>
            </w:r>
            <w:r w:rsidR="001301A8">
              <w:rPr>
                <w:sz w:val="17"/>
                <w:szCs w:val="17"/>
              </w:rPr>
              <w:t xml:space="preserve">process, outcome </w:t>
            </w:r>
            <w:r w:rsidR="007363ED">
              <w:rPr>
                <w:sz w:val="17"/>
                <w:szCs w:val="17"/>
              </w:rPr>
              <w:t>and</w:t>
            </w:r>
            <w:r w:rsidR="001301A8">
              <w:rPr>
                <w:sz w:val="17"/>
                <w:szCs w:val="17"/>
              </w:rPr>
              <w:t>/or</w:t>
            </w:r>
            <w:r w:rsidR="007363ED">
              <w:rPr>
                <w:sz w:val="17"/>
                <w:szCs w:val="17"/>
              </w:rPr>
              <w:t xml:space="preserve"> </w:t>
            </w:r>
            <w:r w:rsidRPr="00AF5250">
              <w:rPr>
                <w:sz w:val="17"/>
                <w:szCs w:val="17"/>
              </w:rPr>
              <w:t>impact evaluation (</w:t>
            </w:r>
            <w:r w:rsidR="001301A8">
              <w:rPr>
                <w:sz w:val="17"/>
                <w:szCs w:val="17"/>
              </w:rPr>
              <w:t>for example randomised trial or</w:t>
            </w:r>
            <w:r w:rsidRPr="00AF5250">
              <w:rPr>
                <w:sz w:val="17"/>
                <w:szCs w:val="17"/>
              </w:rPr>
              <w:t xml:space="preserve"> quasi-experimental</w:t>
            </w:r>
            <w:r w:rsidR="001301A8">
              <w:rPr>
                <w:sz w:val="17"/>
                <w:szCs w:val="17"/>
              </w:rPr>
              <w:t xml:space="preserve"> approaches</w:t>
            </w:r>
            <w:r w:rsidRPr="00AF5250">
              <w:rPr>
                <w:sz w:val="17"/>
                <w:szCs w:val="17"/>
              </w:rPr>
              <w:t>), mixed methods, qualitative interviews/surveys</w:t>
            </w:r>
            <w:r w:rsidR="001301A8">
              <w:rPr>
                <w:sz w:val="17"/>
                <w:szCs w:val="17"/>
              </w:rPr>
              <w:t>, or economic evaluation</w:t>
            </w:r>
          </w:p>
        </w:tc>
        <w:tc>
          <w:tcPr>
            <w:tcW w:w="283" w:type="dxa"/>
            <w:tcBorders>
              <w:top w:val="dotted" w:sz="24" w:space="0" w:color="auto"/>
              <w:left w:val="single" w:sz="24" w:space="0" w:color="5D779D" w:themeColor="accent3"/>
              <w:bottom w:val="dotted" w:sz="24" w:space="0" w:color="auto"/>
              <w:right w:val="single" w:sz="24" w:space="0" w:color="A54E13" w:themeColor="accent6" w:themeShade="80"/>
            </w:tcBorders>
          </w:tcPr>
          <w:p w14:paraId="376EC9B1" w14:textId="77777777" w:rsidR="00D45FAF" w:rsidRDefault="00D45FAF" w:rsidP="00140948">
            <w:pPr>
              <w:keepNext/>
              <w:ind w:left="-567"/>
            </w:pPr>
          </w:p>
        </w:tc>
        <w:tc>
          <w:tcPr>
            <w:tcW w:w="2608" w:type="dxa"/>
            <w:tcBorders>
              <w:top w:val="dotted" w:sz="24" w:space="0" w:color="auto"/>
              <w:left w:val="single" w:sz="24" w:space="0" w:color="A54E13" w:themeColor="accent6" w:themeShade="80"/>
              <w:bottom w:val="dotted" w:sz="24" w:space="0" w:color="auto"/>
              <w:right w:val="single" w:sz="24" w:space="0" w:color="A54E13" w:themeColor="accent6" w:themeShade="80"/>
            </w:tcBorders>
          </w:tcPr>
          <w:p w14:paraId="303C6930" w14:textId="77777777" w:rsidR="00D45FAF" w:rsidRPr="00AF5250" w:rsidRDefault="00D45FAF" w:rsidP="00140948">
            <w:pPr>
              <w:pStyle w:val="Bullet"/>
              <w:keepNext/>
              <w:spacing w:after="0" w:line="240" w:lineRule="auto"/>
              <w:ind w:left="181" w:hanging="181"/>
              <w:rPr>
                <w:sz w:val="17"/>
                <w:szCs w:val="17"/>
              </w:rPr>
            </w:pPr>
            <w:r w:rsidRPr="00AF5250">
              <w:rPr>
                <w:sz w:val="17"/>
                <w:szCs w:val="17"/>
              </w:rPr>
              <w:t>Periodic program health checks as part of ongoing monitoring</w:t>
            </w:r>
          </w:p>
          <w:p w14:paraId="189C20C5" w14:textId="77777777" w:rsidR="00D45FAF" w:rsidRPr="00AF5250" w:rsidRDefault="00D45FAF" w:rsidP="00140948">
            <w:pPr>
              <w:pStyle w:val="Bullet"/>
              <w:keepNext/>
              <w:spacing w:after="0" w:line="240" w:lineRule="auto"/>
              <w:ind w:left="181" w:hanging="181"/>
              <w:rPr>
                <w:sz w:val="17"/>
                <w:szCs w:val="17"/>
              </w:rPr>
            </w:pPr>
            <w:r w:rsidRPr="00AF5250">
              <w:rPr>
                <w:sz w:val="17"/>
                <w:szCs w:val="17"/>
              </w:rPr>
              <w:t>Desktop research</w:t>
            </w:r>
          </w:p>
          <w:p w14:paraId="38A1E03C" w14:textId="77777777" w:rsidR="00D45FAF" w:rsidRPr="00AF5250" w:rsidRDefault="00D45FAF" w:rsidP="00140948">
            <w:pPr>
              <w:pStyle w:val="Bullet"/>
              <w:keepNext/>
              <w:spacing w:after="0" w:line="240" w:lineRule="auto"/>
              <w:ind w:left="181" w:hanging="181"/>
              <w:rPr>
                <w:sz w:val="17"/>
                <w:szCs w:val="17"/>
              </w:rPr>
            </w:pPr>
            <w:r w:rsidRPr="00AF5250">
              <w:rPr>
                <w:sz w:val="17"/>
                <w:szCs w:val="17"/>
              </w:rPr>
              <w:t>Analysis of available data and evidence</w:t>
            </w:r>
          </w:p>
          <w:p w14:paraId="35244041" w14:textId="77777777" w:rsidR="00D45FAF" w:rsidRPr="00AF5250" w:rsidRDefault="00D45FAF" w:rsidP="00140948">
            <w:pPr>
              <w:pStyle w:val="Bullet"/>
              <w:keepNext/>
              <w:spacing w:after="0" w:line="240" w:lineRule="auto"/>
              <w:ind w:left="181" w:hanging="181"/>
              <w:rPr>
                <w:sz w:val="17"/>
                <w:szCs w:val="17"/>
              </w:rPr>
            </w:pPr>
            <w:r w:rsidRPr="00AF5250">
              <w:rPr>
                <w:sz w:val="17"/>
                <w:szCs w:val="17"/>
              </w:rPr>
              <w:t>Existing stakeholder engagement</w:t>
            </w:r>
          </w:p>
        </w:tc>
      </w:tr>
      <w:tr w:rsidR="005C3761" w:rsidRPr="00AF5250" w14:paraId="2BA526D0" w14:textId="77777777" w:rsidTr="00A86F1A">
        <w:trPr>
          <w:trHeight w:val="20"/>
        </w:trPr>
        <w:tc>
          <w:tcPr>
            <w:tcW w:w="1553" w:type="dxa"/>
            <w:tcBorders>
              <w:top w:val="dotted" w:sz="24" w:space="0" w:color="auto"/>
              <w:left w:val="nil"/>
              <w:bottom w:val="nil"/>
              <w:right w:val="nil"/>
            </w:tcBorders>
            <w:shd w:val="clear" w:color="auto" w:fill="DEE3EB" w:themeFill="accent3" w:themeFillTint="33"/>
          </w:tcPr>
          <w:p w14:paraId="07962449" w14:textId="0BBD6F64" w:rsidR="00D45FAF" w:rsidRPr="00AC3273" w:rsidRDefault="00D45FAF">
            <w:pPr>
              <w:spacing w:before="0" w:after="0"/>
              <w:rPr>
                <w:b/>
                <w:bCs/>
                <w:color w:val="2E3B4E" w:themeColor="accent3" w:themeShade="80"/>
              </w:rPr>
            </w:pPr>
            <w:r w:rsidRPr="00AC3273">
              <w:rPr>
                <w:rFonts w:ascii="Calibri" w:eastAsiaTheme="minorHAnsi" w:hAnsi="Calibri" w:cstheme="minorBidi"/>
                <w:b/>
                <w:bCs/>
                <w:color w:val="2E3B4E" w:themeColor="accent3" w:themeShade="80"/>
                <w:kern w:val="2"/>
                <w:sz w:val="22"/>
                <w:szCs w:val="22"/>
                <w:lang w:eastAsia="en-US"/>
                <w14:ligatures w14:val="standardContextual"/>
              </w:rPr>
              <w:t xml:space="preserve">Evaluation </w:t>
            </w:r>
            <w:r w:rsidR="00C97A01" w:rsidRPr="00AC3273">
              <w:rPr>
                <w:rFonts w:ascii="Calibri" w:eastAsiaTheme="minorHAnsi" w:hAnsi="Calibri" w:cstheme="minorBidi"/>
                <w:b/>
                <w:bCs/>
                <w:color w:val="2E3B4E" w:themeColor="accent3" w:themeShade="80"/>
                <w:kern w:val="2"/>
                <w:sz w:val="22"/>
                <w:szCs w:val="22"/>
                <w:lang w:eastAsia="en-US"/>
                <w14:ligatures w14:val="standardContextual"/>
              </w:rPr>
              <w:t xml:space="preserve">delivery and </w:t>
            </w:r>
            <w:r w:rsidRPr="00AC3273">
              <w:rPr>
                <w:rFonts w:ascii="Calibri" w:eastAsiaTheme="minorHAnsi" w:hAnsi="Calibri" w:cstheme="minorBidi"/>
                <w:b/>
                <w:bCs/>
                <w:color w:val="2E3B4E" w:themeColor="accent3" w:themeShade="80"/>
                <w:kern w:val="2"/>
                <w:sz w:val="22"/>
                <w:szCs w:val="22"/>
                <w:lang w:eastAsia="en-US"/>
                <w14:ligatures w14:val="standardContextual"/>
              </w:rPr>
              <w:t>governance</w:t>
            </w:r>
          </w:p>
        </w:tc>
        <w:tc>
          <w:tcPr>
            <w:tcW w:w="283" w:type="dxa"/>
            <w:tcBorders>
              <w:top w:val="dotted" w:sz="24" w:space="0" w:color="auto"/>
              <w:left w:val="nil"/>
              <w:bottom w:val="nil"/>
              <w:right w:val="single" w:sz="24" w:space="0" w:color="4D7861"/>
            </w:tcBorders>
          </w:tcPr>
          <w:p w14:paraId="25FAB11B" w14:textId="77777777" w:rsidR="00D45FAF" w:rsidRDefault="00D45FAF">
            <w:pPr>
              <w:ind w:left="-567"/>
            </w:pPr>
          </w:p>
        </w:tc>
        <w:tc>
          <w:tcPr>
            <w:tcW w:w="2608" w:type="dxa"/>
            <w:tcBorders>
              <w:top w:val="dotted" w:sz="24" w:space="0" w:color="auto"/>
              <w:left w:val="single" w:sz="24" w:space="0" w:color="4D7861"/>
              <w:bottom w:val="single" w:sz="24" w:space="0" w:color="4D7861"/>
              <w:right w:val="single" w:sz="24" w:space="0" w:color="4D7861"/>
            </w:tcBorders>
          </w:tcPr>
          <w:p w14:paraId="1D690F35" w14:textId="03069B71" w:rsidR="00D45FAF" w:rsidRPr="00AF5250" w:rsidRDefault="009E7401">
            <w:pPr>
              <w:pStyle w:val="Bullet"/>
              <w:spacing w:after="0" w:line="240" w:lineRule="auto"/>
              <w:ind w:left="181" w:hanging="181"/>
              <w:rPr>
                <w:sz w:val="17"/>
                <w:szCs w:val="17"/>
              </w:rPr>
            </w:pPr>
            <w:r>
              <w:rPr>
                <w:sz w:val="17"/>
                <w:szCs w:val="17"/>
              </w:rPr>
              <w:t>Typically u</w:t>
            </w:r>
            <w:r w:rsidR="00D45FAF" w:rsidRPr="00AF5250">
              <w:rPr>
                <w:sz w:val="17"/>
                <w:szCs w:val="17"/>
              </w:rPr>
              <w:t>ndertaken independent from policy, program or regulatory area (</w:t>
            </w:r>
            <w:r>
              <w:rPr>
                <w:sz w:val="17"/>
                <w:szCs w:val="17"/>
              </w:rPr>
              <w:t xml:space="preserve">for example, </w:t>
            </w:r>
            <w:r w:rsidR="00D45FAF" w:rsidRPr="00AF5250">
              <w:rPr>
                <w:sz w:val="17"/>
                <w:szCs w:val="17"/>
              </w:rPr>
              <w:t xml:space="preserve">external or </w:t>
            </w:r>
            <w:r w:rsidR="00D45FAF">
              <w:rPr>
                <w:sz w:val="17"/>
                <w:szCs w:val="17"/>
              </w:rPr>
              <w:t>ACE</w:t>
            </w:r>
            <w:r w:rsidR="00D45FAF" w:rsidRPr="00AF5250">
              <w:rPr>
                <w:sz w:val="17"/>
                <w:szCs w:val="17"/>
              </w:rPr>
              <w:t>)</w:t>
            </w:r>
          </w:p>
          <w:p w14:paraId="5F9238ED" w14:textId="74ED44D0" w:rsidR="00D45FAF" w:rsidRPr="00AF5250" w:rsidRDefault="00D45FAF">
            <w:pPr>
              <w:pStyle w:val="Bullet"/>
              <w:spacing w:after="0" w:line="240" w:lineRule="auto"/>
              <w:ind w:left="181" w:hanging="181"/>
              <w:rPr>
                <w:sz w:val="17"/>
                <w:szCs w:val="17"/>
              </w:rPr>
            </w:pPr>
            <w:r w:rsidRPr="00AF5250">
              <w:rPr>
                <w:sz w:val="17"/>
                <w:szCs w:val="17"/>
              </w:rPr>
              <w:t>Reference group</w:t>
            </w:r>
            <w:r w:rsidR="00B84428">
              <w:rPr>
                <w:sz w:val="17"/>
                <w:szCs w:val="17"/>
              </w:rPr>
              <w:t xml:space="preserve"> </w:t>
            </w:r>
            <w:r w:rsidR="009E7401">
              <w:rPr>
                <w:sz w:val="17"/>
                <w:szCs w:val="17"/>
              </w:rPr>
              <w:t>typically</w:t>
            </w:r>
            <w:r w:rsidR="009E7401" w:rsidRPr="00AF5250">
              <w:rPr>
                <w:sz w:val="17"/>
                <w:szCs w:val="17"/>
              </w:rPr>
              <w:t xml:space="preserve"> </w:t>
            </w:r>
            <w:r w:rsidRPr="00AF5250">
              <w:rPr>
                <w:sz w:val="17"/>
                <w:szCs w:val="17"/>
              </w:rPr>
              <w:t>include</w:t>
            </w:r>
            <w:r w:rsidR="000468E9">
              <w:rPr>
                <w:sz w:val="17"/>
                <w:szCs w:val="17"/>
              </w:rPr>
              <w:t>s</w:t>
            </w:r>
            <w:r w:rsidRPr="00AF5250">
              <w:rPr>
                <w:sz w:val="17"/>
                <w:szCs w:val="17"/>
              </w:rPr>
              <w:t xml:space="preserve"> </w:t>
            </w:r>
            <w:r w:rsidR="009E7401">
              <w:rPr>
                <w:sz w:val="17"/>
                <w:szCs w:val="17"/>
              </w:rPr>
              <w:t xml:space="preserve">relevant </w:t>
            </w:r>
            <w:r w:rsidR="00CF7DD4">
              <w:rPr>
                <w:sz w:val="17"/>
                <w:szCs w:val="17"/>
              </w:rPr>
              <w:t>experts</w:t>
            </w:r>
            <w:r w:rsidR="007613E7">
              <w:rPr>
                <w:sz w:val="17"/>
                <w:szCs w:val="17"/>
              </w:rPr>
              <w:t xml:space="preserve"> and senior managers </w:t>
            </w:r>
          </w:p>
          <w:p w14:paraId="6F2984AF" w14:textId="2DB92223" w:rsidR="00D45FAF" w:rsidRPr="00AF5250" w:rsidRDefault="00D45FAF">
            <w:pPr>
              <w:pStyle w:val="Bullet"/>
              <w:spacing w:after="0" w:line="240" w:lineRule="auto"/>
              <w:ind w:left="181" w:hanging="181"/>
              <w:rPr>
                <w:sz w:val="17"/>
                <w:szCs w:val="17"/>
              </w:rPr>
            </w:pPr>
            <w:r w:rsidRPr="00AF5250">
              <w:rPr>
                <w:sz w:val="17"/>
                <w:szCs w:val="17"/>
              </w:rPr>
              <w:t xml:space="preserve">Reporting to </w:t>
            </w:r>
            <w:r w:rsidR="00B41B68">
              <w:rPr>
                <w:sz w:val="17"/>
                <w:szCs w:val="17"/>
              </w:rPr>
              <w:t xml:space="preserve">Treasury’s </w:t>
            </w:r>
            <w:r w:rsidRPr="00AF5250">
              <w:rPr>
                <w:sz w:val="17"/>
                <w:szCs w:val="17"/>
              </w:rPr>
              <w:t>E</w:t>
            </w:r>
            <w:r w:rsidR="00B41B68">
              <w:rPr>
                <w:sz w:val="17"/>
                <w:szCs w:val="17"/>
              </w:rPr>
              <w:t xml:space="preserve">xecutive </w:t>
            </w:r>
            <w:r w:rsidRPr="00AF5250">
              <w:rPr>
                <w:sz w:val="17"/>
                <w:szCs w:val="17"/>
              </w:rPr>
              <w:t>B</w:t>
            </w:r>
            <w:r w:rsidR="00B41B68">
              <w:rPr>
                <w:sz w:val="17"/>
                <w:szCs w:val="17"/>
              </w:rPr>
              <w:t>oard</w:t>
            </w:r>
            <w:r w:rsidRPr="00AF5250">
              <w:rPr>
                <w:sz w:val="17"/>
                <w:szCs w:val="17"/>
              </w:rPr>
              <w:t xml:space="preserve"> on response </w:t>
            </w:r>
            <w:r w:rsidR="003122AC">
              <w:rPr>
                <w:sz w:val="17"/>
                <w:szCs w:val="17"/>
              </w:rPr>
              <w:t xml:space="preserve">to </w:t>
            </w:r>
            <w:r w:rsidRPr="00AF5250">
              <w:rPr>
                <w:sz w:val="17"/>
                <w:szCs w:val="17"/>
              </w:rPr>
              <w:t>and implementation of findings</w:t>
            </w:r>
          </w:p>
        </w:tc>
        <w:tc>
          <w:tcPr>
            <w:tcW w:w="283" w:type="dxa"/>
            <w:tcBorders>
              <w:top w:val="dotted" w:sz="24" w:space="0" w:color="auto"/>
              <w:left w:val="single" w:sz="24" w:space="0" w:color="4D7861"/>
              <w:bottom w:val="nil"/>
              <w:right w:val="single" w:sz="24" w:space="0" w:color="5D779D" w:themeColor="accent3"/>
            </w:tcBorders>
          </w:tcPr>
          <w:p w14:paraId="26D421F1" w14:textId="77777777" w:rsidR="00D45FAF" w:rsidRPr="007C2FC9" w:rsidRDefault="00D45FAF">
            <w:pPr>
              <w:tabs>
                <w:tab w:val="left" w:pos="720"/>
              </w:tabs>
              <w:spacing w:line="276" w:lineRule="auto"/>
              <w:ind w:left="284" w:hanging="284"/>
              <w:rPr>
                <w:sz w:val="17"/>
                <w:szCs w:val="17"/>
              </w:rPr>
            </w:pPr>
          </w:p>
        </w:tc>
        <w:tc>
          <w:tcPr>
            <w:tcW w:w="2608" w:type="dxa"/>
            <w:tcBorders>
              <w:top w:val="dotted" w:sz="24" w:space="0" w:color="auto"/>
              <w:left w:val="single" w:sz="24" w:space="0" w:color="5D779D" w:themeColor="accent3"/>
              <w:bottom w:val="single" w:sz="24" w:space="0" w:color="5D779D" w:themeColor="accent3"/>
              <w:right w:val="single" w:sz="24" w:space="0" w:color="5D779D" w:themeColor="accent3"/>
            </w:tcBorders>
          </w:tcPr>
          <w:p w14:paraId="3326D179" w14:textId="1A2A4F08" w:rsidR="00D45FAF" w:rsidRPr="00AF5250" w:rsidRDefault="000468E9">
            <w:pPr>
              <w:pStyle w:val="Bullet"/>
              <w:spacing w:after="0" w:line="240" w:lineRule="auto"/>
              <w:ind w:left="181" w:hanging="181"/>
              <w:rPr>
                <w:sz w:val="17"/>
                <w:szCs w:val="17"/>
              </w:rPr>
            </w:pPr>
            <w:r>
              <w:rPr>
                <w:sz w:val="17"/>
                <w:szCs w:val="17"/>
              </w:rPr>
              <w:t>Typically u</w:t>
            </w:r>
            <w:r w:rsidR="00D45FAF" w:rsidRPr="00AF5250">
              <w:rPr>
                <w:sz w:val="17"/>
                <w:szCs w:val="17"/>
              </w:rPr>
              <w:t xml:space="preserve">ndertaken by policy, program or regulatory area (either in-house or with external </w:t>
            </w:r>
            <w:r>
              <w:rPr>
                <w:sz w:val="17"/>
                <w:szCs w:val="17"/>
              </w:rPr>
              <w:t xml:space="preserve">support </w:t>
            </w:r>
            <w:r w:rsidR="00D45FAF">
              <w:rPr>
                <w:sz w:val="17"/>
                <w:szCs w:val="17"/>
              </w:rPr>
              <w:t>and</w:t>
            </w:r>
            <w:r>
              <w:rPr>
                <w:sz w:val="17"/>
                <w:szCs w:val="17"/>
              </w:rPr>
              <w:t>/or</w:t>
            </w:r>
            <w:r w:rsidR="00D45FAF">
              <w:rPr>
                <w:sz w:val="17"/>
                <w:szCs w:val="17"/>
              </w:rPr>
              <w:t xml:space="preserve"> delivery partner</w:t>
            </w:r>
            <w:r w:rsidR="00D45FAF" w:rsidRPr="00AF5250">
              <w:rPr>
                <w:sz w:val="17"/>
                <w:szCs w:val="17"/>
              </w:rPr>
              <w:t xml:space="preserve">) in collaboration with program area, with advice from </w:t>
            </w:r>
            <w:r w:rsidR="00D45FAF">
              <w:rPr>
                <w:sz w:val="17"/>
                <w:szCs w:val="17"/>
              </w:rPr>
              <w:t>ACE</w:t>
            </w:r>
            <w:r w:rsidR="00D45FAF" w:rsidRPr="00AF5250">
              <w:rPr>
                <w:sz w:val="17"/>
                <w:szCs w:val="17"/>
              </w:rPr>
              <w:t xml:space="preserve"> </w:t>
            </w:r>
          </w:p>
          <w:p w14:paraId="62602323" w14:textId="3A03A7EC" w:rsidR="00D45FAF" w:rsidRPr="00AF5250" w:rsidRDefault="00D45FAF" w:rsidP="00B84428">
            <w:pPr>
              <w:pStyle w:val="Bullet"/>
              <w:spacing w:after="0" w:line="240" w:lineRule="auto"/>
              <w:ind w:left="181" w:hanging="181"/>
              <w:rPr>
                <w:sz w:val="17"/>
                <w:szCs w:val="17"/>
              </w:rPr>
            </w:pPr>
            <w:r w:rsidRPr="00AF5250">
              <w:rPr>
                <w:sz w:val="17"/>
                <w:szCs w:val="17"/>
              </w:rPr>
              <w:t xml:space="preserve">Reference group </w:t>
            </w:r>
            <w:r w:rsidR="000468E9">
              <w:rPr>
                <w:sz w:val="17"/>
                <w:szCs w:val="17"/>
              </w:rPr>
              <w:t>typically include</w:t>
            </w:r>
            <w:r w:rsidR="007613E7">
              <w:rPr>
                <w:sz w:val="17"/>
                <w:szCs w:val="17"/>
              </w:rPr>
              <w:t xml:space="preserve">s middle </w:t>
            </w:r>
            <w:r w:rsidR="00140948">
              <w:rPr>
                <w:sz w:val="17"/>
                <w:szCs w:val="17"/>
              </w:rPr>
              <w:t xml:space="preserve">or senior </w:t>
            </w:r>
            <w:r w:rsidR="007613E7">
              <w:rPr>
                <w:sz w:val="17"/>
                <w:szCs w:val="17"/>
              </w:rPr>
              <w:t>manage</w:t>
            </w:r>
            <w:r w:rsidR="0064513C">
              <w:rPr>
                <w:sz w:val="17"/>
                <w:szCs w:val="17"/>
              </w:rPr>
              <w:t xml:space="preserve">r </w:t>
            </w:r>
            <w:r w:rsidRPr="00AF5250">
              <w:rPr>
                <w:sz w:val="17"/>
                <w:szCs w:val="17"/>
              </w:rPr>
              <w:t xml:space="preserve">(EL2 or SESB1 level) </w:t>
            </w:r>
          </w:p>
        </w:tc>
        <w:tc>
          <w:tcPr>
            <w:tcW w:w="283" w:type="dxa"/>
            <w:tcBorders>
              <w:top w:val="dotted" w:sz="24" w:space="0" w:color="auto"/>
              <w:left w:val="single" w:sz="24" w:space="0" w:color="5D779D" w:themeColor="accent3"/>
              <w:bottom w:val="nil"/>
              <w:right w:val="single" w:sz="24" w:space="0" w:color="A54E13" w:themeColor="accent6" w:themeShade="80"/>
            </w:tcBorders>
          </w:tcPr>
          <w:p w14:paraId="1D30E642" w14:textId="77777777" w:rsidR="00D45FAF" w:rsidRDefault="00D45FAF">
            <w:pPr>
              <w:ind w:left="-567"/>
            </w:pPr>
          </w:p>
        </w:tc>
        <w:tc>
          <w:tcPr>
            <w:tcW w:w="2608" w:type="dxa"/>
            <w:tcBorders>
              <w:top w:val="dotted" w:sz="24" w:space="0" w:color="auto"/>
              <w:left w:val="single" w:sz="24" w:space="0" w:color="A54E13" w:themeColor="accent6" w:themeShade="80"/>
              <w:bottom w:val="single" w:sz="24" w:space="0" w:color="A54E13" w:themeColor="accent6" w:themeShade="80"/>
              <w:right w:val="single" w:sz="24" w:space="0" w:color="A54E13" w:themeColor="accent6" w:themeShade="80"/>
            </w:tcBorders>
          </w:tcPr>
          <w:p w14:paraId="77FE4512" w14:textId="360C73CF" w:rsidR="00D45FAF" w:rsidRDefault="007613E7">
            <w:pPr>
              <w:pStyle w:val="Bullet"/>
              <w:spacing w:after="0" w:line="240" w:lineRule="auto"/>
              <w:ind w:left="181" w:hanging="181"/>
              <w:rPr>
                <w:sz w:val="17"/>
                <w:szCs w:val="17"/>
              </w:rPr>
            </w:pPr>
            <w:r>
              <w:rPr>
                <w:sz w:val="17"/>
                <w:szCs w:val="17"/>
              </w:rPr>
              <w:t>Typically u</w:t>
            </w:r>
            <w:r w:rsidR="00D45FAF" w:rsidRPr="00AF5250">
              <w:rPr>
                <w:sz w:val="17"/>
                <w:szCs w:val="17"/>
              </w:rPr>
              <w:t>ndertaken by responsible policy, program or regulatory area</w:t>
            </w:r>
          </w:p>
          <w:p w14:paraId="108EA047" w14:textId="2015675C" w:rsidR="00404804" w:rsidRPr="00AF5250" w:rsidRDefault="00404804">
            <w:pPr>
              <w:pStyle w:val="Bullet"/>
              <w:spacing w:after="0" w:line="240" w:lineRule="auto"/>
              <w:ind w:left="181" w:hanging="181"/>
              <w:rPr>
                <w:sz w:val="17"/>
                <w:szCs w:val="17"/>
              </w:rPr>
            </w:pPr>
            <w:r>
              <w:rPr>
                <w:sz w:val="17"/>
                <w:szCs w:val="17"/>
              </w:rPr>
              <w:t>Internal reference group</w:t>
            </w:r>
          </w:p>
          <w:p w14:paraId="70ACAE3C" w14:textId="762C62F2" w:rsidR="00D45FAF" w:rsidRPr="00AF5250" w:rsidRDefault="00D45FAF" w:rsidP="00B02652">
            <w:pPr>
              <w:pStyle w:val="Bullet"/>
              <w:numPr>
                <w:ilvl w:val="0"/>
                <w:numId w:val="0"/>
              </w:numPr>
              <w:spacing w:after="0" w:line="240" w:lineRule="auto"/>
              <w:ind w:left="181"/>
              <w:rPr>
                <w:sz w:val="17"/>
                <w:szCs w:val="17"/>
              </w:rPr>
            </w:pPr>
          </w:p>
        </w:tc>
      </w:tr>
    </w:tbl>
    <w:p w14:paraId="38F721EF" w14:textId="77777777" w:rsidR="00140948" w:rsidRDefault="00140948" w:rsidP="00C11011">
      <w:pPr>
        <w:pStyle w:val="Heading3"/>
        <w:rPr>
          <w:rFonts w:eastAsia="Calibri Light"/>
        </w:rPr>
      </w:pPr>
      <w:bookmarkStart w:id="31" w:name="_Toc195716640"/>
      <w:bookmarkStart w:id="32" w:name="_Hlk203550379"/>
      <w:bookmarkStart w:id="33" w:name="_Toc195716643"/>
      <w:r>
        <w:rPr>
          <w:rFonts w:eastAsia="Calibri Light"/>
        </w:rPr>
        <w:lastRenderedPageBreak/>
        <w:t>Actions to support fit for purpose evaluation delivery in Treasury</w:t>
      </w:r>
      <w:bookmarkEnd w:id="31"/>
    </w:p>
    <w:p w14:paraId="7BDD9CDF" w14:textId="77777777" w:rsidR="00140948" w:rsidRPr="009A2CFB" w:rsidRDefault="00140948" w:rsidP="00140948">
      <w:pPr>
        <w:pStyle w:val="ListParagraph"/>
        <w:numPr>
          <w:ilvl w:val="1"/>
          <w:numId w:val="16"/>
        </w:numPr>
        <w:rPr>
          <w:rFonts w:eastAsia="Calibri Light" w:cs="Calibri Light"/>
        </w:rPr>
      </w:pPr>
      <w:r>
        <w:rPr>
          <w:rFonts w:eastAsia="Calibri Light" w:cs="Calibri Light"/>
          <w:b/>
          <w:bCs/>
        </w:rPr>
        <w:t>Establish and p</w:t>
      </w:r>
      <w:r w:rsidRPr="009A2CFB">
        <w:rPr>
          <w:rFonts w:eastAsia="Calibri Light" w:cs="Calibri Light"/>
          <w:b/>
          <w:bCs/>
        </w:rPr>
        <w:t>romote the Evaluation Prioritisation Model.</w:t>
      </w:r>
      <w:r w:rsidRPr="009A2CFB">
        <w:rPr>
          <w:rFonts w:eastAsia="Calibri Light" w:cs="Calibri Light"/>
        </w:rPr>
        <w:t xml:space="preserve"> </w:t>
      </w:r>
      <w:r>
        <w:rPr>
          <w:rFonts w:eastAsia="Calibri Light" w:cs="Calibri Light"/>
        </w:rPr>
        <w:t>MAPD to s</w:t>
      </w:r>
      <w:r w:rsidRPr="009A2CFB">
        <w:rPr>
          <w:rFonts w:eastAsia="Calibri Light" w:cs="Calibri Light"/>
        </w:rPr>
        <w:t>upport Treasury Divisions to apply the model to their policies or programs.</w:t>
      </w:r>
    </w:p>
    <w:p w14:paraId="7FD8090D" w14:textId="77777777" w:rsidR="00140948" w:rsidRPr="009A2CFB" w:rsidRDefault="00140948" w:rsidP="00140948">
      <w:pPr>
        <w:pStyle w:val="ListParagraph"/>
        <w:numPr>
          <w:ilvl w:val="1"/>
          <w:numId w:val="16"/>
        </w:numPr>
        <w:rPr>
          <w:rFonts w:eastAsia="Calibri Light" w:cs="Calibri Light"/>
        </w:rPr>
      </w:pPr>
      <w:bookmarkStart w:id="34" w:name="_Hlk195689099"/>
      <w:r>
        <w:rPr>
          <w:rFonts w:eastAsia="Calibri Light" w:cs="Calibri Light"/>
          <w:b/>
          <w:bCs/>
        </w:rPr>
        <w:t xml:space="preserve">Establish a Treasury </w:t>
      </w:r>
      <w:r w:rsidRPr="009A2CFB">
        <w:rPr>
          <w:rFonts w:eastAsia="Calibri Light" w:cs="Calibri Light"/>
          <w:b/>
          <w:bCs/>
        </w:rPr>
        <w:t xml:space="preserve">Evaluation Register </w:t>
      </w:r>
      <w:bookmarkEnd w:id="34"/>
      <w:r w:rsidRPr="009A2CFB">
        <w:rPr>
          <w:rFonts w:eastAsia="Calibri Light" w:cs="Calibri Light"/>
          <w:b/>
          <w:bCs/>
        </w:rPr>
        <w:t>and forward work program</w:t>
      </w:r>
      <w:r w:rsidRPr="009A2CFB">
        <w:rPr>
          <w:rFonts w:eastAsia="Calibri Light" w:cs="Calibri Light"/>
        </w:rPr>
        <w:t xml:space="preserve">. </w:t>
      </w:r>
      <w:bookmarkStart w:id="35" w:name="_Hlk195689173"/>
      <w:r>
        <w:rPr>
          <w:rFonts w:eastAsia="Calibri Light" w:cs="Calibri Light"/>
        </w:rPr>
        <w:t>MAPD to d</w:t>
      </w:r>
      <w:r w:rsidRPr="009A2CFB">
        <w:rPr>
          <w:rFonts w:eastAsia="Calibri Light" w:cs="Calibri Light"/>
        </w:rPr>
        <w:t xml:space="preserve">evelop a Treasury Evaluation Register. Use this </w:t>
      </w:r>
      <w:r>
        <w:rPr>
          <w:rFonts w:eastAsia="Calibri Light" w:cs="Calibri Light"/>
        </w:rPr>
        <w:t>R</w:t>
      </w:r>
      <w:r w:rsidRPr="009A2CFB">
        <w:rPr>
          <w:rFonts w:eastAsia="Calibri Light" w:cs="Calibri Light"/>
        </w:rPr>
        <w:t>egister and the actions under 1.1 to develop a forward work program of planned evaluations.</w:t>
      </w:r>
      <w:bookmarkEnd w:id="35"/>
    </w:p>
    <w:p w14:paraId="1DE0233F" w14:textId="3474DCE2" w:rsidR="00140948" w:rsidRPr="009A2CFB" w:rsidRDefault="00140948" w:rsidP="00140948">
      <w:pPr>
        <w:pStyle w:val="ListParagraph"/>
        <w:numPr>
          <w:ilvl w:val="1"/>
          <w:numId w:val="16"/>
        </w:numPr>
        <w:rPr>
          <w:rFonts w:eastAsia="Calibri Light" w:cs="Calibri Light"/>
        </w:rPr>
      </w:pPr>
      <w:r w:rsidRPr="009A2CFB">
        <w:rPr>
          <w:rFonts w:eastAsia="Calibri Light" w:cs="Calibri Light"/>
          <w:b/>
          <w:bCs/>
        </w:rPr>
        <w:t xml:space="preserve">Assess </w:t>
      </w:r>
      <w:r>
        <w:rPr>
          <w:rFonts w:eastAsia="Calibri Light" w:cs="Calibri Light"/>
          <w:b/>
          <w:bCs/>
        </w:rPr>
        <w:t xml:space="preserve">the </w:t>
      </w:r>
      <w:r w:rsidRPr="009A2CFB">
        <w:rPr>
          <w:rFonts w:eastAsia="Calibri Light" w:cs="Calibri Light"/>
          <w:b/>
          <w:bCs/>
        </w:rPr>
        <w:t>feasibility of high-quality impact evaluations</w:t>
      </w:r>
      <w:r w:rsidRPr="009A2CFB">
        <w:rPr>
          <w:rFonts w:eastAsia="Calibri Light" w:cs="Calibri Light"/>
        </w:rPr>
        <w:t xml:space="preserve">. Using the forward work program, </w:t>
      </w:r>
      <w:r w:rsidR="002D5F95">
        <w:rPr>
          <w:rFonts w:eastAsia="Calibri Light" w:cs="Calibri Light"/>
        </w:rPr>
        <w:t>MAPD</w:t>
      </w:r>
      <w:r w:rsidRPr="009A2CFB">
        <w:rPr>
          <w:rFonts w:eastAsia="Calibri Light" w:cs="Calibri Light"/>
        </w:rPr>
        <w:t xml:space="preserve"> will work with responsible Divisions or Branches to identify the feasibility of high-quality impact evaluations, particularly for ‘Category 1’ policies, programs or regulations.</w:t>
      </w:r>
    </w:p>
    <w:p w14:paraId="3AB4F48A" w14:textId="77777777" w:rsidR="00140948" w:rsidRPr="00140948" w:rsidRDefault="00140948" w:rsidP="00140948">
      <w:pPr>
        <w:pStyle w:val="ListParagraph"/>
        <w:numPr>
          <w:ilvl w:val="1"/>
          <w:numId w:val="16"/>
        </w:numPr>
        <w:rPr>
          <w:rFonts w:eastAsia="Calibri Light" w:cs="Calibri Light"/>
        </w:rPr>
      </w:pPr>
      <w:r w:rsidRPr="009A2CFB">
        <w:rPr>
          <w:rFonts w:eastAsia="Calibri Light" w:cs="Calibri Light"/>
          <w:b/>
          <w:bCs/>
        </w:rPr>
        <w:t>Build better evaluation planning into New Policy Proposals</w:t>
      </w:r>
      <w:r w:rsidRPr="009A2CFB">
        <w:rPr>
          <w:rFonts w:eastAsia="Calibri Light" w:cs="Calibri Light"/>
        </w:rPr>
        <w:t>. MAPD to provide support for line areas in developing evaluation-related content for New Policy Proposals from the 2026-27 Budget onwards to ensure evaluation readiness.</w:t>
      </w:r>
      <w:bookmarkEnd w:id="32"/>
    </w:p>
    <w:p w14:paraId="7ED6F55F" w14:textId="5655CC73" w:rsidR="001029C1" w:rsidRDefault="001029C1" w:rsidP="00C11011">
      <w:pPr>
        <w:pStyle w:val="Heading2"/>
      </w:pPr>
      <w:bookmarkStart w:id="36" w:name="_Toc208932161"/>
      <w:bookmarkStart w:id="37" w:name="_Toc208932672"/>
      <w:r>
        <w:t>3</w:t>
      </w:r>
      <w:r w:rsidR="00140948">
        <w:t>.</w:t>
      </w:r>
      <w:r w:rsidRPr="003276AF">
        <w:t xml:space="preserve"> </w:t>
      </w:r>
      <w:r w:rsidR="00F3159B">
        <w:t>Evaluation use</w:t>
      </w:r>
      <w:r w:rsidR="002869DB">
        <w:t xml:space="preserve"> and continuous learning</w:t>
      </w:r>
      <w:bookmarkEnd w:id="36"/>
      <w:bookmarkEnd w:id="37"/>
      <w:r w:rsidRPr="7B425A75">
        <w:rPr>
          <w:rFonts w:ascii="Aptos Display" w:eastAsia="Aptos Display" w:hAnsi="Aptos Display" w:cs="Aptos Display"/>
        </w:rPr>
        <w:t xml:space="preserve"> </w:t>
      </w:r>
    </w:p>
    <w:p w14:paraId="1790315B" w14:textId="707A09EE" w:rsidR="001029C1" w:rsidRPr="00942B4F" w:rsidRDefault="004849F0" w:rsidP="001029C1">
      <w:pPr>
        <w:rPr>
          <w:rFonts w:eastAsia="Calibri Light"/>
        </w:rPr>
      </w:pPr>
      <w:r>
        <w:rPr>
          <w:rFonts w:eastAsia="Calibri Light"/>
        </w:rPr>
        <w:t>G</w:t>
      </w:r>
      <w:r w:rsidR="003A11CC">
        <w:rPr>
          <w:rFonts w:eastAsia="Calibri Light"/>
        </w:rPr>
        <w:t>ood e</w:t>
      </w:r>
      <w:r w:rsidR="001029C1" w:rsidRPr="00942B4F">
        <w:rPr>
          <w:rFonts w:eastAsia="Calibri Light"/>
        </w:rPr>
        <w:t>valuation</w:t>
      </w:r>
      <w:r w:rsidR="00523F5A" w:rsidRPr="00523F5A">
        <w:rPr>
          <w:rFonts w:eastAsia="Calibri Light"/>
        </w:rPr>
        <w:t xml:space="preserve"> </w:t>
      </w:r>
      <w:r w:rsidR="003A11CC">
        <w:rPr>
          <w:rFonts w:eastAsia="Calibri Light"/>
        </w:rPr>
        <w:t xml:space="preserve">practice </w:t>
      </w:r>
      <w:r w:rsidR="00523F5A" w:rsidRPr="00942B4F">
        <w:rPr>
          <w:rFonts w:eastAsia="Calibri Light"/>
        </w:rPr>
        <w:t xml:space="preserve">contributes to continuous learning and adaptive improvement in policy </w:t>
      </w:r>
      <w:r w:rsidR="00364888">
        <w:rPr>
          <w:rFonts w:eastAsia="Calibri Light"/>
        </w:rPr>
        <w:t xml:space="preserve">and program </w:t>
      </w:r>
      <w:r w:rsidR="00523F5A" w:rsidRPr="00942B4F">
        <w:rPr>
          <w:rFonts w:eastAsia="Calibri Light"/>
        </w:rPr>
        <w:t>design</w:t>
      </w:r>
      <w:r w:rsidR="00523F5A">
        <w:rPr>
          <w:rFonts w:eastAsia="Calibri Light"/>
        </w:rPr>
        <w:t>.</w:t>
      </w:r>
      <w:r w:rsidR="001029C1" w:rsidRPr="00942B4F">
        <w:rPr>
          <w:rFonts w:eastAsia="Calibri Light"/>
        </w:rPr>
        <w:t xml:space="preserve"> It</w:t>
      </w:r>
      <w:r w:rsidR="00523F5A">
        <w:rPr>
          <w:rFonts w:eastAsia="Calibri Light"/>
        </w:rPr>
        <w:t xml:space="preserve"> </w:t>
      </w:r>
      <w:r w:rsidR="00523F5A" w:rsidRPr="00942B4F">
        <w:rPr>
          <w:rFonts w:eastAsia="Calibri Light"/>
        </w:rPr>
        <w:t>uses robust analytical methods to provide evidence to decision</w:t>
      </w:r>
      <w:r w:rsidR="00523F5A" w:rsidRPr="00942B4F">
        <w:rPr>
          <w:rFonts w:ascii="Cambria Math" w:eastAsia="Calibri Light" w:hAnsi="Cambria Math" w:cs="Cambria Math"/>
        </w:rPr>
        <w:t>‑</w:t>
      </w:r>
      <w:r w:rsidR="00523F5A" w:rsidRPr="00942B4F">
        <w:rPr>
          <w:rFonts w:eastAsia="Calibri Light"/>
        </w:rPr>
        <w:t>makers about performance and good practices across the policy cycle</w:t>
      </w:r>
      <w:r w:rsidR="001029C1" w:rsidRPr="00942B4F">
        <w:rPr>
          <w:rFonts w:eastAsia="Calibri Light"/>
        </w:rPr>
        <w:t>.</w:t>
      </w:r>
    </w:p>
    <w:p w14:paraId="2A678A80" w14:textId="5317BB0C" w:rsidR="001029C1" w:rsidRPr="00292E2A" w:rsidRDefault="001029C1" w:rsidP="001029C1">
      <w:pPr>
        <w:rPr>
          <w:rFonts w:eastAsia="Calibri Light"/>
        </w:rPr>
      </w:pPr>
      <w:r>
        <w:rPr>
          <w:rFonts w:eastAsia="Calibri Light"/>
        </w:rPr>
        <w:t xml:space="preserve">Such a </w:t>
      </w:r>
      <w:r w:rsidRPr="00292E2A">
        <w:rPr>
          <w:rFonts w:eastAsia="Calibri Light"/>
        </w:rPr>
        <w:t>culture of evaluation drives continuous improvement, learning from experience</w:t>
      </w:r>
      <w:r w:rsidR="005D0D81">
        <w:rPr>
          <w:rFonts w:eastAsia="Calibri Light"/>
        </w:rPr>
        <w:t>,</w:t>
      </w:r>
      <w:r w:rsidRPr="00292E2A">
        <w:rPr>
          <w:rFonts w:eastAsia="Calibri Light"/>
        </w:rPr>
        <w:t xml:space="preserve"> and accountability to inform decision-making. </w:t>
      </w:r>
      <w:r>
        <w:rPr>
          <w:rFonts w:eastAsia="Calibri Light"/>
        </w:rPr>
        <w:t xml:space="preserve">This </w:t>
      </w:r>
      <w:r w:rsidRPr="00292E2A">
        <w:rPr>
          <w:rFonts w:eastAsia="Calibri Light"/>
        </w:rPr>
        <w:t xml:space="preserve">helps Treasury </w:t>
      </w:r>
      <w:r>
        <w:rPr>
          <w:rFonts w:eastAsia="Calibri Light"/>
        </w:rPr>
        <w:t xml:space="preserve">staff </w:t>
      </w:r>
      <w:r w:rsidRPr="00292E2A">
        <w:rPr>
          <w:rFonts w:eastAsia="Calibri Light"/>
        </w:rPr>
        <w:t>do their jobs well by:</w:t>
      </w:r>
    </w:p>
    <w:p w14:paraId="6139229F" w14:textId="77777777" w:rsidR="001029C1" w:rsidRPr="00205EB5" w:rsidRDefault="001029C1" w:rsidP="001029C1">
      <w:pPr>
        <w:pStyle w:val="Bullet"/>
        <w:rPr>
          <w:rFonts w:eastAsia="Calibri Light"/>
        </w:rPr>
      </w:pPr>
      <w:r w:rsidRPr="00205EB5">
        <w:rPr>
          <w:rFonts w:eastAsia="Calibri Light"/>
        </w:rPr>
        <w:t>encouraging self</w:t>
      </w:r>
      <w:r>
        <w:rPr>
          <w:rFonts w:eastAsia="Calibri Light"/>
        </w:rPr>
        <w:t>-</w:t>
      </w:r>
      <w:r w:rsidRPr="00205EB5">
        <w:rPr>
          <w:rFonts w:eastAsia="Calibri Light"/>
        </w:rPr>
        <w:t>reflection</w:t>
      </w:r>
    </w:p>
    <w:p w14:paraId="67F20A99" w14:textId="77777777" w:rsidR="001029C1" w:rsidRPr="00205EB5" w:rsidRDefault="001029C1" w:rsidP="001029C1">
      <w:pPr>
        <w:pStyle w:val="Bullet"/>
        <w:rPr>
          <w:rFonts w:eastAsia="Calibri Light"/>
        </w:rPr>
      </w:pPr>
      <w:r w:rsidRPr="00205EB5">
        <w:rPr>
          <w:rFonts w:eastAsia="Calibri Light"/>
        </w:rPr>
        <w:t>looking for better ways of doing things, valuing results and innovation</w:t>
      </w:r>
    </w:p>
    <w:p w14:paraId="4B8D6B72" w14:textId="77777777" w:rsidR="001029C1" w:rsidRPr="00205EB5" w:rsidRDefault="001029C1" w:rsidP="001029C1">
      <w:pPr>
        <w:pStyle w:val="Bullet"/>
        <w:rPr>
          <w:rFonts w:eastAsia="Calibri Light"/>
        </w:rPr>
      </w:pPr>
      <w:r w:rsidRPr="00205EB5">
        <w:rPr>
          <w:rFonts w:eastAsia="Calibri Light"/>
        </w:rPr>
        <w:t>sharing knowledge and learning from good practice and mistakes.</w:t>
      </w:r>
    </w:p>
    <w:p w14:paraId="0B5FC26B" w14:textId="09B3229B" w:rsidR="001029C1" w:rsidRPr="00C51223" w:rsidRDefault="001029C1" w:rsidP="00C11011">
      <w:pPr>
        <w:pStyle w:val="Heading3"/>
        <w:rPr>
          <w:rFonts w:eastAsia="Calibri Light"/>
        </w:rPr>
      </w:pPr>
      <w:bookmarkStart w:id="38" w:name="_Hlk203550396"/>
      <w:r>
        <w:rPr>
          <w:rFonts w:eastAsia="Calibri Light"/>
        </w:rPr>
        <w:t xml:space="preserve">Actions to support </w:t>
      </w:r>
      <w:r w:rsidR="003F4F46">
        <w:rPr>
          <w:rFonts w:eastAsia="Calibri Light"/>
        </w:rPr>
        <w:t xml:space="preserve">evaluation use and </w:t>
      </w:r>
      <w:r>
        <w:rPr>
          <w:rFonts w:eastAsia="Calibri Light"/>
        </w:rPr>
        <w:t>continuous learning in Treasury</w:t>
      </w:r>
    </w:p>
    <w:p w14:paraId="73B239B7" w14:textId="72FE140D" w:rsidR="001029C1" w:rsidRPr="00A949F3" w:rsidRDefault="00161054" w:rsidP="00A949F3">
      <w:pPr>
        <w:spacing w:after="0"/>
        <w:ind w:left="284" w:hanging="284"/>
        <w:rPr>
          <w:rFonts w:eastAsia="Calibri Light" w:cs="Calibri Light"/>
          <w:b/>
          <w:bCs/>
        </w:rPr>
      </w:pPr>
      <w:r>
        <w:rPr>
          <w:rFonts w:eastAsia="Calibri Light" w:cs="Calibri Light"/>
          <w:b/>
          <w:bCs/>
        </w:rPr>
        <w:t>3</w:t>
      </w:r>
      <w:r w:rsidR="001029C1" w:rsidRPr="00BD5572">
        <w:rPr>
          <w:rFonts w:eastAsia="Calibri Light" w:cs="Calibri Light"/>
          <w:b/>
          <w:bCs/>
        </w:rPr>
        <w:t>.</w:t>
      </w:r>
      <w:r w:rsidR="001029C1">
        <w:rPr>
          <w:rFonts w:eastAsia="Calibri Light" w:cs="Calibri Light"/>
          <w:b/>
          <w:bCs/>
        </w:rPr>
        <w:t>1</w:t>
      </w:r>
      <w:r w:rsidR="001029C1" w:rsidRPr="00BD5572">
        <w:rPr>
          <w:rFonts w:eastAsia="Calibri Light" w:cs="Calibri Light"/>
          <w:b/>
          <w:bCs/>
        </w:rPr>
        <w:t xml:space="preserve"> Publish evaluation reports</w:t>
      </w:r>
      <w:r w:rsidR="001029C1">
        <w:rPr>
          <w:rFonts w:eastAsia="Calibri Light" w:cs="Calibri Light"/>
          <w:b/>
          <w:bCs/>
        </w:rPr>
        <w:t xml:space="preserve">, </w:t>
      </w:r>
      <w:r w:rsidR="001029C1" w:rsidRPr="00BD5572">
        <w:rPr>
          <w:rFonts w:eastAsia="Calibri Light" w:cs="Calibri Light"/>
          <w:b/>
          <w:bCs/>
        </w:rPr>
        <w:t>summaries</w:t>
      </w:r>
      <w:r w:rsidR="001029C1">
        <w:rPr>
          <w:rFonts w:eastAsia="Calibri Light" w:cs="Calibri Light"/>
          <w:b/>
          <w:bCs/>
        </w:rPr>
        <w:t xml:space="preserve"> and management responses</w:t>
      </w:r>
      <w:r w:rsidR="00A949F3">
        <w:rPr>
          <w:rFonts w:eastAsia="Calibri Light" w:cs="Calibri Light"/>
          <w:b/>
          <w:bCs/>
        </w:rPr>
        <w:t xml:space="preserve"> </w:t>
      </w:r>
      <w:r w:rsidR="00A949F3" w:rsidRPr="00A949F3">
        <w:rPr>
          <w:rFonts w:eastAsia="Calibri Light" w:cs="Calibri Light"/>
          <w:b/>
          <w:bCs/>
        </w:rPr>
        <w:t xml:space="preserve">by default </w:t>
      </w:r>
      <w:r w:rsidR="00A949F3" w:rsidRPr="00A949F3">
        <w:rPr>
          <w:rFonts w:eastAsia="Calibri Light" w:cs="Calibri Light"/>
        </w:rPr>
        <w:t>unless there are appropriate reasons for not releasing information publicly</w:t>
      </w:r>
      <w:r w:rsidR="001029C1" w:rsidRPr="00BD5572">
        <w:rPr>
          <w:rFonts w:eastAsia="Calibri Light" w:cs="Calibri Light"/>
          <w:b/>
          <w:bCs/>
        </w:rPr>
        <w:t xml:space="preserve">. </w:t>
      </w:r>
      <w:r w:rsidR="001029C1" w:rsidRPr="005771C8">
        <w:rPr>
          <w:rFonts w:eastAsia="Calibri Light" w:cs="Calibri Light"/>
        </w:rPr>
        <w:t>This supports external accountability</w:t>
      </w:r>
      <w:r w:rsidR="001029C1">
        <w:rPr>
          <w:rFonts w:eastAsia="Calibri Light" w:cs="Calibri Light"/>
        </w:rPr>
        <w:t xml:space="preserve">, </w:t>
      </w:r>
      <w:r w:rsidR="001029C1" w:rsidRPr="005771C8">
        <w:rPr>
          <w:rFonts w:eastAsia="Calibri Light" w:cs="Calibri Light"/>
        </w:rPr>
        <w:t>transparency</w:t>
      </w:r>
      <w:r w:rsidR="001029C1">
        <w:rPr>
          <w:rFonts w:eastAsia="Calibri Light" w:cs="Calibri Light"/>
        </w:rPr>
        <w:t xml:space="preserve"> and knowledge-sharing</w:t>
      </w:r>
      <w:r w:rsidR="001029C1" w:rsidRPr="005771C8">
        <w:rPr>
          <w:rFonts w:eastAsia="Calibri Light" w:cs="Calibri Light"/>
        </w:rPr>
        <w:t xml:space="preserve">, building trust in what we do. Published reports will be available on the </w:t>
      </w:r>
      <w:r w:rsidR="001029C1">
        <w:rPr>
          <w:rFonts w:eastAsia="Calibri Light" w:cs="Calibri Light"/>
        </w:rPr>
        <w:t xml:space="preserve">Treasury website and the </w:t>
      </w:r>
      <w:r w:rsidR="00A949F3">
        <w:rPr>
          <w:rFonts w:eastAsia="Calibri Light" w:cs="Calibri Light"/>
        </w:rPr>
        <w:t>ACE</w:t>
      </w:r>
      <w:r w:rsidR="00A949F3" w:rsidRPr="005771C8">
        <w:rPr>
          <w:rFonts w:eastAsia="Calibri Light" w:cs="Calibri Light"/>
        </w:rPr>
        <w:t xml:space="preserve"> </w:t>
      </w:r>
      <w:r w:rsidR="001029C1" w:rsidRPr="005771C8">
        <w:rPr>
          <w:rFonts w:eastAsia="Calibri Light" w:cs="Calibri Light"/>
        </w:rPr>
        <w:t xml:space="preserve">Evaluation </w:t>
      </w:r>
      <w:r w:rsidR="00A949F3">
        <w:rPr>
          <w:rFonts w:eastAsia="Calibri Light" w:cs="Calibri Light"/>
        </w:rPr>
        <w:t>Library</w:t>
      </w:r>
      <w:r w:rsidR="001029C1" w:rsidRPr="005771C8">
        <w:rPr>
          <w:rFonts w:eastAsia="Calibri Light" w:cs="Calibri Light"/>
        </w:rPr>
        <w:t>.</w:t>
      </w:r>
    </w:p>
    <w:p w14:paraId="175D2030" w14:textId="69FAB222" w:rsidR="001029C1" w:rsidRDefault="00161054" w:rsidP="001029C1">
      <w:pPr>
        <w:spacing w:after="0"/>
        <w:ind w:left="284" w:hanging="284"/>
        <w:rPr>
          <w:rFonts w:eastAsia="Calibri Light" w:cs="Calibri Light"/>
        </w:rPr>
      </w:pPr>
      <w:r>
        <w:rPr>
          <w:rFonts w:eastAsia="Calibri Light" w:cs="Calibri Light"/>
          <w:b/>
          <w:bCs/>
        </w:rPr>
        <w:t>3</w:t>
      </w:r>
      <w:r w:rsidR="001029C1" w:rsidRPr="00BD5572">
        <w:rPr>
          <w:rFonts w:eastAsia="Calibri Light" w:cs="Calibri Light"/>
          <w:b/>
          <w:bCs/>
        </w:rPr>
        <w:t>.</w:t>
      </w:r>
      <w:r w:rsidR="001029C1">
        <w:rPr>
          <w:rFonts w:eastAsia="Calibri Light" w:cs="Calibri Light"/>
          <w:b/>
          <w:bCs/>
        </w:rPr>
        <w:t>2</w:t>
      </w:r>
      <w:r w:rsidR="001029C1" w:rsidRPr="00BD5572">
        <w:rPr>
          <w:rFonts w:eastAsia="Calibri Light" w:cs="Calibri Light"/>
          <w:b/>
          <w:bCs/>
        </w:rPr>
        <w:t xml:space="preserve"> Promote findings from published evaluation reports and management responses. </w:t>
      </w:r>
      <w:r w:rsidR="001029C1" w:rsidRPr="00BD5572">
        <w:rPr>
          <w:rFonts w:eastAsia="Calibri Light" w:cs="Calibri Light"/>
        </w:rPr>
        <w:t xml:space="preserve">Findings will be promoted through the </w:t>
      </w:r>
      <w:r w:rsidR="001029C1">
        <w:rPr>
          <w:rFonts w:eastAsia="Calibri Light" w:cs="Calibri Light"/>
        </w:rPr>
        <w:t xml:space="preserve">Treasury </w:t>
      </w:r>
      <w:r w:rsidR="001029C1" w:rsidRPr="00BD5572">
        <w:rPr>
          <w:rFonts w:eastAsia="Calibri Light" w:cs="Calibri Light"/>
        </w:rPr>
        <w:t>Evaluation Register and program manager reports to relevant governance committees.</w:t>
      </w:r>
      <w:r w:rsidR="008738DD">
        <w:rPr>
          <w:rFonts w:eastAsia="Calibri Light" w:cs="Calibri Light"/>
        </w:rPr>
        <w:t xml:space="preserve"> </w:t>
      </w:r>
      <w:r w:rsidR="00962F47">
        <w:rPr>
          <w:rFonts w:eastAsia="Calibri Light" w:cs="Calibri Light"/>
        </w:rPr>
        <w:t>Management responses will be prepared for all formal evaluations (categor</w:t>
      </w:r>
      <w:r w:rsidR="0056446F">
        <w:rPr>
          <w:rFonts w:eastAsia="Calibri Light" w:cs="Calibri Light"/>
        </w:rPr>
        <w:t>ies</w:t>
      </w:r>
      <w:r w:rsidR="00962F47">
        <w:rPr>
          <w:rFonts w:eastAsia="Calibri Light" w:cs="Calibri Light"/>
        </w:rPr>
        <w:t xml:space="preserve"> 1 and 2</w:t>
      </w:r>
      <w:r w:rsidR="0056446F">
        <w:rPr>
          <w:rFonts w:eastAsia="Calibri Light" w:cs="Calibri Light"/>
        </w:rPr>
        <w:t xml:space="preserve"> in the Prioritisation Model</w:t>
      </w:r>
      <w:r w:rsidR="00962F47">
        <w:rPr>
          <w:rFonts w:eastAsia="Calibri Light" w:cs="Calibri Light"/>
        </w:rPr>
        <w:t>).</w:t>
      </w:r>
    </w:p>
    <w:p w14:paraId="43896BCC" w14:textId="04697F10" w:rsidR="00A95162" w:rsidRDefault="00AE4FB2" w:rsidP="00C11011">
      <w:pPr>
        <w:pStyle w:val="Heading2"/>
      </w:pPr>
      <w:bookmarkStart w:id="39" w:name="_Toc208932162"/>
      <w:bookmarkStart w:id="40" w:name="_Toc208932673"/>
      <w:bookmarkEnd w:id="38"/>
      <w:r>
        <w:t>4</w:t>
      </w:r>
      <w:r w:rsidR="00140948">
        <w:t>.</w:t>
      </w:r>
      <w:r w:rsidR="00A95162" w:rsidRPr="003276AF">
        <w:t xml:space="preserve"> </w:t>
      </w:r>
      <w:r w:rsidR="001029C1">
        <w:t>Evaluation c</w:t>
      </w:r>
      <w:r w:rsidR="00A95162" w:rsidRPr="003276AF">
        <w:t xml:space="preserve">apability </w:t>
      </w:r>
      <w:r w:rsidR="001029C1">
        <w:t xml:space="preserve">building </w:t>
      </w:r>
      <w:r w:rsidR="00A95162" w:rsidRPr="003276AF">
        <w:t>and culture</w:t>
      </w:r>
      <w:bookmarkEnd w:id="33"/>
      <w:bookmarkEnd w:id="39"/>
      <w:bookmarkEnd w:id="40"/>
    </w:p>
    <w:p w14:paraId="4D600C6A" w14:textId="6B398D9F" w:rsidR="0030184C" w:rsidRPr="00942B4F" w:rsidRDefault="008440F9" w:rsidP="0030184C">
      <w:pPr>
        <w:rPr>
          <w:rFonts w:eastAsia="Calibri Light"/>
        </w:rPr>
      </w:pPr>
      <w:r w:rsidRPr="008440F9">
        <w:rPr>
          <w:rFonts w:eastAsia="Calibri Light"/>
        </w:rPr>
        <w:t>A culture of evaluation drives continuous improvement, learning from experience</w:t>
      </w:r>
      <w:r w:rsidR="005D0D81">
        <w:rPr>
          <w:rFonts w:eastAsia="Calibri Light"/>
        </w:rPr>
        <w:t>,</w:t>
      </w:r>
      <w:r w:rsidRPr="008440F9">
        <w:rPr>
          <w:rFonts w:eastAsia="Calibri Light"/>
        </w:rPr>
        <w:t xml:space="preserve"> and accountability to inform decision-making.</w:t>
      </w:r>
      <w:r w:rsidR="00C26CB0">
        <w:rPr>
          <w:rFonts w:eastAsia="Calibri Light"/>
        </w:rPr>
        <w:t xml:space="preserve"> </w:t>
      </w:r>
      <w:r w:rsidR="002D7087">
        <w:rPr>
          <w:rFonts w:eastAsia="Calibri Light"/>
        </w:rPr>
        <w:t xml:space="preserve">In practice this means all Treasury staff </w:t>
      </w:r>
      <w:r w:rsidR="004346F1">
        <w:rPr>
          <w:rFonts w:eastAsia="Calibri Light"/>
        </w:rPr>
        <w:t>need</w:t>
      </w:r>
      <w:r w:rsidR="00772359" w:rsidRPr="00292E2A">
        <w:rPr>
          <w:rFonts w:eastAsia="Calibri Light"/>
        </w:rPr>
        <w:t xml:space="preserve"> access to evaluation capability building opportunities</w:t>
      </w:r>
      <w:r w:rsidR="004346F1">
        <w:rPr>
          <w:rFonts w:eastAsia="Calibri Light"/>
        </w:rPr>
        <w:t xml:space="preserve"> and</w:t>
      </w:r>
      <w:r w:rsidR="00772359" w:rsidRPr="00292E2A">
        <w:rPr>
          <w:rFonts w:eastAsia="Calibri Light"/>
        </w:rPr>
        <w:t xml:space="preserve"> supporting resources and professional networks that help to build their skills and expertise. </w:t>
      </w:r>
      <w:r w:rsidR="0030184C" w:rsidRPr="00942B4F">
        <w:rPr>
          <w:rFonts w:eastAsia="Calibri Light"/>
        </w:rPr>
        <w:t>Evaluation</w:t>
      </w:r>
      <w:r w:rsidR="0030184C">
        <w:rPr>
          <w:rFonts w:eastAsia="Calibri Light"/>
        </w:rPr>
        <w:t xml:space="preserve"> capability</w:t>
      </w:r>
      <w:r w:rsidR="0030184C" w:rsidRPr="00942B4F">
        <w:rPr>
          <w:rFonts w:eastAsia="Calibri Light"/>
        </w:rPr>
        <w:t xml:space="preserve"> is not limited to technical skills and knowledge. It needs to be integrated into the way people across </w:t>
      </w:r>
      <w:r w:rsidR="0030184C">
        <w:rPr>
          <w:rFonts w:eastAsia="Calibri Light"/>
        </w:rPr>
        <w:t>Treasury</w:t>
      </w:r>
      <w:r w:rsidR="0030184C" w:rsidRPr="00942B4F">
        <w:rPr>
          <w:rFonts w:eastAsia="Calibri Light"/>
        </w:rPr>
        <w:t xml:space="preserve"> work and think.</w:t>
      </w:r>
    </w:p>
    <w:p w14:paraId="3F4C83A7" w14:textId="18E3F2A0" w:rsidR="00772359" w:rsidRPr="00A278EC" w:rsidRDefault="0030184C" w:rsidP="00B02652">
      <w:pPr>
        <w:rPr>
          <w:rFonts w:eastAsia="Calibri Light"/>
        </w:rPr>
      </w:pPr>
      <w:r>
        <w:rPr>
          <w:rFonts w:eastAsia="Calibri Light"/>
        </w:rPr>
        <w:t>Developing an evaluation culture</w:t>
      </w:r>
      <w:r w:rsidR="00772359" w:rsidRPr="00292E2A">
        <w:rPr>
          <w:rFonts w:eastAsia="Calibri Light"/>
        </w:rPr>
        <w:t xml:space="preserve"> also requires enabling organisational supports, systems</w:t>
      </w:r>
      <w:r w:rsidR="005D0D81">
        <w:rPr>
          <w:rFonts w:eastAsia="Calibri Light"/>
        </w:rPr>
        <w:t>,</w:t>
      </w:r>
      <w:r w:rsidR="00772359" w:rsidRPr="00292E2A">
        <w:rPr>
          <w:rFonts w:eastAsia="Calibri Light"/>
        </w:rPr>
        <w:t xml:space="preserve"> and processes that make it easy to integrate evaluation into existing performance management approaches.</w:t>
      </w:r>
      <w:r w:rsidR="00772359" w:rsidRPr="00A278EC">
        <w:rPr>
          <w:rFonts w:eastAsia="Calibri Light"/>
        </w:rPr>
        <w:t xml:space="preserve"> </w:t>
      </w:r>
      <w:r w:rsidR="00F04B14" w:rsidRPr="00A278EC">
        <w:rPr>
          <w:rFonts w:eastAsia="Calibri Light"/>
        </w:rPr>
        <w:t xml:space="preserve">This </w:t>
      </w:r>
      <w:r w:rsidR="009A4DAC" w:rsidRPr="00A278EC">
        <w:rPr>
          <w:rFonts w:eastAsia="Calibri Light"/>
        </w:rPr>
        <w:t xml:space="preserve">capability needs to be underpinned by </w:t>
      </w:r>
      <w:r w:rsidR="00732B19" w:rsidRPr="00A278EC">
        <w:rPr>
          <w:rFonts w:eastAsia="Calibri Light"/>
        </w:rPr>
        <w:t>leadership</w:t>
      </w:r>
      <w:r w:rsidR="00DE74F8" w:rsidRPr="00A278EC">
        <w:rPr>
          <w:rFonts w:eastAsia="Calibri Light"/>
        </w:rPr>
        <w:t xml:space="preserve"> that values evaluative thinking</w:t>
      </w:r>
      <w:r w:rsidR="00732B19" w:rsidRPr="00A278EC">
        <w:rPr>
          <w:rFonts w:eastAsia="Calibri Light"/>
        </w:rPr>
        <w:t xml:space="preserve"> at all levels</w:t>
      </w:r>
      <w:r w:rsidR="00DE74F8" w:rsidRPr="00A278EC">
        <w:rPr>
          <w:rFonts w:eastAsia="Calibri Light"/>
        </w:rPr>
        <w:t>.</w:t>
      </w:r>
    </w:p>
    <w:p w14:paraId="2F1F5E6F" w14:textId="7398B3D9" w:rsidR="00733684" w:rsidRPr="001B2755" w:rsidRDefault="00733684" w:rsidP="00733684">
      <w:pPr>
        <w:rPr>
          <w:rFonts w:eastAsia="Calibri Light"/>
        </w:rPr>
      </w:pPr>
      <w:r>
        <w:rPr>
          <w:rFonts w:eastAsia="Calibri Light"/>
        </w:rPr>
        <w:lastRenderedPageBreak/>
        <w:t xml:space="preserve">This </w:t>
      </w:r>
      <w:r w:rsidR="00C90D1A">
        <w:rPr>
          <w:rFonts w:eastAsia="Calibri Light"/>
        </w:rPr>
        <w:t xml:space="preserve">Strategy </w:t>
      </w:r>
      <w:r>
        <w:rPr>
          <w:rFonts w:eastAsia="Calibri Light"/>
        </w:rPr>
        <w:t>supports this evaluative culture by:</w:t>
      </w:r>
    </w:p>
    <w:p w14:paraId="6176A60F" w14:textId="1FBB623E" w:rsidR="00733684" w:rsidRPr="001B2755" w:rsidRDefault="00733684" w:rsidP="00733684">
      <w:pPr>
        <w:pStyle w:val="Bullet"/>
        <w:rPr>
          <w:rFonts w:eastAsia="Calibri Light"/>
        </w:rPr>
      </w:pPr>
      <w:r>
        <w:rPr>
          <w:rFonts w:eastAsia="Calibri Light"/>
        </w:rPr>
        <w:t xml:space="preserve">providing </w:t>
      </w:r>
      <w:r w:rsidRPr="001B2755">
        <w:rPr>
          <w:rFonts w:eastAsia="Calibri Light"/>
        </w:rPr>
        <w:t>leadership and a clear vision for achieving continuous improvement</w:t>
      </w:r>
    </w:p>
    <w:p w14:paraId="1FCD7035" w14:textId="77777777" w:rsidR="00733684" w:rsidRPr="001B2755" w:rsidRDefault="00733684" w:rsidP="00733684">
      <w:pPr>
        <w:pStyle w:val="Bullet"/>
        <w:rPr>
          <w:rFonts w:eastAsia="Calibri Light"/>
        </w:rPr>
      </w:pPr>
      <w:r>
        <w:rPr>
          <w:rFonts w:eastAsia="Calibri Light"/>
        </w:rPr>
        <w:t xml:space="preserve">assigning </w:t>
      </w:r>
      <w:r w:rsidRPr="001B2755">
        <w:rPr>
          <w:rFonts w:eastAsia="Calibri Light"/>
        </w:rPr>
        <w:t>clear responsibilities and expectations to empower staff, along with appropriate support to build evaluation capability and practices</w:t>
      </w:r>
    </w:p>
    <w:p w14:paraId="1059582E" w14:textId="77777777" w:rsidR="00733684" w:rsidRPr="001B2755" w:rsidRDefault="00733684" w:rsidP="00733684">
      <w:pPr>
        <w:pStyle w:val="Bullet"/>
        <w:rPr>
          <w:rFonts w:eastAsia="Calibri Light"/>
        </w:rPr>
      </w:pPr>
      <w:r>
        <w:rPr>
          <w:rFonts w:eastAsia="Calibri Light"/>
        </w:rPr>
        <w:t xml:space="preserve">encouraging </w:t>
      </w:r>
      <w:r w:rsidRPr="001B2755">
        <w:rPr>
          <w:rFonts w:eastAsia="Calibri Light"/>
        </w:rPr>
        <w:t>knowledge</w:t>
      </w:r>
      <w:r w:rsidRPr="001B2755">
        <w:rPr>
          <w:rFonts w:ascii="Cambria Math" w:eastAsia="Calibri Light" w:hAnsi="Cambria Math" w:cs="Cambria Math"/>
        </w:rPr>
        <w:t>‑</w:t>
      </w:r>
      <w:r w:rsidRPr="001B2755">
        <w:rPr>
          <w:rFonts w:eastAsia="Calibri Light"/>
        </w:rPr>
        <w:t>sharing and tolerance for mistakes to encourage learning</w:t>
      </w:r>
    </w:p>
    <w:p w14:paraId="02E590DB" w14:textId="77777777" w:rsidR="00733684" w:rsidRPr="001B2755" w:rsidRDefault="00733684" w:rsidP="00733684">
      <w:pPr>
        <w:pStyle w:val="Bullet"/>
        <w:rPr>
          <w:rFonts w:eastAsia="Calibri Light"/>
        </w:rPr>
      </w:pPr>
      <w:r w:rsidRPr="001B2755">
        <w:rPr>
          <w:rFonts w:eastAsia="Calibri Light"/>
        </w:rPr>
        <w:t>learning from successes as well as failures to improve performance.</w:t>
      </w:r>
    </w:p>
    <w:p w14:paraId="5914E0EE" w14:textId="67980710" w:rsidR="008C190E" w:rsidRPr="00C51223" w:rsidRDefault="008C190E" w:rsidP="00C11011">
      <w:pPr>
        <w:pStyle w:val="Heading3"/>
        <w:rPr>
          <w:rFonts w:eastAsia="Calibri Light"/>
        </w:rPr>
      </w:pPr>
      <w:bookmarkStart w:id="41" w:name="_Toc195716644"/>
      <w:bookmarkStart w:id="42" w:name="_Hlk203550437"/>
      <w:r w:rsidRPr="00F52AC1">
        <w:rPr>
          <w:rFonts w:eastAsia="Calibri Light"/>
        </w:rPr>
        <w:t>Actions</w:t>
      </w:r>
      <w:r>
        <w:rPr>
          <w:rFonts w:eastAsia="Calibri Light"/>
        </w:rPr>
        <w:t xml:space="preserve"> to support </w:t>
      </w:r>
      <w:r w:rsidR="007E3CAA">
        <w:rPr>
          <w:rFonts w:eastAsia="Calibri Light"/>
        </w:rPr>
        <w:t>capability building</w:t>
      </w:r>
      <w:r w:rsidR="00BB5D16">
        <w:rPr>
          <w:rFonts w:eastAsia="Calibri Light"/>
        </w:rPr>
        <w:t xml:space="preserve"> and a culture of evaluation</w:t>
      </w:r>
      <w:r w:rsidR="007E3CAA">
        <w:rPr>
          <w:rFonts w:eastAsia="Calibri Light"/>
        </w:rPr>
        <w:t xml:space="preserve"> in Treasury</w:t>
      </w:r>
      <w:bookmarkEnd w:id="41"/>
    </w:p>
    <w:p w14:paraId="50217690" w14:textId="188EC624" w:rsidR="00775EA3" w:rsidRPr="00A555E4" w:rsidRDefault="00161054" w:rsidP="00122FDB">
      <w:pPr>
        <w:spacing w:after="0"/>
        <w:ind w:left="284" w:hanging="284"/>
        <w:rPr>
          <w:rFonts w:eastAsia="Calibri Light" w:cs="Calibri Light"/>
        </w:rPr>
      </w:pPr>
      <w:r>
        <w:rPr>
          <w:rFonts w:eastAsia="Calibri Light" w:cs="Calibri Light"/>
          <w:b/>
          <w:bCs/>
        </w:rPr>
        <w:t>4</w:t>
      </w:r>
      <w:r w:rsidR="00775EA3" w:rsidRPr="00A555E4">
        <w:rPr>
          <w:rFonts w:eastAsia="Calibri Light" w:cs="Calibri Light"/>
          <w:b/>
          <w:bCs/>
        </w:rPr>
        <w:t>.1</w:t>
      </w:r>
      <w:r w:rsidR="00DD3A21">
        <w:rPr>
          <w:rFonts w:eastAsia="Calibri Light" w:cs="Calibri Light"/>
          <w:b/>
          <w:bCs/>
        </w:rPr>
        <w:t xml:space="preserve"> </w:t>
      </w:r>
      <w:r w:rsidR="00D9714F">
        <w:rPr>
          <w:rFonts w:eastAsia="Calibri Light" w:cs="Calibri Light"/>
          <w:b/>
          <w:bCs/>
        </w:rPr>
        <w:t>P</w:t>
      </w:r>
      <w:r w:rsidR="00775EA3" w:rsidRPr="00A555E4">
        <w:rPr>
          <w:rFonts w:eastAsia="Calibri Light" w:cs="Calibri Light"/>
          <w:b/>
          <w:bCs/>
        </w:rPr>
        <w:t xml:space="preserve">romote </w:t>
      </w:r>
      <w:r w:rsidR="00D9714F">
        <w:rPr>
          <w:rFonts w:eastAsia="Calibri Light" w:cs="Calibri Light"/>
          <w:b/>
          <w:bCs/>
        </w:rPr>
        <w:t xml:space="preserve">existing </w:t>
      </w:r>
      <w:r w:rsidR="00775EA3" w:rsidRPr="00A555E4">
        <w:rPr>
          <w:rFonts w:eastAsia="Calibri Light" w:cs="Calibri Light"/>
          <w:b/>
          <w:bCs/>
        </w:rPr>
        <w:t xml:space="preserve">evaluation resources, tools and templates </w:t>
      </w:r>
      <w:r w:rsidR="00D9714F">
        <w:rPr>
          <w:rFonts w:eastAsia="Calibri Light" w:cs="Calibri Light"/>
          <w:b/>
          <w:bCs/>
        </w:rPr>
        <w:t>available on the Evaluation Toolkit</w:t>
      </w:r>
      <w:r w:rsidR="0055727F">
        <w:rPr>
          <w:rFonts w:eastAsia="Calibri Light" w:cs="Calibri Light"/>
          <w:b/>
          <w:bCs/>
        </w:rPr>
        <w:t>,</w:t>
      </w:r>
      <w:r w:rsidR="00D9714F">
        <w:rPr>
          <w:rFonts w:eastAsia="Calibri Light" w:cs="Calibri Light"/>
          <w:b/>
          <w:bCs/>
        </w:rPr>
        <w:t xml:space="preserve"> </w:t>
      </w:r>
      <w:r w:rsidR="00775EA3" w:rsidRPr="00A555E4">
        <w:rPr>
          <w:rFonts w:eastAsia="Calibri Light" w:cs="Calibri Light"/>
          <w:b/>
          <w:bCs/>
        </w:rPr>
        <w:t xml:space="preserve">including resources to make policies, programs and regulation </w:t>
      </w:r>
      <w:r w:rsidR="0056446F">
        <w:rPr>
          <w:rFonts w:eastAsia="Calibri Light" w:cs="Calibri Light"/>
          <w:b/>
          <w:bCs/>
        </w:rPr>
        <w:t>‘</w:t>
      </w:r>
      <w:r w:rsidR="00775EA3" w:rsidRPr="00A555E4">
        <w:rPr>
          <w:rFonts w:eastAsia="Calibri Light" w:cs="Calibri Light"/>
          <w:b/>
          <w:bCs/>
        </w:rPr>
        <w:t>evaluation ready</w:t>
      </w:r>
      <w:r w:rsidR="0056446F">
        <w:rPr>
          <w:rFonts w:eastAsia="Calibri Light" w:cs="Calibri Light"/>
          <w:b/>
          <w:bCs/>
        </w:rPr>
        <w:t>’</w:t>
      </w:r>
      <w:r w:rsidR="00775EA3" w:rsidRPr="00A555E4">
        <w:rPr>
          <w:rFonts w:eastAsia="Calibri Light" w:cs="Calibri Light"/>
          <w:b/>
          <w:bCs/>
        </w:rPr>
        <w:t xml:space="preserve">. </w:t>
      </w:r>
      <w:r w:rsidR="001A1F1D" w:rsidRPr="001A1F1D">
        <w:rPr>
          <w:rFonts w:eastAsia="Calibri Light" w:cs="Calibri Light"/>
        </w:rPr>
        <w:t xml:space="preserve">ACE </w:t>
      </w:r>
      <w:r w:rsidR="001A1F1D">
        <w:rPr>
          <w:rFonts w:eastAsia="Calibri Light" w:cs="Calibri Light"/>
        </w:rPr>
        <w:t>i</w:t>
      </w:r>
      <w:r w:rsidR="007E3FF0">
        <w:rPr>
          <w:rFonts w:eastAsia="Calibri Light" w:cs="Calibri Light"/>
        </w:rPr>
        <w:t xml:space="preserve">s responsible for </w:t>
      </w:r>
      <w:r w:rsidR="00D777FD">
        <w:rPr>
          <w:rFonts w:eastAsia="Calibri Light" w:cs="Calibri Light"/>
        </w:rPr>
        <w:t>maintaining and continually impr</w:t>
      </w:r>
      <w:r w:rsidR="004306A3">
        <w:rPr>
          <w:rFonts w:eastAsia="Calibri Light" w:cs="Calibri Light"/>
        </w:rPr>
        <w:t>oving</w:t>
      </w:r>
      <w:r w:rsidR="00B71606">
        <w:rPr>
          <w:rFonts w:eastAsia="Calibri Light" w:cs="Calibri Light"/>
        </w:rPr>
        <w:t xml:space="preserve"> the Evaluation Toolkit</w:t>
      </w:r>
      <w:r w:rsidR="00937C80">
        <w:rPr>
          <w:rFonts w:eastAsia="Calibri Light" w:cs="Calibri Light"/>
        </w:rPr>
        <w:t xml:space="preserve">, which is </w:t>
      </w:r>
      <w:r w:rsidR="00AB1702">
        <w:rPr>
          <w:rFonts w:eastAsia="Calibri Light" w:cs="Calibri Light"/>
        </w:rPr>
        <w:t xml:space="preserve">targeted at </w:t>
      </w:r>
      <w:r w:rsidR="00937C80">
        <w:rPr>
          <w:rFonts w:eastAsia="Calibri Light" w:cs="Calibri Light"/>
        </w:rPr>
        <w:t xml:space="preserve">all </w:t>
      </w:r>
      <w:r w:rsidR="00E02B08">
        <w:rPr>
          <w:rFonts w:eastAsia="Calibri Light" w:cs="Calibri Light"/>
        </w:rPr>
        <w:t>Australian public servants.</w:t>
      </w:r>
      <w:r w:rsidR="0055727F">
        <w:rPr>
          <w:rFonts w:eastAsia="Calibri Light" w:cs="Calibri Light"/>
        </w:rPr>
        <w:t xml:space="preserve"> </w:t>
      </w:r>
      <w:r w:rsidR="00385A7B">
        <w:rPr>
          <w:rFonts w:eastAsia="Calibri Light" w:cs="Calibri Light"/>
        </w:rPr>
        <w:t>The aim of this action is to promote these resources more widely within Treasury.</w:t>
      </w:r>
      <w:r w:rsidR="00385A7B" w:rsidRPr="00A555E4" w:rsidDel="00385A7B">
        <w:rPr>
          <w:rFonts w:eastAsia="Calibri Light" w:cs="Calibri Light"/>
        </w:rPr>
        <w:t xml:space="preserve"> </w:t>
      </w:r>
    </w:p>
    <w:p w14:paraId="1C8AF5BC" w14:textId="02E3B753" w:rsidR="00D52A90" w:rsidRDefault="00161054" w:rsidP="00B02652">
      <w:pPr>
        <w:pStyle w:val="Bullet"/>
        <w:numPr>
          <w:ilvl w:val="0"/>
          <w:numId w:val="0"/>
        </w:numPr>
        <w:ind w:left="284" w:hanging="284"/>
        <w:rPr>
          <w:rFonts w:ascii="Calibri" w:hAnsi="Calibri" w:cs="Arial"/>
          <w:color w:val="5D779D" w:themeColor="accent3"/>
          <w:kern w:val="32"/>
          <w:sz w:val="44"/>
          <w:szCs w:val="36"/>
        </w:rPr>
      </w:pPr>
      <w:r>
        <w:rPr>
          <w:rFonts w:eastAsia="Calibri Light" w:cs="Calibri Light"/>
          <w:b/>
          <w:bCs/>
        </w:rPr>
        <w:t>4</w:t>
      </w:r>
      <w:r w:rsidR="00DA41DB" w:rsidRPr="00395373">
        <w:rPr>
          <w:rFonts w:eastAsia="Calibri Light" w:cs="Calibri Light"/>
          <w:b/>
          <w:bCs/>
        </w:rPr>
        <w:t>.</w:t>
      </w:r>
      <w:r>
        <w:rPr>
          <w:rFonts w:eastAsia="Calibri Light" w:cs="Calibri Light"/>
          <w:b/>
          <w:bCs/>
        </w:rPr>
        <w:t>2</w:t>
      </w:r>
      <w:r w:rsidR="00150E99" w:rsidRPr="00395373">
        <w:rPr>
          <w:rFonts w:eastAsia="Calibri Light" w:cs="Calibri Light"/>
          <w:b/>
          <w:bCs/>
        </w:rPr>
        <w:t xml:space="preserve"> </w:t>
      </w:r>
      <w:r w:rsidR="00B86E70">
        <w:rPr>
          <w:rFonts w:eastAsia="Calibri Light" w:cs="Calibri Light"/>
          <w:b/>
          <w:bCs/>
        </w:rPr>
        <w:t>Provide e</w:t>
      </w:r>
      <w:r w:rsidR="00A95162" w:rsidRPr="00395373">
        <w:rPr>
          <w:rFonts w:eastAsia="Calibri Light" w:cs="Calibri Light"/>
          <w:b/>
          <w:bCs/>
        </w:rPr>
        <w:t xml:space="preserve">valuation training and </w:t>
      </w:r>
      <w:r w:rsidR="00B86E70">
        <w:rPr>
          <w:rFonts w:eastAsia="Calibri Light" w:cs="Calibri Light"/>
          <w:b/>
          <w:bCs/>
        </w:rPr>
        <w:t xml:space="preserve">advisory </w:t>
      </w:r>
      <w:r w:rsidR="00A95162" w:rsidRPr="00395373">
        <w:rPr>
          <w:rFonts w:eastAsia="Calibri Light" w:cs="Calibri Light"/>
          <w:b/>
          <w:bCs/>
        </w:rPr>
        <w:t>support</w:t>
      </w:r>
      <w:r w:rsidR="00966B2D">
        <w:rPr>
          <w:rFonts w:eastAsia="Calibri Light" w:cs="Calibri Light"/>
        </w:rPr>
        <w:t xml:space="preserve">. MAPD </w:t>
      </w:r>
      <w:r w:rsidR="00990BDB">
        <w:t>will</w:t>
      </w:r>
      <w:r w:rsidR="00395373" w:rsidRPr="0065180C">
        <w:t xml:space="preserve"> provide</w:t>
      </w:r>
      <w:r w:rsidR="00736751">
        <w:t xml:space="preserve"> targeted</w:t>
      </w:r>
      <w:r w:rsidR="00395373" w:rsidRPr="0065180C">
        <w:t xml:space="preserve"> evaluation </w:t>
      </w:r>
      <w:r w:rsidR="00700706">
        <w:t>training</w:t>
      </w:r>
      <w:r w:rsidR="0079412B">
        <w:t>,</w:t>
      </w:r>
      <w:r w:rsidR="00700706">
        <w:t xml:space="preserve"> </w:t>
      </w:r>
      <w:r w:rsidR="00395373" w:rsidRPr="0065180C">
        <w:t>advice and quality assurance</w:t>
      </w:r>
      <w:r w:rsidR="000146BE">
        <w:t xml:space="preserve"> to Divisions, guided by </w:t>
      </w:r>
      <w:r w:rsidR="000F71B0">
        <w:t xml:space="preserve">the </w:t>
      </w:r>
      <w:r w:rsidR="00E00D84">
        <w:t>E</w:t>
      </w:r>
      <w:r w:rsidR="00313700">
        <w:t xml:space="preserve">valuation </w:t>
      </w:r>
      <w:r w:rsidR="00E00D84">
        <w:t>R</w:t>
      </w:r>
      <w:r w:rsidR="00313700">
        <w:t xml:space="preserve">egister and </w:t>
      </w:r>
      <w:r w:rsidR="000F71B0">
        <w:t>forward work plan</w:t>
      </w:r>
      <w:r w:rsidR="0023474C">
        <w:t>.</w:t>
      </w:r>
      <w:r w:rsidR="00E67A8D">
        <w:t xml:space="preserve"> </w:t>
      </w:r>
      <w:r w:rsidR="004A4875">
        <w:t>MAPD will also promote use of the Evaluation Prioritisation Model.</w:t>
      </w:r>
      <w:r w:rsidR="00E67A8D">
        <w:t xml:space="preserve"> Treasury Divisions will remain responsible for </w:t>
      </w:r>
      <w:r w:rsidR="00EF73B0">
        <w:t xml:space="preserve">planning and resourcing evaluations of policies for which they are responsible. </w:t>
      </w:r>
      <w:bookmarkStart w:id="43" w:name="_Toc195716645"/>
      <w:bookmarkEnd w:id="42"/>
      <w:r w:rsidR="00D52A90">
        <w:br w:type="page"/>
      </w:r>
    </w:p>
    <w:p w14:paraId="682216D3" w14:textId="544394CB" w:rsidR="00A95162" w:rsidRDefault="00A95162" w:rsidP="00C11011">
      <w:pPr>
        <w:pStyle w:val="Heading1"/>
      </w:pPr>
      <w:bookmarkStart w:id="44" w:name="_Toc195716647"/>
      <w:bookmarkStart w:id="45" w:name="_Toc208932163"/>
      <w:bookmarkStart w:id="46" w:name="_Toc208932674"/>
      <w:bookmarkEnd w:id="43"/>
      <w:r w:rsidRPr="003276AF">
        <w:lastRenderedPageBreak/>
        <w:t>Measuring our success</w:t>
      </w:r>
      <w:bookmarkEnd w:id="44"/>
      <w:bookmarkEnd w:id="45"/>
      <w:bookmarkEnd w:id="46"/>
      <w:r w:rsidRPr="7B425A75">
        <w:rPr>
          <w:rFonts w:ascii="Aptos Display" w:eastAsia="Aptos Display" w:hAnsi="Aptos Display" w:cs="Aptos Display"/>
        </w:rPr>
        <w:t xml:space="preserve"> </w:t>
      </w:r>
    </w:p>
    <w:p w14:paraId="1C6C5F28" w14:textId="343CE631" w:rsidR="005E102C" w:rsidRDefault="005E102C" w:rsidP="005E102C">
      <w:pPr>
        <w:pStyle w:val="Bullet"/>
        <w:numPr>
          <w:ilvl w:val="0"/>
          <w:numId w:val="0"/>
        </w:numPr>
        <w:rPr>
          <w:rFonts w:eastAsia="Calibri Light"/>
        </w:rPr>
      </w:pPr>
      <w:r w:rsidRPr="005E102C">
        <w:rPr>
          <w:rFonts w:eastAsia="Calibri Light"/>
        </w:rPr>
        <w:t xml:space="preserve">Developing and embedding a culture of evaluation takes time and commitment. </w:t>
      </w:r>
      <w:r w:rsidR="005C21C0">
        <w:rPr>
          <w:rFonts w:eastAsia="Calibri Light"/>
        </w:rPr>
        <w:t>Treasury</w:t>
      </w:r>
      <w:r w:rsidRPr="005E102C">
        <w:rPr>
          <w:rFonts w:eastAsia="Calibri Light"/>
        </w:rPr>
        <w:t xml:space="preserve"> will track our progress and measure evaluation maturity using </w:t>
      </w:r>
      <w:r w:rsidR="00743977">
        <w:rPr>
          <w:rFonts w:eastAsia="Calibri Light"/>
        </w:rPr>
        <w:t xml:space="preserve">a combination of </w:t>
      </w:r>
      <w:r w:rsidR="000545C0">
        <w:rPr>
          <w:rFonts w:eastAsia="Calibri Light"/>
        </w:rPr>
        <w:t>methods</w:t>
      </w:r>
      <w:r w:rsidR="00FA7668">
        <w:rPr>
          <w:rFonts w:eastAsia="Calibri Light"/>
        </w:rPr>
        <w:t>.</w:t>
      </w:r>
      <w:r w:rsidR="00A6536E">
        <w:rPr>
          <w:rFonts w:eastAsia="Calibri Light"/>
        </w:rPr>
        <w:t xml:space="preserve"> </w:t>
      </w:r>
    </w:p>
    <w:tbl>
      <w:tblPr>
        <w:tblW w:w="5157" w:type="pct"/>
        <w:tblLook w:val="01E0" w:firstRow="1" w:lastRow="1" w:firstColumn="1" w:lastColumn="1" w:noHBand="0" w:noVBand="0"/>
      </w:tblPr>
      <w:tblGrid>
        <w:gridCol w:w="2255"/>
        <w:gridCol w:w="1411"/>
        <w:gridCol w:w="2681"/>
        <w:gridCol w:w="2962"/>
      </w:tblGrid>
      <w:tr w:rsidR="00A530D6" w:rsidRPr="00725622" w14:paraId="4EC07254" w14:textId="77777777" w:rsidTr="00B02652">
        <w:trPr>
          <w:trHeight w:val="270"/>
          <w:tblHeader/>
        </w:trPr>
        <w:tc>
          <w:tcPr>
            <w:tcW w:w="1211" w:type="pct"/>
            <w:shd w:val="clear" w:color="auto" w:fill="E5E5E5"/>
          </w:tcPr>
          <w:p w14:paraId="265D6B6A" w14:textId="27EFDC69" w:rsidR="00A530D6" w:rsidRPr="00725622" w:rsidRDefault="00A530D6">
            <w:pPr>
              <w:pStyle w:val="TableTextLeft"/>
              <w:rPr>
                <w:b/>
                <w:bCs/>
              </w:rPr>
            </w:pPr>
            <w:r w:rsidRPr="00725622">
              <w:rPr>
                <w:b/>
                <w:bCs/>
              </w:rPr>
              <w:t>Priority Area</w:t>
            </w:r>
          </w:p>
        </w:tc>
        <w:tc>
          <w:tcPr>
            <w:tcW w:w="758" w:type="pct"/>
            <w:shd w:val="clear" w:color="auto" w:fill="E5E5E5"/>
          </w:tcPr>
          <w:p w14:paraId="68EE7FFF" w14:textId="63D1FE45" w:rsidR="00A530D6" w:rsidRPr="00725622" w:rsidRDefault="00A530D6">
            <w:pPr>
              <w:pStyle w:val="TableTextLeft"/>
              <w:rPr>
                <w:b/>
                <w:bCs/>
              </w:rPr>
            </w:pPr>
            <w:r w:rsidRPr="00725622">
              <w:rPr>
                <w:b/>
                <w:bCs/>
              </w:rPr>
              <w:t>Source</w:t>
            </w:r>
          </w:p>
        </w:tc>
        <w:tc>
          <w:tcPr>
            <w:tcW w:w="1440" w:type="pct"/>
            <w:shd w:val="clear" w:color="auto" w:fill="E5E5E5"/>
          </w:tcPr>
          <w:p w14:paraId="20B14636" w14:textId="4E517740" w:rsidR="00A530D6" w:rsidRPr="00725622" w:rsidRDefault="00A530D6">
            <w:pPr>
              <w:pStyle w:val="TableTextLeft"/>
              <w:rPr>
                <w:b/>
                <w:bCs/>
              </w:rPr>
            </w:pPr>
            <w:r w:rsidRPr="00725622">
              <w:rPr>
                <w:b/>
                <w:bCs/>
              </w:rPr>
              <w:t>Current baseline</w:t>
            </w:r>
          </w:p>
        </w:tc>
        <w:tc>
          <w:tcPr>
            <w:tcW w:w="1591" w:type="pct"/>
            <w:shd w:val="clear" w:color="auto" w:fill="E5E5E5"/>
          </w:tcPr>
          <w:p w14:paraId="4BDF40A9" w14:textId="0AA3FA0B" w:rsidR="00A530D6" w:rsidRPr="00725622" w:rsidRDefault="00A530D6">
            <w:pPr>
              <w:pStyle w:val="TableTextLeft"/>
              <w:rPr>
                <w:b/>
                <w:bCs/>
              </w:rPr>
            </w:pPr>
            <w:r w:rsidRPr="00725622">
              <w:rPr>
                <w:b/>
                <w:bCs/>
              </w:rPr>
              <w:t>Target</w:t>
            </w:r>
          </w:p>
        </w:tc>
      </w:tr>
      <w:tr w:rsidR="00FE377B" w14:paraId="4BAAEB44" w14:textId="77777777" w:rsidTr="63208399">
        <w:trPr>
          <w:trHeight w:val="270"/>
        </w:trPr>
        <w:tc>
          <w:tcPr>
            <w:tcW w:w="5000" w:type="pct"/>
            <w:gridSpan w:val="4"/>
            <w:shd w:val="clear" w:color="auto" w:fill="90B6F0" w:themeFill="accent5"/>
          </w:tcPr>
          <w:p w14:paraId="7F99D5C5" w14:textId="1F57B454" w:rsidR="00FE377B" w:rsidRDefault="00FE377B">
            <w:pPr>
              <w:pStyle w:val="TableTextLeft"/>
            </w:pPr>
            <w:r>
              <w:rPr>
                <w:b/>
                <w:bCs/>
              </w:rPr>
              <w:t>Evaluation Leadership and Promotion</w:t>
            </w:r>
          </w:p>
        </w:tc>
      </w:tr>
      <w:tr w:rsidR="00FE2780" w14:paraId="649E0DB6" w14:textId="77777777" w:rsidTr="00B02652">
        <w:trPr>
          <w:trHeight w:val="270"/>
        </w:trPr>
        <w:tc>
          <w:tcPr>
            <w:tcW w:w="1211" w:type="pct"/>
          </w:tcPr>
          <w:p w14:paraId="2FB8DE01" w14:textId="3D852FD0" w:rsidR="00FE2780" w:rsidRPr="000106DE" w:rsidRDefault="00FE2780" w:rsidP="009A2D1B">
            <w:pPr>
              <w:pStyle w:val="TableTextLeft"/>
            </w:pPr>
            <w:r>
              <w:t xml:space="preserve">Number </w:t>
            </w:r>
            <w:r w:rsidR="006B3E38">
              <w:t xml:space="preserve">and role </w:t>
            </w:r>
            <w:r>
              <w:t>of SES evaluation champions</w:t>
            </w:r>
          </w:p>
        </w:tc>
        <w:tc>
          <w:tcPr>
            <w:tcW w:w="758" w:type="pct"/>
          </w:tcPr>
          <w:p w14:paraId="6229A168" w14:textId="77777777" w:rsidR="00FE2780" w:rsidRDefault="00FE2780" w:rsidP="009A2D1B">
            <w:pPr>
              <w:pStyle w:val="TableTextLeft"/>
            </w:pPr>
            <w:r>
              <w:t>Tracking by ACE</w:t>
            </w:r>
          </w:p>
        </w:tc>
        <w:tc>
          <w:tcPr>
            <w:tcW w:w="1440" w:type="pct"/>
          </w:tcPr>
          <w:p w14:paraId="7221F2D6" w14:textId="275DAD09" w:rsidR="00FE2780" w:rsidRDefault="00941322" w:rsidP="009A2D1B">
            <w:pPr>
              <w:pStyle w:val="TableTextLeft"/>
            </w:pPr>
            <w:r>
              <w:t>T</w:t>
            </w:r>
            <w:r w:rsidR="00FE2780">
              <w:t>here are no identified SES evaluation champions</w:t>
            </w:r>
            <w:r w:rsidR="00D77B7C">
              <w:t>.</w:t>
            </w:r>
          </w:p>
        </w:tc>
        <w:tc>
          <w:tcPr>
            <w:tcW w:w="1591" w:type="pct"/>
          </w:tcPr>
          <w:p w14:paraId="3EA6FDA6" w14:textId="2DB58F7E" w:rsidR="00D77B7C" w:rsidRDefault="00FE2780" w:rsidP="009A2D1B">
            <w:pPr>
              <w:pStyle w:val="TableTextLeft"/>
            </w:pPr>
            <w:r>
              <w:t xml:space="preserve">An SES evaluation champion identified for each Group by </w:t>
            </w:r>
            <w:r w:rsidR="001E4FFB">
              <w:t>end</w:t>
            </w:r>
            <w:r w:rsidR="00D77B7C">
              <w:noBreakHyphen/>
            </w:r>
            <w:r w:rsidR="001E4FFB">
              <w:t>2025</w:t>
            </w:r>
            <w:r w:rsidR="00D77B7C">
              <w:t xml:space="preserve">. </w:t>
            </w:r>
          </w:p>
          <w:p w14:paraId="1B6DF6B4" w14:textId="05280870" w:rsidR="00FE2780" w:rsidRDefault="00D77B7C" w:rsidP="009A2D1B">
            <w:pPr>
              <w:pStyle w:val="TableTextLeft"/>
            </w:pPr>
            <w:r>
              <w:t>From 2026, c</w:t>
            </w:r>
            <w:r w:rsidR="006B3E38">
              <w:t xml:space="preserve">hampions </w:t>
            </w:r>
            <w:r>
              <w:t xml:space="preserve">engage regularly with their </w:t>
            </w:r>
            <w:r w:rsidR="006B3E38">
              <w:t>Group</w:t>
            </w:r>
            <w:r>
              <w:t xml:space="preserve"> to promote </w:t>
            </w:r>
            <w:r w:rsidR="006B3E38">
              <w:t>evaluation</w:t>
            </w:r>
            <w:r>
              <w:t>.</w:t>
            </w:r>
          </w:p>
        </w:tc>
      </w:tr>
      <w:tr w:rsidR="00FE377B" w14:paraId="78898B54" w14:textId="77777777" w:rsidTr="63208399">
        <w:trPr>
          <w:trHeight w:val="270"/>
        </w:trPr>
        <w:tc>
          <w:tcPr>
            <w:tcW w:w="5000" w:type="pct"/>
            <w:gridSpan w:val="4"/>
            <w:shd w:val="clear" w:color="auto" w:fill="90B6F0" w:themeFill="accent5"/>
          </w:tcPr>
          <w:p w14:paraId="0DB875BD" w14:textId="7C0E6E1C" w:rsidR="00FE377B" w:rsidRDefault="00FE377B" w:rsidP="00FE377B">
            <w:pPr>
              <w:pStyle w:val="TableTextLeft"/>
            </w:pPr>
            <w:r>
              <w:rPr>
                <w:b/>
                <w:bCs/>
              </w:rPr>
              <w:t>Fit</w:t>
            </w:r>
            <w:r w:rsidR="00E00D84">
              <w:rPr>
                <w:b/>
                <w:bCs/>
              </w:rPr>
              <w:t>-</w:t>
            </w:r>
            <w:r>
              <w:rPr>
                <w:b/>
                <w:bCs/>
              </w:rPr>
              <w:t>for</w:t>
            </w:r>
            <w:r w:rsidR="00E00D84">
              <w:rPr>
                <w:b/>
                <w:bCs/>
              </w:rPr>
              <w:t>-</w:t>
            </w:r>
            <w:r>
              <w:rPr>
                <w:b/>
                <w:bCs/>
              </w:rPr>
              <w:t>purpose evaluation delivery</w:t>
            </w:r>
          </w:p>
        </w:tc>
      </w:tr>
      <w:tr w:rsidR="00B2309C" w14:paraId="3016589D" w14:textId="77777777" w:rsidTr="00B02652">
        <w:trPr>
          <w:trHeight w:val="270"/>
        </w:trPr>
        <w:tc>
          <w:tcPr>
            <w:tcW w:w="1211" w:type="pct"/>
          </w:tcPr>
          <w:p w14:paraId="738C7286" w14:textId="06112C97" w:rsidR="00B2309C" w:rsidRPr="00AF2EEF" w:rsidRDefault="00B2309C" w:rsidP="009A2D1B">
            <w:pPr>
              <w:pStyle w:val="TableTextLeft"/>
            </w:pPr>
            <w:r>
              <w:t>Percentage of ‘Category 1’ Treasury programs that have a Monitoring, Evaluation and Learning (MEL) Plan in place</w:t>
            </w:r>
          </w:p>
          <w:p w14:paraId="6E127DD5" w14:textId="77777777" w:rsidR="00B2309C" w:rsidRPr="000106DE" w:rsidRDefault="00B2309C" w:rsidP="009A2D1B">
            <w:pPr>
              <w:pStyle w:val="TableTextLeft"/>
            </w:pPr>
          </w:p>
        </w:tc>
        <w:tc>
          <w:tcPr>
            <w:tcW w:w="758" w:type="pct"/>
          </w:tcPr>
          <w:p w14:paraId="567237A8" w14:textId="1EA8AA66" w:rsidR="00B2309C" w:rsidRDefault="00B2309C" w:rsidP="009A2D1B">
            <w:pPr>
              <w:pStyle w:val="TableTextLeft"/>
            </w:pPr>
            <w:r>
              <w:t xml:space="preserve">Program </w:t>
            </w:r>
            <w:r w:rsidR="00D77B7C">
              <w:t>R</w:t>
            </w:r>
            <w:r>
              <w:t>egister</w:t>
            </w:r>
          </w:p>
          <w:p w14:paraId="76CE1BCB" w14:textId="77777777" w:rsidR="00B2309C" w:rsidRDefault="00B2309C" w:rsidP="009A2D1B">
            <w:pPr>
              <w:pStyle w:val="TableTextLeft"/>
            </w:pPr>
            <w:r>
              <w:t>Evaluation Register</w:t>
            </w:r>
          </w:p>
          <w:p w14:paraId="5C0D2CEF" w14:textId="306374C9" w:rsidR="00B2309C" w:rsidRDefault="00B2309C" w:rsidP="009A2D1B">
            <w:pPr>
              <w:pStyle w:val="TableTextLeft"/>
            </w:pPr>
          </w:p>
        </w:tc>
        <w:tc>
          <w:tcPr>
            <w:tcW w:w="1440" w:type="pct"/>
          </w:tcPr>
          <w:p w14:paraId="0D9AE31E" w14:textId="505D26F7" w:rsidR="00B2309C" w:rsidRDefault="006B3E38" w:rsidP="009A2D1B">
            <w:pPr>
              <w:pStyle w:val="TableTextLeft"/>
            </w:pPr>
            <w:r>
              <w:t xml:space="preserve">Some programs may have MEL Plans but </w:t>
            </w:r>
            <w:r w:rsidR="00D77B7C">
              <w:t>there are not yet captured centrally. (</w:t>
            </w:r>
            <w:r w:rsidR="003B5BD3">
              <w:t>E</w:t>
            </w:r>
            <w:r w:rsidR="00D2770B">
              <w:t xml:space="preserve">valuation </w:t>
            </w:r>
            <w:r w:rsidR="003B5BD3">
              <w:t>R</w:t>
            </w:r>
            <w:r w:rsidR="00D2770B">
              <w:t xml:space="preserve">egister </w:t>
            </w:r>
            <w:r w:rsidR="00D77B7C">
              <w:t>is under construction and o</w:t>
            </w:r>
            <w:r>
              <w:t xml:space="preserve">pt-in </w:t>
            </w:r>
            <w:r w:rsidR="00D77B7C">
              <w:t>P</w:t>
            </w:r>
            <w:r>
              <w:t xml:space="preserve">rogram </w:t>
            </w:r>
            <w:r w:rsidR="00D77B7C">
              <w:t>R</w:t>
            </w:r>
            <w:r>
              <w:t>egister exists does not yet capture MEL Plans.)</w:t>
            </w:r>
          </w:p>
          <w:p w14:paraId="0A07A46F" w14:textId="77777777" w:rsidR="00B2309C" w:rsidRDefault="00B2309C" w:rsidP="009A2D1B">
            <w:pPr>
              <w:pStyle w:val="TableTextLeft"/>
            </w:pPr>
          </w:p>
        </w:tc>
        <w:tc>
          <w:tcPr>
            <w:tcW w:w="1591" w:type="pct"/>
          </w:tcPr>
          <w:p w14:paraId="623BED95" w14:textId="3C8659B6" w:rsidR="00B2309C" w:rsidRDefault="00B2309C" w:rsidP="009A2D1B">
            <w:pPr>
              <w:pStyle w:val="TableTextLeft"/>
            </w:pPr>
            <w:r>
              <w:t>80% of Category 1 programs have a</w:t>
            </w:r>
            <w:r w:rsidR="006B3E38">
              <w:t xml:space="preserve"> MEL Plan </w:t>
            </w:r>
            <w:r>
              <w:t>by 2028</w:t>
            </w:r>
            <w:r w:rsidR="00D77B7C">
              <w:t>.</w:t>
            </w:r>
          </w:p>
        </w:tc>
      </w:tr>
      <w:tr w:rsidR="00010E72" w14:paraId="2C469B60" w14:textId="77777777" w:rsidTr="00B02652">
        <w:trPr>
          <w:trHeight w:val="270"/>
        </w:trPr>
        <w:tc>
          <w:tcPr>
            <w:tcW w:w="1211" w:type="pct"/>
          </w:tcPr>
          <w:p w14:paraId="20498BC6" w14:textId="5BE84BAF" w:rsidR="00010E72" w:rsidRPr="000106DE" w:rsidRDefault="00010E72" w:rsidP="009A2D1B">
            <w:pPr>
              <w:pStyle w:val="TableTextLeft"/>
            </w:pPr>
            <w:r>
              <w:t xml:space="preserve">Percentage of programs that have been classified using the Evaluation Prioritisation </w:t>
            </w:r>
            <w:r w:rsidR="00A267D8">
              <w:t>Model</w:t>
            </w:r>
          </w:p>
        </w:tc>
        <w:tc>
          <w:tcPr>
            <w:tcW w:w="758" w:type="pct"/>
          </w:tcPr>
          <w:p w14:paraId="4083DBEF" w14:textId="3FBB1067" w:rsidR="00010E72" w:rsidRDefault="00010E72" w:rsidP="009A2D1B">
            <w:pPr>
              <w:pStyle w:val="TableTextLeft"/>
            </w:pPr>
            <w:r>
              <w:t xml:space="preserve">Evaluation </w:t>
            </w:r>
            <w:r w:rsidR="003B5BD3">
              <w:t>R</w:t>
            </w:r>
            <w:r>
              <w:t>egister</w:t>
            </w:r>
          </w:p>
        </w:tc>
        <w:tc>
          <w:tcPr>
            <w:tcW w:w="1440" w:type="pct"/>
          </w:tcPr>
          <w:p w14:paraId="1D9931B9" w14:textId="7D18A5A4" w:rsidR="00010E72" w:rsidRDefault="00802065" w:rsidP="009A2D1B">
            <w:pPr>
              <w:pStyle w:val="TableTextLeft"/>
            </w:pPr>
            <w:r>
              <w:t>Evaluation Prioritisation Model</w:t>
            </w:r>
            <w:r w:rsidR="00010E72">
              <w:t xml:space="preserve"> not </w:t>
            </w:r>
            <w:r w:rsidR="006B3E38">
              <w:t xml:space="preserve">yet </w:t>
            </w:r>
            <w:r w:rsidR="00010E72">
              <w:t>in place</w:t>
            </w:r>
            <w:r w:rsidR="00D77B7C">
              <w:t>.</w:t>
            </w:r>
          </w:p>
          <w:p w14:paraId="19154E24" w14:textId="35977798" w:rsidR="00010E72" w:rsidRDefault="00010E72" w:rsidP="009A2D1B">
            <w:pPr>
              <w:pStyle w:val="TableTextLeft"/>
            </w:pPr>
            <w:r>
              <w:t>Programs undertake evaluation activities based on external requirements</w:t>
            </w:r>
            <w:r w:rsidR="00D77B7C">
              <w:t>.</w:t>
            </w:r>
          </w:p>
        </w:tc>
        <w:tc>
          <w:tcPr>
            <w:tcW w:w="1591" w:type="pct"/>
          </w:tcPr>
          <w:p w14:paraId="61637CF0" w14:textId="6FA58904" w:rsidR="00010E72" w:rsidRDefault="00010E72" w:rsidP="009A2D1B">
            <w:pPr>
              <w:pStyle w:val="TableTextLeft"/>
            </w:pPr>
            <w:r>
              <w:t xml:space="preserve">Evaluation Prioritisation </w:t>
            </w:r>
            <w:r w:rsidR="00D778D1">
              <w:t>Model</w:t>
            </w:r>
            <w:r>
              <w:t xml:space="preserve"> implemented</w:t>
            </w:r>
            <w:r w:rsidR="00D778D1">
              <w:t xml:space="preserve"> </w:t>
            </w:r>
            <w:r w:rsidR="00044E7B">
              <w:t xml:space="preserve">over a </w:t>
            </w:r>
            <w:r w:rsidR="006B3E38">
              <w:t>3</w:t>
            </w:r>
            <w:r w:rsidR="006B3E38">
              <w:noBreakHyphen/>
            </w:r>
            <w:r w:rsidR="00BF0BCB">
              <w:t>year</w:t>
            </w:r>
            <w:r w:rsidR="00044E7B">
              <w:t xml:space="preserve"> period </w:t>
            </w:r>
            <w:r w:rsidR="00802065">
              <w:t xml:space="preserve">starting </w:t>
            </w:r>
            <w:r w:rsidR="00D778D1">
              <w:t>from</w:t>
            </w:r>
            <w:r>
              <w:t xml:space="preserve"> 2025-26</w:t>
            </w:r>
            <w:r w:rsidR="00D77B7C">
              <w:t>.</w:t>
            </w:r>
          </w:p>
          <w:p w14:paraId="40BCF66D" w14:textId="0ED3D52B" w:rsidR="00010E72" w:rsidRDefault="00AA6E97" w:rsidP="009A2D1B">
            <w:pPr>
              <w:pStyle w:val="TableTextLeft"/>
            </w:pPr>
            <w:r>
              <w:t xml:space="preserve">All </w:t>
            </w:r>
            <w:r w:rsidR="00BF0BCB">
              <w:t>new or significantly amended</w:t>
            </w:r>
            <w:r w:rsidR="00010E72">
              <w:t xml:space="preserve"> programs </w:t>
            </w:r>
            <w:r w:rsidR="00DF5191">
              <w:t>and</w:t>
            </w:r>
            <w:r w:rsidR="00010E72">
              <w:t xml:space="preserve"> policies classified according to the Evaluation Prioritisation </w:t>
            </w:r>
            <w:r w:rsidR="00D778D1">
              <w:t>Model</w:t>
            </w:r>
            <w:r w:rsidR="00010E72">
              <w:t xml:space="preserve"> by 202</w:t>
            </w:r>
            <w:r w:rsidR="00E04C72">
              <w:t>8</w:t>
            </w:r>
            <w:r w:rsidR="00D77B7C">
              <w:t>.</w:t>
            </w:r>
          </w:p>
        </w:tc>
      </w:tr>
      <w:tr w:rsidR="00FE377B" w14:paraId="4EC88AE7" w14:textId="77777777" w:rsidTr="63208399">
        <w:trPr>
          <w:trHeight w:val="270"/>
        </w:trPr>
        <w:tc>
          <w:tcPr>
            <w:tcW w:w="5000" w:type="pct"/>
            <w:gridSpan w:val="4"/>
            <w:shd w:val="clear" w:color="auto" w:fill="90B6F0" w:themeFill="accent5"/>
          </w:tcPr>
          <w:p w14:paraId="2EF6D7FB" w14:textId="68314742" w:rsidR="00FE377B" w:rsidRDefault="00FE377B" w:rsidP="003041C3">
            <w:pPr>
              <w:pStyle w:val="TableTextLeft"/>
            </w:pPr>
            <w:r>
              <w:rPr>
                <w:b/>
                <w:bCs/>
              </w:rPr>
              <w:t xml:space="preserve">Evaluation </w:t>
            </w:r>
            <w:r w:rsidR="009C5643">
              <w:rPr>
                <w:b/>
                <w:bCs/>
              </w:rPr>
              <w:t>u</w:t>
            </w:r>
            <w:r>
              <w:rPr>
                <w:b/>
                <w:bCs/>
              </w:rPr>
              <w:t>se</w:t>
            </w:r>
            <w:r w:rsidR="009C5643">
              <w:rPr>
                <w:b/>
                <w:bCs/>
              </w:rPr>
              <w:t xml:space="preserve"> and continuous learning</w:t>
            </w:r>
            <w:r w:rsidRPr="0042569D">
              <w:rPr>
                <w:b/>
                <w:bCs/>
              </w:rPr>
              <w:t xml:space="preserve"> </w:t>
            </w:r>
          </w:p>
        </w:tc>
      </w:tr>
      <w:tr w:rsidR="00C0590C" w14:paraId="32E9FCBA" w14:textId="77777777" w:rsidTr="00B02652">
        <w:trPr>
          <w:trHeight w:val="270"/>
        </w:trPr>
        <w:tc>
          <w:tcPr>
            <w:tcW w:w="1211" w:type="pct"/>
          </w:tcPr>
          <w:p w14:paraId="60B2BEF9" w14:textId="77777777" w:rsidR="00C0590C" w:rsidRPr="000106DE" w:rsidRDefault="00C0590C" w:rsidP="009A2D1B">
            <w:pPr>
              <w:pStyle w:val="TableTextLeft"/>
            </w:pPr>
            <w:r>
              <w:t>Number of evaluations on the Treasury Evaluation Register</w:t>
            </w:r>
          </w:p>
        </w:tc>
        <w:tc>
          <w:tcPr>
            <w:tcW w:w="758" w:type="pct"/>
          </w:tcPr>
          <w:p w14:paraId="44554979" w14:textId="06711644" w:rsidR="00C0590C" w:rsidRDefault="00C0590C" w:rsidP="009A2D1B">
            <w:pPr>
              <w:pStyle w:val="TableTextLeft"/>
            </w:pPr>
            <w:r>
              <w:t xml:space="preserve">Evaluation </w:t>
            </w:r>
            <w:r w:rsidR="00E00D84">
              <w:t>R</w:t>
            </w:r>
            <w:r>
              <w:t>egister</w:t>
            </w:r>
          </w:p>
        </w:tc>
        <w:tc>
          <w:tcPr>
            <w:tcW w:w="1440" w:type="pct"/>
          </w:tcPr>
          <w:p w14:paraId="16F079D5" w14:textId="73FAF1BC" w:rsidR="00C0590C" w:rsidRDefault="00C0590C" w:rsidP="009A2D1B">
            <w:pPr>
              <w:pStyle w:val="TableTextLeft"/>
            </w:pPr>
            <w:r>
              <w:t>Construction of a Treasury Evaluation Register has commenced</w:t>
            </w:r>
            <w:r w:rsidR="00D77B7C">
              <w:t>.</w:t>
            </w:r>
          </w:p>
        </w:tc>
        <w:tc>
          <w:tcPr>
            <w:tcW w:w="1591" w:type="pct"/>
          </w:tcPr>
          <w:p w14:paraId="227E8FD0" w14:textId="1AD904E2" w:rsidR="00C0590C" w:rsidRDefault="00E00D84" w:rsidP="009A2D1B">
            <w:pPr>
              <w:pStyle w:val="TableTextLeft"/>
            </w:pPr>
            <w:r>
              <w:t xml:space="preserve">Evaluation </w:t>
            </w:r>
            <w:r w:rsidR="00C0590C">
              <w:t>Register and forward work program operational from 2026</w:t>
            </w:r>
          </w:p>
          <w:p w14:paraId="6C5FD136" w14:textId="6D78BDC8" w:rsidR="00C0590C" w:rsidRDefault="00C0590C" w:rsidP="009A2D1B">
            <w:pPr>
              <w:pStyle w:val="TableTextLeft"/>
            </w:pPr>
            <w:r>
              <w:t xml:space="preserve">Program </w:t>
            </w:r>
            <w:r w:rsidR="00D77B7C">
              <w:t>R</w:t>
            </w:r>
            <w:r>
              <w:t xml:space="preserve">egister and Evaluation </w:t>
            </w:r>
            <w:r w:rsidR="00E00D84">
              <w:t>R</w:t>
            </w:r>
            <w:r>
              <w:t>egister closely aligned</w:t>
            </w:r>
            <w:r w:rsidR="00D77B7C">
              <w:t>.</w:t>
            </w:r>
          </w:p>
        </w:tc>
      </w:tr>
      <w:tr w:rsidR="00C0590C" w14:paraId="03539418" w14:textId="77777777" w:rsidTr="00B02652">
        <w:trPr>
          <w:trHeight w:val="270"/>
        </w:trPr>
        <w:tc>
          <w:tcPr>
            <w:tcW w:w="1211" w:type="pct"/>
          </w:tcPr>
          <w:p w14:paraId="03A0E1E7" w14:textId="77777777" w:rsidR="00C0590C" w:rsidRPr="000106DE" w:rsidRDefault="00C0590C" w:rsidP="009A2D1B">
            <w:pPr>
              <w:pStyle w:val="TableTextLeft"/>
            </w:pPr>
            <w:r>
              <w:t xml:space="preserve">Treasury policies, programs and regulations are </w:t>
            </w:r>
            <w:r w:rsidRPr="00843E39">
              <w:t>undertaking fit-for-purpose monitoring and evaluation</w:t>
            </w:r>
          </w:p>
        </w:tc>
        <w:tc>
          <w:tcPr>
            <w:tcW w:w="758" w:type="pct"/>
          </w:tcPr>
          <w:p w14:paraId="4E07118A" w14:textId="4B849011" w:rsidR="00C0590C" w:rsidRDefault="00C0590C" w:rsidP="009A2D1B">
            <w:pPr>
              <w:pStyle w:val="TableTextLeft"/>
            </w:pPr>
            <w:r>
              <w:t xml:space="preserve">Evaluation </w:t>
            </w:r>
            <w:r w:rsidR="00E00D84">
              <w:t>R</w:t>
            </w:r>
            <w:r>
              <w:t>egister</w:t>
            </w:r>
          </w:p>
        </w:tc>
        <w:tc>
          <w:tcPr>
            <w:tcW w:w="1440" w:type="pct"/>
          </w:tcPr>
          <w:p w14:paraId="0038C4F0" w14:textId="13E176BB" w:rsidR="00C0590C" w:rsidRDefault="00C0590C" w:rsidP="009A2D1B">
            <w:pPr>
              <w:pStyle w:val="TableTextLeft"/>
            </w:pPr>
            <w:r>
              <w:t>10 evaluations or reviews were published in the past 2 years (2023-24 and 2024-25), excluding evaluations undertaken by the ACE for other agencies. Several more are in various stages of planning or delivery</w:t>
            </w:r>
            <w:r w:rsidR="00D77B7C">
              <w:t>.</w:t>
            </w:r>
          </w:p>
        </w:tc>
        <w:tc>
          <w:tcPr>
            <w:tcW w:w="1591" w:type="pct"/>
          </w:tcPr>
          <w:p w14:paraId="1CE7CA96" w14:textId="5CB09477" w:rsidR="00C0590C" w:rsidRDefault="00BF0BCB" w:rsidP="009A2D1B">
            <w:pPr>
              <w:pStyle w:val="TableTextLeft"/>
            </w:pPr>
            <w:r>
              <w:t>All</w:t>
            </w:r>
            <w:r w:rsidR="00C0590C">
              <w:t xml:space="preserve"> programs </w:t>
            </w:r>
            <w:r>
              <w:t xml:space="preserve">and policies </w:t>
            </w:r>
            <w:r w:rsidR="00C0590C">
              <w:t xml:space="preserve">classified according to the Evaluation Prioritisation </w:t>
            </w:r>
            <w:r w:rsidR="00281A72">
              <w:t>Model</w:t>
            </w:r>
            <w:r w:rsidR="00C0590C">
              <w:t xml:space="preserve"> </w:t>
            </w:r>
            <w:r>
              <w:t xml:space="preserve">by 2029 have </w:t>
            </w:r>
            <w:r>
              <w:br/>
              <w:t xml:space="preserve">fit-for-purpose monitoring and evaluation plans or frameworks. </w:t>
            </w:r>
          </w:p>
        </w:tc>
      </w:tr>
      <w:tr w:rsidR="00FE377B" w14:paraId="23B6FD5B" w14:textId="77777777" w:rsidTr="63208399">
        <w:trPr>
          <w:trHeight w:val="270"/>
        </w:trPr>
        <w:tc>
          <w:tcPr>
            <w:tcW w:w="5000" w:type="pct"/>
            <w:gridSpan w:val="4"/>
            <w:shd w:val="clear" w:color="auto" w:fill="90B6F0" w:themeFill="accent5"/>
          </w:tcPr>
          <w:p w14:paraId="2618E286" w14:textId="18347CAA" w:rsidR="00FE377B" w:rsidRPr="00B74D5C" w:rsidRDefault="00FE377B" w:rsidP="003041C3">
            <w:pPr>
              <w:pStyle w:val="TableTextLeft"/>
              <w:rPr>
                <w:b/>
                <w:bCs/>
              </w:rPr>
            </w:pPr>
            <w:r w:rsidRPr="00B74D5C">
              <w:rPr>
                <w:b/>
                <w:bCs/>
              </w:rPr>
              <w:t>Evaluation capability building and culture</w:t>
            </w:r>
          </w:p>
        </w:tc>
      </w:tr>
      <w:tr w:rsidR="00010E72" w14:paraId="59F35BDB" w14:textId="77777777" w:rsidTr="00B02652">
        <w:trPr>
          <w:trHeight w:val="270"/>
        </w:trPr>
        <w:tc>
          <w:tcPr>
            <w:tcW w:w="1211" w:type="pct"/>
          </w:tcPr>
          <w:p w14:paraId="607A2269" w14:textId="5B01DFA6" w:rsidR="00010E72" w:rsidRPr="000106DE" w:rsidRDefault="00010E72" w:rsidP="009A2D1B">
            <w:pPr>
              <w:pStyle w:val="TableTextLeft"/>
            </w:pPr>
            <w:r w:rsidRPr="00B612BB">
              <w:t xml:space="preserve">Percentage of staff who know where to go to get assistance within Treasury for </w:t>
            </w:r>
            <w:r>
              <w:t>evaluation</w:t>
            </w:r>
            <w:r w:rsidR="19831BE6">
              <w:t xml:space="preserve"> </w:t>
            </w:r>
            <w:r>
              <w:noBreakHyphen/>
            </w:r>
            <w:r w:rsidRPr="00B612BB">
              <w:t xml:space="preserve">related </w:t>
            </w:r>
            <w:r>
              <w:t>issues</w:t>
            </w:r>
          </w:p>
        </w:tc>
        <w:tc>
          <w:tcPr>
            <w:tcW w:w="758" w:type="pct"/>
          </w:tcPr>
          <w:p w14:paraId="488701D1" w14:textId="569A93A6" w:rsidR="00010E72" w:rsidRDefault="009E4EEE" w:rsidP="009A2D1B">
            <w:pPr>
              <w:pStyle w:val="TableTextLeft"/>
            </w:pPr>
            <w:r>
              <w:t>State of Evaluation Survey</w:t>
            </w:r>
          </w:p>
        </w:tc>
        <w:tc>
          <w:tcPr>
            <w:tcW w:w="1440" w:type="pct"/>
          </w:tcPr>
          <w:p w14:paraId="7E5D8970" w14:textId="1EA9A702" w:rsidR="00010E72" w:rsidRDefault="00010E72" w:rsidP="009A2D1B">
            <w:pPr>
              <w:pStyle w:val="TableTextLeft"/>
            </w:pPr>
            <w:r>
              <w:t>2024 State of Evaluation survey indicated that there is a general lack of awareness of where to find resources</w:t>
            </w:r>
            <w:r w:rsidR="00D77B7C">
              <w:t>.</w:t>
            </w:r>
          </w:p>
        </w:tc>
        <w:tc>
          <w:tcPr>
            <w:tcW w:w="1591" w:type="pct"/>
          </w:tcPr>
          <w:p w14:paraId="656E77B6" w14:textId="1093DF12" w:rsidR="007D7FFA" w:rsidRDefault="008B4885" w:rsidP="009A2D1B">
            <w:pPr>
              <w:pStyle w:val="TableTextLeft"/>
            </w:pPr>
            <w:r>
              <w:t>Commonwealth Evaluation Maturity Model will be used to establish baseline maturity in 2025-26 and promote evaluation resources, with targets set thereafter.</w:t>
            </w:r>
          </w:p>
        </w:tc>
      </w:tr>
    </w:tbl>
    <w:p w14:paraId="6C4E8FB8" w14:textId="19B83375" w:rsidR="00AA13DF" w:rsidRDefault="00AA13DF" w:rsidP="005E102C">
      <w:pPr>
        <w:pStyle w:val="Bullet"/>
        <w:numPr>
          <w:ilvl w:val="0"/>
          <w:numId w:val="0"/>
        </w:numPr>
        <w:rPr>
          <w:rFonts w:eastAsia="Calibri Light"/>
        </w:rPr>
      </w:pPr>
    </w:p>
    <w:p w14:paraId="4A9AC47A" w14:textId="77777777" w:rsidR="00AA13DF" w:rsidRDefault="00AA13DF">
      <w:pPr>
        <w:spacing w:before="0" w:after="160" w:line="259" w:lineRule="auto"/>
        <w:rPr>
          <w:rFonts w:eastAsia="Calibri Light"/>
        </w:rPr>
      </w:pPr>
      <w:r>
        <w:rPr>
          <w:rFonts w:eastAsia="Calibri Light"/>
        </w:rPr>
        <w:br w:type="page"/>
      </w:r>
    </w:p>
    <w:p w14:paraId="5E8BF192" w14:textId="77777777" w:rsidR="00B1002D" w:rsidRDefault="00B1002D" w:rsidP="005E102C">
      <w:pPr>
        <w:pStyle w:val="Bullet"/>
        <w:numPr>
          <w:ilvl w:val="0"/>
          <w:numId w:val="0"/>
        </w:numPr>
        <w:rPr>
          <w:rFonts w:eastAsia="Calibri Light"/>
        </w:rPr>
        <w:sectPr w:rsidR="00B1002D" w:rsidSect="005504D2">
          <w:headerReference w:type="default" r:id="rId25"/>
          <w:pgSz w:w="11906" w:h="16838" w:code="9"/>
          <w:pgMar w:top="1440" w:right="1440" w:bottom="1440" w:left="1440" w:header="709" w:footer="709" w:gutter="0"/>
          <w:cols w:space="708"/>
          <w:docGrid w:linePitch="360"/>
        </w:sectPr>
      </w:pPr>
    </w:p>
    <w:p w14:paraId="0878B4AE" w14:textId="14442FAE" w:rsidR="0028557E" w:rsidRDefault="00243E88" w:rsidP="00C11011">
      <w:pPr>
        <w:pStyle w:val="Heading1"/>
        <w:rPr>
          <w:rFonts w:eastAsia="Calibri Light"/>
        </w:rPr>
      </w:pPr>
      <w:bookmarkStart w:id="47" w:name="_Toc208932164"/>
      <w:bookmarkStart w:id="48" w:name="_Toc208932675"/>
      <w:r>
        <w:rPr>
          <w:rFonts w:eastAsia="Calibri Light"/>
        </w:rPr>
        <w:lastRenderedPageBreak/>
        <w:t>Actions and responsibilities</w:t>
      </w:r>
      <w:bookmarkStart w:id="49" w:name="_Hlk203550579"/>
      <w:bookmarkEnd w:id="47"/>
      <w:bookmarkEnd w:id="48"/>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9923"/>
        <w:gridCol w:w="3655"/>
      </w:tblGrid>
      <w:tr w:rsidR="00C05AAC" w14:paraId="6B5C7DD7" w14:textId="77777777" w:rsidTr="00B02652">
        <w:trPr>
          <w:cnfStyle w:val="100000000000" w:firstRow="1" w:lastRow="0" w:firstColumn="0" w:lastColumn="0" w:oddVBand="0" w:evenVBand="0" w:oddHBand="0" w:evenHBand="0" w:firstRowFirstColumn="0" w:firstRowLastColumn="0" w:lastRowFirstColumn="0" w:lastRowLastColumn="0"/>
        </w:trPr>
        <w:tc>
          <w:tcPr>
            <w:tcW w:w="9923" w:type="dxa"/>
          </w:tcPr>
          <w:p w14:paraId="574F07B0" w14:textId="00118CAF" w:rsidR="00C05AAC" w:rsidRDefault="00C05AAC" w:rsidP="008738DD">
            <w:pPr>
              <w:spacing w:before="0" w:after="0"/>
              <w:rPr>
                <w:rFonts w:eastAsia="Calibri Light"/>
              </w:rPr>
            </w:pPr>
            <w:r>
              <w:rPr>
                <w:rFonts w:eastAsia="Calibri Light"/>
              </w:rPr>
              <w:t>Action</w:t>
            </w:r>
          </w:p>
        </w:tc>
        <w:tc>
          <w:tcPr>
            <w:tcW w:w="3655" w:type="dxa"/>
          </w:tcPr>
          <w:p w14:paraId="0DE6D3EA" w14:textId="5E6BE15A" w:rsidR="00C05AAC" w:rsidRDefault="003B5BD3" w:rsidP="008738DD">
            <w:pPr>
              <w:spacing w:before="0" w:after="0"/>
              <w:rPr>
                <w:rFonts w:eastAsia="Calibri Light"/>
              </w:rPr>
            </w:pPr>
            <w:r>
              <w:rPr>
                <w:rFonts w:eastAsia="Calibri Light"/>
              </w:rPr>
              <w:t>Responsibility</w:t>
            </w:r>
          </w:p>
        </w:tc>
      </w:tr>
      <w:tr w:rsidR="00C05AAC" w14:paraId="3233D692" w14:textId="77777777" w:rsidTr="00B02652">
        <w:tc>
          <w:tcPr>
            <w:tcW w:w="9923" w:type="dxa"/>
          </w:tcPr>
          <w:p w14:paraId="56548608" w14:textId="250CC457" w:rsidR="008E1758" w:rsidRPr="00CC6B8A" w:rsidRDefault="0044575C" w:rsidP="007E5B35">
            <w:pPr>
              <w:pStyle w:val="ListParagraph"/>
              <w:numPr>
                <w:ilvl w:val="1"/>
                <w:numId w:val="17"/>
              </w:numPr>
              <w:spacing w:before="0" w:after="0" w:line="276" w:lineRule="auto"/>
              <w:rPr>
                <w:rFonts w:eastAsia="Calibri Light" w:cs="Calibri Light"/>
                <w:szCs w:val="18"/>
              </w:rPr>
            </w:pPr>
            <w:r w:rsidRPr="00CC6B8A">
              <w:rPr>
                <w:rFonts w:eastAsia="Calibri Light" w:cs="Calibri Light"/>
                <w:b/>
                <w:bCs/>
                <w:szCs w:val="18"/>
              </w:rPr>
              <w:t>Define and p</w:t>
            </w:r>
            <w:r w:rsidR="008E1758" w:rsidRPr="00CC6B8A">
              <w:rPr>
                <w:rFonts w:eastAsia="Calibri Light" w:cs="Calibri Light"/>
                <w:b/>
                <w:bCs/>
                <w:szCs w:val="18"/>
              </w:rPr>
              <w:t>romote</w:t>
            </w:r>
            <w:r w:rsidR="008E1758" w:rsidRPr="00CC6B8A">
              <w:rPr>
                <w:rFonts w:eastAsia="Calibri Light" w:cs="Calibri Light"/>
                <w:szCs w:val="18"/>
              </w:rPr>
              <w:t xml:space="preserve"> </w:t>
            </w:r>
            <w:r w:rsidR="008E1758" w:rsidRPr="00CC6B8A">
              <w:rPr>
                <w:rFonts w:eastAsia="Calibri Light" w:cs="Calibri Light"/>
                <w:b/>
                <w:bCs/>
                <w:szCs w:val="18"/>
              </w:rPr>
              <w:t>clear roles and responsibilities for evaluation in Treasury</w:t>
            </w:r>
            <w:r w:rsidR="008E1758" w:rsidRPr="00CC6B8A">
              <w:rPr>
                <w:rFonts w:eastAsia="Calibri Light" w:cs="Calibri Light"/>
                <w:szCs w:val="18"/>
              </w:rPr>
              <w:t>, including the role of SES evaluation champions, line managers, relevant governance bodies, all staff, and Macroeconomic Analysis and Policy Division (MAPD) and the ACE’s oversight role in relation to the Strategy’s adoption</w:t>
            </w:r>
          </w:p>
        </w:tc>
        <w:tc>
          <w:tcPr>
            <w:tcW w:w="3655" w:type="dxa"/>
          </w:tcPr>
          <w:p w14:paraId="03A6D486" w14:textId="118B88E4" w:rsidR="00C05AAC" w:rsidRDefault="00C05AAC" w:rsidP="002B387C">
            <w:pPr>
              <w:spacing w:before="0" w:after="0"/>
              <w:contextualSpacing/>
              <w:rPr>
                <w:rFonts w:eastAsia="Calibri Light"/>
              </w:rPr>
            </w:pPr>
            <w:r>
              <w:rPr>
                <w:rFonts w:eastAsia="Calibri Light"/>
              </w:rPr>
              <w:t>MAPD</w:t>
            </w:r>
            <w:r w:rsidR="00EB317C">
              <w:rPr>
                <w:rFonts w:eastAsia="Calibri Light"/>
              </w:rPr>
              <w:t xml:space="preserve"> will promote roles and responsibilities, with Treasury Divisions and Groups responsible for activities within their line areas</w:t>
            </w:r>
          </w:p>
        </w:tc>
      </w:tr>
      <w:tr w:rsidR="00C05AAC" w14:paraId="38170491" w14:textId="77777777" w:rsidTr="00B02652">
        <w:tc>
          <w:tcPr>
            <w:tcW w:w="9923" w:type="dxa"/>
          </w:tcPr>
          <w:p w14:paraId="09BB7A3B" w14:textId="024AA2E5" w:rsidR="00C05AAC" w:rsidRPr="00CC6B8A" w:rsidRDefault="00C05AAC" w:rsidP="007E5B35">
            <w:pPr>
              <w:pStyle w:val="ListParagraph"/>
              <w:numPr>
                <w:ilvl w:val="1"/>
                <w:numId w:val="17"/>
              </w:numPr>
              <w:spacing w:before="0" w:after="0" w:line="276" w:lineRule="auto"/>
              <w:rPr>
                <w:rFonts w:eastAsia="Calibri Light" w:cs="Calibri Light"/>
                <w:szCs w:val="18"/>
              </w:rPr>
            </w:pPr>
            <w:r w:rsidRPr="00CC6B8A">
              <w:rPr>
                <w:rFonts w:eastAsia="Calibri Light" w:cs="Calibri Light"/>
                <w:b/>
                <w:bCs/>
                <w:szCs w:val="18"/>
              </w:rPr>
              <w:t xml:space="preserve">Further embed evaluation into </w:t>
            </w:r>
            <w:r w:rsidR="0056446F">
              <w:rPr>
                <w:rFonts w:eastAsia="Calibri Light" w:cs="Calibri Light"/>
                <w:b/>
                <w:bCs/>
                <w:szCs w:val="18"/>
              </w:rPr>
              <w:t xml:space="preserve">planning, </w:t>
            </w:r>
            <w:r w:rsidRPr="00CC6B8A">
              <w:rPr>
                <w:rFonts w:eastAsia="Calibri Light" w:cs="Calibri Light"/>
                <w:b/>
                <w:bCs/>
                <w:szCs w:val="18"/>
              </w:rPr>
              <w:t>policy and decision-making processes</w:t>
            </w:r>
            <w:r w:rsidRPr="00CC6B8A">
              <w:rPr>
                <w:rFonts w:eastAsia="Calibri Light" w:cs="Calibri Light"/>
                <w:szCs w:val="18"/>
              </w:rPr>
              <w:t xml:space="preserve">, </w:t>
            </w:r>
            <w:r w:rsidR="00C43D15" w:rsidRPr="00CC6B8A">
              <w:rPr>
                <w:rFonts w:eastAsia="Calibri Light" w:cs="Calibri Light"/>
                <w:szCs w:val="18"/>
              </w:rPr>
              <w:t>with</w:t>
            </w:r>
            <w:r w:rsidR="00787E9C" w:rsidRPr="00CC6B8A">
              <w:rPr>
                <w:rFonts w:eastAsia="Calibri Light" w:cs="Calibri Light"/>
                <w:szCs w:val="18"/>
              </w:rPr>
              <w:t xml:space="preserve"> an initial focus on integrating the </w:t>
            </w:r>
            <w:r w:rsidR="0030349A">
              <w:rPr>
                <w:rFonts w:eastAsia="Calibri Light" w:cs="Calibri Light"/>
                <w:szCs w:val="18"/>
              </w:rPr>
              <w:t xml:space="preserve">ACE’s </w:t>
            </w:r>
            <w:r w:rsidR="00787E9C" w:rsidRPr="00CC6B8A">
              <w:rPr>
                <w:rFonts w:eastAsia="Calibri Light" w:cs="Calibri Light"/>
                <w:szCs w:val="18"/>
              </w:rPr>
              <w:t>work into Treasury’s corporate planning process</w:t>
            </w:r>
            <w:r w:rsidR="002D5F95">
              <w:rPr>
                <w:rFonts w:eastAsia="Calibri Light" w:cs="Calibri Light"/>
                <w:szCs w:val="18"/>
              </w:rPr>
              <w:t>,</w:t>
            </w:r>
            <w:r w:rsidR="00787E9C" w:rsidRPr="00CC6B8A">
              <w:rPr>
                <w:rFonts w:eastAsia="Calibri Light" w:cs="Calibri Light"/>
                <w:szCs w:val="18"/>
              </w:rPr>
              <w:t xml:space="preserve"> and exploring opportunities to incorporate evaluation into divisional planning </w:t>
            </w:r>
            <w:r w:rsidR="00787E9C" w:rsidRPr="0030349A">
              <w:rPr>
                <w:rFonts w:eastAsia="Calibri Light" w:cs="Calibri Light"/>
                <w:szCs w:val="18"/>
              </w:rPr>
              <w:t>processes</w:t>
            </w:r>
            <w:r w:rsidR="00787E9C" w:rsidRPr="00CC6B8A">
              <w:rPr>
                <w:rFonts w:eastAsia="Calibri Light" w:cs="Calibri Light"/>
                <w:szCs w:val="18"/>
              </w:rPr>
              <w:t xml:space="preserve">.  </w:t>
            </w:r>
          </w:p>
        </w:tc>
        <w:tc>
          <w:tcPr>
            <w:tcW w:w="3655" w:type="dxa"/>
          </w:tcPr>
          <w:p w14:paraId="784CDF14" w14:textId="7A0C0392" w:rsidR="00C05AAC" w:rsidRDefault="0035033C" w:rsidP="002B387C">
            <w:pPr>
              <w:spacing w:before="0" w:after="0"/>
              <w:contextualSpacing/>
              <w:rPr>
                <w:rFonts w:eastAsia="Calibri Light"/>
              </w:rPr>
            </w:pPr>
            <w:r>
              <w:rPr>
                <w:rFonts w:eastAsia="Calibri Light"/>
              </w:rPr>
              <w:t>MAPD, Corporate Division and relevant line areas</w:t>
            </w:r>
          </w:p>
        </w:tc>
      </w:tr>
      <w:tr w:rsidR="00C05AAC" w14:paraId="5C153783" w14:textId="77777777" w:rsidTr="008E1758">
        <w:trPr>
          <w:trHeight w:val="807"/>
        </w:trPr>
        <w:tc>
          <w:tcPr>
            <w:tcW w:w="9923" w:type="dxa"/>
          </w:tcPr>
          <w:p w14:paraId="661703B8" w14:textId="628AD9AE" w:rsidR="00C05AAC" w:rsidRPr="00CC6B8A" w:rsidRDefault="00C05AAC" w:rsidP="007E5B35">
            <w:pPr>
              <w:pStyle w:val="ListParagraph"/>
              <w:numPr>
                <w:ilvl w:val="1"/>
                <w:numId w:val="17"/>
              </w:numPr>
              <w:spacing w:before="0" w:after="0" w:line="276" w:lineRule="auto"/>
              <w:rPr>
                <w:rFonts w:eastAsia="Calibri Light" w:cs="Calibri Light"/>
                <w:szCs w:val="18"/>
              </w:rPr>
            </w:pPr>
            <w:r w:rsidRPr="00CC6B8A">
              <w:rPr>
                <w:rFonts w:eastAsia="Calibri Light" w:cs="Calibri Light"/>
                <w:b/>
                <w:bCs/>
                <w:szCs w:val="18"/>
              </w:rPr>
              <w:t xml:space="preserve">Report to the Performance and Risk Committee on evaluation activities and findings, </w:t>
            </w:r>
            <w:r w:rsidR="0056446F">
              <w:rPr>
                <w:rFonts w:eastAsia="Calibri Light" w:cs="Calibri Light"/>
                <w:b/>
                <w:bCs/>
                <w:szCs w:val="18"/>
              </w:rPr>
              <w:t xml:space="preserve">and </w:t>
            </w:r>
            <w:r w:rsidRPr="00CC6B8A">
              <w:rPr>
                <w:rFonts w:eastAsia="Calibri Light" w:cs="Calibri Light"/>
                <w:b/>
                <w:bCs/>
                <w:szCs w:val="18"/>
              </w:rPr>
              <w:t xml:space="preserve">responses </w:t>
            </w:r>
            <w:r w:rsidR="0056446F">
              <w:rPr>
                <w:rFonts w:eastAsia="Calibri Light" w:cs="Calibri Light"/>
                <w:b/>
                <w:bCs/>
                <w:szCs w:val="18"/>
              </w:rPr>
              <w:t xml:space="preserve">to </w:t>
            </w:r>
            <w:r w:rsidRPr="00CC6B8A">
              <w:rPr>
                <w:rFonts w:eastAsia="Calibri Light" w:cs="Calibri Light"/>
                <w:b/>
                <w:bCs/>
                <w:szCs w:val="18"/>
              </w:rPr>
              <w:t>and implementation of findings.</w:t>
            </w:r>
            <w:r w:rsidRPr="00CC6B8A">
              <w:rPr>
                <w:rFonts w:eastAsia="Calibri Light" w:cs="Calibri Light"/>
                <w:szCs w:val="18"/>
              </w:rPr>
              <w:t xml:space="preserve"> Once MAPD has established an </w:t>
            </w:r>
            <w:r w:rsidR="003B5BD3" w:rsidRPr="00CC6B8A">
              <w:rPr>
                <w:rFonts w:eastAsia="Calibri Light" w:cs="Calibri Light"/>
                <w:szCs w:val="18"/>
              </w:rPr>
              <w:t>E</w:t>
            </w:r>
            <w:r w:rsidRPr="00CC6B8A">
              <w:rPr>
                <w:rFonts w:eastAsia="Calibri Light" w:cs="Calibri Light"/>
                <w:szCs w:val="18"/>
              </w:rPr>
              <w:t xml:space="preserve">valuation </w:t>
            </w:r>
            <w:r w:rsidR="003B5BD3" w:rsidRPr="00CC6B8A">
              <w:rPr>
                <w:rFonts w:eastAsia="Calibri Light" w:cs="Calibri Light"/>
                <w:szCs w:val="18"/>
              </w:rPr>
              <w:t>R</w:t>
            </w:r>
            <w:r w:rsidRPr="00CC6B8A">
              <w:rPr>
                <w:rFonts w:eastAsia="Calibri Light" w:cs="Calibri Light"/>
                <w:szCs w:val="18"/>
              </w:rPr>
              <w:t xml:space="preserve">egister and forward work plan, </w:t>
            </w:r>
            <w:r w:rsidR="0056446F">
              <w:rPr>
                <w:rFonts w:eastAsia="Calibri Light" w:cs="Calibri Light"/>
                <w:szCs w:val="18"/>
              </w:rPr>
              <w:t>MAPD</w:t>
            </w:r>
            <w:r w:rsidRPr="00CC6B8A">
              <w:rPr>
                <w:rFonts w:eastAsia="Calibri Light" w:cs="Calibri Light"/>
                <w:szCs w:val="18"/>
              </w:rPr>
              <w:t xml:space="preserve"> will provide central oversight of reporting from Divisions/Groups on their monitoring and evaluation activities.</w:t>
            </w:r>
          </w:p>
        </w:tc>
        <w:tc>
          <w:tcPr>
            <w:tcW w:w="3655" w:type="dxa"/>
          </w:tcPr>
          <w:p w14:paraId="1BF689E8" w14:textId="2D3E0AF9" w:rsidR="00C05AAC" w:rsidRDefault="0035033C" w:rsidP="002B387C">
            <w:pPr>
              <w:spacing w:before="0" w:after="0"/>
              <w:contextualSpacing/>
              <w:rPr>
                <w:rFonts w:eastAsia="Calibri Light"/>
              </w:rPr>
            </w:pPr>
            <w:r>
              <w:rPr>
                <w:rFonts w:eastAsia="Calibri Light"/>
              </w:rPr>
              <w:t xml:space="preserve">Treasury Divisions and Groups responsible for reporting and MAPD responsible for </w:t>
            </w:r>
            <w:r w:rsidR="0056446F">
              <w:rPr>
                <w:rFonts w:eastAsia="Calibri Light"/>
              </w:rPr>
              <w:t xml:space="preserve">oversight and </w:t>
            </w:r>
            <w:r>
              <w:rPr>
                <w:rFonts w:eastAsia="Calibri Light"/>
              </w:rPr>
              <w:t>aggregating results for PRC</w:t>
            </w:r>
          </w:p>
        </w:tc>
      </w:tr>
      <w:tr w:rsidR="00C05AAC" w14:paraId="7F170D31" w14:textId="77777777" w:rsidTr="00B02652">
        <w:tc>
          <w:tcPr>
            <w:tcW w:w="9923" w:type="dxa"/>
          </w:tcPr>
          <w:p w14:paraId="34FF7934" w14:textId="063279C2" w:rsidR="00C05AAC" w:rsidRPr="00CC6B8A" w:rsidRDefault="0044575C" w:rsidP="007E5B35">
            <w:pPr>
              <w:pStyle w:val="ListParagraph"/>
              <w:numPr>
                <w:ilvl w:val="1"/>
                <w:numId w:val="15"/>
              </w:numPr>
              <w:spacing w:before="0" w:after="0"/>
              <w:rPr>
                <w:rFonts w:eastAsia="Calibri Light" w:cs="Calibri Light"/>
                <w:szCs w:val="18"/>
              </w:rPr>
            </w:pPr>
            <w:r w:rsidRPr="00CC6B8A">
              <w:rPr>
                <w:rFonts w:eastAsia="Calibri Light" w:cs="Calibri Light"/>
                <w:b/>
                <w:bCs/>
                <w:szCs w:val="18"/>
              </w:rPr>
              <w:t>Establish and p</w:t>
            </w:r>
            <w:r w:rsidR="0035033C" w:rsidRPr="00CC6B8A">
              <w:rPr>
                <w:rFonts w:eastAsia="Calibri Light" w:cs="Calibri Light"/>
                <w:b/>
                <w:bCs/>
                <w:szCs w:val="18"/>
              </w:rPr>
              <w:t>romote the Evaluation Prioritisation Model.</w:t>
            </w:r>
            <w:r w:rsidR="0035033C" w:rsidRPr="00CC6B8A">
              <w:rPr>
                <w:rFonts w:eastAsia="Calibri Light" w:cs="Calibri Light"/>
                <w:szCs w:val="18"/>
              </w:rPr>
              <w:t xml:space="preserve"> Support Treasury Divisions to apply the model to their policies or programs.</w:t>
            </w:r>
          </w:p>
        </w:tc>
        <w:tc>
          <w:tcPr>
            <w:tcW w:w="3655" w:type="dxa"/>
          </w:tcPr>
          <w:p w14:paraId="47D986D9" w14:textId="175FAED9" w:rsidR="00C05AAC" w:rsidRDefault="0035033C" w:rsidP="002B387C">
            <w:pPr>
              <w:spacing w:before="0" w:after="0"/>
              <w:contextualSpacing/>
              <w:rPr>
                <w:rFonts w:eastAsia="Calibri Light"/>
              </w:rPr>
            </w:pPr>
            <w:r>
              <w:rPr>
                <w:rFonts w:eastAsia="Calibri Light"/>
              </w:rPr>
              <w:t>MAPD</w:t>
            </w:r>
          </w:p>
        </w:tc>
      </w:tr>
      <w:tr w:rsidR="00C05AAC" w14:paraId="6C63EC3F" w14:textId="77777777" w:rsidTr="00B02652">
        <w:tc>
          <w:tcPr>
            <w:tcW w:w="9923" w:type="dxa"/>
          </w:tcPr>
          <w:p w14:paraId="32621341" w14:textId="2AF327C4" w:rsidR="00C05AAC" w:rsidRPr="00CC6B8A" w:rsidRDefault="0044575C" w:rsidP="007E5B35">
            <w:pPr>
              <w:pStyle w:val="ListParagraph"/>
              <w:numPr>
                <w:ilvl w:val="1"/>
                <w:numId w:val="15"/>
              </w:numPr>
              <w:spacing w:before="0" w:after="0"/>
              <w:ind w:left="357" w:hanging="357"/>
              <w:rPr>
                <w:rFonts w:eastAsia="Calibri Light" w:cs="Calibri Light"/>
                <w:b/>
                <w:bCs/>
                <w:szCs w:val="18"/>
              </w:rPr>
            </w:pPr>
            <w:r w:rsidRPr="00CC6B8A">
              <w:rPr>
                <w:rFonts w:eastAsia="Calibri Light" w:cs="Calibri Light"/>
                <w:b/>
                <w:bCs/>
                <w:szCs w:val="18"/>
              </w:rPr>
              <w:t xml:space="preserve">Establish a </w:t>
            </w:r>
            <w:r w:rsidR="0035033C" w:rsidRPr="00CC6B8A">
              <w:rPr>
                <w:rFonts w:eastAsia="Calibri Light" w:cs="Calibri Light"/>
                <w:b/>
                <w:bCs/>
                <w:szCs w:val="18"/>
              </w:rPr>
              <w:t xml:space="preserve">Treasury Evaluation Register and forward work program. </w:t>
            </w:r>
            <w:r w:rsidR="0035033C" w:rsidRPr="00CC6B8A">
              <w:rPr>
                <w:rFonts w:eastAsia="Calibri Light" w:cs="Calibri Light"/>
                <w:szCs w:val="18"/>
              </w:rPr>
              <w:t xml:space="preserve">Develop a Treasury Evaluation Register. Use this </w:t>
            </w:r>
            <w:r w:rsidR="003B5BD3" w:rsidRPr="00CC6B8A">
              <w:rPr>
                <w:rFonts w:eastAsia="Calibri Light" w:cs="Calibri Light"/>
                <w:szCs w:val="18"/>
              </w:rPr>
              <w:t>R</w:t>
            </w:r>
            <w:r w:rsidR="0035033C" w:rsidRPr="00CC6B8A">
              <w:rPr>
                <w:rFonts w:eastAsia="Calibri Light" w:cs="Calibri Light"/>
                <w:szCs w:val="18"/>
              </w:rPr>
              <w:t>egister and the actions under 1.1 to develop a forward work program of planned evaluations.</w:t>
            </w:r>
          </w:p>
        </w:tc>
        <w:tc>
          <w:tcPr>
            <w:tcW w:w="3655" w:type="dxa"/>
          </w:tcPr>
          <w:p w14:paraId="7789613A" w14:textId="42980584" w:rsidR="00C05AAC" w:rsidRDefault="0035033C" w:rsidP="002B387C">
            <w:pPr>
              <w:spacing w:before="0" w:after="0"/>
              <w:contextualSpacing/>
              <w:rPr>
                <w:rFonts w:eastAsia="Calibri Light"/>
              </w:rPr>
            </w:pPr>
            <w:r>
              <w:rPr>
                <w:rFonts w:eastAsia="Calibri Light"/>
              </w:rPr>
              <w:t>MAPD</w:t>
            </w:r>
          </w:p>
        </w:tc>
      </w:tr>
      <w:tr w:rsidR="00C05AAC" w14:paraId="58EFFD5D" w14:textId="77777777" w:rsidTr="00B02652">
        <w:tc>
          <w:tcPr>
            <w:tcW w:w="9923" w:type="dxa"/>
          </w:tcPr>
          <w:p w14:paraId="506B2898" w14:textId="424C8745" w:rsidR="00C05AAC" w:rsidRPr="00CC6B8A" w:rsidRDefault="0035033C" w:rsidP="007E5B35">
            <w:pPr>
              <w:pStyle w:val="ListParagraph"/>
              <w:numPr>
                <w:ilvl w:val="1"/>
                <w:numId w:val="15"/>
              </w:numPr>
              <w:spacing w:before="0" w:after="0"/>
              <w:ind w:left="357" w:hanging="357"/>
              <w:rPr>
                <w:rFonts w:eastAsia="Calibri Light" w:cs="Calibri Light"/>
                <w:b/>
                <w:bCs/>
                <w:szCs w:val="18"/>
              </w:rPr>
            </w:pPr>
            <w:r w:rsidRPr="00CC6B8A">
              <w:rPr>
                <w:rFonts w:cs="Calibri Light"/>
                <w:b/>
                <w:bCs/>
                <w:szCs w:val="18"/>
              </w:rPr>
              <w:t xml:space="preserve">Assess </w:t>
            </w:r>
            <w:r w:rsidR="0044575C" w:rsidRPr="00CC6B8A">
              <w:rPr>
                <w:rFonts w:cs="Calibri Light"/>
                <w:b/>
                <w:bCs/>
                <w:szCs w:val="18"/>
              </w:rPr>
              <w:t xml:space="preserve">the </w:t>
            </w:r>
            <w:r w:rsidRPr="00CC6B8A">
              <w:rPr>
                <w:rFonts w:cs="Calibri Light"/>
                <w:b/>
                <w:bCs/>
                <w:szCs w:val="18"/>
              </w:rPr>
              <w:t>feasibility of high-quality impact evaluations</w:t>
            </w:r>
            <w:r w:rsidRPr="00CC6B8A">
              <w:rPr>
                <w:rFonts w:eastAsia="Calibri Light" w:cs="Calibri Light"/>
                <w:b/>
                <w:bCs/>
                <w:szCs w:val="18"/>
              </w:rPr>
              <w:t>.</w:t>
            </w:r>
            <w:r w:rsidRPr="00CC6B8A">
              <w:rPr>
                <w:rFonts w:eastAsia="Calibri Light" w:cs="Calibri Light"/>
                <w:szCs w:val="18"/>
              </w:rPr>
              <w:t xml:space="preserve"> Using the forward work program, </w:t>
            </w:r>
            <w:r w:rsidR="002D5F95">
              <w:rPr>
                <w:rFonts w:eastAsia="Calibri Light" w:cs="Calibri Light"/>
                <w:szCs w:val="18"/>
              </w:rPr>
              <w:t>MAPD</w:t>
            </w:r>
            <w:r w:rsidRPr="00CC6B8A">
              <w:rPr>
                <w:rFonts w:eastAsia="Calibri Light" w:cs="Calibri Light"/>
                <w:szCs w:val="18"/>
              </w:rPr>
              <w:t xml:space="preserve"> will work with responsible Divisions or Branches to identify the feasibility of high-quality impact evaluations, particularly for ‘Category 1’ policies, programs or regulations.</w:t>
            </w:r>
          </w:p>
        </w:tc>
        <w:tc>
          <w:tcPr>
            <w:tcW w:w="3655" w:type="dxa"/>
          </w:tcPr>
          <w:p w14:paraId="3A0124DD" w14:textId="7278F3C7" w:rsidR="00C05AAC" w:rsidRDefault="0035033C" w:rsidP="002B387C">
            <w:pPr>
              <w:spacing w:before="0" w:after="0"/>
              <w:contextualSpacing/>
              <w:rPr>
                <w:rFonts w:eastAsia="Calibri Light"/>
              </w:rPr>
            </w:pPr>
            <w:r>
              <w:rPr>
                <w:rFonts w:eastAsia="Calibri Light"/>
              </w:rPr>
              <w:t>MAPD</w:t>
            </w:r>
          </w:p>
        </w:tc>
      </w:tr>
      <w:tr w:rsidR="00C05AAC" w14:paraId="10FCC049" w14:textId="77777777" w:rsidTr="00B02652">
        <w:tc>
          <w:tcPr>
            <w:tcW w:w="9923" w:type="dxa"/>
          </w:tcPr>
          <w:p w14:paraId="09D7B2C7" w14:textId="25F49C8A" w:rsidR="00C05AAC" w:rsidRPr="00246DCB" w:rsidRDefault="0035033C" w:rsidP="007E5B35">
            <w:pPr>
              <w:pStyle w:val="ListParagraph"/>
              <w:numPr>
                <w:ilvl w:val="1"/>
                <w:numId w:val="15"/>
              </w:numPr>
              <w:spacing w:before="0" w:after="0"/>
              <w:ind w:left="357" w:hanging="357"/>
              <w:rPr>
                <w:rFonts w:eastAsia="Calibri Light" w:cs="Calibri Light"/>
                <w:szCs w:val="18"/>
              </w:rPr>
            </w:pPr>
            <w:r w:rsidRPr="00246DCB">
              <w:rPr>
                <w:rFonts w:cs="Calibri Light"/>
                <w:b/>
                <w:bCs/>
                <w:szCs w:val="18"/>
              </w:rPr>
              <w:t>Build better evaluation planning into New Policy Proposals</w:t>
            </w:r>
            <w:r w:rsidRPr="00246DCB">
              <w:rPr>
                <w:rFonts w:cs="Calibri Light"/>
                <w:szCs w:val="18"/>
              </w:rPr>
              <w:t>. MAPD to provide support for</w:t>
            </w:r>
            <w:r w:rsidRPr="00246DCB">
              <w:rPr>
                <w:rFonts w:eastAsia="Calibri Light" w:cs="Calibri Light"/>
                <w:szCs w:val="18"/>
              </w:rPr>
              <w:t xml:space="preserve"> line areas in developing evaluation-related content for New Policy Proposals from the 2026-27 Budget onwards to ensure evaluation readiness.</w:t>
            </w:r>
          </w:p>
        </w:tc>
        <w:tc>
          <w:tcPr>
            <w:tcW w:w="3655" w:type="dxa"/>
          </w:tcPr>
          <w:p w14:paraId="32F2358A" w14:textId="17258481" w:rsidR="00C05AAC" w:rsidRDefault="0035033C" w:rsidP="002B387C">
            <w:pPr>
              <w:spacing w:before="0" w:after="0"/>
              <w:contextualSpacing/>
              <w:rPr>
                <w:rFonts w:eastAsia="Calibri Light"/>
              </w:rPr>
            </w:pPr>
            <w:r>
              <w:rPr>
                <w:rFonts w:eastAsia="Calibri Light"/>
              </w:rPr>
              <w:t>MAPD with support from Corporate Division and line areas</w:t>
            </w:r>
          </w:p>
        </w:tc>
      </w:tr>
      <w:tr w:rsidR="0035033C" w14:paraId="704980F2" w14:textId="77777777" w:rsidTr="00B02652">
        <w:tc>
          <w:tcPr>
            <w:tcW w:w="9923" w:type="dxa"/>
          </w:tcPr>
          <w:p w14:paraId="18B6A365" w14:textId="0BF449CA" w:rsidR="0035033C" w:rsidRPr="00246DCB" w:rsidRDefault="0035033C" w:rsidP="00246DCB">
            <w:pPr>
              <w:pStyle w:val="ListParagraph"/>
              <w:numPr>
                <w:ilvl w:val="1"/>
                <w:numId w:val="20"/>
              </w:numPr>
              <w:spacing w:before="0" w:after="0"/>
              <w:rPr>
                <w:rFonts w:eastAsia="Calibri Light" w:cs="Calibri Light"/>
                <w:szCs w:val="18"/>
              </w:rPr>
            </w:pPr>
            <w:r w:rsidRPr="00246DCB">
              <w:rPr>
                <w:rFonts w:cs="Calibri Light"/>
                <w:b/>
                <w:bCs/>
                <w:szCs w:val="18"/>
              </w:rPr>
              <w:t xml:space="preserve">Publish evaluation reports, summaries and management responses </w:t>
            </w:r>
            <w:r w:rsidR="008E1758" w:rsidRPr="00246DCB">
              <w:rPr>
                <w:rFonts w:cs="Calibri Light"/>
                <w:b/>
                <w:bCs/>
                <w:szCs w:val="18"/>
              </w:rPr>
              <w:t>by default</w:t>
            </w:r>
            <w:r w:rsidR="008E1758" w:rsidRPr="00246DCB">
              <w:rPr>
                <w:rFonts w:cs="Calibri Light"/>
                <w:szCs w:val="18"/>
              </w:rPr>
              <w:t xml:space="preserve"> unless there are appropriate reasons for not releasing information publicly. </w:t>
            </w:r>
            <w:r w:rsidRPr="00246DCB">
              <w:rPr>
                <w:rFonts w:cs="Calibri Light"/>
                <w:szCs w:val="18"/>
              </w:rPr>
              <w:t>This supports external accountability, transparency and knowledge-sharing, building trust in what we do. Published reports will be available on the Treasury website and the Commonwealth Evaluation Repository.</w:t>
            </w:r>
          </w:p>
        </w:tc>
        <w:tc>
          <w:tcPr>
            <w:tcW w:w="3655" w:type="dxa"/>
          </w:tcPr>
          <w:p w14:paraId="31A70A79" w14:textId="2DE160A3" w:rsidR="0035033C" w:rsidRDefault="0035033C" w:rsidP="002B387C">
            <w:pPr>
              <w:spacing w:before="0" w:after="0"/>
              <w:contextualSpacing/>
              <w:rPr>
                <w:rFonts w:eastAsia="Calibri Light"/>
              </w:rPr>
            </w:pPr>
            <w:r>
              <w:rPr>
                <w:rFonts w:eastAsia="Calibri Light"/>
              </w:rPr>
              <w:t>Divisions and Branches supported by MAPD.</w:t>
            </w:r>
          </w:p>
        </w:tc>
      </w:tr>
      <w:tr w:rsidR="0035033C" w:rsidRPr="00246DCB" w14:paraId="3446F264" w14:textId="77777777" w:rsidTr="00B02652">
        <w:tc>
          <w:tcPr>
            <w:tcW w:w="9923" w:type="dxa"/>
          </w:tcPr>
          <w:p w14:paraId="4EE4BE92" w14:textId="42AA6BB5" w:rsidR="0035033C" w:rsidRPr="00246DCB" w:rsidRDefault="0035033C" w:rsidP="00246DCB">
            <w:pPr>
              <w:pStyle w:val="ListParagraph"/>
              <w:numPr>
                <w:ilvl w:val="1"/>
                <w:numId w:val="20"/>
              </w:numPr>
              <w:spacing w:before="0" w:after="0"/>
              <w:rPr>
                <w:rFonts w:cs="Calibri Light"/>
                <w:szCs w:val="18"/>
              </w:rPr>
            </w:pPr>
            <w:r w:rsidRPr="00246DCB">
              <w:rPr>
                <w:rFonts w:cs="Calibri Light"/>
                <w:b/>
                <w:bCs/>
                <w:szCs w:val="18"/>
              </w:rPr>
              <w:t>Promote findings from published evaluation reports and management responses</w:t>
            </w:r>
            <w:r w:rsidRPr="00246DCB">
              <w:rPr>
                <w:rFonts w:cs="Calibri Light"/>
                <w:szCs w:val="18"/>
              </w:rPr>
              <w:t>. Findings will be promoted through the Treasury Evaluation Register and program manager reports to relevant governance committees.</w:t>
            </w:r>
            <w:r w:rsidR="0027428E" w:rsidRPr="00246DCB">
              <w:rPr>
                <w:rFonts w:cs="Calibri Light"/>
                <w:szCs w:val="18"/>
              </w:rPr>
              <w:t xml:space="preserve"> </w:t>
            </w:r>
            <w:r w:rsidR="008738DD" w:rsidRPr="00246DCB">
              <w:rPr>
                <w:rFonts w:cs="Calibri Light"/>
                <w:szCs w:val="18"/>
              </w:rPr>
              <w:t>Management responses will be prepared for all formal evaluations (categor</w:t>
            </w:r>
            <w:r w:rsidR="0056446F" w:rsidRPr="00246DCB">
              <w:rPr>
                <w:rFonts w:cs="Calibri Light"/>
                <w:szCs w:val="18"/>
              </w:rPr>
              <w:t>ies</w:t>
            </w:r>
            <w:r w:rsidR="008738DD" w:rsidRPr="00246DCB">
              <w:rPr>
                <w:rFonts w:cs="Calibri Light"/>
                <w:szCs w:val="18"/>
              </w:rPr>
              <w:t xml:space="preserve"> 1 and 2</w:t>
            </w:r>
            <w:r w:rsidR="0056446F" w:rsidRPr="00246DCB">
              <w:rPr>
                <w:rFonts w:cs="Calibri Light"/>
                <w:szCs w:val="18"/>
              </w:rPr>
              <w:t xml:space="preserve"> in the Prioritisation Model</w:t>
            </w:r>
            <w:r w:rsidR="008738DD" w:rsidRPr="00246DCB">
              <w:rPr>
                <w:rFonts w:cs="Calibri Light"/>
                <w:szCs w:val="18"/>
              </w:rPr>
              <w:t>).</w:t>
            </w:r>
          </w:p>
        </w:tc>
        <w:tc>
          <w:tcPr>
            <w:tcW w:w="3655" w:type="dxa"/>
          </w:tcPr>
          <w:p w14:paraId="386FCE37" w14:textId="0A6C1613" w:rsidR="0035033C" w:rsidRPr="00246DCB" w:rsidRDefault="0035033C" w:rsidP="00246DCB">
            <w:pPr>
              <w:spacing w:before="0" w:after="0"/>
              <w:rPr>
                <w:rFonts w:cs="Calibri Light"/>
                <w:szCs w:val="18"/>
              </w:rPr>
            </w:pPr>
            <w:r w:rsidRPr="00246DCB">
              <w:rPr>
                <w:rFonts w:cs="Calibri Light"/>
                <w:szCs w:val="18"/>
              </w:rPr>
              <w:t>Divisions and Branches supported by MAPD.</w:t>
            </w:r>
          </w:p>
        </w:tc>
      </w:tr>
      <w:tr w:rsidR="0035033C" w:rsidRPr="00246DCB" w14:paraId="6AA10D11" w14:textId="77777777" w:rsidTr="0000548E">
        <w:tc>
          <w:tcPr>
            <w:tcW w:w="9923" w:type="dxa"/>
            <w:tcBorders>
              <w:bottom w:val="single" w:sz="4" w:space="0" w:color="auto"/>
            </w:tcBorders>
          </w:tcPr>
          <w:p w14:paraId="20CDBB13" w14:textId="4E4BEA83" w:rsidR="0035033C" w:rsidRPr="00246DCB" w:rsidRDefault="0035033C" w:rsidP="00246DCB">
            <w:pPr>
              <w:pStyle w:val="ListParagraph"/>
              <w:numPr>
                <w:ilvl w:val="1"/>
                <w:numId w:val="21"/>
              </w:numPr>
              <w:spacing w:before="0" w:after="0"/>
              <w:rPr>
                <w:rFonts w:cs="Calibri Light"/>
                <w:szCs w:val="18"/>
              </w:rPr>
            </w:pPr>
            <w:r w:rsidRPr="00246DCB">
              <w:rPr>
                <w:rFonts w:cs="Calibri Light"/>
                <w:b/>
                <w:bCs/>
                <w:szCs w:val="18"/>
              </w:rPr>
              <w:t>Promote existing evaluation resources, tools and templates available on the Evaluation Toolkit</w:t>
            </w:r>
            <w:r w:rsidRPr="00246DCB">
              <w:rPr>
                <w:rFonts w:cs="Calibri Light"/>
                <w:szCs w:val="18"/>
              </w:rPr>
              <w:t xml:space="preserve">, including resources to make policies, programs and regulation </w:t>
            </w:r>
            <w:r w:rsidR="00D77B7C">
              <w:rPr>
                <w:rFonts w:cs="Calibri Light"/>
                <w:szCs w:val="18"/>
              </w:rPr>
              <w:t>‘</w:t>
            </w:r>
            <w:r w:rsidRPr="00246DCB">
              <w:rPr>
                <w:rFonts w:cs="Calibri Light"/>
                <w:szCs w:val="18"/>
              </w:rPr>
              <w:t>evaluation ready</w:t>
            </w:r>
            <w:r w:rsidR="00D77B7C">
              <w:rPr>
                <w:rFonts w:cs="Calibri Light"/>
                <w:szCs w:val="18"/>
              </w:rPr>
              <w:t>’</w:t>
            </w:r>
            <w:r w:rsidRPr="00246DCB">
              <w:rPr>
                <w:rFonts w:cs="Calibri Light"/>
                <w:szCs w:val="18"/>
              </w:rPr>
              <w:t xml:space="preserve">. ACE is responsible for maintaining and continually improving the Evaluation Toolkit, which is targeted at all Australian public servants. </w:t>
            </w:r>
            <w:r w:rsidR="007E5B35" w:rsidRPr="00246DCB">
              <w:rPr>
                <w:rFonts w:cs="Calibri Light"/>
                <w:szCs w:val="18"/>
              </w:rPr>
              <w:t>T</w:t>
            </w:r>
            <w:r w:rsidRPr="00246DCB">
              <w:rPr>
                <w:rFonts w:cs="Calibri Light"/>
                <w:szCs w:val="18"/>
              </w:rPr>
              <w:t>h</w:t>
            </w:r>
            <w:r w:rsidR="007E5B35" w:rsidRPr="00246DCB">
              <w:rPr>
                <w:rFonts w:cs="Calibri Light"/>
                <w:szCs w:val="18"/>
              </w:rPr>
              <w:t xml:space="preserve">e aim </w:t>
            </w:r>
            <w:r w:rsidRPr="00246DCB">
              <w:rPr>
                <w:rFonts w:cs="Calibri Light"/>
                <w:szCs w:val="18"/>
              </w:rPr>
              <w:t>is to promote the</w:t>
            </w:r>
            <w:r w:rsidR="007E5B35" w:rsidRPr="00246DCB">
              <w:rPr>
                <w:rFonts w:cs="Calibri Light"/>
                <w:szCs w:val="18"/>
              </w:rPr>
              <w:t>se</w:t>
            </w:r>
            <w:r w:rsidRPr="00246DCB">
              <w:rPr>
                <w:rFonts w:cs="Calibri Light"/>
                <w:szCs w:val="18"/>
              </w:rPr>
              <w:t xml:space="preserve"> resources more widely within Treasury.</w:t>
            </w:r>
            <w:r w:rsidRPr="00246DCB" w:rsidDel="00385A7B">
              <w:rPr>
                <w:rFonts w:cs="Calibri Light"/>
                <w:szCs w:val="18"/>
              </w:rPr>
              <w:t xml:space="preserve"> </w:t>
            </w:r>
          </w:p>
        </w:tc>
        <w:tc>
          <w:tcPr>
            <w:tcW w:w="3655" w:type="dxa"/>
            <w:tcBorders>
              <w:bottom w:val="single" w:sz="4" w:space="0" w:color="auto"/>
            </w:tcBorders>
          </w:tcPr>
          <w:p w14:paraId="0F8E8C17" w14:textId="61260339" w:rsidR="0035033C" w:rsidRPr="00246DCB" w:rsidRDefault="0035033C" w:rsidP="00246DCB">
            <w:pPr>
              <w:spacing w:before="0" w:after="0"/>
              <w:rPr>
                <w:rFonts w:cs="Calibri Light"/>
                <w:szCs w:val="18"/>
              </w:rPr>
            </w:pPr>
            <w:r w:rsidRPr="00246DCB">
              <w:rPr>
                <w:rFonts w:cs="Calibri Light"/>
                <w:szCs w:val="18"/>
              </w:rPr>
              <w:t>MAPD</w:t>
            </w:r>
          </w:p>
        </w:tc>
      </w:tr>
      <w:tr w:rsidR="0035033C" w:rsidRPr="00246DCB" w14:paraId="2206AB2D" w14:textId="77777777" w:rsidTr="0000548E">
        <w:tc>
          <w:tcPr>
            <w:tcW w:w="9923" w:type="dxa"/>
            <w:tcBorders>
              <w:top w:val="single" w:sz="4" w:space="0" w:color="auto"/>
              <w:bottom w:val="single" w:sz="4" w:space="0" w:color="auto"/>
            </w:tcBorders>
          </w:tcPr>
          <w:p w14:paraId="3F7F46A7" w14:textId="489F926D" w:rsidR="0035033C" w:rsidRPr="00CC6B8A" w:rsidRDefault="00B86E70" w:rsidP="00246DCB">
            <w:pPr>
              <w:pStyle w:val="ListParagraph"/>
              <w:numPr>
                <w:ilvl w:val="1"/>
                <w:numId w:val="21"/>
              </w:numPr>
              <w:spacing w:before="0" w:after="0"/>
              <w:rPr>
                <w:rFonts w:cs="Calibri Light"/>
                <w:szCs w:val="18"/>
              </w:rPr>
            </w:pPr>
            <w:r w:rsidRPr="00246DCB">
              <w:rPr>
                <w:rFonts w:cs="Calibri Light"/>
                <w:b/>
                <w:bCs/>
                <w:szCs w:val="18"/>
              </w:rPr>
              <w:t>Provide e</w:t>
            </w:r>
            <w:r w:rsidR="0035033C" w:rsidRPr="00246DCB">
              <w:rPr>
                <w:rFonts w:cs="Calibri Light"/>
                <w:b/>
                <w:bCs/>
                <w:szCs w:val="18"/>
              </w:rPr>
              <w:t xml:space="preserve">valuation training and </w:t>
            </w:r>
            <w:r w:rsidR="0044575C" w:rsidRPr="00246DCB">
              <w:rPr>
                <w:rFonts w:cs="Calibri Light"/>
                <w:b/>
                <w:bCs/>
                <w:szCs w:val="18"/>
              </w:rPr>
              <w:t xml:space="preserve">advisory </w:t>
            </w:r>
            <w:r w:rsidR="0035033C" w:rsidRPr="00246DCB">
              <w:rPr>
                <w:rFonts w:cs="Calibri Light"/>
                <w:b/>
                <w:bCs/>
                <w:szCs w:val="18"/>
              </w:rPr>
              <w:t>support</w:t>
            </w:r>
            <w:r w:rsidR="0035033C" w:rsidRPr="00246DCB">
              <w:rPr>
                <w:rFonts w:cs="Calibri Light"/>
                <w:szCs w:val="18"/>
              </w:rPr>
              <w:t xml:space="preserve">. MAPD </w:t>
            </w:r>
            <w:r w:rsidR="0035033C" w:rsidRPr="00CC6B8A">
              <w:rPr>
                <w:rFonts w:cs="Calibri Light"/>
                <w:szCs w:val="18"/>
              </w:rPr>
              <w:t xml:space="preserve">will provide targeted evaluation training, advice and quality assurance to Divisions, guided by the </w:t>
            </w:r>
            <w:r w:rsidR="003B5BD3" w:rsidRPr="00CC6B8A">
              <w:rPr>
                <w:rFonts w:cs="Calibri Light"/>
                <w:szCs w:val="18"/>
              </w:rPr>
              <w:t>E</w:t>
            </w:r>
            <w:r w:rsidR="0035033C" w:rsidRPr="00CC6B8A">
              <w:rPr>
                <w:rFonts w:cs="Calibri Light"/>
                <w:szCs w:val="18"/>
              </w:rPr>
              <w:t xml:space="preserve">valuation </w:t>
            </w:r>
            <w:r w:rsidR="003B5BD3" w:rsidRPr="00CC6B8A">
              <w:rPr>
                <w:rFonts w:cs="Calibri Light"/>
                <w:szCs w:val="18"/>
              </w:rPr>
              <w:t>R</w:t>
            </w:r>
            <w:r w:rsidR="0035033C" w:rsidRPr="00CC6B8A">
              <w:rPr>
                <w:rFonts w:cs="Calibri Light"/>
                <w:szCs w:val="18"/>
              </w:rPr>
              <w:t xml:space="preserve">egister and forward work plan. MAPD will also promote use of the Evaluation Prioritisation Model. Divisions will remain responsible for planning and resourcing evaluations of policies for which they are responsible. </w:t>
            </w:r>
          </w:p>
        </w:tc>
        <w:tc>
          <w:tcPr>
            <w:tcW w:w="3655" w:type="dxa"/>
            <w:tcBorders>
              <w:top w:val="single" w:sz="4" w:space="0" w:color="auto"/>
              <w:bottom w:val="single" w:sz="4" w:space="0" w:color="auto"/>
            </w:tcBorders>
          </w:tcPr>
          <w:p w14:paraId="10C649B7" w14:textId="5F09F449" w:rsidR="0035033C" w:rsidRPr="00246DCB" w:rsidRDefault="00964480" w:rsidP="00246DCB">
            <w:pPr>
              <w:spacing w:before="0" w:after="0"/>
              <w:rPr>
                <w:rFonts w:cs="Calibri Light"/>
                <w:szCs w:val="18"/>
              </w:rPr>
            </w:pPr>
            <w:r w:rsidRPr="00246DCB">
              <w:rPr>
                <w:rFonts w:cs="Calibri Light"/>
                <w:szCs w:val="18"/>
              </w:rPr>
              <w:t>MAPD</w:t>
            </w:r>
          </w:p>
        </w:tc>
      </w:tr>
      <w:bookmarkEnd w:id="49"/>
    </w:tbl>
    <w:p w14:paraId="75A58173" w14:textId="77777777" w:rsidR="00243E88" w:rsidRPr="00243E88" w:rsidRDefault="00243E88" w:rsidP="008738DD">
      <w:pPr>
        <w:rPr>
          <w:rFonts w:eastAsia="Calibri Light"/>
        </w:rPr>
      </w:pPr>
    </w:p>
    <w:sectPr w:rsidR="00243E88" w:rsidRPr="00243E88" w:rsidSect="00B02652">
      <w:footerReference w:type="default" r:id="rId26"/>
      <w:pgSz w:w="16838" w:h="11906" w:orient="landscape" w:code="9"/>
      <w:pgMar w:top="1417" w:right="1843"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6C32" w14:textId="77777777" w:rsidR="000A4B20" w:rsidRDefault="000A4B20">
      <w:pPr>
        <w:spacing w:before="0" w:after="0"/>
      </w:pPr>
      <w:r>
        <w:separator/>
      </w:r>
    </w:p>
  </w:endnote>
  <w:endnote w:type="continuationSeparator" w:id="0">
    <w:p w14:paraId="389E5791" w14:textId="77777777" w:rsidR="000A4B20" w:rsidRDefault="000A4B20">
      <w:pPr>
        <w:spacing w:before="0" w:after="0"/>
      </w:pPr>
      <w:r>
        <w:continuationSeparator/>
      </w:r>
    </w:p>
  </w:endnote>
  <w:endnote w:type="continuationNotice" w:id="1">
    <w:p w14:paraId="5A7540CC" w14:textId="77777777" w:rsidR="000A4B20" w:rsidRDefault="000A4B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9902" w14:textId="39C2BB5E" w:rsidR="00AE12EA" w:rsidRDefault="00A21F09" w:rsidP="00AE12EA">
    <w:pPr>
      <w:pStyle w:val="FooterEven"/>
      <w:jc w:val="both"/>
    </w:pPr>
    <w:r>
      <w:fldChar w:fldCharType="begin"/>
    </w:r>
    <w:r>
      <w:instrText xml:space="preserve"> SUBJECT  \* FirstCap  \* MERGEFORMAT </w:instrText>
    </w:r>
    <w:r>
      <w:fldChar w:fldCharType="end"/>
    </w:r>
    <w:r w:rsidR="00AE12E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896D" w14:textId="4DDF94BE"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8D4718">
      <w:t xml:space="preserve">Treasury Evaluation </w:t>
    </w:r>
    <w:r w:rsidR="007D481B">
      <w:t>Strategy</w:t>
    </w:r>
    <w:r w:rsidR="00103F3C">
      <w:tab/>
    </w:r>
    <w:r w:rsidR="00103F3C" w:rsidRPr="00103F3C">
      <w:rPr>
        <w:position w:val="-8"/>
      </w:rPr>
      <w:drawing>
        <wp:inline distT="0" distB="0" distL="0" distR="0" wp14:anchorId="4E949F56" wp14:editId="36B186FA">
          <wp:extent cx="1324800" cy="201600"/>
          <wp:effectExtent l="0" t="0" r="0" b="8255"/>
          <wp:docPr id="770721445" name="Picture 77072144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143E" w14:textId="6210C4A9" w:rsidR="006A1039" w:rsidRDefault="007E0420" w:rsidP="00AE12EA">
    <w:pPr>
      <w:pStyle w:val="FooterEven"/>
      <w:jc w:val="both"/>
    </w:pPr>
    <w:r>
      <w:t>2</w:t>
    </w:r>
    <w:r w:rsidR="006A1039">
      <w:t xml:space="preserve"> | </w:t>
    </w:r>
    <w:fldSimple w:instr=" STYLEREF  &quot;Heading 1&quot;  \* MERGEFORMAT ">
      <w:r w:rsidR="00CC060F">
        <w:t>Contents</w:t>
      </w:r>
    </w:fldSimple>
    <w:r w:rsidR="006A1039">
      <w:t xml:space="preserve"> </w:t>
    </w:r>
    <w:r w:rsidR="006A1039">
      <w:fldChar w:fldCharType="begin"/>
    </w:r>
    <w:r w:rsidR="006A1039">
      <w:instrText xml:space="preserve"> SUBJECT  \* FirstCap  \* MERGEFORMAT </w:instrText>
    </w:r>
    <w:r w:rsidR="006A1039">
      <w:fldChar w:fldCharType="end"/>
    </w:r>
    <w:r w:rsidR="006A1039">
      <w:tab/>
    </w:r>
    <w:r w:rsidR="006A1039" w:rsidRPr="00103F3C">
      <w:rPr>
        <w:position w:val="-8"/>
      </w:rPr>
      <w:drawing>
        <wp:inline distT="0" distB="0" distL="0" distR="0" wp14:anchorId="1D70830A" wp14:editId="25B91F42">
          <wp:extent cx="1324800" cy="201600"/>
          <wp:effectExtent l="0" t="0" r="0" b="8255"/>
          <wp:docPr id="442297055" name="Picture 4422970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05654" name="Picture 200520565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74E3" w14:textId="77777777" w:rsidR="00095D88" w:rsidRPr="00095D88" w:rsidRDefault="00095D88" w:rsidP="00095D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07E" w14:textId="55FE85EE" w:rsidR="006A1039" w:rsidRDefault="006A1039" w:rsidP="00AE12EA">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CC060F">
        <w:t>Foreword</w:t>
      </w:r>
    </w:fldSimple>
    <w:r>
      <w:t xml:space="preserve"> </w:t>
    </w:r>
    <w:r>
      <w:fldChar w:fldCharType="begin"/>
    </w:r>
    <w:r>
      <w:instrText xml:space="preserve"> SUBJECT  \* FirstCap  \* MERGEFORMAT </w:instrText>
    </w:r>
    <w:r>
      <w:fldChar w:fldCharType="end"/>
    </w:r>
    <w:r>
      <w:tab/>
    </w:r>
    <w:r w:rsidRPr="00103F3C">
      <w:rPr>
        <w:position w:val="-8"/>
      </w:rPr>
      <w:drawing>
        <wp:inline distT="0" distB="0" distL="0" distR="0" wp14:anchorId="56F24DAB" wp14:editId="0EDDC039">
          <wp:extent cx="1324800" cy="201600"/>
          <wp:effectExtent l="0" t="0" r="0" b="8255"/>
          <wp:docPr id="893654834" name="Picture 8936548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20611" name="Picture 20556206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9ECA" w14:textId="6185EF0A" w:rsidR="00B53CC6" w:rsidRDefault="00B53CC6" w:rsidP="00AE12EA">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CC060F">
        <w:t>Actions and responsibilities</w:t>
      </w:r>
    </w:fldSimple>
    <w:r>
      <w:t xml:space="preserve"> </w:t>
    </w:r>
    <w:r>
      <w:fldChar w:fldCharType="begin"/>
    </w:r>
    <w:r>
      <w:instrText xml:space="preserve"> SUBJECT  \* FirstCap  \* MERGEFORMAT </w:instrText>
    </w:r>
    <w:r>
      <w:fldChar w:fldCharType="end"/>
    </w:r>
    <w:r>
      <w:tab/>
    </w:r>
    <w:r>
      <w:tab/>
    </w:r>
    <w:r>
      <w:tab/>
    </w:r>
    <w:r>
      <w:tab/>
      <w:t xml:space="preserve">               </w:t>
    </w:r>
    <w:r w:rsidRPr="00103F3C">
      <w:rPr>
        <w:position w:val="-8"/>
      </w:rPr>
      <w:drawing>
        <wp:inline distT="0" distB="0" distL="0" distR="0" wp14:anchorId="06A65832" wp14:editId="36921B1B">
          <wp:extent cx="1324800" cy="201600"/>
          <wp:effectExtent l="0" t="0" r="0" b="8255"/>
          <wp:docPr id="1465761384" name="Picture 1465761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20611" name="Picture 20556206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2B17" w14:textId="77777777" w:rsidR="000A4B20" w:rsidRPr="00ED5A20" w:rsidRDefault="000A4B20" w:rsidP="000F6233">
      <w:pPr>
        <w:rPr>
          <w:color w:val="4D7861" w:themeColor="accent2"/>
        </w:rPr>
      </w:pPr>
      <w:r w:rsidRPr="00ED5A20">
        <w:rPr>
          <w:color w:val="4D7861" w:themeColor="accent2"/>
        </w:rPr>
        <w:separator/>
      </w:r>
    </w:p>
  </w:footnote>
  <w:footnote w:type="continuationSeparator" w:id="0">
    <w:p w14:paraId="31625ADD" w14:textId="77777777" w:rsidR="000A4B20" w:rsidRPr="00B737EB" w:rsidRDefault="000A4B20">
      <w:pPr>
        <w:spacing w:before="0" w:after="0"/>
        <w:rPr>
          <w:color w:val="2C384A" w:themeColor="accent1"/>
        </w:rPr>
      </w:pPr>
      <w:r w:rsidRPr="00B737EB">
        <w:rPr>
          <w:color w:val="2C384A" w:themeColor="accent1"/>
        </w:rPr>
        <w:continuationSeparator/>
      </w:r>
    </w:p>
  </w:footnote>
  <w:footnote w:type="continuationNotice" w:id="1">
    <w:p w14:paraId="5622A097" w14:textId="77777777" w:rsidR="000A4B20" w:rsidRDefault="000A4B20">
      <w:pPr>
        <w:spacing w:before="0" w:after="0"/>
      </w:pPr>
    </w:p>
  </w:footnote>
  <w:footnote w:id="2">
    <w:p w14:paraId="6935DAC5" w14:textId="7511A692" w:rsidR="00F23640" w:rsidRDefault="00F23640" w:rsidP="005C3AF1">
      <w:pPr>
        <w:pStyle w:val="FootnoteText"/>
        <w:ind w:left="142" w:hanging="142"/>
      </w:pPr>
      <w:r>
        <w:rPr>
          <w:rStyle w:val="FootnoteReference"/>
        </w:rPr>
        <w:footnoteRef/>
      </w:r>
      <w:r>
        <w:t xml:space="preserve"> This</w:t>
      </w:r>
      <w:r w:rsidR="002F7464">
        <w:t xml:space="preserve"> </w:t>
      </w:r>
      <w:r w:rsidR="007047AA">
        <w:t>model</w:t>
      </w:r>
      <w:r w:rsidR="005C3AF1">
        <w:t xml:space="preserve"> </w:t>
      </w:r>
      <w:r w:rsidR="001C1224">
        <w:t>has been adapted based on</w:t>
      </w:r>
      <w:r w:rsidR="005C3AF1">
        <w:t xml:space="preserve"> the </w:t>
      </w:r>
      <w:r w:rsidR="002F7464">
        <w:t>Department of Industry, Science and Resources’ Evaluation Strategy 2024–28, pp17-18</w:t>
      </w:r>
      <w:r w:rsidR="005B4F96">
        <w:t>:</w:t>
      </w:r>
      <w:r w:rsidR="002F7464">
        <w:t xml:space="preserve"> </w:t>
      </w:r>
      <w:hyperlink r:id="rId1" w:history="1">
        <w:r w:rsidR="00FF4908" w:rsidRPr="0056227A">
          <w:rPr>
            <w:rStyle w:val="Hyperlink"/>
          </w:rPr>
          <w:t>https://www.industry.gov.au/publications/evaluation-strategy-2024-2028</w:t>
        </w:r>
      </w:hyperlink>
    </w:p>
    <w:p w14:paraId="7BF4A3A6" w14:textId="77777777" w:rsidR="00FF4908" w:rsidRDefault="00FF49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A3AD" w14:textId="4D6013E0" w:rsidR="00672B5D" w:rsidRPr="00AC75E2" w:rsidRDefault="00AC75E2" w:rsidP="00AC75E2">
    <w:pPr>
      <w:pStyle w:val="HeaderEven"/>
    </w:pPr>
    <w:r>
      <w:rPr>
        <w:noProof/>
      </w:rPr>
      <w:drawing>
        <wp:anchor distT="0" distB="0" distL="114300" distR="114300" simplePos="0" relativeHeight="251658240" behindDoc="1" locked="1" layoutInCell="1" allowOverlap="1" wp14:anchorId="45D6FEDA" wp14:editId="63FBD12D">
          <wp:simplePos x="0" y="0"/>
          <wp:positionH relativeFrom="page">
            <wp:posOffset>-635</wp:posOffset>
          </wp:positionH>
          <wp:positionV relativeFrom="page">
            <wp:align>top</wp:align>
          </wp:positionV>
          <wp:extent cx="7570800" cy="1044000"/>
          <wp:effectExtent l="0" t="0" r="0" b="3810"/>
          <wp:wrapNone/>
          <wp:docPr id="1540941112" name="Picture 154094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9447" w14:textId="4DA19689" w:rsidR="00787E9C" w:rsidRDefault="00495A50">
    <w:pPr>
      <w:pStyle w:val="Header"/>
    </w:pPr>
    <w:r>
      <w:rPr>
        <w:noProof/>
      </w:rPr>
      <w:drawing>
        <wp:anchor distT="0" distB="0" distL="114300" distR="114300" simplePos="0" relativeHeight="251658241" behindDoc="1" locked="1" layoutInCell="1" allowOverlap="1" wp14:anchorId="4B18DC16" wp14:editId="67022E79">
          <wp:simplePos x="0" y="0"/>
          <wp:positionH relativeFrom="page">
            <wp:align>left</wp:align>
          </wp:positionH>
          <wp:positionV relativeFrom="page">
            <wp:align>top</wp:align>
          </wp:positionV>
          <wp:extent cx="7570470" cy="1043940"/>
          <wp:effectExtent l="0" t="0" r="0" b="3810"/>
          <wp:wrapNone/>
          <wp:docPr id="684132247" name="Picture 684132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01854" name="Picture 88690185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46A2" w14:textId="755B5F33"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33E9" w14:textId="5B6D47EF" w:rsidR="00495A50" w:rsidRDefault="0049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383"/>
    <w:multiLevelType w:val="multilevel"/>
    <w:tmpl w:val="F63AA9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D606AC"/>
    <w:multiLevelType w:val="multilevel"/>
    <w:tmpl w:val="69682D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176A14"/>
    <w:multiLevelType w:val="hybridMultilevel"/>
    <w:tmpl w:val="A69EAAF0"/>
    <w:lvl w:ilvl="0" w:tplc="4AE22A76">
      <w:start w:val="1"/>
      <w:numFmt w:val="decimal"/>
      <w:lvlText w:val="%1."/>
      <w:lvlJc w:val="left"/>
      <w:pPr>
        <w:ind w:left="1020" w:hanging="360"/>
      </w:pPr>
    </w:lvl>
    <w:lvl w:ilvl="1" w:tplc="4CCECA2C">
      <w:start w:val="1"/>
      <w:numFmt w:val="decimal"/>
      <w:lvlText w:val="%2."/>
      <w:lvlJc w:val="left"/>
      <w:pPr>
        <w:ind w:left="1020" w:hanging="360"/>
      </w:pPr>
    </w:lvl>
    <w:lvl w:ilvl="2" w:tplc="9D64704A">
      <w:start w:val="1"/>
      <w:numFmt w:val="decimal"/>
      <w:lvlText w:val="%3."/>
      <w:lvlJc w:val="left"/>
      <w:pPr>
        <w:ind w:left="1020" w:hanging="360"/>
      </w:pPr>
    </w:lvl>
    <w:lvl w:ilvl="3" w:tplc="551206C8">
      <w:start w:val="1"/>
      <w:numFmt w:val="decimal"/>
      <w:lvlText w:val="%4."/>
      <w:lvlJc w:val="left"/>
      <w:pPr>
        <w:ind w:left="1020" w:hanging="360"/>
      </w:pPr>
    </w:lvl>
    <w:lvl w:ilvl="4" w:tplc="84484772">
      <w:start w:val="1"/>
      <w:numFmt w:val="decimal"/>
      <w:lvlText w:val="%5."/>
      <w:lvlJc w:val="left"/>
      <w:pPr>
        <w:ind w:left="1020" w:hanging="360"/>
      </w:pPr>
    </w:lvl>
    <w:lvl w:ilvl="5" w:tplc="412E04E8">
      <w:start w:val="1"/>
      <w:numFmt w:val="decimal"/>
      <w:lvlText w:val="%6."/>
      <w:lvlJc w:val="left"/>
      <w:pPr>
        <w:ind w:left="1020" w:hanging="360"/>
      </w:pPr>
    </w:lvl>
    <w:lvl w:ilvl="6" w:tplc="9BE2AD6C">
      <w:start w:val="1"/>
      <w:numFmt w:val="decimal"/>
      <w:lvlText w:val="%7."/>
      <w:lvlJc w:val="left"/>
      <w:pPr>
        <w:ind w:left="1020" w:hanging="360"/>
      </w:pPr>
    </w:lvl>
    <w:lvl w:ilvl="7" w:tplc="8130B718">
      <w:start w:val="1"/>
      <w:numFmt w:val="decimal"/>
      <w:lvlText w:val="%8."/>
      <w:lvlJc w:val="left"/>
      <w:pPr>
        <w:ind w:left="1020" w:hanging="360"/>
      </w:pPr>
    </w:lvl>
    <w:lvl w:ilvl="8" w:tplc="A56828EA">
      <w:start w:val="1"/>
      <w:numFmt w:val="decimal"/>
      <w:lvlText w:val="%9."/>
      <w:lvlJc w:val="left"/>
      <w:pPr>
        <w:ind w:left="1020" w:hanging="360"/>
      </w:pPr>
    </w:lvl>
  </w:abstractNum>
  <w:abstractNum w:abstractNumId="11" w15:restartNumberingAfterBreak="0">
    <w:nsid w:val="40E66D2A"/>
    <w:multiLevelType w:val="multilevel"/>
    <w:tmpl w:val="610A214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360" w:hanging="36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2" w15:restartNumberingAfterBreak="0">
    <w:nsid w:val="510D2021"/>
    <w:multiLevelType w:val="multilevel"/>
    <w:tmpl w:val="72F8140E"/>
    <w:numStyleLink w:val="OutlineList"/>
  </w:abstractNum>
  <w:abstractNum w:abstractNumId="13" w15:restartNumberingAfterBreak="0">
    <w:nsid w:val="5EFF1E76"/>
    <w:multiLevelType w:val="multilevel"/>
    <w:tmpl w:val="D9FE9894"/>
    <w:lvl w:ilvl="0">
      <w:start w:val="1"/>
      <w:numFmt w:val="lowerRoman"/>
      <w:pStyle w:val="FigureChartMainHeading"/>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2203DDF"/>
    <w:multiLevelType w:val="multilevel"/>
    <w:tmpl w:val="DBAE61D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66A81841"/>
    <w:multiLevelType w:val="multilevel"/>
    <w:tmpl w:val="74BE29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6C181079"/>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7" w15:restartNumberingAfterBreak="0">
    <w:nsid w:val="732C27D7"/>
    <w:multiLevelType w:val="multilevel"/>
    <w:tmpl w:val="2DB03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6B5224"/>
    <w:multiLevelType w:val="multilevel"/>
    <w:tmpl w:val="D0AE1B12"/>
    <w:name w:val="StandardBulletedList"/>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DC13900"/>
    <w:multiLevelType w:val="multilevel"/>
    <w:tmpl w:val="B51C8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09446909">
    <w:abstractNumId w:val="7"/>
  </w:num>
  <w:num w:numId="2" w16cid:durableId="230386874">
    <w:abstractNumId w:val="1"/>
  </w:num>
  <w:num w:numId="3" w16cid:durableId="1716855291">
    <w:abstractNumId w:val="9"/>
  </w:num>
  <w:num w:numId="4" w16cid:durableId="797724066">
    <w:abstractNumId w:val="2"/>
  </w:num>
  <w:num w:numId="5" w16cid:durableId="306596971">
    <w:abstractNumId w:val="12"/>
  </w:num>
  <w:num w:numId="6" w16cid:durableId="1739129519">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043020558">
    <w:abstractNumId w:val="4"/>
  </w:num>
  <w:num w:numId="8" w16cid:durableId="832991063">
    <w:abstractNumId w:val="6"/>
  </w:num>
  <w:num w:numId="9" w16cid:durableId="626086807">
    <w:abstractNumId w:val="13"/>
  </w:num>
  <w:num w:numId="10" w16cid:durableId="143200778">
    <w:abstractNumId w:val="8"/>
  </w:num>
  <w:num w:numId="11" w16cid:durableId="1017973052">
    <w:abstractNumId w:val="3"/>
  </w:num>
  <w:num w:numId="12" w16cid:durableId="1534227257">
    <w:abstractNumId w:val="16"/>
  </w:num>
  <w:num w:numId="13" w16cid:durableId="2012680815">
    <w:abstractNumId w:val="0"/>
  </w:num>
  <w:num w:numId="14" w16cid:durableId="123692962">
    <w:abstractNumId w:val="18"/>
  </w:num>
  <w:num w:numId="15" w16cid:durableId="647058567">
    <w:abstractNumId w:val="19"/>
  </w:num>
  <w:num w:numId="16" w16cid:durableId="1859343269">
    <w:abstractNumId w:val="15"/>
  </w:num>
  <w:num w:numId="17" w16cid:durableId="1628511307">
    <w:abstractNumId w:val="17"/>
  </w:num>
  <w:num w:numId="18" w16cid:durableId="2116706890">
    <w:abstractNumId w:val="10"/>
  </w:num>
  <w:num w:numId="19" w16cid:durableId="1993101683">
    <w:abstractNumId w:val="14"/>
  </w:num>
  <w:num w:numId="20" w16cid:durableId="1707291877">
    <w:abstractNumId w:val="11"/>
  </w:num>
  <w:num w:numId="21" w16cid:durableId="163814583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E1930E-D34B-43B9-ACC6-CA74A0877F14}"/>
    <w:docVar w:name="dgnword-eventsink" w:val="2104228080224"/>
    <w:docVar w:name="dgnword-lastRevisionsView" w:val="0"/>
    <w:docVar w:name="SecurityClassificationInHeader" w:val="False"/>
  </w:docVars>
  <w:rsids>
    <w:rsidRoot w:val="008F1667"/>
    <w:rsid w:val="00000600"/>
    <w:rsid w:val="00000B99"/>
    <w:rsid w:val="00000DCB"/>
    <w:rsid w:val="00000F86"/>
    <w:rsid w:val="00001DF0"/>
    <w:rsid w:val="00001E63"/>
    <w:rsid w:val="00002015"/>
    <w:rsid w:val="00003556"/>
    <w:rsid w:val="000040DB"/>
    <w:rsid w:val="0000428F"/>
    <w:rsid w:val="00004571"/>
    <w:rsid w:val="0000478A"/>
    <w:rsid w:val="0000548E"/>
    <w:rsid w:val="000072B8"/>
    <w:rsid w:val="000073AA"/>
    <w:rsid w:val="00007A66"/>
    <w:rsid w:val="000106DE"/>
    <w:rsid w:val="0001093E"/>
    <w:rsid w:val="000109B2"/>
    <w:rsid w:val="00010C6B"/>
    <w:rsid w:val="00010DDC"/>
    <w:rsid w:val="00010E72"/>
    <w:rsid w:val="000116AB"/>
    <w:rsid w:val="00011725"/>
    <w:rsid w:val="0001176C"/>
    <w:rsid w:val="00012C62"/>
    <w:rsid w:val="0001396A"/>
    <w:rsid w:val="000140E5"/>
    <w:rsid w:val="000146BE"/>
    <w:rsid w:val="000153F3"/>
    <w:rsid w:val="000162A4"/>
    <w:rsid w:val="00016604"/>
    <w:rsid w:val="0001670A"/>
    <w:rsid w:val="00020552"/>
    <w:rsid w:val="00020593"/>
    <w:rsid w:val="00021792"/>
    <w:rsid w:val="00022114"/>
    <w:rsid w:val="000233EB"/>
    <w:rsid w:val="000236FC"/>
    <w:rsid w:val="00023C21"/>
    <w:rsid w:val="00024048"/>
    <w:rsid w:val="000243C1"/>
    <w:rsid w:val="0002544D"/>
    <w:rsid w:val="0002557F"/>
    <w:rsid w:val="000255DC"/>
    <w:rsid w:val="00025FF6"/>
    <w:rsid w:val="00030802"/>
    <w:rsid w:val="000312D8"/>
    <w:rsid w:val="000315E1"/>
    <w:rsid w:val="0003185C"/>
    <w:rsid w:val="00032966"/>
    <w:rsid w:val="00032C0B"/>
    <w:rsid w:val="00033162"/>
    <w:rsid w:val="000337B7"/>
    <w:rsid w:val="00034464"/>
    <w:rsid w:val="000345D7"/>
    <w:rsid w:val="000359C5"/>
    <w:rsid w:val="0003601B"/>
    <w:rsid w:val="000361FA"/>
    <w:rsid w:val="00037B76"/>
    <w:rsid w:val="00040353"/>
    <w:rsid w:val="000405F1"/>
    <w:rsid w:val="00040AED"/>
    <w:rsid w:val="00040E3E"/>
    <w:rsid w:val="00040F3E"/>
    <w:rsid w:val="0004179E"/>
    <w:rsid w:val="00041C8B"/>
    <w:rsid w:val="00042222"/>
    <w:rsid w:val="0004274D"/>
    <w:rsid w:val="00042835"/>
    <w:rsid w:val="00042AAC"/>
    <w:rsid w:val="00042BB6"/>
    <w:rsid w:val="00042E92"/>
    <w:rsid w:val="00043348"/>
    <w:rsid w:val="00043F46"/>
    <w:rsid w:val="0004483F"/>
    <w:rsid w:val="00044E7B"/>
    <w:rsid w:val="0004621F"/>
    <w:rsid w:val="0004652C"/>
    <w:rsid w:val="000468E9"/>
    <w:rsid w:val="00046CB4"/>
    <w:rsid w:val="00047436"/>
    <w:rsid w:val="00047466"/>
    <w:rsid w:val="00047999"/>
    <w:rsid w:val="00047A61"/>
    <w:rsid w:val="00047DD5"/>
    <w:rsid w:val="0005138B"/>
    <w:rsid w:val="000522B7"/>
    <w:rsid w:val="0005255C"/>
    <w:rsid w:val="00052AB1"/>
    <w:rsid w:val="00052CE4"/>
    <w:rsid w:val="00053717"/>
    <w:rsid w:val="00053C8C"/>
    <w:rsid w:val="000545C0"/>
    <w:rsid w:val="00054E27"/>
    <w:rsid w:val="00055382"/>
    <w:rsid w:val="000555C3"/>
    <w:rsid w:val="0005570C"/>
    <w:rsid w:val="00055F3C"/>
    <w:rsid w:val="00056858"/>
    <w:rsid w:val="00056880"/>
    <w:rsid w:val="00057B79"/>
    <w:rsid w:val="000639D7"/>
    <w:rsid w:val="00064AF3"/>
    <w:rsid w:val="0006529B"/>
    <w:rsid w:val="000655C7"/>
    <w:rsid w:val="00065633"/>
    <w:rsid w:val="00065FF0"/>
    <w:rsid w:val="00066457"/>
    <w:rsid w:val="0006654B"/>
    <w:rsid w:val="00066F6B"/>
    <w:rsid w:val="00067074"/>
    <w:rsid w:val="000675D1"/>
    <w:rsid w:val="00067D8F"/>
    <w:rsid w:val="0007040F"/>
    <w:rsid w:val="00070D1B"/>
    <w:rsid w:val="00071251"/>
    <w:rsid w:val="00071581"/>
    <w:rsid w:val="0007163E"/>
    <w:rsid w:val="00071C0C"/>
    <w:rsid w:val="00072293"/>
    <w:rsid w:val="0007235F"/>
    <w:rsid w:val="00072B01"/>
    <w:rsid w:val="00072B9C"/>
    <w:rsid w:val="00072BCF"/>
    <w:rsid w:val="00072DBE"/>
    <w:rsid w:val="0007351E"/>
    <w:rsid w:val="00073521"/>
    <w:rsid w:val="000736A2"/>
    <w:rsid w:val="000737B4"/>
    <w:rsid w:val="00073951"/>
    <w:rsid w:val="00074733"/>
    <w:rsid w:val="00074C87"/>
    <w:rsid w:val="00075327"/>
    <w:rsid w:val="000757C5"/>
    <w:rsid w:val="00075C39"/>
    <w:rsid w:val="00075D16"/>
    <w:rsid w:val="0007639E"/>
    <w:rsid w:val="00076E50"/>
    <w:rsid w:val="00076EC0"/>
    <w:rsid w:val="000773F7"/>
    <w:rsid w:val="000775DE"/>
    <w:rsid w:val="00077800"/>
    <w:rsid w:val="00077FFD"/>
    <w:rsid w:val="00080C32"/>
    <w:rsid w:val="00080EDE"/>
    <w:rsid w:val="00081D3E"/>
    <w:rsid w:val="00081DDB"/>
    <w:rsid w:val="00082FDF"/>
    <w:rsid w:val="0008380A"/>
    <w:rsid w:val="00083F2F"/>
    <w:rsid w:val="00083F91"/>
    <w:rsid w:val="000841EF"/>
    <w:rsid w:val="00084661"/>
    <w:rsid w:val="00085DEC"/>
    <w:rsid w:val="000867D1"/>
    <w:rsid w:val="00086911"/>
    <w:rsid w:val="00086A3A"/>
    <w:rsid w:val="0008737E"/>
    <w:rsid w:val="00087FAF"/>
    <w:rsid w:val="0009069F"/>
    <w:rsid w:val="00092366"/>
    <w:rsid w:val="000930F7"/>
    <w:rsid w:val="0009434C"/>
    <w:rsid w:val="00094553"/>
    <w:rsid w:val="00094A90"/>
    <w:rsid w:val="00095D88"/>
    <w:rsid w:val="0009603B"/>
    <w:rsid w:val="0009618B"/>
    <w:rsid w:val="000961BF"/>
    <w:rsid w:val="000974F6"/>
    <w:rsid w:val="000974FE"/>
    <w:rsid w:val="000A1416"/>
    <w:rsid w:val="000A34F7"/>
    <w:rsid w:val="000A4B20"/>
    <w:rsid w:val="000A616B"/>
    <w:rsid w:val="000A766B"/>
    <w:rsid w:val="000A7AE5"/>
    <w:rsid w:val="000A7F77"/>
    <w:rsid w:val="000B093F"/>
    <w:rsid w:val="000B0B7C"/>
    <w:rsid w:val="000B0EEB"/>
    <w:rsid w:val="000B0F07"/>
    <w:rsid w:val="000B1216"/>
    <w:rsid w:val="000B1D7D"/>
    <w:rsid w:val="000B2000"/>
    <w:rsid w:val="000B2354"/>
    <w:rsid w:val="000B302A"/>
    <w:rsid w:val="000B32E6"/>
    <w:rsid w:val="000B3F72"/>
    <w:rsid w:val="000B4172"/>
    <w:rsid w:val="000B4772"/>
    <w:rsid w:val="000B53D2"/>
    <w:rsid w:val="000B6C34"/>
    <w:rsid w:val="000B72FB"/>
    <w:rsid w:val="000B730A"/>
    <w:rsid w:val="000B7AD4"/>
    <w:rsid w:val="000C1B9B"/>
    <w:rsid w:val="000C22D5"/>
    <w:rsid w:val="000C2A36"/>
    <w:rsid w:val="000C3929"/>
    <w:rsid w:val="000C3D6D"/>
    <w:rsid w:val="000C5270"/>
    <w:rsid w:val="000C571D"/>
    <w:rsid w:val="000C5F40"/>
    <w:rsid w:val="000C6493"/>
    <w:rsid w:val="000C67EF"/>
    <w:rsid w:val="000C6F45"/>
    <w:rsid w:val="000C6F94"/>
    <w:rsid w:val="000C7120"/>
    <w:rsid w:val="000C72A3"/>
    <w:rsid w:val="000C77A8"/>
    <w:rsid w:val="000C782C"/>
    <w:rsid w:val="000C7C78"/>
    <w:rsid w:val="000D0E16"/>
    <w:rsid w:val="000D1167"/>
    <w:rsid w:val="000D1826"/>
    <w:rsid w:val="000D25F3"/>
    <w:rsid w:val="000D2A3F"/>
    <w:rsid w:val="000D2A53"/>
    <w:rsid w:val="000D2D97"/>
    <w:rsid w:val="000D32D8"/>
    <w:rsid w:val="000D408E"/>
    <w:rsid w:val="000D4D6F"/>
    <w:rsid w:val="000D5158"/>
    <w:rsid w:val="000D5361"/>
    <w:rsid w:val="000D561A"/>
    <w:rsid w:val="000D6357"/>
    <w:rsid w:val="000D65FD"/>
    <w:rsid w:val="000D6EFD"/>
    <w:rsid w:val="000D7C75"/>
    <w:rsid w:val="000D7D05"/>
    <w:rsid w:val="000E03FE"/>
    <w:rsid w:val="000E0831"/>
    <w:rsid w:val="000E0903"/>
    <w:rsid w:val="000E0B74"/>
    <w:rsid w:val="000E13DD"/>
    <w:rsid w:val="000E1CE0"/>
    <w:rsid w:val="000E3D07"/>
    <w:rsid w:val="000E3FD6"/>
    <w:rsid w:val="000E4534"/>
    <w:rsid w:val="000E503C"/>
    <w:rsid w:val="000E55F0"/>
    <w:rsid w:val="000E60A3"/>
    <w:rsid w:val="000E615D"/>
    <w:rsid w:val="000E63FB"/>
    <w:rsid w:val="000E642D"/>
    <w:rsid w:val="000E6F6C"/>
    <w:rsid w:val="000E7901"/>
    <w:rsid w:val="000E7FE1"/>
    <w:rsid w:val="000F0B4A"/>
    <w:rsid w:val="000F0FA7"/>
    <w:rsid w:val="000F161C"/>
    <w:rsid w:val="000F1A1E"/>
    <w:rsid w:val="000F1A7D"/>
    <w:rsid w:val="000F1D46"/>
    <w:rsid w:val="000F1FC1"/>
    <w:rsid w:val="000F2155"/>
    <w:rsid w:val="000F3148"/>
    <w:rsid w:val="000F39E5"/>
    <w:rsid w:val="000F490A"/>
    <w:rsid w:val="000F5464"/>
    <w:rsid w:val="000F5D24"/>
    <w:rsid w:val="000F6233"/>
    <w:rsid w:val="000F71B0"/>
    <w:rsid w:val="000F79CD"/>
    <w:rsid w:val="00100261"/>
    <w:rsid w:val="00100BE9"/>
    <w:rsid w:val="00101880"/>
    <w:rsid w:val="00102247"/>
    <w:rsid w:val="0010231A"/>
    <w:rsid w:val="00102461"/>
    <w:rsid w:val="001029C1"/>
    <w:rsid w:val="00102ABD"/>
    <w:rsid w:val="00102B5B"/>
    <w:rsid w:val="00103F3C"/>
    <w:rsid w:val="00103FC7"/>
    <w:rsid w:val="00103FDC"/>
    <w:rsid w:val="001060C5"/>
    <w:rsid w:val="00106800"/>
    <w:rsid w:val="001068E9"/>
    <w:rsid w:val="00106A06"/>
    <w:rsid w:val="00107248"/>
    <w:rsid w:val="001073DF"/>
    <w:rsid w:val="0011037D"/>
    <w:rsid w:val="00110454"/>
    <w:rsid w:val="00110544"/>
    <w:rsid w:val="00110558"/>
    <w:rsid w:val="00110BE3"/>
    <w:rsid w:val="00111578"/>
    <w:rsid w:val="00111624"/>
    <w:rsid w:val="001118CB"/>
    <w:rsid w:val="00111FA1"/>
    <w:rsid w:val="001124B4"/>
    <w:rsid w:val="00112C4F"/>
    <w:rsid w:val="00112E2A"/>
    <w:rsid w:val="001134C0"/>
    <w:rsid w:val="00113CB9"/>
    <w:rsid w:val="00114649"/>
    <w:rsid w:val="00116307"/>
    <w:rsid w:val="00117821"/>
    <w:rsid w:val="00117947"/>
    <w:rsid w:val="00117D17"/>
    <w:rsid w:val="001211BF"/>
    <w:rsid w:val="00121778"/>
    <w:rsid w:val="00121F09"/>
    <w:rsid w:val="00122164"/>
    <w:rsid w:val="0012254D"/>
    <w:rsid w:val="0012256D"/>
    <w:rsid w:val="0012282F"/>
    <w:rsid w:val="00122C4B"/>
    <w:rsid w:val="00122E31"/>
    <w:rsid w:val="00122FDB"/>
    <w:rsid w:val="00123133"/>
    <w:rsid w:val="0012337E"/>
    <w:rsid w:val="001249FF"/>
    <w:rsid w:val="00124A55"/>
    <w:rsid w:val="001253A5"/>
    <w:rsid w:val="00126806"/>
    <w:rsid w:val="00126CDD"/>
    <w:rsid w:val="001300BB"/>
    <w:rsid w:val="001301A8"/>
    <w:rsid w:val="0013070A"/>
    <w:rsid w:val="00130E16"/>
    <w:rsid w:val="001315FD"/>
    <w:rsid w:val="00131659"/>
    <w:rsid w:val="00131DC3"/>
    <w:rsid w:val="00132E5C"/>
    <w:rsid w:val="00133D3F"/>
    <w:rsid w:val="001345E4"/>
    <w:rsid w:val="00134654"/>
    <w:rsid w:val="00134BA1"/>
    <w:rsid w:val="001357AF"/>
    <w:rsid w:val="00135B3F"/>
    <w:rsid w:val="00135D3C"/>
    <w:rsid w:val="00135E4C"/>
    <w:rsid w:val="001373F5"/>
    <w:rsid w:val="00137E1B"/>
    <w:rsid w:val="00140948"/>
    <w:rsid w:val="00140B2F"/>
    <w:rsid w:val="00141031"/>
    <w:rsid w:val="0014140F"/>
    <w:rsid w:val="00142165"/>
    <w:rsid w:val="00143390"/>
    <w:rsid w:val="00143481"/>
    <w:rsid w:val="001439CE"/>
    <w:rsid w:val="001441B5"/>
    <w:rsid w:val="001441C3"/>
    <w:rsid w:val="0014439C"/>
    <w:rsid w:val="001452FA"/>
    <w:rsid w:val="0014713F"/>
    <w:rsid w:val="001478AF"/>
    <w:rsid w:val="0015026C"/>
    <w:rsid w:val="00150AD6"/>
    <w:rsid w:val="00150E99"/>
    <w:rsid w:val="00151016"/>
    <w:rsid w:val="00151169"/>
    <w:rsid w:val="00151340"/>
    <w:rsid w:val="00151ECE"/>
    <w:rsid w:val="00152283"/>
    <w:rsid w:val="0015242A"/>
    <w:rsid w:val="00152F0E"/>
    <w:rsid w:val="0015313C"/>
    <w:rsid w:val="00154C8D"/>
    <w:rsid w:val="00156D3F"/>
    <w:rsid w:val="00156F77"/>
    <w:rsid w:val="001574C0"/>
    <w:rsid w:val="00157A8E"/>
    <w:rsid w:val="00157EB9"/>
    <w:rsid w:val="001606CF"/>
    <w:rsid w:val="00161023"/>
    <w:rsid w:val="00161054"/>
    <w:rsid w:val="0016128D"/>
    <w:rsid w:val="00161520"/>
    <w:rsid w:val="001618A8"/>
    <w:rsid w:val="00161C78"/>
    <w:rsid w:val="00161CBB"/>
    <w:rsid w:val="00162515"/>
    <w:rsid w:val="001633F3"/>
    <w:rsid w:val="00163880"/>
    <w:rsid w:val="00163C53"/>
    <w:rsid w:val="00164599"/>
    <w:rsid w:val="001648DA"/>
    <w:rsid w:val="001651ED"/>
    <w:rsid w:val="00167D32"/>
    <w:rsid w:val="00167D66"/>
    <w:rsid w:val="00167E68"/>
    <w:rsid w:val="001705E2"/>
    <w:rsid w:val="0017089D"/>
    <w:rsid w:val="00170B06"/>
    <w:rsid w:val="001714EC"/>
    <w:rsid w:val="00173F08"/>
    <w:rsid w:val="00174A35"/>
    <w:rsid w:val="00175F51"/>
    <w:rsid w:val="00176DB8"/>
    <w:rsid w:val="00176F0C"/>
    <w:rsid w:val="00176F20"/>
    <w:rsid w:val="00177C8F"/>
    <w:rsid w:val="00177CBB"/>
    <w:rsid w:val="0018057D"/>
    <w:rsid w:val="001805A8"/>
    <w:rsid w:val="00180B11"/>
    <w:rsid w:val="00180B7E"/>
    <w:rsid w:val="00180CAB"/>
    <w:rsid w:val="00181721"/>
    <w:rsid w:val="00182DA1"/>
    <w:rsid w:val="00183173"/>
    <w:rsid w:val="00184679"/>
    <w:rsid w:val="00185F1C"/>
    <w:rsid w:val="00185FEB"/>
    <w:rsid w:val="001870EC"/>
    <w:rsid w:val="001871F1"/>
    <w:rsid w:val="00187353"/>
    <w:rsid w:val="001873B5"/>
    <w:rsid w:val="00187F46"/>
    <w:rsid w:val="001907E5"/>
    <w:rsid w:val="0019101A"/>
    <w:rsid w:val="00192016"/>
    <w:rsid w:val="001934D4"/>
    <w:rsid w:val="00193771"/>
    <w:rsid w:val="001938E3"/>
    <w:rsid w:val="00193D8F"/>
    <w:rsid w:val="001942E3"/>
    <w:rsid w:val="00195092"/>
    <w:rsid w:val="0019564F"/>
    <w:rsid w:val="00195814"/>
    <w:rsid w:val="00195C8E"/>
    <w:rsid w:val="001963B8"/>
    <w:rsid w:val="00196F73"/>
    <w:rsid w:val="00197021"/>
    <w:rsid w:val="001972D2"/>
    <w:rsid w:val="001972D7"/>
    <w:rsid w:val="001A10A8"/>
    <w:rsid w:val="001A1F1D"/>
    <w:rsid w:val="001A2BA0"/>
    <w:rsid w:val="001A461E"/>
    <w:rsid w:val="001A5452"/>
    <w:rsid w:val="001A55B3"/>
    <w:rsid w:val="001A579F"/>
    <w:rsid w:val="001A607D"/>
    <w:rsid w:val="001A619C"/>
    <w:rsid w:val="001A66B7"/>
    <w:rsid w:val="001A6CFA"/>
    <w:rsid w:val="001A7481"/>
    <w:rsid w:val="001B074D"/>
    <w:rsid w:val="001B14A7"/>
    <w:rsid w:val="001B1885"/>
    <w:rsid w:val="001B2078"/>
    <w:rsid w:val="001B2755"/>
    <w:rsid w:val="001B2997"/>
    <w:rsid w:val="001B2C07"/>
    <w:rsid w:val="001B4045"/>
    <w:rsid w:val="001B7D37"/>
    <w:rsid w:val="001C04F0"/>
    <w:rsid w:val="001C08F8"/>
    <w:rsid w:val="001C0D68"/>
    <w:rsid w:val="001C0F39"/>
    <w:rsid w:val="001C1224"/>
    <w:rsid w:val="001C1E84"/>
    <w:rsid w:val="001C2BAD"/>
    <w:rsid w:val="001C303D"/>
    <w:rsid w:val="001C30A6"/>
    <w:rsid w:val="001C3388"/>
    <w:rsid w:val="001C358D"/>
    <w:rsid w:val="001C3B67"/>
    <w:rsid w:val="001C40A0"/>
    <w:rsid w:val="001C4D8A"/>
    <w:rsid w:val="001C531F"/>
    <w:rsid w:val="001C5509"/>
    <w:rsid w:val="001C5593"/>
    <w:rsid w:val="001C5BDF"/>
    <w:rsid w:val="001C6458"/>
    <w:rsid w:val="001C778D"/>
    <w:rsid w:val="001D0147"/>
    <w:rsid w:val="001D01C3"/>
    <w:rsid w:val="001D033C"/>
    <w:rsid w:val="001D034E"/>
    <w:rsid w:val="001D077D"/>
    <w:rsid w:val="001D08EE"/>
    <w:rsid w:val="001D0E79"/>
    <w:rsid w:val="001D1FDF"/>
    <w:rsid w:val="001D2C1D"/>
    <w:rsid w:val="001D49E7"/>
    <w:rsid w:val="001D4C12"/>
    <w:rsid w:val="001D4D79"/>
    <w:rsid w:val="001D70E7"/>
    <w:rsid w:val="001D7AAB"/>
    <w:rsid w:val="001D7ED3"/>
    <w:rsid w:val="001E050A"/>
    <w:rsid w:val="001E0538"/>
    <w:rsid w:val="001E1528"/>
    <w:rsid w:val="001E1E26"/>
    <w:rsid w:val="001E219D"/>
    <w:rsid w:val="001E3117"/>
    <w:rsid w:val="001E370A"/>
    <w:rsid w:val="001E3755"/>
    <w:rsid w:val="001E4FFB"/>
    <w:rsid w:val="001E6066"/>
    <w:rsid w:val="001E60DE"/>
    <w:rsid w:val="001E6D4B"/>
    <w:rsid w:val="001F01DA"/>
    <w:rsid w:val="001F0217"/>
    <w:rsid w:val="001F1B27"/>
    <w:rsid w:val="001F2128"/>
    <w:rsid w:val="001F25EA"/>
    <w:rsid w:val="001F2678"/>
    <w:rsid w:val="001F2B3C"/>
    <w:rsid w:val="001F2CA7"/>
    <w:rsid w:val="001F32C1"/>
    <w:rsid w:val="001F3533"/>
    <w:rsid w:val="001F3F5E"/>
    <w:rsid w:val="001F5481"/>
    <w:rsid w:val="001F5BCB"/>
    <w:rsid w:val="001F654A"/>
    <w:rsid w:val="001F78EE"/>
    <w:rsid w:val="00201411"/>
    <w:rsid w:val="00201C08"/>
    <w:rsid w:val="002024A0"/>
    <w:rsid w:val="002024BD"/>
    <w:rsid w:val="00203C30"/>
    <w:rsid w:val="00204886"/>
    <w:rsid w:val="002048E2"/>
    <w:rsid w:val="00204BA5"/>
    <w:rsid w:val="00204E56"/>
    <w:rsid w:val="00205EB5"/>
    <w:rsid w:val="002063D1"/>
    <w:rsid w:val="002066BE"/>
    <w:rsid w:val="00207322"/>
    <w:rsid w:val="002079F0"/>
    <w:rsid w:val="002112E1"/>
    <w:rsid w:val="002117A9"/>
    <w:rsid w:val="0021182D"/>
    <w:rsid w:val="00212E03"/>
    <w:rsid w:val="00212E6F"/>
    <w:rsid w:val="00213020"/>
    <w:rsid w:val="0021412A"/>
    <w:rsid w:val="002148C0"/>
    <w:rsid w:val="00214CFE"/>
    <w:rsid w:val="002152C5"/>
    <w:rsid w:val="00215E90"/>
    <w:rsid w:val="00215F5F"/>
    <w:rsid w:val="00216083"/>
    <w:rsid w:val="00216F28"/>
    <w:rsid w:val="00217766"/>
    <w:rsid w:val="00220444"/>
    <w:rsid w:val="00220D90"/>
    <w:rsid w:val="00221383"/>
    <w:rsid w:val="00221EC0"/>
    <w:rsid w:val="00222670"/>
    <w:rsid w:val="00223616"/>
    <w:rsid w:val="00223CF3"/>
    <w:rsid w:val="00224372"/>
    <w:rsid w:val="0022463F"/>
    <w:rsid w:val="002248C1"/>
    <w:rsid w:val="00224A44"/>
    <w:rsid w:val="0022523C"/>
    <w:rsid w:val="0022543B"/>
    <w:rsid w:val="002255E8"/>
    <w:rsid w:val="00226D94"/>
    <w:rsid w:val="00227BF4"/>
    <w:rsid w:val="00231049"/>
    <w:rsid w:val="002314D2"/>
    <w:rsid w:val="00231982"/>
    <w:rsid w:val="00232159"/>
    <w:rsid w:val="002321D0"/>
    <w:rsid w:val="002326B5"/>
    <w:rsid w:val="00232958"/>
    <w:rsid w:val="00232A7F"/>
    <w:rsid w:val="0023305C"/>
    <w:rsid w:val="002331EC"/>
    <w:rsid w:val="0023339E"/>
    <w:rsid w:val="0023474C"/>
    <w:rsid w:val="00234BF1"/>
    <w:rsid w:val="00235961"/>
    <w:rsid w:val="00237197"/>
    <w:rsid w:val="002377A6"/>
    <w:rsid w:val="00237E29"/>
    <w:rsid w:val="00241177"/>
    <w:rsid w:val="00241608"/>
    <w:rsid w:val="002417AC"/>
    <w:rsid w:val="00241881"/>
    <w:rsid w:val="00241F34"/>
    <w:rsid w:val="0024294C"/>
    <w:rsid w:val="00242E26"/>
    <w:rsid w:val="00243D6D"/>
    <w:rsid w:val="00243E88"/>
    <w:rsid w:val="00244604"/>
    <w:rsid w:val="00244719"/>
    <w:rsid w:val="002447FD"/>
    <w:rsid w:val="002454DF"/>
    <w:rsid w:val="002458E3"/>
    <w:rsid w:val="00245AF4"/>
    <w:rsid w:val="002461BA"/>
    <w:rsid w:val="00246473"/>
    <w:rsid w:val="00246B5E"/>
    <w:rsid w:val="00246B9D"/>
    <w:rsid w:val="00246DCB"/>
    <w:rsid w:val="00247BBB"/>
    <w:rsid w:val="00247D8C"/>
    <w:rsid w:val="00247E88"/>
    <w:rsid w:val="002510EF"/>
    <w:rsid w:val="00252F6C"/>
    <w:rsid w:val="0025300C"/>
    <w:rsid w:val="002532EF"/>
    <w:rsid w:val="0025406B"/>
    <w:rsid w:val="002543D8"/>
    <w:rsid w:val="00254CA7"/>
    <w:rsid w:val="00254F0D"/>
    <w:rsid w:val="002555C1"/>
    <w:rsid w:val="0025581E"/>
    <w:rsid w:val="00255BB5"/>
    <w:rsid w:val="00255FA5"/>
    <w:rsid w:val="0025640E"/>
    <w:rsid w:val="0025652F"/>
    <w:rsid w:val="002571EB"/>
    <w:rsid w:val="00257433"/>
    <w:rsid w:val="00257B1D"/>
    <w:rsid w:val="002602DF"/>
    <w:rsid w:val="00260745"/>
    <w:rsid w:val="002609A0"/>
    <w:rsid w:val="00261B19"/>
    <w:rsid w:val="00261EBD"/>
    <w:rsid w:val="00263B6C"/>
    <w:rsid w:val="002640FE"/>
    <w:rsid w:val="002651CC"/>
    <w:rsid w:val="0026562E"/>
    <w:rsid w:val="002668F7"/>
    <w:rsid w:val="00266E30"/>
    <w:rsid w:val="00267D92"/>
    <w:rsid w:val="0027158C"/>
    <w:rsid w:val="00272939"/>
    <w:rsid w:val="0027428E"/>
    <w:rsid w:val="0027446F"/>
    <w:rsid w:val="0027590B"/>
    <w:rsid w:val="0027616B"/>
    <w:rsid w:val="00276E60"/>
    <w:rsid w:val="0028017F"/>
    <w:rsid w:val="00280CB6"/>
    <w:rsid w:val="00280E90"/>
    <w:rsid w:val="00281A72"/>
    <w:rsid w:val="00283B8B"/>
    <w:rsid w:val="00284925"/>
    <w:rsid w:val="00284CDB"/>
    <w:rsid w:val="00284D57"/>
    <w:rsid w:val="0028557E"/>
    <w:rsid w:val="00285752"/>
    <w:rsid w:val="0028579A"/>
    <w:rsid w:val="00285969"/>
    <w:rsid w:val="00285E0C"/>
    <w:rsid w:val="00285E4F"/>
    <w:rsid w:val="002869DB"/>
    <w:rsid w:val="00287531"/>
    <w:rsid w:val="00287AC6"/>
    <w:rsid w:val="00290695"/>
    <w:rsid w:val="0029101B"/>
    <w:rsid w:val="002910D8"/>
    <w:rsid w:val="00291529"/>
    <w:rsid w:val="00291883"/>
    <w:rsid w:val="002918E0"/>
    <w:rsid w:val="00292E2A"/>
    <w:rsid w:val="00292FFC"/>
    <w:rsid w:val="00293879"/>
    <w:rsid w:val="00293A24"/>
    <w:rsid w:val="00293C74"/>
    <w:rsid w:val="00293D5F"/>
    <w:rsid w:val="00294825"/>
    <w:rsid w:val="00294B9D"/>
    <w:rsid w:val="00294BC2"/>
    <w:rsid w:val="002955A1"/>
    <w:rsid w:val="00295616"/>
    <w:rsid w:val="002957A1"/>
    <w:rsid w:val="00295B30"/>
    <w:rsid w:val="00295B36"/>
    <w:rsid w:val="00296F41"/>
    <w:rsid w:val="00297DAE"/>
    <w:rsid w:val="00297DBA"/>
    <w:rsid w:val="002A07D3"/>
    <w:rsid w:val="002A0CF1"/>
    <w:rsid w:val="002A270E"/>
    <w:rsid w:val="002A32C4"/>
    <w:rsid w:val="002A4D10"/>
    <w:rsid w:val="002A50E4"/>
    <w:rsid w:val="002A527F"/>
    <w:rsid w:val="002A5DBC"/>
    <w:rsid w:val="002A617A"/>
    <w:rsid w:val="002A6285"/>
    <w:rsid w:val="002A62EF"/>
    <w:rsid w:val="002A6533"/>
    <w:rsid w:val="002A6EF1"/>
    <w:rsid w:val="002A74EF"/>
    <w:rsid w:val="002A7A31"/>
    <w:rsid w:val="002A7E8F"/>
    <w:rsid w:val="002A7F1C"/>
    <w:rsid w:val="002B037C"/>
    <w:rsid w:val="002B127F"/>
    <w:rsid w:val="002B3829"/>
    <w:rsid w:val="002B387C"/>
    <w:rsid w:val="002B39E3"/>
    <w:rsid w:val="002B4D0D"/>
    <w:rsid w:val="002B51CD"/>
    <w:rsid w:val="002B5B70"/>
    <w:rsid w:val="002B6883"/>
    <w:rsid w:val="002B68D0"/>
    <w:rsid w:val="002B6D92"/>
    <w:rsid w:val="002B7432"/>
    <w:rsid w:val="002C067B"/>
    <w:rsid w:val="002C0E67"/>
    <w:rsid w:val="002C1289"/>
    <w:rsid w:val="002C22A6"/>
    <w:rsid w:val="002C22EF"/>
    <w:rsid w:val="002C2A65"/>
    <w:rsid w:val="002C395A"/>
    <w:rsid w:val="002C43F8"/>
    <w:rsid w:val="002C4566"/>
    <w:rsid w:val="002C4BBE"/>
    <w:rsid w:val="002C59BE"/>
    <w:rsid w:val="002D0F91"/>
    <w:rsid w:val="002D1244"/>
    <w:rsid w:val="002D12EB"/>
    <w:rsid w:val="002D1646"/>
    <w:rsid w:val="002D21B8"/>
    <w:rsid w:val="002D35A0"/>
    <w:rsid w:val="002D371E"/>
    <w:rsid w:val="002D3BD8"/>
    <w:rsid w:val="002D3D7B"/>
    <w:rsid w:val="002D45B6"/>
    <w:rsid w:val="002D4A12"/>
    <w:rsid w:val="002D4F91"/>
    <w:rsid w:val="002D552C"/>
    <w:rsid w:val="002D5D0F"/>
    <w:rsid w:val="002D5F95"/>
    <w:rsid w:val="002D6804"/>
    <w:rsid w:val="002D7087"/>
    <w:rsid w:val="002D7939"/>
    <w:rsid w:val="002D7AE0"/>
    <w:rsid w:val="002E062E"/>
    <w:rsid w:val="002E1209"/>
    <w:rsid w:val="002E1245"/>
    <w:rsid w:val="002E16D8"/>
    <w:rsid w:val="002E1FB6"/>
    <w:rsid w:val="002E3F0A"/>
    <w:rsid w:val="002E4173"/>
    <w:rsid w:val="002E446B"/>
    <w:rsid w:val="002E454C"/>
    <w:rsid w:val="002E4D40"/>
    <w:rsid w:val="002E4F86"/>
    <w:rsid w:val="002E5577"/>
    <w:rsid w:val="002E5728"/>
    <w:rsid w:val="002E586C"/>
    <w:rsid w:val="002E5E34"/>
    <w:rsid w:val="002E64E5"/>
    <w:rsid w:val="002E66A5"/>
    <w:rsid w:val="002E7F58"/>
    <w:rsid w:val="002F037D"/>
    <w:rsid w:val="002F1114"/>
    <w:rsid w:val="002F1F5E"/>
    <w:rsid w:val="002F2105"/>
    <w:rsid w:val="002F21B2"/>
    <w:rsid w:val="002F27B9"/>
    <w:rsid w:val="002F3C0F"/>
    <w:rsid w:val="002F504B"/>
    <w:rsid w:val="002F5274"/>
    <w:rsid w:val="002F57FF"/>
    <w:rsid w:val="002F5BF0"/>
    <w:rsid w:val="002F603A"/>
    <w:rsid w:val="002F610A"/>
    <w:rsid w:val="002F617F"/>
    <w:rsid w:val="002F6A2A"/>
    <w:rsid w:val="002F7464"/>
    <w:rsid w:val="002F7FCB"/>
    <w:rsid w:val="00300109"/>
    <w:rsid w:val="0030043D"/>
    <w:rsid w:val="00301459"/>
    <w:rsid w:val="00301755"/>
    <w:rsid w:val="0030184C"/>
    <w:rsid w:val="00301B29"/>
    <w:rsid w:val="0030349A"/>
    <w:rsid w:val="0030367C"/>
    <w:rsid w:val="003041C3"/>
    <w:rsid w:val="00304390"/>
    <w:rsid w:val="003047BF"/>
    <w:rsid w:val="00304C8D"/>
    <w:rsid w:val="00304FF0"/>
    <w:rsid w:val="00305448"/>
    <w:rsid w:val="00305512"/>
    <w:rsid w:val="0030605F"/>
    <w:rsid w:val="0030665E"/>
    <w:rsid w:val="00306894"/>
    <w:rsid w:val="003069CC"/>
    <w:rsid w:val="0030708A"/>
    <w:rsid w:val="003072CA"/>
    <w:rsid w:val="00307655"/>
    <w:rsid w:val="00307B35"/>
    <w:rsid w:val="00310E0B"/>
    <w:rsid w:val="003116BE"/>
    <w:rsid w:val="00311D60"/>
    <w:rsid w:val="003122AC"/>
    <w:rsid w:val="003122F4"/>
    <w:rsid w:val="003123FB"/>
    <w:rsid w:val="003124F8"/>
    <w:rsid w:val="00313700"/>
    <w:rsid w:val="00313EAB"/>
    <w:rsid w:val="00314BF1"/>
    <w:rsid w:val="00314C77"/>
    <w:rsid w:val="00314D34"/>
    <w:rsid w:val="00315457"/>
    <w:rsid w:val="00315B96"/>
    <w:rsid w:val="003167B4"/>
    <w:rsid w:val="00316DCC"/>
    <w:rsid w:val="00317512"/>
    <w:rsid w:val="00320577"/>
    <w:rsid w:val="00321804"/>
    <w:rsid w:val="0032192F"/>
    <w:rsid w:val="003233C8"/>
    <w:rsid w:val="0032349D"/>
    <w:rsid w:val="00323597"/>
    <w:rsid w:val="0032443E"/>
    <w:rsid w:val="00325B2E"/>
    <w:rsid w:val="00325CFA"/>
    <w:rsid w:val="003268D5"/>
    <w:rsid w:val="00326C4B"/>
    <w:rsid w:val="003276AF"/>
    <w:rsid w:val="00330618"/>
    <w:rsid w:val="00330846"/>
    <w:rsid w:val="00330943"/>
    <w:rsid w:val="00330D1A"/>
    <w:rsid w:val="003318CF"/>
    <w:rsid w:val="0033215B"/>
    <w:rsid w:val="003321B1"/>
    <w:rsid w:val="003328C8"/>
    <w:rsid w:val="00334894"/>
    <w:rsid w:val="00335656"/>
    <w:rsid w:val="0033755F"/>
    <w:rsid w:val="00337895"/>
    <w:rsid w:val="00340159"/>
    <w:rsid w:val="00340196"/>
    <w:rsid w:val="00340752"/>
    <w:rsid w:val="00340CE9"/>
    <w:rsid w:val="00341364"/>
    <w:rsid w:val="00341AE1"/>
    <w:rsid w:val="00342002"/>
    <w:rsid w:val="00342036"/>
    <w:rsid w:val="003422DE"/>
    <w:rsid w:val="00342C48"/>
    <w:rsid w:val="00343688"/>
    <w:rsid w:val="00343AC0"/>
    <w:rsid w:val="003448F6"/>
    <w:rsid w:val="003450F6"/>
    <w:rsid w:val="003459D4"/>
    <w:rsid w:val="00346732"/>
    <w:rsid w:val="003474A9"/>
    <w:rsid w:val="00347741"/>
    <w:rsid w:val="0035033C"/>
    <w:rsid w:val="0035039F"/>
    <w:rsid w:val="00350759"/>
    <w:rsid w:val="00350B0D"/>
    <w:rsid w:val="00350B2E"/>
    <w:rsid w:val="003516DA"/>
    <w:rsid w:val="00352157"/>
    <w:rsid w:val="00352A13"/>
    <w:rsid w:val="003534E6"/>
    <w:rsid w:val="00353916"/>
    <w:rsid w:val="00354430"/>
    <w:rsid w:val="00354D1A"/>
    <w:rsid w:val="00354D27"/>
    <w:rsid w:val="0035510C"/>
    <w:rsid w:val="00355426"/>
    <w:rsid w:val="00355FEB"/>
    <w:rsid w:val="00356040"/>
    <w:rsid w:val="003563F7"/>
    <w:rsid w:val="003567D3"/>
    <w:rsid w:val="00356D8B"/>
    <w:rsid w:val="00357384"/>
    <w:rsid w:val="0035738A"/>
    <w:rsid w:val="003576CE"/>
    <w:rsid w:val="003612F0"/>
    <w:rsid w:val="00361B39"/>
    <w:rsid w:val="0036278F"/>
    <w:rsid w:val="00362B82"/>
    <w:rsid w:val="00362C2E"/>
    <w:rsid w:val="00362CEE"/>
    <w:rsid w:val="00362E5E"/>
    <w:rsid w:val="003635DD"/>
    <w:rsid w:val="0036451E"/>
    <w:rsid w:val="00364888"/>
    <w:rsid w:val="00364C85"/>
    <w:rsid w:val="00364EA1"/>
    <w:rsid w:val="00364FB3"/>
    <w:rsid w:val="003658A8"/>
    <w:rsid w:val="003665A0"/>
    <w:rsid w:val="003675BF"/>
    <w:rsid w:val="003679F5"/>
    <w:rsid w:val="003701F3"/>
    <w:rsid w:val="00370437"/>
    <w:rsid w:val="00370969"/>
    <w:rsid w:val="00370BC9"/>
    <w:rsid w:val="0037125F"/>
    <w:rsid w:val="003712CF"/>
    <w:rsid w:val="00371793"/>
    <w:rsid w:val="00371A2A"/>
    <w:rsid w:val="00371B43"/>
    <w:rsid w:val="00371BC3"/>
    <w:rsid w:val="00372A0B"/>
    <w:rsid w:val="003734C2"/>
    <w:rsid w:val="00374696"/>
    <w:rsid w:val="00374F15"/>
    <w:rsid w:val="0037502D"/>
    <w:rsid w:val="0037539D"/>
    <w:rsid w:val="00375637"/>
    <w:rsid w:val="00375655"/>
    <w:rsid w:val="00375DF0"/>
    <w:rsid w:val="00376B38"/>
    <w:rsid w:val="00376F5B"/>
    <w:rsid w:val="0037782B"/>
    <w:rsid w:val="00377AA9"/>
    <w:rsid w:val="00377B1D"/>
    <w:rsid w:val="00377B8D"/>
    <w:rsid w:val="00380AFD"/>
    <w:rsid w:val="00380BE5"/>
    <w:rsid w:val="0038114C"/>
    <w:rsid w:val="00382260"/>
    <w:rsid w:val="003822B7"/>
    <w:rsid w:val="003825D0"/>
    <w:rsid w:val="00382F80"/>
    <w:rsid w:val="003838B1"/>
    <w:rsid w:val="003843F6"/>
    <w:rsid w:val="00385162"/>
    <w:rsid w:val="00385290"/>
    <w:rsid w:val="003858A6"/>
    <w:rsid w:val="00385A7B"/>
    <w:rsid w:val="00386297"/>
    <w:rsid w:val="00386EEB"/>
    <w:rsid w:val="003905E1"/>
    <w:rsid w:val="003907DE"/>
    <w:rsid w:val="003912ED"/>
    <w:rsid w:val="00391471"/>
    <w:rsid w:val="00391622"/>
    <w:rsid w:val="00391719"/>
    <w:rsid w:val="00391841"/>
    <w:rsid w:val="0039200D"/>
    <w:rsid w:val="003921BC"/>
    <w:rsid w:val="00392AA4"/>
    <w:rsid w:val="00392B87"/>
    <w:rsid w:val="00392DCC"/>
    <w:rsid w:val="00392F5A"/>
    <w:rsid w:val="00393E65"/>
    <w:rsid w:val="00395373"/>
    <w:rsid w:val="00395BA8"/>
    <w:rsid w:val="0039668F"/>
    <w:rsid w:val="00396F4F"/>
    <w:rsid w:val="00397BB5"/>
    <w:rsid w:val="003A040F"/>
    <w:rsid w:val="003A0E20"/>
    <w:rsid w:val="003A100A"/>
    <w:rsid w:val="003A11CC"/>
    <w:rsid w:val="003A1D0A"/>
    <w:rsid w:val="003A1E16"/>
    <w:rsid w:val="003A33FC"/>
    <w:rsid w:val="003A3CCA"/>
    <w:rsid w:val="003A4EE3"/>
    <w:rsid w:val="003A4F23"/>
    <w:rsid w:val="003A5540"/>
    <w:rsid w:val="003A5558"/>
    <w:rsid w:val="003A5B36"/>
    <w:rsid w:val="003A76D0"/>
    <w:rsid w:val="003A7ACC"/>
    <w:rsid w:val="003B1424"/>
    <w:rsid w:val="003B27E2"/>
    <w:rsid w:val="003B30B0"/>
    <w:rsid w:val="003B3682"/>
    <w:rsid w:val="003B3A5E"/>
    <w:rsid w:val="003B44F3"/>
    <w:rsid w:val="003B5186"/>
    <w:rsid w:val="003B5BD3"/>
    <w:rsid w:val="003B5E59"/>
    <w:rsid w:val="003B660C"/>
    <w:rsid w:val="003B713C"/>
    <w:rsid w:val="003C05AC"/>
    <w:rsid w:val="003C0C1C"/>
    <w:rsid w:val="003C0E7C"/>
    <w:rsid w:val="003C24B4"/>
    <w:rsid w:val="003C286F"/>
    <w:rsid w:val="003C2CB2"/>
    <w:rsid w:val="003C307A"/>
    <w:rsid w:val="003C33D4"/>
    <w:rsid w:val="003C37C9"/>
    <w:rsid w:val="003C3F8C"/>
    <w:rsid w:val="003C492B"/>
    <w:rsid w:val="003C50D7"/>
    <w:rsid w:val="003C5638"/>
    <w:rsid w:val="003C5D03"/>
    <w:rsid w:val="003C6531"/>
    <w:rsid w:val="003C71E1"/>
    <w:rsid w:val="003C7853"/>
    <w:rsid w:val="003D0AA8"/>
    <w:rsid w:val="003D0FE4"/>
    <w:rsid w:val="003D1FD2"/>
    <w:rsid w:val="003D21C7"/>
    <w:rsid w:val="003D2804"/>
    <w:rsid w:val="003D3B48"/>
    <w:rsid w:val="003D3C47"/>
    <w:rsid w:val="003D4597"/>
    <w:rsid w:val="003D5699"/>
    <w:rsid w:val="003D5C96"/>
    <w:rsid w:val="003D6860"/>
    <w:rsid w:val="003D7905"/>
    <w:rsid w:val="003D7A7B"/>
    <w:rsid w:val="003D7DFB"/>
    <w:rsid w:val="003D7F4C"/>
    <w:rsid w:val="003E1BAB"/>
    <w:rsid w:val="003E1E2D"/>
    <w:rsid w:val="003E20A8"/>
    <w:rsid w:val="003E20D6"/>
    <w:rsid w:val="003E22B0"/>
    <w:rsid w:val="003E2CD2"/>
    <w:rsid w:val="003E2DA4"/>
    <w:rsid w:val="003E2F9A"/>
    <w:rsid w:val="003E4D04"/>
    <w:rsid w:val="003E4D87"/>
    <w:rsid w:val="003E59C9"/>
    <w:rsid w:val="003E60CC"/>
    <w:rsid w:val="003E64F0"/>
    <w:rsid w:val="003E766F"/>
    <w:rsid w:val="003E7ECA"/>
    <w:rsid w:val="003F064E"/>
    <w:rsid w:val="003F1448"/>
    <w:rsid w:val="003F1597"/>
    <w:rsid w:val="003F2778"/>
    <w:rsid w:val="003F2903"/>
    <w:rsid w:val="003F2C4E"/>
    <w:rsid w:val="003F39C9"/>
    <w:rsid w:val="003F48DA"/>
    <w:rsid w:val="003F4F46"/>
    <w:rsid w:val="003F540A"/>
    <w:rsid w:val="003F5593"/>
    <w:rsid w:val="003F56A6"/>
    <w:rsid w:val="003F6745"/>
    <w:rsid w:val="003F7B8B"/>
    <w:rsid w:val="00400530"/>
    <w:rsid w:val="00400AA9"/>
    <w:rsid w:val="00400E56"/>
    <w:rsid w:val="00401082"/>
    <w:rsid w:val="00401BCB"/>
    <w:rsid w:val="00402816"/>
    <w:rsid w:val="00402DEF"/>
    <w:rsid w:val="00402F8B"/>
    <w:rsid w:val="00404127"/>
    <w:rsid w:val="00404240"/>
    <w:rsid w:val="00404804"/>
    <w:rsid w:val="004048F4"/>
    <w:rsid w:val="00404980"/>
    <w:rsid w:val="00405D73"/>
    <w:rsid w:val="00406FA0"/>
    <w:rsid w:val="0040739E"/>
    <w:rsid w:val="0040776B"/>
    <w:rsid w:val="00410309"/>
    <w:rsid w:val="00410819"/>
    <w:rsid w:val="0041129B"/>
    <w:rsid w:val="0041165C"/>
    <w:rsid w:val="0041167C"/>
    <w:rsid w:val="004141DD"/>
    <w:rsid w:val="00414254"/>
    <w:rsid w:val="00415095"/>
    <w:rsid w:val="00415D3D"/>
    <w:rsid w:val="00416762"/>
    <w:rsid w:val="00416B04"/>
    <w:rsid w:val="00416E55"/>
    <w:rsid w:val="00417906"/>
    <w:rsid w:val="00421955"/>
    <w:rsid w:val="00421C4C"/>
    <w:rsid w:val="00422010"/>
    <w:rsid w:val="00422677"/>
    <w:rsid w:val="00422D01"/>
    <w:rsid w:val="00423802"/>
    <w:rsid w:val="00423F0D"/>
    <w:rsid w:val="00424385"/>
    <w:rsid w:val="00424FA1"/>
    <w:rsid w:val="004250CB"/>
    <w:rsid w:val="0042518A"/>
    <w:rsid w:val="0042534F"/>
    <w:rsid w:val="00425C32"/>
    <w:rsid w:val="00425EBB"/>
    <w:rsid w:val="004276A0"/>
    <w:rsid w:val="004306A3"/>
    <w:rsid w:val="004325EE"/>
    <w:rsid w:val="00432CFA"/>
    <w:rsid w:val="004335F0"/>
    <w:rsid w:val="0043374B"/>
    <w:rsid w:val="00434255"/>
    <w:rsid w:val="004346F1"/>
    <w:rsid w:val="004349F9"/>
    <w:rsid w:val="004358E0"/>
    <w:rsid w:val="00441264"/>
    <w:rsid w:val="004412D3"/>
    <w:rsid w:val="004417E6"/>
    <w:rsid w:val="00441CAA"/>
    <w:rsid w:val="00442475"/>
    <w:rsid w:val="004434B0"/>
    <w:rsid w:val="0044376D"/>
    <w:rsid w:val="00443777"/>
    <w:rsid w:val="00443F7C"/>
    <w:rsid w:val="00444A63"/>
    <w:rsid w:val="00444B21"/>
    <w:rsid w:val="00444CDB"/>
    <w:rsid w:val="00445265"/>
    <w:rsid w:val="0044571F"/>
    <w:rsid w:val="0044575C"/>
    <w:rsid w:val="00445C06"/>
    <w:rsid w:val="00445F78"/>
    <w:rsid w:val="00446061"/>
    <w:rsid w:val="004474CF"/>
    <w:rsid w:val="0044771F"/>
    <w:rsid w:val="00450713"/>
    <w:rsid w:val="004507F2"/>
    <w:rsid w:val="00450C96"/>
    <w:rsid w:val="00451067"/>
    <w:rsid w:val="0045121C"/>
    <w:rsid w:val="0045143F"/>
    <w:rsid w:val="0045171B"/>
    <w:rsid w:val="00451736"/>
    <w:rsid w:val="00451FEE"/>
    <w:rsid w:val="00452552"/>
    <w:rsid w:val="00452B67"/>
    <w:rsid w:val="00454549"/>
    <w:rsid w:val="00454804"/>
    <w:rsid w:val="00454AD2"/>
    <w:rsid w:val="0045535A"/>
    <w:rsid w:val="004559CE"/>
    <w:rsid w:val="00455BDC"/>
    <w:rsid w:val="004567F0"/>
    <w:rsid w:val="004577B7"/>
    <w:rsid w:val="00457C12"/>
    <w:rsid w:val="004602C2"/>
    <w:rsid w:val="00460E1A"/>
    <w:rsid w:val="00461152"/>
    <w:rsid w:val="00461A97"/>
    <w:rsid w:val="0046244C"/>
    <w:rsid w:val="00462517"/>
    <w:rsid w:val="00463A6E"/>
    <w:rsid w:val="00463AD1"/>
    <w:rsid w:val="00463DF8"/>
    <w:rsid w:val="004642E9"/>
    <w:rsid w:val="00465343"/>
    <w:rsid w:val="0046547A"/>
    <w:rsid w:val="00465F41"/>
    <w:rsid w:val="0046644C"/>
    <w:rsid w:val="004678F6"/>
    <w:rsid w:val="004709FA"/>
    <w:rsid w:val="00470A5B"/>
    <w:rsid w:val="004712DA"/>
    <w:rsid w:val="0047131C"/>
    <w:rsid w:val="00472002"/>
    <w:rsid w:val="0047299C"/>
    <w:rsid w:val="00472F9A"/>
    <w:rsid w:val="004734B2"/>
    <w:rsid w:val="00474EBB"/>
    <w:rsid w:val="00475064"/>
    <w:rsid w:val="00475085"/>
    <w:rsid w:val="00475E17"/>
    <w:rsid w:val="00475EDB"/>
    <w:rsid w:val="0047686A"/>
    <w:rsid w:val="00476CF6"/>
    <w:rsid w:val="00477887"/>
    <w:rsid w:val="00477AA8"/>
    <w:rsid w:val="00477BE2"/>
    <w:rsid w:val="004805C2"/>
    <w:rsid w:val="00481DBF"/>
    <w:rsid w:val="00482C43"/>
    <w:rsid w:val="004849F0"/>
    <w:rsid w:val="00484FE5"/>
    <w:rsid w:val="004854AA"/>
    <w:rsid w:val="00485ABC"/>
    <w:rsid w:val="00486472"/>
    <w:rsid w:val="00486F78"/>
    <w:rsid w:val="004873FF"/>
    <w:rsid w:val="004874A1"/>
    <w:rsid w:val="0048792B"/>
    <w:rsid w:val="00487F33"/>
    <w:rsid w:val="00490969"/>
    <w:rsid w:val="0049176B"/>
    <w:rsid w:val="00491781"/>
    <w:rsid w:val="00491B6D"/>
    <w:rsid w:val="00491D49"/>
    <w:rsid w:val="0049296D"/>
    <w:rsid w:val="00492AED"/>
    <w:rsid w:val="00492ED4"/>
    <w:rsid w:val="00492FCB"/>
    <w:rsid w:val="00493F24"/>
    <w:rsid w:val="004941AE"/>
    <w:rsid w:val="00495799"/>
    <w:rsid w:val="00495A50"/>
    <w:rsid w:val="00495CDC"/>
    <w:rsid w:val="00495E9B"/>
    <w:rsid w:val="00496BCF"/>
    <w:rsid w:val="00496D7D"/>
    <w:rsid w:val="004A060B"/>
    <w:rsid w:val="004A069D"/>
    <w:rsid w:val="004A071E"/>
    <w:rsid w:val="004A0F11"/>
    <w:rsid w:val="004A23C5"/>
    <w:rsid w:val="004A28A2"/>
    <w:rsid w:val="004A3363"/>
    <w:rsid w:val="004A3847"/>
    <w:rsid w:val="004A3B78"/>
    <w:rsid w:val="004A3EAA"/>
    <w:rsid w:val="004A4617"/>
    <w:rsid w:val="004A4819"/>
    <w:rsid w:val="004A4875"/>
    <w:rsid w:val="004A4ABE"/>
    <w:rsid w:val="004A50EA"/>
    <w:rsid w:val="004A518D"/>
    <w:rsid w:val="004A5C17"/>
    <w:rsid w:val="004A6483"/>
    <w:rsid w:val="004A655D"/>
    <w:rsid w:val="004A7A72"/>
    <w:rsid w:val="004A7D97"/>
    <w:rsid w:val="004A7EE5"/>
    <w:rsid w:val="004A7EF1"/>
    <w:rsid w:val="004A7F05"/>
    <w:rsid w:val="004B04D8"/>
    <w:rsid w:val="004B13D9"/>
    <w:rsid w:val="004B3AF6"/>
    <w:rsid w:val="004B3B63"/>
    <w:rsid w:val="004B44B3"/>
    <w:rsid w:val="004B45FA"/>
    <w:rsid w:val="004B5133"/>
    <w:rsid w:val="004B54A3"/>
    <w:rsid w:val="004B675A"/>
    <w:rsid w:val="004B6A25"/>
    <w:rsid w:val="004C010B"/>
    <w:rsid w:val="004C0D70"/>
    <w:rsid w:val="004C1C5F"/>
    <w:rsid w:val="004C1D4A"/>
    <w:rsid w:val="004C1E88"/>
    <w:rsid w:val="004C25E3"/>
    <w:rsid w:val="004C271A"/>
    <w:rsid w:val="004C2902"/>
    <w:rsid w:val="004C3448"/>
    <w:rsid w:val="004C37E4"/>
    <w:rsid w:val="004C41B6"/>
    <w:rsid w:val="004C4724"/>
    <w:rsid w:val="004C50B8"/>
    <w:rsid w:val="004C5A6B"/>
    <w:rsid w:val="004C5BC7"/>
    <w:rsid w:val="004C61AD"/>
    <w:rsid w:val="004C682F"/>
    <w:rsid w:val="004C6C35"/>
    <w:rsid w:val="004D00D7"/>
    <w:rsid w:val="004D017A"/>
    <w:rsid w:val="004D064B"/>
    <w:rsid w:val="004D087A"/>
    <w:rsid w:val="004D0C67"/>
    <w:rsid w:val="004D1341"/>
    <w:rsid w:val="004D1BDF"/>
    <w:rsid w:val="004D1F86"/>
    <w:rsid w:val="004D2E8C"/>
    <w:rsid w:val="004D2EEB"/>
    <w:rsid w:val="004D2EEC"/>
    <w:rsid w:val="004D3268"/>
    <w:rsid w:val="004D55A5"/>
    <w:rsid w:val="004D5AA9"/>
    <w:rsid w:val="004D5C52"/>
    <w:rsid w:val="004D626D"/>
    <w:rsid w:val="004D6453"/>
    <w:rsid w:val="004D65CB"/>
    <w:rsid w:val="004D6E37"/>
    <w:rsid w:val="004D72B1"/>
    <w:rsid w:val="004D7452"/>
    <w:rsid w:val="004D749E"/>
    <w:rsid w:val="004D7E54"/>
    <w:rsid w:val="004D7FE3"/>
    <w:rsid w:val="004E00EA"/>
    <w:rsid w:val="004E0663"/>
    <w:rsid w:val="004E0A59"/>
    <w:rsid w:val="004E2516"/>
    <w:rsid w:val="004E27A1"/>
    <w:rsid w:val="004E3BF2"/>
    <w:rsid w:val="004E3F74"/>
    <w:rsid w:val="004E4129"/>
    <w:rsid w:val="004E42DF"/>
    <w:rsid w:val="004E43D3"/>
    <w:rsid w:val="004E4490"/>
    <w:rsid w:val="004E49F8"/>
    <w:rsid w:val="004E4BCE"/>
    <w:rsid w:val="004E585D"/>
    <w:rsid w:val="004E5AE0"/>
    <w:rsid w:val="004E5B4B"/>
    <w:rsid w:val="004E6429"/>
    <w:rsid w:val="004E6B14"/>
    <w:rsid w:val="004E7225"/>
    <w:rsid w:val="004F05DF"/>
    <w:rsid w:val="004F16D8"/>
    <w:rsid w:val="004F1C83"/>
    <w:rsid w:val="004F2A8A"/>
    <w:rsid w:val="004F3AB8"/>
    <w:rsid w:val="004F3B4A"/>
    <w:rsid w:val="004F3C60"/>
    <w:rsid w:val="004F3F4B"/>
    <w:rsid w:val="004F4B0C"/>
    <w:rsid w:val="004F4B92"/>
    <w:rsid w:val="004F4D4A"/>
    <w:rsid w:val="004F512E"/>
    <w:rsid w:val="004F52AB"/>
    <w:rsid w:val="004F5B84"/>
    <w:rsid w:val="004F6590"/>
    <w:rsid w:val="004F6F52"/>
    <w:rsid w:val="004F6FE1"/>
    <w:rsid w:val="004F79D9"/>
    <w:rsid w:val="004F7E57"/>
    <w:rsid w:val="00500158"/>
    <w:rsid w:val="005008A0"/>
    <w:rsid w:val="005009CE"/>
    <w:rsid w:val="00500CEF"/>
    <w:rsid w:val="005019DE"/>
    <w:rsid w:val="00501B6C"/>
    <w:rsid w:val="00502092"/>
    <w:rsid w:val="005021DF"/>
    <w:rsid w:val="00502A9D"/>
    <w:rsid w:val="0050399F"/>
    <w:rsid w:val="00504A4E"/>
    <w:rsid w:val="00504A67"/>
    <w:rsid w:val="00504A7D"/>
    <w:rsid w:val="005052A5"/>
    <w:rsid w:val="005057C7"/>
    <w:rsid w:val="0050580A"/>
    <w:rsid w:val="00506C0D"/>
    <w:rsid w:val="0050735B"/>
    <w:rsid w:val="00507867"/>
    <w:rsid w:val="00507D4F"/>
    <w:rsid w:val="005103D9"/>
    <w:rsid w:val="00510755"/>
    <w:rsid w:val="00511131"/>
    <w:rsid w:val="00513641"/>
    <w:rsid w:val="0051410B"/>
    <w:rsid w:val="0051419E"/>
    <w:rsid w:val="00514359"/>
    <w:rsid w:val="0051449B"/>
    <w:rsid w:val="00514A41"/>
    <w:rsid w:val="00514A48"/>
    <w:rsid w:val="00514DAA"/>
    <w:rsid w:val="005155F2"/>
    <w:rsid w:val="00515A32"/>
    <w:rsid w:val="00515B15"/>
    <w:rsid w:val="00515C2D"/>
    <w:rsid w:val="0051602E"/>
    <w:rsid w:val="0051618D"/>
    <w:rsid w:val="0051655D"/>
    <w:rsid w:val="00516785"/>
    <w:rsid w:val="0051699E"/>
    <w:rsid w:val="00517223"/>
    <w:rsid w:val="005174F8"/>
    <w:rsid w:val="00517F8D"/>
    <w:rsid w:val="00522E7E"/>
    <w:rsid w:val="0052341E"/>
    <w:rsid w:val="00523DDE"/>
    <w:rsid w:val="00523F5A"/>
    <w:rsid w:val="00524019"/>
    <w:rsid w:val="0052419D"/>
    <w:rsid w:val="005248C0"/>
    <w:rsid w:val="00524A9D"/>
    <w:rsid w:val="0052565C"/>
    <w:rsid w:val="005258C8"/>
    <w:rsid w:val="00525F08"/>
    <w:rsid w:val="00526689"/>
    <w:rsid w:val="005266BB"/>
    <w:rsid w:val="00526B26"/>
    <w:rsid w:val="00526CB0"/>
    <w:rsid w:val="00527019"/>
    <w:rsid w:val="005273C6"/>
    <w:rsid w:val="00527860"/>
    <w:rsid w:val="00527D08"/>
    <w:rsid w:val="00530171"/>
    <w:rsid w:val="005301F8"/>
    <w:rsid w:val="005305E2"/>
    <w:rsid w:val="00530745"/>
    <w:rsid w:val="00530C36"/>
    <w:rsid w:val="005312FC"/>
    <w:rsid w:val="00531622"/>
    <w:rsid w:val="00531766"/>
    <w:rsid w:val="00531A23"/>
    <w:rsid w:val="00531C51"/>
    <w:rsid w:val="005323A7"/>
    <w:rsid w:val="005326B9"/>
    <w:rsid w:val="00532C6D"/>
    <w:rsid w:val="00532D65"/>
    <w:rsid w:val="00532F09"/>
    <w:rsid w:val="00534581"/>
    <w:rsid w:val="00534F82"/>
    <w:rsid w:val="0053569E"/>
    <w:rsid w:val="00535ACA"/>
    <w:rsid w:val="00535E48"/>
    <w:rsid w:val="0053603D"/>
    <w:rsid w:val="005367E0"/>
    <w:rsid w:val="005369DE"/>
    <w:rsid w:val="00536B2D"/>
    <w:rsid w:val="00536E11"/>
    <w:rsid w:val="0053742A"/>
    <w:rsid w:val="0053750A"/>
    <w:rsid w:val="005376B6"/>
    <w:rsid w:val="00537AA6"/>
    <w:rsid w:val="00537C85"/>
    <w:rsid w:val="0054010E"/>
    <w:rsid w:val="005404F1"/>
    <w:rsid w:val="00540724"/>
    <w:rsid w:val="00540930"/>
    <w:rsid w:val="00540EB3"/>
    <w:rsid w:val="00541D29"/>
    <w:rsid w:val="005422C8"/>
    <w:rsid w:val="005423FB"/>
    <w:rsid w:val="00543ECF"/>
    <w:rsid w:val="00543F23"/>
    <w:rsid w:val="00544622"/>
    <w:rsid w:val="00544FA7"/>
    <w:rsid w:val="00545937"/>
    <w:rsid w:val="00546EA6"/>
    <w:rsid w:val="00546FFB"/>
    <w:rsid w:val="0055022A"/>
    <w:rsid w:val="005504D2"/>
    <w:rsid w:val="00550D27"/>
    <w:rsid w:val="0055130F"/>
    <w:rsid w:val="00551578"/>
    <w:rsid w:val="00551769"/>
    <w:rsid w:val="00551F3A"/>
    <w:rsid w:val="0055206F"/>
    <w:rsid w:val="00552466"/>
    <w:rsid w:val="005526F1"/>
    <w:rsid w:val="0055285B"/>
    <w:rsid w:val="00553AD0"/>
    <w:rsid w:val="00553B57"/>
    <w:rsid w:val="00553E79"/>
    <w:rsid w:val="00554B80"/>
    <w:rsid w:val="00554E2D"/>
    <w:rsid w:val="0055519A"/>
    <w:rsid w:val="00556091"/>
    <w:rsid w:val="0055657B"/>
    <w:rsid w:val="0055727F"/>
    <w:rsid w:val="005575C2"/>
    <w:rsid w:val="00557713"/>
    <w:rsid w:val="00557CA5"/>
    <w:rsid w:val="0056085B"/>
    <w:rsid w:val="005614FE"/>
    <w:rsid w:val="00561D36"/>
    <w:rsid w:val="00561FA1"/>
    <w:rsid w:val="00562149"/>
    <w:rsid w:val="0056299C"/>
    <w:rsid w:val="00562F17"/>
    <w:rsid w:val="005638EC"/>
    <w:rsid w:val="00563B70"/>
    <w:rsid w:val="00563C85"/>
    <w:rsid w:val="00564148"/>
    <w:rsid w:val="0056446F"/>
    <w:rsid w:val="005651A9"/>
    <w:rsid w:val="00565803"/>
    <w:rsid w:val="0056582C"/>
    <w:rsid w:val="0056684B"/>
    <w:rsid w:val="00566B87"/>
    <w:rsid w:val="005678CD"/>
    <w:rsid w:val="00570F34"/>
    <w:rsid w:val="005718A5"/>
    <w:rsid w:val="00571D1D"/>
    <w:rsid w:val="00571E73"/>
    <w:rsid w:val="0057303F"/>
    <w:rsid w:val="00573881"/>
    <w:rsid w:val="005745B7"/>
    <w:rsid w:val="00574CE2"/>
    <w:rsid w:val="00575C54"/>
    <w:rsid w:val="0057601B"/>
    <w:rsid w:val="005760B1"/>
    <w:rsid w:val="00576188"/>
    <w:rsid w:val="00576A73"/>
    <w:rsid w:val="00576C38"/>
    <w:rsid w:val="00577140"/>
    <w:rsid w:val="005771C8"/>
    <w:rsid w:val="005775E0"/>
    <w:rsid w:val="00577671"/>
    <w:rsid w:val="005776B2"/>
    <w:rsid w:val="00577AA5"/>
    <w:rsid w:val="00580148"/>
    <w:rsid w:val="00580B83"/>
    <w:rsid w:val="00580D7D"/>
    <w:rsid w:val="00581A1C"/>
    <w:rsid w:val="00581B74"/>
    <w:rsid w:val="005832DA"/>
    <w:rsid w:val="0058379E"/>
    <w:rsid w:val="00583D69"/>
    <w:rsid w:val="00584652"/>
    <w:rsid w:val="00585057"/>
    <w:rsid w:val="0058512C"/>
    <w:rsid w:val="00585A76"/>
    <w:rsid w:val="00585B11"/>
    <w:rsid w:val="00585D1C"/>
    <w:rsid w:val="00585D2E"/>
    <w:rsid w:val="005862A7"/>
    <w:rsid w:val="00586304"/>
    <w:rsid w:val="0058637C"/>
    <w:rsid w:val="005864F3"/>
    <w:rsid w:val="00586605"/>
    <w:rsid w:val="00586883"/>
    <w:rsid w:val="005868DE"/>
    <w:rsid w:val="005870E8"/>
    <w:rsid w:val="0058724B"/>
    <w:rsid w:val="005877AC"/>
    <w:rsid w:val="0059016E"/>
    <w:rsid w:val="00590A82"/>
    <w:rsid w:val="0059116D"/>
    <w:rsid w:val="005923B2"/>
    <w:rsid w:val="00592B58"/>
    <w:rsid w:val="0059357D"/>
    <w:rsid w:val="0059367E"/>
    <w:rsid w:val="005961C7"/>
    <w:rsid w:val="0059629D"/>
    <w:rsid w:val="005962B8"/>
    <w:rsid w:val="00596533"/>
    <w:rsid w:val="005966B7"/>
    <w:rsid w:val="00596709"/>
    <w:rsid w:val="00596A49"/>
    <w:rsid w:val="005976C3"/>
    <w:rsid w:val="00597723"/>
    <w:rsid w:val="005A0111"/>
    <w:rsid w:val="005A0CF7"/>
    <w:rsid w:val="005A1282"/>
    <w:rsid w:val="005A1B1D"/>
    <w:rsid w:val="005A1C31"/>
    <w:rsid w:val="005A235D"/>
    <w:rsid w:val="005A242B"/>
    <w:rsid w:val="005A248F"/>
    <w:rsid w:val="005A25DF"/>
    <w:rsid w:val="005A2E0E"/>
    <w:rsid w:val="005A404E"/>
    <w:rsid w:val="005A480A"/>
    <w:rsid w:val="005A489F"/>
    <w:rsid w:val="005A5092"/>
    <w:rsid w:val="005A57ED"/>
    <w:rsid w:val="005A5BD5"/>
    <w:rsid w:val="005A677C"/>
    <w:rsid w:val="005A698C"/>
    <w:rsid w:val="005A6B07"/>
    <w:rsid w:val="005A6EF1"/>
    <w:rsid w:val="005A73A0"/>
    <w:rsid w:val="005B0A3B"/>
    <w:rsid w:val="005B1525"/>
    <w:rsid w:val="005B1970"/>
    <w:rsid w:val="005B1E25"/>
    <w:rsid w:val="005B1F25"/>
    <w:rsid w:val="005B2837"/>
    <w:rsid w:val="005B28AC"/>
    <w:rsid w:val="005B2D32"/>
    <w:rsid w:val="005B3993"/>
    <w:rsid w:val="005B4677"/>
    <w:rsid w:val="005B48DC"/>
    <w:rsid w:val="005B4A1F"/>
    <w:rsid w:val="005B4DDF"/>
    <w:rsid w:val="005B4F96"/>
    <w:rsid w:val="005B4FF6"/>
    <w:rsid w:val="005B5D67"/>
    <w:rsid w:val="005B5E2A"/>
    <w:rsid w:val="005B66DC"/>
    <w:rsid w:val="005B75E5"/>
    <w:rsid w:val="005B7766"/>
    <w:rsid w:val="005C02A4"/>
    <w:rsid w:val="005C0AF2"/>
    <w:rsid w:val="005C0D34"/>
    <w:rsid w:val="005C1286"/>
    <w:rsid w:val="005C17A2"/>
    <w:rsid w:val="005C20D2"/>
    <w:rsid w:val="005C21C0"/>
    <w:rsid w:val="005C32AE"/>
    <w:rsid w:val="005C32FE"/>
    <w:rsid w:val="005C3526"/>
    <w:rsid w:val="005C3761"/>
    <w:rsid w:val="005C3AF1"/>
    <w:rsid w:val="005C4055"/>
    <w:rsid w:val="005C418F"/>
    <w:rsid w:val="005C4974"/>
    <w:rsid w:val="005C4AB5"/>
    <w:rsid w:val="005C503A"/>
    <w:rsid w:val="005C5061"/>
    <w:rsid w:val="005C5DBD"/>
    <w:rsid w:val="005C6AA7"/>
    <w:rsid w:val="005D0090"/>
    <w:rsid w:val="005D024A"/>
    <w:rsid w:val="005D0CB8"/>
    <w:rsid w:val="005D0D81"/>
    <w:rsid w:val="005D0D9D"/>
    <w:rsid w:val="005D134D"/>
    <w:rsid w:val="005D178C"/>
    <w:rsid w:val="005D20F3"/>
    <w:rsid w:val="005D2341"/>
    <w:rsid w:val="005D25CB"/>
    <w:rsid w:val="005D2DAD"/>
    <w:rsid w:val="005D2F4B"/>
    <w:rsid w:val="005D41C9"/>
    <w:rsid w:val="005D4BE1"/>
    <w:rsid w:val="005D4FD4"/>
    <w:rsid w:val="005D6D64"/>
    <w:rsid w:val="005D7062"/>
    <w:rsid w:val="005D7738"/>
    <w:rsid w:val="005D7853"/>
    <w:rsid w:val="005E036B"/>
    <w:rsid w:val="005E102C"/>
    <w:rsid w:val="005E126E"/>
    <w:rsid w:val="005E149F"/>
    <w:rsid w:val="005E16BE"/>
    <w:rsid w:val="005E3E7E"/>
    <w:rsid w:val="005E4D45"/>
    <w:rsid w:val="005E5004"/>
    <w:rsid w:val="005E616A"/>
    <w:rsid w:val="005E61F0"/>
    <w:rsid w:val="005E64EE"/>
    <w:rsid w:val="005E6F4F"/>
    <w:rsid w:val="005E6FD2"/>
    <w:rsid w:val="005E76C1"/>
    <w:rsid w:val="005E7810"/>
    <w:rsid w:val="005E7999"/>
    <w:rsid w:val="005F0B71"/>
    <w:rsid w:val="005F46D7"/>
    <w:rsid w:val="005F47D2"/>
    <w:rsid w:val="005F4CC5"/>
    <w:rsid w:val="005F52EA"/>
    <w:rsid w:val="005F5521"/>
    <w:rsid w:val="005F606C"/>
    <w:rsid w:val="005F6464"/>
    <w:rsid w:val="005F7807"/>
    <w:rsid w:val="0060147F"/>
    <w:rsid w:val="00601650"/>
    <w:rsid w:val="00602147"/>
    <w:rsid w:val="00602191"/>
    <w:rsid w:val="00603518"/>
    <w:rsid w:val="006035E1"/>
    <w:rsid w:val="006035FD"/>
    <w:rsid w:val="00604824"/>
    <w:rsid w:val="00604855"/>
    <w:rsid w:val="00604868"/>
    <w:rsid w:val="00604EEF"/>
    <w:rsid w:val="0060500C"/>
    <w:rsid w:val="00605AFD"/>
    <w:rsid w:val="00606C5E"/>
    <w:rsid w:val="00607679"/>
    <w:rsid w:val="006076DB"/>
    <w:rsid w:val="006078E9"/>
    <w:rsid w:val="00607B52"/>
    <w:rsid w:val="00607D8C"/>
    <w:rsid w:val="006102DD"/>
    <w:rsid w:val="00611300"/>
    <w:rsid w:val="00611BE0"/>
    <w:rsid w:val="006123D4"/>
    <w:rsid w:val="0061263E"/>
    <w:rsid w:val="00612A3F"/>
    <w:rsid w:val="00612E6E"/>
    <w:rsid w:val="00613A48"/>
    <w:rsid w:val="0061445B"/>
    <w:rsid w:val="0061463B"/>
    <w:rsid w:val="006154FA"/>
    <w:rsid w:val="00615AA7"/>
    <w:rsid w:val="006164C7"/>
    <w:rsid w:val="00617500"/>
    <w:rsid w:val="006179CF"/>
    <w:rsid w:val="0062009E"/>
    <w:rsid w:val="00620A70"/>
    <w:rsid w:val="00620A99"/>
    <w:rsid w:val="00620D7F"/>
    <w:rsid w:val="0062111A"/>
    <w:rsid w:val="00621143"/>
    <w:rsid w:val="00621214"/>
    <w:rsid w:val="00621F04"/>
    <w:rsid w:val="006227EA"/>
    <w:rsid w:val="00623677"/>
    <w:rsid w:val="00623C45"/>
    <w:rsid w:val="00624315"/>
    <w:rsid w:val="0062457B"/>
    <w:rsid w:val="00624C4B"/>
    <w:rsid w:val="0062528C"/>
    <w:rsid w:val="00625AF7"/>
    <w:rsid w:val="0062647F"/>
    <w:rsid w:val="00627080"/>
    <w:rsid w:val="00627369"/>
    <w:rsid w:val="006301A7"/>
    <w:rsid w:val="00630303"/>
    <w:rsid w:val="0063080C"/>
    <w:rsid w:val="0063086A"/>
    <w:rsid w:val="00630889"/>
    <w:rsid w:val="00630CCB"/>
    <w:rsid w:val="00631009"/>
    <w:rsid w:val="006328B1"/>
    <w:rsid w:val="00632B7E"/>
    <w:rsid w:val="00632D17"/>
    <w:rsid w:val="006334D5"/>
    <w:rsid w:val="00633782"/>
    <w:rsid w:val="0063589C"/>
    <w:rsid w:val="006363B5"/>
    <w:rsid w:val="006364E6"/>
    <w:rsid w:val="00636828"/>
    <w:rsid w:val="006374BE"/>
    <w:rsid w:val="006378F8"/>
    <w:rsid w:val="00637D4C"/>
    <w:rsid w:val="0064044A"/>
    <w:rsid w:val="00640A32"/>
    <w:rsid w:val="00640CFF"/>
    <w:rsid w:val="00642F71"/>
    <w:rsid w:val="006431EE"/>
    <w:rsid w:val="00643544"/>
    <w:rsid w:val="0064513C"/>
    <w:rsid w:val="00646178"/>
    <w:rsid w:val="00646564"/>
    <w:rsid w:val="006469CC"/>
    <w:rsid w:val="00650767"/>
    <w:rsid w:val="006518A5"/>
    <w:rsid w:val="00651E01"/>
    <w:rsid w:val="006525D1"/>
    <w:rsid w:val="006533E2"/>
    <w:rsid w:val="0065455C"/>
    <w:rsid w:val="00654DF6"/>
    <w:rsid w:val="00654F64"/>
    <w:rsid w:val="0065712B"/>
    <w:rsid w:val="006579D6"/>
    <w:rsid w:val="00657F2B"/>
    <w:rsid w:val="006600F5"/>
    <w:rsid w:val="00660571"/>
    <w:rsid w:val="00660F7E"/>
    <w:rsid w:val="00661080"/>
    <w:rsid w:val="006613E2"/>
    <w:rsid w:val="00661CC3"/>
    <w:rsid w:val="00662ACD"/>
    <w:rsid w:val="00663D2F"/>
    <w:rsid w:val="00663D93"/>
    <w:rsid w:val="00663F7B"/>
    <w:rsid w:val="00664C14"/>
    <w:rsid w:val="00665610"/>
    <w:rsid w:val="006658DA"/>
    <w:rsid w:val="00665EE1"/>
    <w:rsid w:val="00667242"/>
    <w:rsid w:val="00667B16"/>
    <w:rsid w:val="00671AD7"/>
    <w:rsid w:val="006721AE"/>
    <w:rsid w:val="00672A69"/>
    <w:rsid w:val="00672B5D"/>
    <w:rsid w:val="00672C81"/>
    <w:rsid w:val="00672D31"/>
    <w:rsid w:val="00672D4E"/>
    <w:rsid w:val="00672E80"/>
    <w:rsid w:val="00672EFC"/>
    <w:rsid w:val="00673170"/>
    <w:rsid w:val="0067431E"/>
    <w:rsid w:val="00674580"/>
    <w:rsid w:val="0067547D"/>
    <w:rsid w:val="00675D94"/>
    <w:rsid w:val="0067605A"/>
    <w:rsid w:val="0067622C"/>
    <w:rsid w:val="00676397"/>
    <w:rsid w:val="00676930"/>
    <w:rsid w:val="0067743E"/>
    <w:rsid w:val="00682249"/>
    <w:rsid w:val="00682FBB"/>
    <w:rsid w:val="00682FF6"/>
    <w:rsid w:val="0068332F"/>
    <w:rsid w:val="00683862"/>
    <w:rsid w:val="00683A3B"/>
    <w:rsid w:val="00683C99"/>
    <w:rsid w:val="00684A55"/>
    <w:rsid w:val="00684EB8"/>
    <w:rsid w:val="0068512F"/>
    <w:rsid w:val="0068526C"/>
    <w:rsid w:val="00685CF7"/>
    <w:rsid w:val="00686165"/>
    <w:rsid w:val="00686352"/>
    <w:rsid w:val="00686ABC"/>
    <w:rsid w:val="006879C5"/>
    <w:rsid w:val="0069038C"/>
    <w:rsid w:val="00690F2A"/>
    <w:rsid w:val="00691033"/>
    <w:rsid w:val="0069129A"/>
    <w:rsid w:val="00691CB5"/>
    <w:rsid w:val="006921FB"/>
    <w:rsid w:val="006923DF"/>
    <w:rsid w:val="0069281F"/>
    <w:rsid w:val="00694474"/>
    <w:rsid w:val="00694E2D"/>
    <w:rsid w:val="0069556D"/>
    <w:rsid w:val="0069578D"/>
    <w:rsid w:val="00696069"/>
    <w:rsid w:val="006966C3"/>
    <w:rsid w:val="00696BBC"/>
    <w:rsid w:val="00697350"/>
    <w:rsid w:val="006A00D4"/>
    <w:rsid w:val="006A04E9"/>
    <w:rsid w:val="006A1039"/>
    <w:rsid w:val="006A1EAF"/>
    <w:rsid w:val="006A223A"/>
    <w:rsid w:val="006A2545"/>
    <w:rsid w:val="006A28D4"/>
    <w:rsid w:val="006A2F47"/>
    <w:rsid w:val="006A37F5"/>
    <w:rsid w:val="006A3E53"/>
    <w:rsid w:val="006A3F0E"/>
    <w:rsid w:val="006A471C"/>
    <w:rsid w:val="006A53D3"/>
    <w:rsid w:val="006A5E7E"/>
    <w:rsid w:val="006A668E"/>
    <w:rsid w:val="006A783F"/>
    <w:rsid w:val="006A792B"/>
    <w:rsid w:val="006A7AC9"/>
    <w:rsid w:val="006B083E"/>
    <w:rsid w:val="006B0884"/>
    <w:rsid w:val="006B0BA9"/>
    <w:rsid w:val="006B1194"/>
    <w:rsid w:val="006B3278"/>
    <w:rsid w:val="006B3311"/>
    <w:rsid w:val="006B38FF"/>
    <w:rsid w:val="006B3E38"/>
    <w:rsid w:val="006B4BE8"/>
    <w:rsid w:val="006B5098"/>
    <w:rsid w:val="006B77D1"/>
    <w:rsid w:val="006B7A71"/>
    <w:rsid w:val="006B7F3A"/>
    <w:rsid w:val="006B7F3F"/>
    <w:rsid w:val="006C058E"/>
    <w:rsid w:val="006C070F"/>
    <w:rsid w:val="006C0E8F"/>
    <w:rsid w:val="006C13B5"/>
    <w:rsid w:val="006C1892"/>
    <w:rsid w:val="006C25B5"/>
    <w:rsid w:val="006C2CCA"/>
    <w:rsid w:val="006C47A2"/>
    <w:rsid w:val="006C4929"/>
    <w:rsid w:val="006C4D5E"/>
    <w:rsid w:val="006C52B0"/>
    <w:rsid w:val="006C56D7"/>
    <w:rsid w:val="006C5B73"/>
    <w:rsid w:val="006C645D"/>
    <w:rsid w:val="006C68CF"/>
    <w:rsid w:val="006C69E5"/>
    <w:rsid w:val="006C7171"/>
    <w:rsid w:val="006C7A5B"/>
    <w:rsid w:val="006D09E4"/>
    <w:rsid w:val="006D168D"/>
    <w:rsid w:val="006D1A31"/>
    <w:rsid w:val="006D20D6"/>
    <w:rsid w:val="006D2262"/>
    <w:rsid w:val="006D28EA"/>
    <w:rsid w:val="006D2B4C"/>
    <w:rsid w:val="006D3B5E"/>
    <w:rsid w:val="006D4149"/>
    <w:rsid w:val="006D4917"/>
    <w:rsid w:val="006D491A"/>
    <w:rsid w:val="006D647D"/>
    <w:rsid w:val="006D6958"/>
    <w:rsid w:val="006D731F"/>
    <w:rsid w:val="006D7AD2"/>
    <w:rsid w:val="006D7EAE"/>
    <w:rsid w:val="006E0680"/>
    <w:rsid w:val="006E1858"/>
    <w:rsid w:val="006E1A81"/>
    <w:rsid w:val="006E2D2A"/>
    <w:rsid w:val="006E346A"/>
    <w:rsid w:val="006E38AC"/>
    <w:rsid w:val="006E3A81"/>
    <w:rsid w:val="006E3CC3"/>
    <w:rsid w:val="006E3CCD"/>
    <w:rsid w:val="006E40A9"/>
    <w:rsid w:val="006E4841"/>
    <w:rsid w:val="006E4879"/>
    <w:rsid w:val="006E4CDE"/>
    <w:rsid w:val="006E4D58"/>
    <w:rsid w:val="006E5CAF"/>
    <w:rsid w:val="006E5E99"/>
    <w:rsid w:val="006E6133"/>
    <w:rsid w:val="006E6E8D"/>
    <w:rsid w:val="006F01F6"/>
    <w:rsid w:val="006F05F0"/>
    <w:rsid w:val="006F0A97"/>
    <w:rsid w:val="006F1229"/>
    <w:rsid w:val="006F1256"/>
    <w:rsid w:val="006F1A89"/>
    <w:rsid w:val="006F1C1D"/>
    <w:rsid w:val="006F2BA5"/>
    <w:rsid w:val="006F2C09"/>
    <w:rsid w:val="006F31F3"/>
    <w:rsid w:val="006F417A"/>
    <w:rsid w:val="006F498B"/>
    <w:rsid w:val="006F50A7"/>
    <w:rsid w:val="006F52D4"/>
    <w:rsid w:val="006F5863"/>
    <w:rsid w:val="006F5B71"/>
    <w:rsid w:val="006F5B9A"/>
    <w:rsid w:val="006F5CF7"/>
    <w:rsid w:val="006F673A"/>
    <w:rsid w:val="006F7052"/>
    <w:rsid w:val="007002CA"/>
    <w:rsid w:val="0070063D"/>
    <w:rsid w:val="00700706"/>
    <w:rsid w:val="00701384"/>
    <w:rsid w:val="007038F1"/>
    <w:rsid w:val="00703B33"/>
    <w:rsid w:val="007047AA"/>
    <w:rsid w:val="007048FB"/>
    <w:rsid w:val="007053DE"/>
    <w:rsid w:val="007053E0"/>
    <w:rsid w:val="007056B2"/>
    <w:rsid w:val="007061E2"/>
    <w:rsid w:val="0070629E"/>
    <w:rsid w:val="00706E8E"/>
    <w:rsid w:val="00710432"/>
    <w:rsid w:val="0071064E"/>
    <w:rsid w:val="00710A69"/>
    <w:rsid w:val="00712D3E"/>
    <w:rsid w:val="00712E02"/>
    <w:rsid w:val="00713599"/>
    <w:rsid w:val="007139E6"/>
    <w:rsid w:val="00713E08"/>
    <w:rsid w:val="00714406"/>
    <w:rsid w:val="0071596D"/>
    <w:rsid w:val="00715BCA"/>
    <w:rsid w:val="00716F7B"/>
    <w:rsid w:val="00717FF8"/>
    <w:rsid w:val="00720CFB"/>
    <w:rsid w:val="007213C7"/>
    <w:rsid w:val="007217EC"/>
    <w:rsid w:val="00722084"/>
    <w:rsid w:val="00722280"/>
    <w:rsid w:val="00722B53"/>
    <w:rsid w:val="00723E78"/>
    <w:rsid w:val="0072407F"/>
    <w:rsid w:val="00724351"/>
    <w:rsid w:val="00724656"/>
    <w:rsid w:val="007247A3"/>
    <w:rsid w:val="00725622"/>
    <w:rsid w:val="00726090"/>
    <w:rsid w:val="00726248"/>
    <w:rsid w:val="0072652C"/>
    <w:rsid w:val="0072656C"/>
    <w:rsid w:val="00726D01"/>
    <w:rsid w:val="00727164"/>
    <w:rsid w:val="007326D1"/>
    <w:rsid w:val="00732B19"/>
    <w:rsid w:val="00732EC1"/>
    <w:rsid w:val="00732F5C"/>
    <w:rsid w:val="007331DA"/>
    <w:rsid w:val="0073361C"/>
    <w:rsid w:val="00733684"/>
    <w:rsid w:val="0073446D"/>
    <w:rsid w:val="0073457E"/>
    <w:rsid w:val="00734608"/>
    <w:rsid w:val="007346BF"/>
    <w:rsid w:val="007363ED"/>
    <w:rsid w:val="00736690"/>
    <w:rsid w:val="00736751"/>
    <w:rsid w:val="00736B9B"/>
    <w:rsid w:val="007371EE"/>
    <w:rsid w:val="0073748D"/>
    <w:rsid w:val="00737FBE"/>
    <w:rsid w:val="00741295"/>
    <w:rsid w:val="0074174F"/>
    <w:rsid w:val="00742041"/>
    <w:rsid w:val="00742113"/>
    <w:rsid w:val="00742366"/>
    <w:rsid w:val="0074272A"/>
    <w:rsid w:val="007430E9"/>
    <w:rsid w:val="00743977"/>
    <w:rsid w:val="00744484"/>
    <w:rsid w:val="00744D48"/>
    <w:rsid w:val="0074539D"/>
    <w:rsid w:val="0074598A"/>
    <w:rsid w:val="007459D4"/>
    <w:rsid w:val="007463E1"/>
    <w:rsid w:val="007471CB"/>
    <w:rsid w:val="007509DD"/>
    <w:rsid w:val="00751D3B"/>
    <w:rsid w:val="00752EF1"/>
    <w:rsid w:val="00753F73"/>
    <w:rsid w:val="00754EFA"/>
    <w:rsid w:val="00756A2F"/>
    <w:rsid w:val="00756F5E"/>
    <w:rsid w:val="00757117"/>
    <w:rsid w:val="0075746B"/>
    <w:rsid w:val="007574B5"/>
    <w:rsid w:val="0076033B"/>
    <w:rsid w:val="007609D9"/>
    <w:rsid w:val="00760B79"/>
    <w:rsid w:val="00761361"/>
    <w:rsid w:val="007613E7"/>
    <w:rsid w:val="00761AB0"/>
    <w:rsid w:val="00761FC6"/>
    <w:rsid w:val="007621DD"/>
    <w:rsid w:val="0076256A"/>
    <w:rsid w:val="007633EC"/>
    <w:rsid w:val="00763474"/>
    <w:rsid w:val="007645ED"/>
    <w:rsid w:val="00764F0C"/>
    <w:rsid w:val="00766184"/>
    <w:rsid w:val="007669A5"/>
    <w:rsid w:val="0076775E"/>
    <w:rsid w:val="007678F9"/>
    <w:rsid w:val="00767D5F"/>
    <w:rsid w:val="0077023B"/>
    <w:rsid w:val="00770FC3"/>
    <w:rsid w:val="00771085"/>
    <w:rsid w:val="00772359"/>
    <w:rsid w:val="00772EB5"/>
    <w:rsid w:val="00773528"/>
    <w:rsid w:val="00775559"/>
    <w:rsid w:val="00775EA3"/>
    <w:rsid w:val="00776678"/>
    <w:rsid w:val="00776DBD"/>
    <w:rsid w:val="00777200"/>
    <w:rsid w:val="007773FC"/>
    <w:rsid w:val="00777F5A"/>
    <w:rsid w:val="00780126"/>
    <w:rsid w:val="0078029B"/>
    <w:rsid w:val="007805AE"/>
    <w:rsid w:val="00780B72"/>
    <w:rsid w:val="007811D9"/>
    <w:rsid w:val="0078257B"/>
    <w:rsid w:val="007825E5"/>
    <w:rsid w:val="00782838"/>
    <w:rsid w:val="00782A0E"/>
    <w:rsid w:val="0078339C"/>
    <w:rsid w:val="007834CF"/>
    <w:rsid w:val="007839C7"/>
    <w:rsid w:val="00783D75"/>
    <w:rsid w:val="007847C9"/>
    <w:rsid w:val="0078482A"/>
    <w:rsid w:val="00784BA4"/>
    <w:rsid w:val="00784C0A"/>
    <w:rsid w:val="00784C30"/>
    <w:rsid w:val="00784D2A"/>
    <w:rsid w:val="0078587D"/>
    <w:rsid w:val="00785ACC"/>
    <w:rsid w:val="00785F51"/>
    <w:rsid w:val="0078647E"/>
    <w:rsid w:val="00786A6B"/>
    <w:rsid w:val="00786EEC"/>
    <w:rsid w:val="00787021"/>
    <w:rsid w:val="00787784"/>
    <w:rsid w:val="00787E76"/>
    <w:rsid w:val="00787E9C"/>
    <w:rsid w:val="00790A98"/>
    <w:rsid w:val="0079188E"/>
    <w:rsid w:val="00793D09"/>
    <w:rsid w:val="00793DB4"/>
    <w:rsid w:val="00793DE4"/>
    <w:rsid w:val="0079412B"/>
    <w:rsid w:val="00794284"/>
    <w:rsid w:val="00794B40"/>
    <w:rsid w:val="007962F5"/>
    <w:rsid w:val="0079658E"/>
    <w:rsid w:val="00796E26"/>
    <w:rsid w:val="00796F43"/>
    <w:rsid w:val="00797146"/>
    <w:rsid w:val="007A068C"/>
    <w:rsid w:val="007A0BC9"/>
    <w:rsid w:val="007A0F25"/>
    <w:rsid w:val="007A105F"/>
    <w:rsid w:val="007A1079"/>
    <w:rsid w:val="007A1E98"/>
    <w:rsid w:val="007A278D"/>
    <w:rsid w:val="007A3FB0"/>
    <w:rsid w:val="007A454C"/>
    <w:rsid w:val="007A4E7F"/>
    <w:rsid w:val="007A4F6C"/>
    <w:rsid w:val="007A5447"/>
    <w:rsid w:val="007A60E5"/>
    <w:rsid w:val="007A73AE"/>
    <w:rsid w:val="007A7601"/>
    <w:rsid w:val="007A7EEF"/>
    <w:rsid w:val="007B12C7"/>
    <w:rsid w:val="007B1909"/>
    <w:rsid w:val="007B2677"/>
    <w:rsid w:val="007B2A68"/>
    <w:rsid w:val="007B313E"/>
    <w:rsid w:val="007B3539"/>
    <w:rsid w:val="007B3AFE"/>
    <w:rsid w:val="007B458A"/>
    <w:rsid w:val="007B5781"/>
    <w:rsid w:val="007B5C07"/>
    <w:rsid w:val="007B67C3"/>
    <w:rsid w:val="007B7399"/>
    <w:rsid w:val="007B76AB"/>
    <w:rsid w:val="007B7C06"/>
    <w:rsid w:val="007C0281"/>
    <w:rsid w:val="007C04E3"/>
    <w:rsid w:val="007C0915"/>
    <w:rsid w:val="007C19A4"/>
    <w:rsid w:val="007C1C52"/>
    <w:rsid w:val="007C2CA4"/>
    <w:rsid w:val="007C478E"/>
    <w:rsid w:val="007C495F"/>
    <w:rsid w:val="007C4E34"/>
    <w:rsid w:val="007C66E2"/>
    <w:rsid w:val="007C77EF"/>
    <w:rsid w:val="007C7F61"/>
    <w:rsid w:val="007D0150"/>
    <w:rsid w:val="007D095A"/>
    <w:rsid w:val="007D0DBB"/>
    <w:rsid w:val="007D1104"/>
    <w:rsid w:val="007D481B"/>
    <w:rsid w:val="007D592B"/>
    <w:rsid w:val="007D5AA6"/>
    <w:rsid w:val="007D5F74"/>
    <w:rsid w:val="007D619A"/>
    <w:rsid w:val="007D7350"/>
    <w:rsid w:val="007D7581"/>
    <w:rsid w:val="007D7A91"/>
    <w:rsid w:val="007D7D21"/>
    <w:rsid w:val="007D7F88"/>
    <w:rsid w:val="007D7FFA"/>
    <w:rsid w:val="007E0420"/>
    <w:rsid w:val="007E0F00"/>
    <w:rsid w:val="007E114B"/>
    <w:rsid w:val="007E3C8F"/>
    <w:rsid w:val="007E3CAA"/>
    <w:rsid w:val="007E3FF0"/>
    <w:rsid w:val="007E42EC"/>
    <w:rsid w:val="007E4B1B"/>
    <w:rsid w:val="007E51AB"/>
    <w:rsid w:val="007E51E0"/>
    <w:rsid w:val="007E5B35"/>
    <w:rsid w:val="007E5FF2"/>
    <w:rsid w:val="007E6456"/>
    <w:rsid w:val="007E6712"/>
    <w:rsid w:val="007E6950"/>
    <w:rsid w:val="007E6B72"/>
    <w:rsid w:val="007E7506"/>
    <w:rsid w:val="007F0C7D"/>
    <w:rsid w:val="007F12DE"/>
    <w:rsid w:val="007F1373"/>
    <w:rsid w:val="007F13E0"/>
    <w:rsid w:val="007F15FB"/>
    <w:rsid w:val="007F19E5"/>
    <w:rsid w:val="007F1FCE"/>
    <w:rsid w:val="007F2104"/>
    <w:rsid w:val="007F2822"/>
    <w:rsid w:val="007F2A34"/>
    <w:rsid w:val="007F381A"/>
    <w:rsid w:val="007F408F"/>
    <w:rsid w:val="007F452C"/>
    <w:rsid w:val="007F4B14"/>
    <w:rsid w:val="007F5CD3"/>
    <w:rsid w:val="007F61D3"/>
    <w:rsid w:val="007F6727"/>
    <w:rsid w:val="008004AB"/>
    <w:rsid w:val="00800675"/>
    <w:rsid w:val="00801915"/>
    <w:rsid w:val="00801963"/>
    <w:rsid w:val="00801978"/>
    <w:rsid w:val="00801B16"/>
    <w:rsid w:val="00802065"/>
    <w:rsid w:val="00802E40"/>
    <w:rsid w:val="00803458"/>
    <w:rsid w:val="0080453F"/>
    <w:rsid w:val="008048B5"/>
    <w:rsid w:val="00807604"/>
    <w:rsid w:val="008076F0"/>
    <w:rsid w:val="008108C5"/>
    <w:rsid w:val="00811943"/>
    <w:rsid w:val="0081198C"/>
    <w:rsid w:val="00811DEA"/>
    <w:rsid w:val="00812936"/>
    <w:rsid w:val="00813449"/>
    <w:rsid w:val="00815605"/>
    <w:rsid w:val="00815C81"/>
    <w:rsid w:val="00816002"/>
    <w:rsid w:val="008162C1"/>
    <w:rsid w:val="00816981"/>
    <w:rsid w:val="00816F79"/>
    <w:rsid w:val="00817230"/>
    <w:rsid w:val="00817382"/>
    <w:rsid w:val="008179AE"/>
    <w:rsid w:val="00820203"/>
    <w:rsid w:val="00820936"/>
    <w:rsid w:val="00822035"/>
    <w:rsid w:val="008229E0"/>
    <w:rsid w:val="0082325B"/>
    <w:rsid w:val="008241B0"/>
    <w:rsid w:val="0082501F"/>
    <w:rsid w:val="008255EB"/>
    <w:rsid w:val="00825608"/>
    <w:rsid w:val="00825ADC"/>
    <w:rsid w:val="00825DF0"/>
    <w:rsid w:val="00826084"/>
    <w:rsid w:val="00826ECB"/>
    <w:rsid w:val="00827301"/>
    <w:rsid w:val="0082739B"/>
    <w:rsid w:val="008277C5"/>
    <w:rsid w:val="00827BF1"/>
    <w:rsid w:val="00827E3C"/>
    <w:rsid w:val="008311B8"/>
    <w:rsid w:val="00831867"/>
    <w:rsid w:val="00831944"/>
    <w:rsid w:val="008323E9"/>
    <w:rsid w:val="0083280E"/>
    <w:rsid w:val="00832E65"/>
    <w:rsid w:val="00833945"/>
    <w:rsid w:val="00834139"/>
    <w:rsid w:val="00834243"/>
    <w:rsid w:val="00834A5B"/>
    <w:rsid w:val="00835354"/>
    <w:rsid w:val="008364E8"/>
    <w:rsid w:val="008374C4"/>
    <w:rsid w:val="008379F7"/>
    <w:rsid w:val="00837F77"/>
    <w:rsid w:val="00840D59"/>
    <w:rsid w:val="00841021"/>
    <w:rsid w:val="008418FB"/>
    <w:rsid w:val="00841C93"/>
    <w:rsid w:val="00842751"/>
    <w:rsid w:val="00842EF6"/>
    <w:rsid w:val="00843210"/>
    <w:rsid w:val="0084346E"/>
    <w:rsid w:val="008437D5"/>
    <w:rsid w:val="008440F9"/>
    <w:rsid w:val="00844D1F"/>
    <w:rsid w:val="0084543C"/>
    <w:rsid w:val="0084648C"/>
    <w:rsid w:val="0084791C"/>
    <w:rsid w:val="00847BD4"/>
    <w:rsid w:val="00847CDA"/>
    <w:rsid w:val="00850EA8"/>
    <w:rsid w:val="00851A10"/>
    <w:rsid w:val="00851A51"/>
    <w:rsid w:val="00851A70"/>
    <w:rsid w:val="00853306"/>
    <w:rsid w:val="0085437D"/>
    <w:rsid w:val="00854E6E"/>
    <w:rsid w:val="0085541C"/>
    <w:rsid w:val="00855E06"/>
    <w:rsid w:val="00855F55"/>
    <w:rsid w:val="0085636F"/>
    <w:rsid w:val="00856AAC"/>
    <w:rsid w:val="00857969"/>
    <w:rsid w:val="00857AD6"/>
    <w:rsid w:val="0086072E"/>
    <w:rsid w:val="008608EC"/>
    <w:rsid w:val="00860B93"/>
    <w:rsid w:val="00860D24"/>
    <w:rsid w:val="00860FA6"/>
    <w:rsid w:val="00862988"/>
    <w:rsid w:val="00862EE6"/>
    <w:rsid w:val="0086374E"/>
    <w:rsid w:val="008637B6"/>
    <w:rsid w:val="00863829"/>
    <w:rsid w:val="00863A09"/>
    <w:rsid w:val="00863F07"/>
    <w:rsid w:val="00863F6C"/>
    <w:rsid w:val="008651DC"/>
    <w:rsid w:val="0086528F"/>
    <w:rsid w:val="008660CB"/>
    <w:rsid w:val="00866182"/>
    <w:rsid w:val="008661BE"/>
    <w:rsid w:val="0086625D"/>
    <w:rsid w:val="008665D4"/>
    <w:rsid w:val="00867A0C"/>
    <w:rsid w:val="008710CA"/>
    <w:rsid w:val="00871423"/>
    <w:rsid w:val="0087170F"/>
    <w:rsid w:val="00871784"/>
    <w:rsid w:val="00871C6C"/>
    <w:rsid w:val="00872080"/>
    <w:rsid w:val="00872132"/>
    <w:rsid w:val="0087354C"/>
    <w:rsid w:val="008738DD"/>
    <w:rsid w:val="00873CAB"/>
    <w:rsid w:val="008743AF"/>
    <w:rsid w:val="00874A90"/>
    <w:rsid w:val="00874FC4"/>
    <w:rsid w:val="00876D45"/>
    <w:rsid w:val="008776A4"/>
    <w:rsid w:val="00877717"/>
    <w:rsid w:val="00877957"/>
    <w:rsid w:val="00877F62"/>
    <w:rsid w:val="00880944"/>
    <w:rsid w:val="00880E3D"/>
    <w:rsid w:val="00882CC4"/>
    <w:rsid w:val="00883312"/>
    <w:rsid w:val="008834EC"/>
    <w:rsid w:val="00883AE9"/>
    <w:rsid w:val="008844AC"/>
    <w:rsid w:val="008844D7"/>
    <w:rsid w:val="00884678"/>
    <w:rsid w:val="00884871"/>
    <w:rsid w:val="008857CE"/>
    <w:rsid w:val="00887304"/>
    <w:rsid w:val="0088779F"/>
    <w:rsid w:val="008902E2"/>
    <w:rsid w:val="008903E5"/>
    <w:rsid w:val="00890BE8"/>
    <w:rsid w:val="0089119D"/>
    <w:rsid w:val="008934C5"/>
    <w:rsid w:val="008942B1"/>
    <w:rsid w:val="008942E1"/>
    <w:rsid w:val="0089454B"/>
    <w:rsid w:val="00894BC1"/>
    <w:rsid w:val="00895F3C"/>
    <w:rsid w:val="00896104"/>
    <w:rsid w:val="00897230"/>
    <w:rsid w:val="008973BC"/>
    <w:rsid w:val="008975DE"/>
    <w:rsid w:val="00897CA7"/>
    <w:rsid w:val="00897EB0"/>
    <w:rsid w:val="00897F46"/>
    <w:rsid w:val="008A081E"/>
    <w:rsid w:val="008A097A"/>
    <w:rsid w:val="008A0D20"/>
    <w:rsid w:val="008A2518"/>
    <w:rsid w:val="008A4F4F"/>
    <w:rsid w:val="008A5320"/>
    <w:rsid w:val="008A587D"/>
    <w:rsid w:val="008A6B30"/>
    <w:rsid w:val="008A7E5B"/>
    <w:rsid w:val="008B0402"/>
    <w:rsid w:val="008B1BB8"/>
    <w:rsid w:val="008B1D45"/>
    <w:rsid w:val="008B2C48"/>
    <w:rsid w:val="008B46B7"/>
    <w:rsid w:val="008B4885"/>
    <w:rsid w:val="008B557B"/>
    <w:rsid w:val="008B5721"/>
    <w:rsid w:val="008B6939"/>
    <w:rsid w:val="008B758E"/>
    <w:rsid w:val="008C038A"/>
    <w:rsid w:val="008C03A5"/>
    <w:rsid w:val="008C03C3"/>
    <w:rsid w:val="008C0572"/>
    <w:rsid w:val="008C0C42"/>
    <w:rsid w:val="008C0E3D"/>
    <w:rsid w:val="008C1688"/>
    <w:rsid w:val="008C190E"/>
    <w:rsid w:val="008C2282"/>
    <w:rsid w:val="008C28DA"/>
    <w:rsid w:val="008C2DDD"/>
    <w:rsid w:val="008C361D"/>
    <w:rsid w:val="008C3B7D"/>
    <w:rsid w:val="008C42E6"/>
    <w:rsid w:val="008C4760"/>
    <w:rsid w:val="008C493C"/>
    <w:rsid w:val="008C49BB"/>
    <w:rsid w:val="008C5A0D"/>
    <w:rsid w:val="008C5AB5"/>
    <w:rsid w:val="008C65ED"/>
    <w:rsid w:val="008C737C"/>
    <w:rsid w:val="008C7515"/>
    <w:rsid w:val="008C7992"/>
    <w:rsid w:val="008C7F71"/>
    <w:rsid w:val="008D0378"/>
    <w:rsid w:val="008D0D34"/>
    <w:rsid w:val="008D0EB0"/>
    <w:rsid w:val="008D116A"/>
    <w:rsid w:val="008D1709"/>
    <w:rsid w:val="008D2BF0"/>
    <w:rsid w:val="008D339F"/>
    <w:rsid w:val="008D343B"/>
    <w:rsid w:val="008D3BFD"/>
    <w:rsid w:val="008D3E7D"/>
    <w:rsid w:val="008D4153"/>
    <w:rsid w:val="008D4622"/>
    <w:rsid w:val="008D4718"/>
    <w:rsid w:val="008D4724"/>
    <w:rsid w:val="008D5B6E"/>
    <w:rsid w:val="008D5BBF"/>
    <w:rsid w:val="008D640F"/>
    <w:rsid w:val="008D66E2"/>
    <w:rsid w:val="008D6A8E"/>
    <w:rsid w:val="008E0764"/>
    <w:rsid w:val="008E1758"/>
    <w:rsid w:val="008E187D"/>
    <w:rsid w:val="008E18A3"/>
    <w:rsid w:val="008E1B3A"/>
    <w:rsid w:val="008E24D2"/>
    <w:rsid w:val="008E2CCF"/>
    <w:rsid w:val="008E43F6"/>
    <w:rsid w:val="008E4B9C"/>
    <w:rsid w:val="008E5583"/>
    <w:rsid w:val="008E6292"/>
    <w:rsid w:val="008E67D8"/>
    <w:rsid w:val="008E687D"/>
    <w:rsid w:val="008E76C2"/>
    <w:rsid w:val="008E7E0C"/>
    <w:rsid w:val="008F0D57"/>
    <w:rsid w:val="008F1455"/>
    <w:rsid w:val="008F15FF"/>
    <w:rsid w:val="008F1667"/>
    <w:rsid w:val="008F1BB8"/>
    <w:rsid w:val="008F1FD1"/>
    <w:rsid w:val="008F23CA"/>
    <w:rsid w:val="008F23EB"/>
    <w:rsid w:val="008F34F4"/>
    <w:rsid w:val="008F3B25"/>
    <w:rsid w:val="008F562B"/>
    <w:rsid w:val="008F5C9C"/>
    <w:rsid w:val="008F5D6F"/>
    <w:rsid w:val="008F6268"/>
    <w:rsid w:val="008F66F1"/>
    <w:rsid w:val="008F68AE"/>
    <w:rsid w:val="008F7A41"/>
    <w:rsid w:val="008F7D4E"/>
    <w:rsid w:val="008F7E71"/>
    <w:rsid w:val="009005AC"/>
    <w:rsid w:val="00901368"/>
    <w:rsid w:val="0090230B"/>
    <w:rsid w:val="00902DA4"/>
    <w:rsid w:val="009035DF"/>
    <w:rsid w:val="009037B0"/>
    <w:rsid w:val="00903A4C"/>
    <w:rsid w:val="009042BD"/>
    <w:rsid w:val="00904B79"/>
    <w:rsid w:val="00905697"/>
    <w:rsid w:val="00906396"/>
    <w:rsid w:val="009068A4"/>
    <w:rsid w:val="00906E61"/>
    <w:rsid w:val="00906F3D"/>
    <w:rsid w:val="009071B7"/>
    <w:rsid w:val="00907C23"/>
    <w:rsid w:val="00911158"/>
    <w:rsid w:val="0091282B"/>
    <w:rsid w:val="00912D6D"/>
    <w:rsid w:val="00912ED3"/>
    <w:rsid w:val="009132B0"/>
    <w:rsid w:val="009136D6"/>
    <w:rsid w:val="00913C05"/>
    <w:rsid w:val="00914799"/>
    <w:rsid w:val="00914EBB"/>
    <w:rsid w:val="009150E3"/>
    <w:rsid w:val="00917E28"/>
    <w:rsid w:val="009200F8"/>
    <w:rsid w:val="00920885"/>
    <w:rsid w:val="00920A26"/>
    <w:rsid w:val="00920D04"/>
    <w:rsid w:val="00921907"/>
    <w:rsid w:val="00921E6E"/>
    <w:rsid w:val="0092231A"/>
    <w:rsid w:val="00923043"/>
    <w:rsid w:val="00924640"/>
    <w:rsid w:val="0092575D"/>
    <w:rsid w:val="009258A2"/>
    <w:rsid w:val="00925AA5"/>
    <w:rsid w:val="0092686C"/>
    <w:rsid w:val="00926F82"/>
    <w:rsid w:val="00927587"/>
    <w:rsid w:val="00927C61"/>
    <w:rsid w:val="00930232"/>
    <w:rsid w:val="0093038C"/>
    <w:rsid w:val="009303FF"/>
    <w:rsid w:val="009309CA"/>
    <w:rsid w:val="00930DF7"/>
    <w:rsid w:val="00933020"/>
    <w:rsid w:val="009330F6"/>
    <w:rsid w:val="009336C1"/>
    <w:rsid w:val="00933A35"/>
    <w:rsid w:val="00933B08"/>
    <w:rsid w:val="00934BE8"/>
    <w:rsid w:val="0093540D"/>
    <w:rsid w:val="009354A7"/>
    <w:rsid w:val="00935B95"/>
    <w:rsid w:val="0093682D"/>
    <w:rsid w:val="00936A37"/>
    <w:rsid w:val="00936C30"/>
    <w:rsid w:val="00937385"/>
    <w:rsid w:val="009378A3"/>
    <w:rsid w:val="00937C80"/>
    <w:rsid w:val="0094019D"/>
    <w:rsid w:val="00941322"/>
    <w:rsid w:val="009419DB"/>
    <w:rsid w:val="009423F1"/>
    <w:rsid w:val="00942964"/>
    <w:rsid w:val="00942B4F"/>
    <w:rsid w:val="00942C11"/>
    <w:rsid w:val="0094351F"/>
    <w:rsid w:val="009436C2"/>
    <w:rsid w:val="00943869"/>
    <w:rsid w:val="009441B6"/>
    <w:rsid w:val="0094473D"/>
    <w:rsid w:val="00944D31"/>
    <w:rsid w:val="00944F39"/>
    <w:rsid w:val="0094587F"/>
    <w:rsid w:val="00946604"/>
    <w:rsid w:val="009468F9"/>
    <w:rsid w:val="0094708E"/>
    <w:rsid w:val="00947B8A"/>
    <w:rsid w:val="0095088A"/>
    <w:rsid w:val="00951BF6"/>
    <w:rsid w:val="00952557"/>
    <w:rsid w:val="009529FB"/>
    <w:rsid w:val="00953210"/>
    <w:rsid w:val="009533E5"/>
    <w:rsid w:val="009541C8"/>
    <w:rsid w:val="009547F8"/>
    <w:rsid w:val="00954C7C"/>
    <w:rsid w:val="00954EFE"/>
    <w:rsid w:val="009558F6"/>
    <w:rsid w:val="009570EB"/>
    <w:rsid w:val="00957A9A"/>
    <w:rsid w:val="00957EB8"/>
    <w:rsid w:val="00961A1C"/>
    <w:rsid w:val="00962853"/>
    <w:rsid w:val="00962ACF"/>
    <w:rsid w:val="00962D2A"/>
    <w:rsid w:val="00962F47"/>
    <w:rsid w:val="00963BD5"/>
    <w:rsid w:val="00964480"/>
    <w:rsid w:val="00965C99"/>
    <w:rsid w:val="0096612A"/>
    <w:rsid w:val="009663CB"/>
    <w:rsid w:val="00966B2D"/>
    <w:rsid w:val="009678C3"/>
    <w:rsid w:val="00967D76"/>
    <w:rsid w:val="00967E2D"/>
    <w:rsid w:val="00970073"/>
    <w:rsid w:val="00970138"/>
    <w:rsid w:val="00970B32"/>
    <w:rsid w:val="009710C5"/>
    <w:rsid w:val="00971201"/>
    <w:rsid w:val="009729D4"/>
    <w:rsid w:val="0097351C"/>
    <w:rsid w:val="00973669"/>
    <w:rsid w:val="0097459C"/>
    <w:rsid w:val="00974F78"/>
    <w:rsid w:val="00975610"/>
    <w:rsid w:val="00976CA7"/>
    <w:rsid w:val="00977ACB"/>
    <w:rsid w:val="00977EFE"/>
    <w:rsid w:val="00980759"/>
    <w:rsid w:val="009817B0"/>
    <w:rsid w:val="0098199A"/>
    <w:rsid w:val="00981C99"/>
    <w:rsid w:val="009821CE"/>
    <w:rsid w:val="00982671"/>
    <w:rsid w:val="00982886"/>
    <w:rsid w:val="00983415"/>
    <w:rsid w:val="00984372"/>
    <w:rsid w:val="0098443E"/>
    <w:rsid w:val="0098520B"/>
    <w:rsid w:val="00985330"/>
    <w:rsid w:val="009876CF"/>
    <w:rsid w:val="00987BDA"/>
    <w:rsid w:val="0099012A"/>
    <w:rsid w:val="009902A4"/>
    <w:rsid w:val="009905D2"/>
    <w:rsid w:val="00990BDB"/>
    <w:rsid w:val="00993312"/>
    <w:rsid w:val="00993B87"/>
    <w:rsid w:val="00993CC5"/>
    <w:rsid w:val="0099436E"/>
    <w:rsid w:val="00995382"/>
    <w:rsid w:val="00995521"/>
    <w:rsid w:val="009961C9"/>
    <w:rsid w:val="009961D5"/>
    <w:rsid w:val="0099759B"/>
    <w:rsid w:val="009A0055"/>
    <w:rsid w:val="009A0B35"/>
    <w:rsid w:val="009A0C00"/>
    <w:rsid w:val="009A2650"/>
    <w:rsid w:val="009A277C"/>
    <w:rsid w:val="009A280E"/>
    <w:rsid w:val="009A2B29"/>
    <w:rsid w:val="009A2C98"/>
    <w:rsid w:val="009A2CFB"/>
    <w:rsid w:val="009A2D1B"/>
    <w:rsid w:val="009A3521"/>
    <w:rsid w:val="009A467B"/>
    <w:rsid w:val="009A4DAC"/>
    <w:rsid w:val="009A5D4E"/>
    <w:rsid w:val="009A658F"/>
    <w:rsid w:val="009A66B8"/>
    <w:rsid w:val="009A69E3"/>
    <w:rsid w:val="009A6FD4"/>
    <w:rsid w:val="009A74B1"/>
    <w:rsid w:val="009B088F"/>
    <w:rsid w:val="009B0C46"/>
    <w:rsid w:val="009B0F81"/>
    <w:rsid w:val="009B0FA7"/>
    <w:rsid w:val="009B1BC1"/>
    <w:rsid w:val="009B2249"/>
    <w:rsid w:val="009B2470"/>
    <w:rsid w:val="009B2B12"/>
    <w:rsid w:val="009B2EAF"/>
    <w:rsid w:val="009B36DA"/>
    <w:rsid w:val="009B43DA"/>
    <w:rsid w:val="009B54DA"/>
    <w:rsid w:val="009B5505"/>
    <w:rsid w:val="009B5578"/>
    <w:rsid w:val="009B56C2"/>
    <w:rsid w:val="009B57C0"/>
    <w:rsid w:val="009B64A8"/>
    <w:rsid w:val="009B74CC"/>
    <w:rsid w:val="009C02BC"/>
    <w:rsid w:val="009C1480"/>
    <w:rsid w:val="009C15CD"/>
    <w:rsid w:val="009C1DD2"/>
    <w:rsid w:val="009C2190"/>
    <w:rsid w:val="009C32DE"/>
    <w:rsid w:val="009C3A62"/>
    <w:rsid w:val="009C3EA2"/>
    <w:rsid w:val="009C40FF"/>
    <w:rsid w:val="009C4997"/>
    <w:rsid w:val="009C4EC2"/>
    <w:rsid w:val="009C560E"/>
    <w:rsid w:val="009C5643"/>
    <w:rsid w:val="009C5652"/>
    <w:rsid w:val="009C5919"/>
    <w:rsid w:val="009C5AB6"/>
    <w:rsid w:val="009C5DCB"/>
    <w:rsid w:val="009C6B65"/>
    <w:rsid w:val="009C6FD8"/>
    <w:rsid w:val="009C72DE"/>
    <w:rsid w:val="009D0611"/>
    <w:rsid w:val="009D0CD1"/>
    <w:rsid w:val="009D2CFF"/>
    <w:rsid w:val="009D3CB9"/>
    <w:rsid w:val="009D48EE"/>
    <w:rsid w:val="009D7776"/>
    <w:rsid w:val="009E04FA"/>
    <w:rsid w:val="009E0CA5"/>
    <w:rsid w:val="009E171B"/>
    <w:rsid w:val="009E20D0"/>
    <w:rsid w:val="009E2434"/>
    <w:rsid w:val="009E26DF"/>
    <w:rsid w:val="009E2942"/>
    <w:rsid w:val="009E29CA"/>
    <w:rsid w:val="009E2DF7"/>
    <w:rsid w:val="009E3661"/>
    <w:rsid w:val="009E3B47"/>
    <w:rsid w:val="009E461C"/>
    <w:rsid w:val="009E4929"/>
    <w:rsid w:val="009E4EEE"/>
    <w:rsid w:val="009E5224"/>
    <w:rsid w:val="009E7401"/>
    <w:rsid w:val="009E762D"/>
    <w:rsid w:val="009E7711"/>
    <w:rsid w:val="009E7C5E"/>
    <w:rsid w:val="009E7CFD"/>
    <w:rsid w:val="009F14C4"/>
    <w:rsid w:val="009F1B09"/>
    <w:rsid w:val="009F2285"/>
    <w:rsid w:val="009F3523"/>
    <w:rsid w:val="009F3C6A"/>
    <w:rsid w:val="009F4680"/>
    <w:rsid w:val="009F48B9"/>
    <w:rsid w:val="009F4FA0"/>
    <w:rsid w:val="009F549D"/>
    <w:rsid w:val="009F5BB0"/>
    <w:rsid w:val="009F651D"/>
    <w:rsid w:val="009F7CB5"/>
    <w:rsid w:val="00A003AB"/>
    <w:rsid w:val="00A00621"/>
    <w:rsid w:val="00A0062E"/>
    <w:rsid w:val="00A009F7"/>
    <w:rsid w:val="00A015E8"/>
    <w:rsid w:val="00A01DAA"/>
    <w:rsid w:val="00A01F70"/>
    <w:rsid w:val="00A024C6"/>
    <w:rsid w:val="00A02783"/>
    <w:rsid w:val="00A02BF8"/>
    <w:rsid w:val="00A03C52"/>
    <w:rsid w:val="00A04873"/>
    <w:rsid w:val="00A04C0E"/>
    <w:rsid w:val="00A04E1C"/>
    <w:rsid w:val="00A050C0"/>
    <w:rsid w:val="00A05782"/>
    <w:rsid w:val="00A05948"/>
    <w:rsid w:val="00A05FB2"/>
    <w:rsid w:val="00A062F3"/>
    <w:rsid w:val="00A06B36"/>
    <w:rsid w:val="00A06F1A"/>
    <w:rsid w:val="00A07D47"/>
    <w:rsid w:val="00A10029"/>
    <w:rsid w:val="00A10593"/>
    <w:rsid w:val="00A10F7B"/>
    <w:rsid w:val="00A11B75"/>
    <w:rsid w:val="00A122AB"/>
    <w:rsid w:val="00A12F53"/>
    <w:rsid w:val="00A12F62"/>
    <w:rsid w:val="00A13418"/>
    <w:rsid w:val="00A13C72"/>
    <w:rsid w:val="00A141E5"/>
    <w:rsid w:val="00A14AE8"/>
    <w:rsid w:val="00A14FE9"/>
    <w:rsid w:val="00A155F0"/>
    <w:rsid w:val="00A15B69"/>
    <w:rsid w:val="00A16232"/>
    <w:rsid w:val="00A1657E"/>
    <w:rsid w:val="00A20BA5"/>
    <w:rsid w:val="00A21F09"/>
    <w:rsid w:val="00A23476"/>
    <w:rsid w:val="00A236CA"/>
    <w:rsid w:val="00A23C32"/>
    <w:rsid w:val="00A23FC5"/>
    <w:rsid w:val="00A244BA"/>
    <w:rsid w:val="00A252FD"/>
    <w:rsid w:val="00A256F2"/>
    <w:rsid w:val="00A2591C"/>
    <w:rsid w:val="00A267D8"/>
    <w:rsid w:val="00A27749"/>
    <w:rsid w:val="00A278EC"/>
    <w:rsid w:val="00A27A91"/>
    <w:rsid w:val="00A27ADF"/>
    <w:rsid w:val="00A27C83"/>
    <w:rsid w:val="00A27CDB"/>
    <w:rsid w:val="00A30427"/>
    <w:rsid w:val="00A31C1B"/>
    <w:rsid w:val="00A31ED7"/>
    <w:rsid w:val="00A325A1"/>
    <w:rsid w:val="00A331D9"/>
    <w:rsid w:val="00A33957"/>
    <w:rsid w:val="00A33A17"/>
    <w:rsid w:val="00A34CDA"/>
    <w:rsid w:val="00A35652"/>
    <w:rsid w:val="00A35AA8"/>
    <w:rsid w:val="00A36FED"/>
    <w:rsid w:val="00A3705F"/>
    <w:rsid w:val="00A3749B"/>
    <w:rsid w:val="00A37D87"/>
    <w:rsid w:val="00A37FB1"/>
    <w:rsid w:val="00A40BF5"/>
    <w:rsid w:val="00A4100D"/>
    <w:rsid w:val="00A41145"/>
    <w:rsid w:val="00A41292"/>
    <w:rsid w:val="00A41F98"/>
    <w:rsid w:val="00A42D96"/>
    <w:rsid w:val="00A43945"/>
    <w:rsid w:val="00A453B0"/>
    <w:rsid w:val="00A45A3B"/>
    <w:rsid w:val="00A45FF2"/>
    <w:rsid w:val="00A460D1"/>
    <w:rsid w:val="00A4648C"/>
    <w:rsid w:val="00A473CE"/>
    <w:rsid w:val="00A477FC"/>
    <w:rsid w:val="00A4786E"/>
    <w:rsid w:val="00A50A7B"/>
    <w:rsid w:val="00A50C8E"/>
    <w:rsid w:val="00A50D88"/>
    <w:rsid w:val="00A51E6C"/>
    <w:rsid w:val="00A5250A"/>
    <w:rsid w:val="00A530D6"/>
    <w:rsid w:val="00A533B1"/>
    <w:rsid w:val="00A53825"/>
    <w:rsid w:val="00A53C7A"/>
    <w:rsid w:val="00A53EE7"/>
    <w:rsid w:val="00A54654"/>
    <w:rsid w:val="00A549BF"/>
    <w:rsid w:val="00A54E67"/>
    <w:rsid w:val="00A552B1"/>
    <w:rsid w:val="00A555E4"/>
    <w:rsid w:val="00A56923"/>
    <w:rsid w:val="00A56B6E"/>
    <w:rsid w:val="00A56F3D"/>
    <w:rsid w:val="00A56F75"/>
    <w:rsid w:val="00A573E5"/>
    <w:rsid w:val="00A6006B"/>
    <w:rsid w:val="00A60ABC"/>
    <w:rsid w:val="00A614C9"/>
    <w:rsid w:val="00A61533"/>
    <w:rsid w:val="00A61D8A"/>
    <w:rsid w:val="00A6229A"/>
    <w:rsid w:val="00A62E42"/>
    <w:rsid w:val="00A63094"/>
    <w:rsid w:val="00A636EB"/>
    <w:rsid w:val="00A63A83"/>
    <w:rsid w:val="00A63AB8"/>
    <w:rsid w:val="00A64A71"/>
    <w:rsid w:val="00A6536E"/>
    <w:rsid w:val="00A67142"/>
    <w:rsid w:val="00A67299"/>
    <w:rsid w:val="00A67DD4"/>
    <w:rsid w:val="00A700E7"/>
    <w:rsid w:val="00A70274"/>
    <w:rsid w:val="00A70E80"/>
    <w:rsid w:val="00A7132E"/>
    <w:rsid w:val="00A71EE6"/>
    <w:rsid w:val="00A7236C"/>
    <w:rsid w:val="00A72960"/>
    <w:rsid w:val="00A72B05"/>
    <w:rsid w:val="00A72BDC"/>
    <w:rsid w:val="00A72D8F"/>
    <w:rsid w:val="00A731D0"/>
    <w:rsid w:val="00A73E01"/>
    <w:rsid w:val="00A73FE8"/>
    <w:rsid w:val="00A746F4"/>
    <w:rsid w:val="00A74815"/>
    <w:rsid w:val="00A74DD6"/>
    <w:rsid w:val="00A75C84"/>
    <w:rsid w:val="00A76F1D"/>
    <w:rsid w:val="00A7768D"/>
    <w:rsid w:val="00A77AAC"/>
    <w:rsid w:val="00A77B9D"/>
    <w:rsid w:val="00A77E47"/>
    <w:rsid w:val="00A803E5"/>
    <w:rsid w:val="00A812A9"/>
    <w:rsid w:val="00A8134E"/>
    <w:rsid w:val="00A82109"/>
    <w:rsid w:val="00A82758"/>
    <w:rsid w:val="00A82A98"/>
    <w:rsid w:val="00A82ACE"/>
    <w:rsid w:val="00A840D7"/>
    <w:rsid w:val="00A846AC"/>
    <w:rsid w:val="00A85421"/>
    <w:rsid w:val="00A85D3D"/>
    <w:rsid w:val="00A86430"/>
    <w:rsid w:val="00A8668C"/>
    <w:rsid w:val="00A86F1A"/>
    <w:rsid w:val="00A87198"/>
    <w:rsid w:val="00A87800"/>
    <w:rsid w:val="00A87D68"/>
    <w:rsid w:val="00A904BF"/>
    <w:rsid w:val="00A9069C"/>
    <w:rsid w:val="00A90CC7"/>
    <w:rsid w:val="00A9163E"/>
    <w:rsid w:val="00A9179B"/>
    <w:rsid w:val="00A91A54"/>
    <w:rsid w:val="00A91C36"/>
    <w:rsid w:val="00A91E43"/>
    <w:rsid w:val="00A921C7"/>
    <w:rsid w:val="00A929E8"/>
    <w:rsid w:val="00A92D61"/>
    <w:rsid w:val="00A9327D"/>
    <w:rsid w:val="00A93401"/>
    <w:rsid w:val="00A9403D"/>
    <w:rsid w:val="00A94882"/>
    <w:rsid w:val="00A949CC"/>
    <w:rsid w:val="00A949F3"/>
    <w:rsid w:val="00A95162"/>
    <w:rsid w:val="00A953FA"/>
    <w:rsid w:val="00A959CF"/>
    <w:rsid w:val="00A967D9"/>
    <w:rsid w:val="00A968AF"/>
    <w:rsid w:val="00A96BE7"/>
    <w:rsid w:val="00A96E2A"/>
    <w:rsid w:val="00A97160"/>
    <w:rsid w:val="00A9745E"/>
    <w:rsid w:val="00A97873"/>
    <w:rsid w:val="00A97F98"/>
    <w:rsid w:val="00AA0278"/>
    <w:rsid w:val="00AA127A"/>
    <w:rsid w:val="00AA13DF"/>
    <w:rsid w:val="00AA183C"/>
    <w:rsid w:val="00AA2408"/>
    <w:rsid w:val="00AA2585"/>
    <w:rsid w:val="00AA3212"/>
    <w:rsid w:val="00AA34D4"/>
    <w:rsid w:val="00AA3795"/>
    <w:rsid w:val="00AA45B4"/>
    <w:rsid w:val="00AA45C9"/>
    <w:rsid w:val="00AA4877"/>
    <w:rsid w:val="00AA4AD7"/>
    <w:rsid w:val="00AA518F"/>
    <w:rsid w:val="00AA56E1"/>
    <w:rsid w:val="00AA5D9B"/>
    <w:rsid w:val="00AA5E1D"/>
    <w:rsid w:val="00AA5F6C"/>
    <w:rsid w:val="00AA6E97"/>
    <w:rsid w:val="00AB1702"/>
    <w:rsid w:val="00AB1CFA"/>
    <w:rsid w:val="00AB1F5D"/>
    <w:rsid w:val="00AB2500"/>
    <w:rsid w:val="00AB2DB6"/>
    <w:rsid w:val="00AB2EA7"/>
    <w:rsid w:val="00AB2F15"/>
    <w:rsid w:val="00AB3E43"/>
    <w:rsid w:val="00AB4287"/>
    <w:rsid w:val="00AB442C"/>
    <w:rsid w:val="00AB515E"/>
    <w:rsid w:val="00AB6D19"/>
    <w:rsid w:val="00AB72BE"/>
    <w:rsid w:val="00AB76E5"/>
    <w:rsid w:val="00AB7A29"/>
    <w:rsid w:val="00AB7B0D"/>
    <w:rsid w:val="00AC0327"/>
    <w:rsid w:val="00AC0D1F"/>
    <w:rsid w:val="00AC0EBA"/>
    <w:rsid w:val="00AC29D2"/>
    <w:rsid w:val="00AC3196"/>
    <w:rsid w:val="00AC3273"/>
    <w:rsid w:val="00AC339F"/>
    <w:rsid w:val="00AC3B67"/>
    <w:rsid w:val="00AC3FD3"/>
    <w:rsid w:val="00AC4065"/>
    <w:rsid w:val="00AC47CF"/>
    <w:rsid w:val="00AC5AC3"/>
    <w:rsid w:val="00AC5FC8"/>
    <w:rsid w:val="00AC6774"/>
    <w:rsid w:val="00AC6AF7"/>
    <w:rsid w:val="00AC7000"/>
    <w:rsid w:val="00AC733F"/>
    <w:rsid w:val="00AC748B"/>
    <w:rsid w:val="00AC75E2"/>
    <w:rsid w:val="00AC7D04"/>
    <w:rsid w:val="00AD000A"/>
    <w:rsid w:val="00AD079F"/>
    <w:rsid w:val="00AD07CA"/>
    <w:rsid w:val="00AD096D"/>
    <w:rsid w:val="00AD0B4E"/>
    <w:rsid w:val="00AD0D51"/>
    <w:rsid w:val="00AD0FE5"/>
    <w:rsid w:val="00AD1382"/>
    <w:rsid w:val="00AD188B"/>
    <w:rsid w:val="00AD1C70"/>
    <w:rsid w:val="00AD26D6"/>
    <w:rsid w:val="00AD2AB7"/>
    <w:rsid w:val="00AD3D78"/>
    <w:rsid w:val="00AD418C"/>
    <w:rsid w:val="00AD4474"/>
    <w:rsid w:val="00AD46F9"/>
    <w:rsid w:val="00AD5ABF"/>
    <w:rsid w:val="00AD5BEF"/>
    <w:rsid w:val="00AD6B37"/>
    <w:rsid w:val="00AD6EC5"/>
    <w:rsid w:val="00AD7392"/>
    <w:rsid w:val="00AD7674"/>
    <w:rsid w:val="00AE0714"/>
    <w:rsid w:val="00AE077C"/>
    <w:rsid w:val="00AE1161"/>
    <w:rsid w:val="00AE12EA"/>
    <w:rsid w:val="00AE19FC"/>
    <w:rsid w:val="00AE2BC3"/>
    <w:rsid w:val="00AE2F90"/>
    <w:rsid w:val="00AE37C9"/>
    <w:rsid w:val="00AE44B3"/>
    <w:rsid w:val="00AE4657"/>
    <w:rsid w:val="00AE4669"/>
    <w:rsid w:val="00AE4FB2"/>
    <w:rsid w:val="00AE5BCB"/>
    <w:rsid w:val="00AE6316"/>
    <w:rsid w:val="00AE6859"/>
    <w:rsid w:val="00AE6A1F"/>
    <w:rsid w:val="00AF0A76"/>
    <w:rsid w:val="00AF0C1D"/>
    <w:rsid w:val="00AF268E"/>
    <w:rsid w:val="00AF272B"/>
    <w:rsid w:val="00AF28B1"/>
    <w:rsid w:val="00AF2DE4"/>
    <w:rsid w:val="00AF2EEF"/>
    <w:rsid w:val="00AF308B"/>
    <w:rsid w:val="00AF36B0"/>
    <w:rsid w:val="00AF3E76"/>
    <w:rsid w:val="00AF413E"/>
    <w:rsid w:val="00AF4BD6"/>
    <w:rsid w:val="00AF62A9"/>
    <w:rsid w:val="00AF68BE"/>
    <w:rsid w:val="00AF6A17"/>
    <w:rsid w:val="00AF6AA2"/>
    <w:rsid w:val="00AF78ED"/>
    <w:rsid w:val="00AF7B5C"/>
    <w:rsid w:val="00AF7D6B"/>
    <w:rsid w:val="00B00735"/>
    <w:rsid w:val="00B00DEA"/>
    <w:rsid w:val="00B01011"/>
    <w:rsid w:val="00B0142D"/>
    <w:rsid w:val="00B01568"/>
    <w:rsid w:val="00B01E1A"/>
    <w:rsid w:val="00B02652"/>
    <w:rsid w:val="00B02B2E"/>
    <w:rsid w:val="00B02DD8"/>
    <w:rsid w:val="00B0301D"/>
    <w:rsid w:val="00B030F3"/>
    <w:rsid w:val="00B03A08"/>
    <w:rsid w:val="00B03DD6"/>
    <w:rsid w:val="00B03F45"/>
    <w:rsid w:val="00B044A5"/>
    <w:rsid w:val="00B049C7"/>
    <w:rsid w:val="00B04DD5"/>
    <w:rsid w:val="00B05478"/>
    <w:rsid w:val="00B0553D"/>
    <w:rsid w:val="00B05C20"/>
    <w:rsid w:val="00B06593"/>
    <w:rsid w:val="00B06D94"/>
    <w:rsid w:val="00B06F8C"/>
    <w:rsid w:val="00B07FF7"/>
    <w:rsid w:val="00B1002D"/>
    <w:rsid w:val="00B103BF"/>
    <w:rsid w:val="00B108F7"/>
    <w:rsid w:val="00B10965"/>
    <w:rsid w:val="00B109FF"/>
    <w:rsid w:val="00B115AE"/>
    <w:rsid w:val="00B12E16"/>
    <w:rsid w:val="00B12E50"/>
    <w:rsid w:val="00B1334B"/>
    <w:rsid w:val="00B1363B"/>
    <w:rsid w:val="00B13643"/>
    <w:rsid w:val="00B13D78"/>
    <w:rsid w:val="00B1401D"/>
    <w:rsid w:val="00B143C6"/>
    <w:rsid w:val="00B14BFC"/>
    <w:rsid w:val="00B15BBA"/>
    <w:rsid w:val="00B15D8F"/>
    <w:rsid w:val="00B160FB"/>
    <w:rsid w:val="00B16640"/>
    <w:rsid w:val="00B16D16"/>
    <w:rsid w:val="00B176C5"/>
    <w:rsid w:val="00B214C6"/>
    <w:rsid w:val="00B221D6"/>
    <w:rsid w:val="00B22F2C"/>
    <w:rsid w:val="00B2309C"/>
    <w:rsid w:val="00B25C82"/>
    <w:rsid w:val="00B26DDF"/>
    <w:rsid w:val="00B26FF4"/>
    <w:rsid w:val="00B2720F"/>
    <w:rsid w:val="00B27E3B"/>
    <w:rsid w:val="00B30C82"/>
    <w:rsid w:val="00B31A10"/>
    <w:rsid w:val="00B31F3A"/>
    <w:rsid w:val="00B321E5"/>
    <w:rsid w:val="00B32F08"/>
    <w:rsid w:val="00B3348A"/>
    <w:rsid w:val="00B34472"/>
    <w:rsid w:val="00B34B9D"/>
    <w:rsid w:val="00B352ED"/>
    <w:rsid w:val="00B3583B"/>
    <w:rsid w:val="00B35C80"/>
    <w:rsid w:val="00B363DC"/>
    <w:rsid w:val="00B36577"/>
    <w:rsid w:val="00B36919"/>
    <w:rsid w:val="00B36E8C"/>
    <w:rsid w:val="00B36E8E"/>
    <w:rsid w:val="00B37261"/>
    <w:rsid w:val="00B3758A"/>
    <w:rsid w:val="00B37A8F"/>
    <w:rsid w:val="00B41503"/>
    <w:rsid w:val="00B41B68"/>
    <w:rsid w:val="00B43926"/>
    <w:rsid w:val="00B44897"/>
    <w:rsid w:val="00B464A7"/>
    <w:rsid w:val="00B467B0"/>
    <w:rsid w:val="00B46B86"/>
    <w:rsid w:val="00B47392"/>
    <w:rsid w:val="00B4769A"/>
    <w:rsid w:val="00B47B11"/>
    <w:rsid w:val="00B47E80"/>
    <w:rsid w:val="00B50439"/>
    <w:rsid w:val="00B504C9"/>
    <w:rsid w:val="00B50783"/>
    <w:rsid w:val="00B51135"/>
    <w:rsid w:val="00B515E3"/>
    <w:rsid w:val="00B51E60"/>
    <w:rsid w:val="00B52135"/>
    <w:rsid w:val="00B526D5"/>
    <w:rsid w:val="00B537D8"/>
    <w:rsid w:val="00B53CC6"/>
    <w:rsid w:val="00B540B7"/>
    <w:rsid w:val="00B54A6C"/>
    <w:rsid w:val="00B54C12"/>
    <w:rsid w:val="00B54D87"/>
    <w:rsid w:val="00B550BC"/>
    <w:rsid w:val="00B55B04"/>
    <w:rsid w:val="00B56687"/>
    <w:rsid w:val="00B57148"/>
    <w:rsid w:val="00B57179"/>
    <w:rsid w:val="00B5790B"/>
    <w:rsid w:val="00B57CE2"/>
    <w:rsid w:val="00B57DBD"/>
    <w:rsid w:val="00B60A6F"/>
    <w:rsid w:val="00B60E3C"/>
    <w:rsid w:val="00B61D42"/>
    <w:rsid w:val="00B62940"/>
    <w:rsid w:val="00B62DF0"/>
    <w:rsid w:val="00B631AE"/>
    <w:rsid w:val="00B65094"/>
    <w:rsid w:val="00B65347"/>
    <w:rsid w:val="00B65C08"/>
    <w:rsid w:val="00B65D26"/>
    <w:rsid w:val="00B65DE1"/>
    <w:rsid w:val="00B65FC8"/>
    <w:rsid w:val="00B7077C"/>
    <w:rsid w:val="00B70F9B"/>
    <w:rsid w:val="00B71606"/>
    <w:rsid w:val="00B72AF0"/>
    <w:rsid w:val="00B737EB"/>
    <w:rsid w:val="00B744A6"/>
    <w:rsid w:val="00B74B46"/>
    <w:rsid w:val="00B74D5C"/>
    <w:rsid w:val="00B7506F"/>
    <w:rsid w:val="00B75089"/>
    <w:rsid w:val="00B75376"/>
    <w:rsid w:val="00B754C1"/>
    <w:rsid w:val="00B76018"/>
    <w:rsid w:val="00B7645C"/>
    <w:rsid w:val="00B76854"/>
    <w:rsid w:val="00B76BB5"/>
    <w:rsid w:val="00B76DA5"/>
    <w:rsid w:val="00B77321"/>
    <w:rsid w:val="00B77369"/>
    <w:rsid w:val="00B77480"/>
    <w:rsid w:val="00B775EE"/>
    <w:rsid w:val="00B801EE"/>
    <w:rsid w:val="00B80383"/>
    <w:rsid w:val="00B805E4"/>
    <w:rsid w:val="00B80AFA"/>
    <w:rsid w:val="00B811BC"/>
    <w:rsid w:val="00B81311"/>
    <w:rsid w:val="00B81CDE"/>
    <w:rsid w:val="00B81FC6"/>
    <w:rsid w:val="00B827B6"/>
    <w:rsid w:val="00B839FF"/>
    <w:rsid w:val="00B83DEC"/>
    <w:rsid w:val="00B83F70"/>
    <w:rsid w:val="00B84428"/>
    <w:rsid w:val="00B845B3"/>
    <w:rsid w:val="00B85355"/>
    <w:rsid w:val="00B8614E"/>
    <w:rsid w:val="00B86E70"/>
    <w:rsid w:val="00B878B4"/>
    <w:rsid w:val="00B87927"/>
    <w:rsid w:val="00B879FF"/>
    <w:rsid w:val="00B90503"/>
    <w:rsid w:val="00B909DA"/>
    <w:rsid w:val="00B90A78"/>
    <w:rsid w:val="00B913B8"/>
    <w:rsid w:val="00B91CC7"/>
    <w:rsid w:val="00B91E4A"/>
    <w:rsid w:val="00B92670"/>
    <w:rsid w:val="00B94208"/>
    <w:rsid w:val="00B95120"/>
    <w:rsid w:val="00B96096"/>
    <w:rsid w:val="00B96392"/>
    <w:rsid w:val="00B96651"/>
    <w:rsid w:val="00B97BC5"/>
    <w:rsid w:val="00B97CCA"/>
    <w:rsid w:val="00B97D93"/>
    <w:rsid w:val="00BA0578"/>
    <w:rsid w:val="00BA0EC1"/>
    <w:rsid w:val="00BA181A"/>
    <w:rsid w:val="00BA1A31"/>
    <w:rsid w:val="00BA1DB6"/>
    <w:rsid w:val="00BA2740"/>
    <w:rsid w:val="00BA2DCB"/>
    <w:rsid w:val="00BA2EDF"/>
    <w:rsid w:val="00BA36BD"/>
    <w:rsid w:val="00BA426F"/>
    <w:rsid w:val="00BA4A00"/>
    <w:rsid w:val="00BA4F76"/>
    <w:rsid w:val="00BA5087"/>
    <w:rsid w:val="00BA5B13"/>
    <w:rsid w:val="00BA6298"/>
    <w:rsid w:val="00BA68D2"/>
    <w:rsid w:val="00BA6925"/>
    <w:rsid w:val="00BA6D81"/>
    <w:rsid w:val="00BA7FC1"/>
    <w:rsid w:val="00BB00F3"/>
    <w:rsid w:val="00BB1F54"/>
    <w:rsid w:val="00BB26D1"/>
    <w:rsid w:val="00BB2C48"/>
    <w:rsid w:val="00BB39D4"/>
    <w:rsid w:val="00BB4514"/>
    <w:rsid w:val="00BB45D8"/>
    <w:rsid w:val="00BB580C"/>
    <w:rsid w:val="00BB58B6"/>
    <w:rsid w:val="00BB5D16"/>
    <w:rsid w:val="00BB6393"/>
    <w:rsid w:val="00BB656C"/>
    <w:rsid w:val="00BC1930"/>
    <w:rsid w:val="00BC21E7"/>
    <w:rsid w:val="00BC2558"/>
    <w:rsid w:val="00BC26A2"/>
    <w:rsid w:val="00BC2999"/>
    <w:rsid w:val="00BC3404"/>
    <w:rsid w:val="00BC396A"/>
    <w:rsid w:val="00BC3AC8"/>
    <w:rsid w:val="00BC3D88"/>
    <w:rsid w:val="00BC4ACD"/>
    <w:rsid w:val="00BC51A9"/>
    <w:rsid w:val="00BC5687"/>
    <w:rsid w:val="00BC5865"/>
    <w:rsid w:val="00BC6D3C"/>
    <w:rsid w:val="00BC6E69"/>
    <w:rsid w:val="00BC74B8"/>
    <w:rsid w:val="00BC74DD"/>
    <w:rsid w:val="00BD0A99"/>
    <w:rsid w:val="00BD120B"/>
    <w:rsid w:val="00BD190C"/>
    <w:rsid w:val="00BD227D"/>
    <w:rsid w:val="00BD26AA"/>
    <w:rsid w:val="00BD2B12"/>
    <w:rsid w:val="00BD3D8A"/>
    <w:rsid w:val="00BD454F"/>
    <w:rsid w:val="00BD4AB2"/>
    <w:rsid w:val="00BD5572"/>
    <w:rsid w:val="00BD5A47"/>
    <w:rsid w:val="00BD71E7"/>
    <w:rsid w:val="00BD7DCE"/>
    <w:rsid w:val="00BE0BA4"/>
    <w:rsid w:val="00BE1E9D"/>
    <w:rsid w:val="00BE357C"/>
    <w:rsid w:val="00BE4090"/>
    <w:rsid w:val="00BE442F"/>
    <w:rsid w:val="00BE4B0E"/>
    <w:rsid w:val="00BE5829"/>
    <w:rsid w:val="00BE5F52"/>
    <w:rsid w:val="00BE7415"/>
    <w:rsid w:val="00BE7A78"/>
    <w:rsid w:val="00BE7D3B"/>
    <w:rsid w:val="00BE7EA5"/>
    <w:rsid w:val="00BF05CC"/>
    <w:rsid w:val="00BF0610"/>
    <w:rsid w:val="00BF0BCB"/>
    <w:rsid w:val="00BF1090"/>
    <w:rsid w:val="00BF12E9"/>
    <w:rsid w:val="00BF1942"/>
    <w:rsid w:val="00BF1AB9"/>
    <w:rsid w:val="00BF1CA7"/>
    <w:rsid w:val="00BF2FAD"/>
    <w:rsid w:val="00BF304E"/>
    <w:rsid w:val="00BF3241"/>
    <w:rsid w:val="00BF4777"/>
    <w:rsid w:val="00BF47A2"/>
    <w:rsid w:val="00BF574E"/>
    <w:rsid w:val="00BF6B30"/>
    <w:rsid w:val="00BF7117"/>
    <w:rsid w:val="00BF717A"/>
    <w:rsid w:val="00BF7349"/>
    <w:rsid w:val="00C00B99"/>
    <w:rsid w:val="00C00E47"/>
    <w:rsid w:val="00C00F7B"/>
    <w:rsid w:val="00C01299"/>
    <w:rsid w:val="00C01DCC"/>
    <w:rsid w:val="00C0251F"/>
    <w:rsid w:val="00C0282B"/>
    <w:rsid w:val="00C03260"/>
    <w:rsid w:val="00C03694"/>
    <w:rsid w:val="00C03B7D"/>
    <w:rsid w:val="00C05286"/>
    <w:rsid w:val="00C053E0"/>
    <w:rsid w:val="00C054AE"/>
    <w:rsid w:val="00C056D5"/>
    <w:rsid w:val="00C0590C"/>
    <w:rsid w:val="00C05AAC"/>
    <w:rsid w:val="00C0645F"/>
    <w:rsid w:val="00C06A7A"/>
    <w:rsid w:val="00C07377"/>
    <w:rsid w:val="00C11011"/>
    <w:rsid w:val="00C1110F"/>
    <w:rsid w:val="00C117B4"/>
    <w:rsid w:val="00C12B11"/>
    <w:rsid w:val="00C12C7C"/>
    <w:rsid w:val="00C12D6F"/>
    <w:rsid w:val="00C12E60"/>
    <w:rsid w:val="00C13FD2"/>
    <w:rsid w:val="00C14FEB"/>
    <w:rsid w:val="00C156F1"/>
    <w:rsid w:val="00C161BF"/>
    <w:rsid w:val="00C16BAE"/>
    <w:rsid w:val="00C1788F"/>
    <w:rsid w:val="00C17B5C"/>
    <w:rsid w:val="00C17E13"/>
    <w:rsid w:val="00C17EDF"/>
    <w:rsid w:val="00C202B3"/>
    <w:rsid w:val="00C20A40"/>
    <w:rsid w:val="00C21102"/>
    <w:rsid w:val="00C21EE0"/>
    <w:rsid w:val="00C2281C"/>
    <w:rsid w:val="00C229D4"/>
    <w:rsid w:val="00C22CA9"/>
    <w:rsid w:val="00C23790"/>
    <w:rsid w:val="00C23F93"/>
    <w:rsid w:val="00C24140"/>
    <w:rsid w:val="00C24351"/>
    <w:rsid w:val="00C244C5"/>
    <w:rsid w:val="00C24C25"/>
    <w:rsid w:val="00C25775"/>
    <w:rsid w:val="00C2644A"/>
    <w:rsid w:val="00C26CB0"/>
    <w:rsid w:val="00C270B6"/>
    <w:rsid w:val="00C27934"/>
    <w:rsid w:val="00C30297"/>
    <w:rsid w:val="00C316D6"/>
    <w:rsid w:val="00C316DE"/>
    <w:rsid w:val="00C31A38"/>
    <w:rsid w:val="00C32679"/>
    <w:rsid w:val="00C32771"/>
    <w:rsid w:val="00C33AFC"/>
    <w:rsid w:val="00C34358"/>
    <w:rsid w:val="00C347D2"/>
    <w:rsid w:val="00C34953"/>
    <w:rsid w:val="00C35730"/>
    <w:rsid w:val="00C35C45"/>
    <w:rsid w:val="00C35D18"/>
    <w:rsid w:val="00C36171"/>
    <w:rsid w:val="00C372D3"/>
    <w:rsid w:val="00C379CE"/>
    <w:rsid w:val="00C4022D"/>
    <w:rsid w:val="00C4074E"/>
    <w:rsid w:val="00C43D15"/>
    <w:rsid w:val="00C444A0"/>
    <w:rsid w:val="00C44648"/>
    <w:rsid w:val="00C44858"/>
    <w:rsid w:val="00C4500C"/>
    <w:rsid w:val="00C50AC3"/>
    <w:rsid w:val="00C50B48"/>
    <w:rsid w:val="00C5100D"/>
    <w:rsid w:val="00C5108F"/>
    <w:rsid w:val="00C51223"/>
    <w:rsid w:val="00C53E9E"/>
    <w:rsid w:val="00C54171"/>
    <w:rsid w:val="00C54469"/>
    <w:rsid w:val="00C545B1"/>
    <w:rsid w:val="00C54A21"/>
    <w:rsid w:val="00C555AC"/>
    <w:rsid w:val="00C55937"/>
    <w:rsid w:val="00C5630D"/>
    <w:rsid w:val="00C5741B"/>
    <w:rsid w:val="00C574DD"/>
    <w:rsid w:val="00C600BB"/>
    <w:rsid w:val="00C60495"/>
    <w:rsid w:val="00C60A9D"/>
    <w:rsid w:val="00C616B1"/>
    <w:rsid w:val="00C62634"/>
    <w:rsid w:val="00C62B4F"/>
    <w:rsid w:val="00C630C1"/>
    <w:rsid w:val="00C6696B"/>
    <w:rsid w:val="00C66A57"/>
    <w:rsid w:val="00C671CF"/>
    <w:rsid w:val="00C6754A"/>
    <w:rsid w:val="00C713ED"/>
    <w:rsid w:val="00C71771"/>
    <w:rsid w:val="00C72089"/>
    <w:rsid w:val="00C7225F"/>
    <w:rsid w:val="00C72318"/>
    <w:rsid w:val="00C724E6"/>
    <w:rsid w:val="00C72CB4"/>
    <w:rsid w:val="00C72F18"/>
    <w:rsid w:val="00C73F92"/>
    <w:rsid w:val="00C74273"/>
    <w:rsid w:val="00C747A5"/>
    <w:rsid w:val="00C74803"/>
    <w:rsid w:val="00C750D7"/>
    <w:rsid w:val="00C76684"/>
    <w:rsid w:val="00C76913"/>
    <w:rsid w:val="00C76F8B"/>
    <w:rsid w:val="00C7700D"/>
    <w:rsid w:val="00C7733B"/>
    <w:rsid w:val="00C77A30"/>
    <w:rsid w:val="00C77D62"/>
    <w:rsid w:val="00C77F9F"/>
    <w:rsid w:val="00C81216"/>
    <w:rsid w:val="00C8150A"/>
    <w:rsid w:val="00C81E42"/>
    <w:rsid w:val="00C820FD"/>
    <w:rsid w:val="00C83920"/>
    <w:rsid w:val="00C83B0A"/>
    <w:rsid w:val="00C85314"/>
    <w:rsid w:val="00C85B70"/>
    <w:rsid w:val="00C85DF1"/>
    <w:rsid w:val="00C85FCA"/>
    <w:rsid w:val="00C86062"/>
    <w:rsid w:val="00C86688"/>
    <w:rsid w:val="00C87BD9"/>
    <w:rsid w:val="00C904F9"/>
    <w:rsid w:val="00C906E1"/>
    <w:rsid w:val="00C90D1A"/>
    <w:rsid w:val="00C9151F"/>
    <w:rsid w:val="00C91AD7"/>
    <w:rsid w:val="00C91C40"/>
    <w:rsid w:val="00C9223A"/>
    <w:rsid w:val="00C9258E"/>
    <w:rsid w:val="00C932F1"/>
    <w:rsid w:val="00C933AE"/>
    <w:rsid w:val="00C9488F"/>
    <w:rsid w:val="00C94CA5"/>
    <w:rsid w:val="00C95D34"/>
    <w:rsid w:val="00C964E0"/>
    <w:rsid w:val="00C9683A"/>
    <w:rsid w:val="00C9728A"/>
    <w:rsid w:val="00C97A01"/>
    <w:rsid w:val="00C97C91"/>
    <w:rsid w:val="00CA0116"/>
    <w:rsid w:val="00CA1AF5"/>
    <w:rsid w:val="00CA3A7E"/>
    <w:rsid w:val="00CA406D"/>
    <w:rsid w:val="00CA4BC0"/>
    <w:rsid w:val="00CA4E33"/>
    <w:rsid w:val="00CA5672"/>
    <w:rsid w:val="00CA5CA8"/>
    <w:rsid w:val="00CA5DA9"/>
    <w:rsid w:val="00CA60D3"/>
    <w:rsid w:val="00CA63F2"/>
    <w:rsid w:val="00CB0157"/>
    <w:rsid w:val="00CB04D4"/>
    <w:rsid w:val="00CB0D8A"/>
    <w:rsid w:val="00CB12F1"/>
    <w:rsid w:val="00CB1565"/>
    <w:rsid w:val="00CB28E9"/>
    <w:rsid w:val="00CB2CC8"/>
    <w:rsid w:val="00CB31DD"/>
    <w:rsid w:val="00CB3AD7"/>
    <w:rsid w:val="00CB3F34"/>
    <w:rsid w:val="00CB5205"/>
    <w:rsid w:val="00CB55A0"/>
    <w:rsid w:val="00CB571D"/>
    <w:rsid w:val="00CB5871"/>
    <w:rsid w:val="00CB595E"/>
    <w:rsid w:val="00CB6512"/>
    <w:rsid w:val="00CB6B4E"/>
    <w:rsid w:val="00CC060F"/>
    <w:rsid w:val="00CC06C7"/>
    <w:rsid w:val="00CC0A2A"/>
    <w:rsid w:val="00CC0AE1"/>
    <w:rsid w:val="00CC104D"/>
    <w:rsid w:val="00CC154F"/>
    <w:rsid w:val="00CC275E"/>
    <w:rsid w:val="00CC32D0"/>
    <w:rsid w:val="00CC3449"/>
    <w:rsid w:val="00CC38AC"/>
    <w:rsid w:val="00CC478F"/>
    <w:rsid w:val="00CC489C"/>
    <w:rsid w:val="00CC4ADD"/>
    <w:rsid w:val="00CC50D2"/>
    <w:rsid w:val="00CC559D"/>
    <w:rsid w:val="00CC5D6F"/>
    <w:rsid w:val="00CC6B8A"/>
    <w:rsid w:val="00CC72E1"/>
    <w:rsid w:val="00CC7642"/>
    <w:rsid w:val="00CD0C13"/>
    <w:rsid w:val="00CD0D4D"/>
    <w:rsid w:val="00CD0E2E"/>
    <w:rsid w:val="00CD253A"/>
    <w:rsid w:val="00CD2E2B"/>
    <w:rsid w:val="00CD38A9"/>
    <w:rsid w:val="00CD3AB5"/>
    <w:rsid w:val="00CD4156"/>
    <w:rsid w:val="00CD4EB1"/>
    <w:rsid w:val="00CD5C46"/>
    <w:rsid w:val="00CD63FF"/>
    <w:rsid w:val="00CD654B"/>
    <w:rsid w:val="00CD6591"/>
    <w:rsid w:val="00CD7148"/>
    <w:rsid w:val="00CD74F6"/>
    <w:rsid w:val="00CD79E4"/>
    <w:rsid w:val="00CD7DCB"/>
    <w:rsid w:val="00CE0E26"/>
    <w:rsid w:val="00CE0EF5"/>
    <w:rsid w:val="00CE1CB5"/>
    <w:rsid w:val="00CE2104"/>
    <w:rsid w:val="00CE223E"/>
    <w:rsid w:val="00CE26AF"/>
    <w:rsid w:val="00CE36CB"/>
    <w:rsid w:val="00CE3B51"/>
    <w:rsid w:val="00CE446E"/>
    <w:rsid w:val="00CE4C05"/>
    <w:rsid w:val="00CE559E"/>
    <w:rsid w:val="00CE61C7"/>
    <w:rsid w:val="00CE63E3"/>
    <w:rsid w:val="00CE6CAE"/>
    <w:rsid w:val="00CE7379"/>
    <w:rsid w:val="00CE77D6"/>
    <w:rsid w:val="00CE7BD1"/>
    <w:rsid w:val="00CE7E44"/>
    <w:rsid w:val="00CF1203"/>
    <w:rsid w:val="00CF1CAA"/>
    <w:rsid w:val="00CF2FD6"/>
    <w:rsid w:val="00CF3A71"/>
    <w:rsid w:val="00CF3E38"/>
    <w:rsid w:val="00CF3F0D"/>
    <w:rsid w:val="00CF54F6"/>
    <w:rsid w:val="00CF55E0"/>
    <w:rsid w:val="00CF6388"/>
    <w:rsid w:val="00CF6AC5"/>
    <w:rsid w:val="00CF6B1D"/>
    <w:rsid w:val="00CF6DCB"/>
    <w:rsid w:val="00CF72C4"/>
    <w:rsid w:val="00CF7DD4"/>
    <w:rsid w:val="00D02103"/>
    <w:rsid w:val="00D02F1B"/>
    <w:rsid w:val="00D03205"/>
    <w:rsid w:val="00D03476"/>
    <w:rsid w:val="00D035C9"/>
    <w:rsid w:val="00D0397A"/>
    <w:rsid w:val="00D04163"/>
    <w:rsid w:val="00D0553A"/>
    <w:rsid w:val="00D0570B"/>
    <w:rsid w:val="00D05A00"/>
    <w:rsid w:val="00D05A50"/>
    <w:rsid w:val="00D06027"/>
    <w:rsid w:val="00D06957"/>
    <w:rsid w:val="00D0712B"/>
    <w:rsid w:val="00D101F7"/>
    <w:rsid w:val="00D103E4"/>
    <w:rsid w:val="00D10612"/>
    <w:rsid w:val="00D10C2D"/>
    <w:rsid w:val="00D1283E"/>
    <w:rsid w:val="00D13213"/>
    <w:rsid w:val="00D1322C"/>
    <w:rsid w:val="00D135C1"/>
    <w:rsid w:val="00D143A2"/>
    <w:rsid w:val="00D14590"/>
    <w:rsid w:val="00D145F5"/>
    <w:rsid w:val="00D14FA6"/>
    <w:rsid w:val="00D1639F"/>
    <w:rsid w:val="00D169D1"/>
    <w:rsid w:val="00D16BC1"/>
    <w:rsid w:val="00D16C54"/>
    <w:rsid w:val="00D177C6"/>
    <w:rsid w:val="00D17D2A"/>
    <w:rsid w:val="00D2006B"/>
    <w:rsid w:val="00D20592"/>
    <w:rsid w:val="00D21319"/>
    <w:rsid w:val="00D21398"/>
    <w:rsid w:val="00D21491"/>
    <w:rsid w:val="00D217B2"/>
    <w:rsid w:val="00D221A8"/>
    <w:rsid w:val="00D22EA3"/>
    <w:rsid w:val="00D235BA"/>
    <w:rsid w:val="00D24680"/>
    <w:rsid w:val="00D248A3"/>
    <w:rsid w:val="00D26377"/>
    <w:rsid w:val="00D27685"/>
    <w:rsid w:val="00D2770B"/>
    <w:rsid w:val="00D303BD"/>
    <w:rsid w:val="00D30C29"/>
    <w:rsid w:val="00D316A1"/>
    <w:rsid w:val="00D32484"/>
    <w:rsid w:val="00D32709"/>
    <w:rsid w:val="00D329F1"/>
    <w:rsid w:val="00D330F5"/>
    <w:rsid w:val="00D33BCE"/>
    <w:rsid w:val="00D340CD"/>
    <w:rsid w:val="00D342CB"/>
    <w:rsid w:val="00D3521B"/>
    <w:rsid w:val="00D3521E"/>
    <w:rsid w:val="00D35574"/>
    <w:rsid w:val="00D355F0"/>
    <w:rsid w:val="00D359A8"/>
    <w:rsid w:val="00D35A92"/>
    <w:rsid w:val="00D35D94"/>
    <w:rsid w:val="00D3673B"/>
    <w:rsid w:val="00D3697F"/>
    <w:rsid w:val="00D371D1"/>
    <w:rsid w:val="00D37266"/>
    <w:rsid w:val="00D37713"/>
    <w:rsid w:val="00D37C26"/>
    <w:rsid w:val="00D40BDA"/>
    <w:rsid w:val="00D40C38"/>
    <w:rsid w:val="00D40E28"/>
    <w:rsid w:val="00D41004"/>
    <w:rsid w:val="00D4157F"/>
    <w:rsid w:val="00D41BB1"/>
    <w:rsid w:val="00D41C7F"/>
    <w:rsid w:val="00D42B8A"/>
    <w:rsid w:val="00D433A1"/>
    <w:rsid w:val="00D43AC8"/>
    <w:rsid w:val="00D43DFB"/>
    <w:rsid w:val="00D444EF"/>
    <w:rsid w:val="00D44F11"/>
    <w:rsid w:val="00D45C9D"/>
    <w:rsid w:val="00D45FAF"/>
    <w:rsid w:val="00D4741E"/>
    <w:rsid w:val="00D47A17"/>
    <w:rsid w:val="00D5041F"/>
    <w:rsid w:val="00D504F0"/>
    <w:rsid w:val="00D50879"/>
    <w:rsid w:val="00D5122F"/>
    <w:rsid w:val="00D5141E"/>
    <w:rsid w:val="00D51610"/>
    <w:rsid w:val="00D517FA"/>
    <w:rsid w:val="00D5217F"/>
    <w:rsid w:val="00D52A8B"/>
    <w:rsid w:val="00D52A90"/>
    <w:rsid w:val="00D539BF"/>
    <w:rsid w:val="00D542A0"/>
    <w:rsid w:val="00D544A7"/>
    <w:rsid w:val="00D54A05"/>
    <w:rsid w:val="00D55F72"/>
    <w:rsid w:val="00D56113"/>
    <w:rsid w:val="00D577AD"/>
    <w:rsid w:val="00D57D14"/>
    <w:rsid w:val="00D606F8"/>
    <w:rsid w:val="00D61F69"/>
    <w:rsid w:val="00D62F10"/>
    <w:rsid w:val="00D643F4"/>
    <w:rsid w:val="00D64A4D"/>
    <w:rsid w:val="00D64CEC"/>
    <w:rsid w:val="00D666BC"/>
    <w:rsid w:val="00D66863"/>
    <w:rsid w:val="00D70B8B"/>
    <w:rsid w:val="00D71634"/>
    <w:rsid w:val="00D71EC7"/>
    <w:rsid w:val="00D7223D"/>
    <w:rsid w:val="00D74AE2"/>
    <w:rsid w:val="00D7525A"/>
    <w:rsid w:val="00D757E1"/>
    <w:rsid w:val="00D759BD"/>
    <w:rsid w:val="00D75A14"/>
    <w:rsid w:val="00D76D10"/>
    <w:rsid w:val="00D76EC6"/>
    <w:rsid w:val="00D773A4"/>
    <w:rsid w:val="00D777FD"/>
    <w:rsid w:val="00D778D1"/>
    <w:rsid w:val="00D77B7C"/>
    <w:rsid w:val="00D80328"/>
    <w:rsid w:val="00D811CB"/>
    <w:rsid w:val="00D832BC"/>
    <w:rsid w:val="00D833D9"/>
    <w:rsid w:val="00D83BD9"/>
    <w:rsid w:val="00D847C3"/>
    <w:rsid w:val="00D848DC"/>
    <w:rsid w:val="00D84B06"/>
    <w:rsid w:val="00D84FE8"/>
    <w:rsid w:val="00D85851"/>
    <w:rsid w:val="00D86766"/>
    <w:rsid w:val="00D8688D"/>
    <w:rsid w:val="00D869F6"/>
    <w:rsid w:val="00D86D4B"/>
    <w:rsid w:val="00D86DC0"/>
    <w:rsid w:val="00D87F2F"/>
    <w:rsid w:val="00D90182"/>
    <w:rsid w:val="00D90F1D"/>
    <w:rsid w:val="00D90F3E"/>
    <w:rsid w:val="00D911DF"/>
    <w:rsid w:val="00D91BB6"/>
    <w:rsid w:val="00D91C5D"/>
    <w:rsid w:val="00D91C8A"/>
    <w:rsid w:val="00D91EF3"/>
    <w:rsid w:val="00D92021"/>
    <w:rsid w:val="00D92756"/>
    <w:rsid w:val="00D93121"/>
    <w:rsid w:val="00D93BDF"/>
    <w:rsid w:val="00D93E5B"/>
    <w:rsid w:val="00D940F8"/>
    <w:rsid w:val="00D94B28"/>
    <w:rsid w:val="00D94DCF"/>
    <w:rsid w:val="00D94E78"/>
    <w:rsid w:val="00D94EAE"/>
    <w:rsid w:val="00D957C2"/>
    <w:rsid w:val="00D95AFB"/>
    <w:rsid w:val="00D96879"/>
    <w:rsid w:val="00D9714F"/>
    <w:rsid w:val="00D97331"/>
    <w:rsid w:val="00DA0597"/>
    <w:rsid w:val="00DA0A82"/>
    <w:rsid w:val="00DA0E7E"/>
    <w:rsid w:val="00DA12CD"/>
    <w:rsid w:val="00DA260D"/>
    <w:rsid w:val="00DA3042"/>
    <w:rsid w:val="00DA327E"/>
    <w:rsid w:val="00DA3A40"/>
    <w:rsid w:val="00DA41DB"/>
    <w:rsid w:val="00DA4F5F"/>
    <w:rsid w:val="00DA52CD"/>
    <w:rsid w:val="00DA586F"/>
    <w:rsid w:val="00DA63FC"/>
    <w:rsid w:val="00DA670A"/>
    <w:rsid w:val="00DA71BC"/>
    <w:rsid w:val="00DA7991"/>
    <w:rsid w:val="00DB08DA"/>
    <w:rsid w:val="00DB08F2"/>
    <w:rsid w:val="00DB09D2"/>
    <w:rsid w:val="00DB0BED"/>
    <w:rsid w:val="00DB1651"/>
    <w:rsid w:val="00DB2B52"/>
    <w:rsid w:val="00DB306D"/>
    <w:rsid w:val="00DB3F7D"/>
    <w:rsid w:val="00DB4648"/>
    <w:rsid w:val="00DB5530"/>
    <w:rsid w:val="00DB58F2"/>
    <w:rsid w:val="00DB7897"/>
    <w:rsid w:val="00DB7F09"/>
    <w:rsid w:val="00DB7FE9"/>
    <w:rsid w:val="00DC0010"/>
    <w:rsid w:val="00DC00E8"/>
    <w:rsid w:val="00DC024C"/>
    <w:rsid w:val="00DC0F62"/>
    <w:rsid w:val="00DC134C"/>
    <w:rsid w:val="00DC170B"/>
    <w:rsid w:val="00DC1A5E"/>
    <w:rsid w:val="00DC1C56"/>
    <w:rsid w:val="00DC212A"/>
    <w:rsid w:val="00DC28F7"/>
    <w:rsid w:val="00DC2A0B"/>
    <w:rsid w:val="00DC319C"/>
    <w:rsid w:val="00DC33EE"/>
    <w:rsid w:val="00DC46A9"/>
    <w:rsid w:val="00DC4756"/>
    <w:rsid w:val="00DC4E65"/>
    <w:rsid w:val="00DC502B"/>
    <w:rsid w:val="00DC62DF"/>
    <w:rsid w:val="00DC6370"/>
    <w:rsid w:val="00DC6379"/>
    <w:rsid w:val="00DC6385"/>
    <w:rsid w:val="00DC6AAD"/>
    <w:rsid w:val="00DC6F75"/>
    <w:rsid w:val="00DC77C0"/>
    <w:rsid w:val="00DD11EC"/>
    <w:rsid w:val="00DD1C2A"/>
    <w:rsid w:val="00DD2BB5"/>
    <w:rsid w:val="00DD39B2"/>
    <w:rsid w:val="00DD3A21"/>
    <w:rsid w:val="00DD3EFE"/>
    <w:rsid w:val="00DD4534"/>
    <w:rsid w:val="00DD4AA3"/>
    <w:rsid w:val="00DD4E02"/>
    <w:rsid w:val="00DD5D2E"/>
    <w:rsid w:val="00DD684D"/>
    <w:rsid w:val="00DD6CF3"/>
    <w:rsid w:val="00DD7171"/>
    <w:rsid w:val="00DD76E3"/>
    <w:rsid w:val="00DD7824"/>
    <w:rsid w:val="00DE0B6A"/>
    <w:rsid w:val="00DE0D27"/>
    <w:rsid w:val="00DE17B9"/>
    <w:rsid w:val="00DE1CC0"/>
    <w:rsid w:val="00DE1F83"/>
    <w:rsid w:val="00DE2763"/>
    <w:rsid w:val="00DE2C5C"/>
    <w:rsid w:val="00DE2F0E"/>
    <w:rsid w:val="00DE313C"/>
    <w:rsid w:val="00DE33BE"/>
    <w:rsid w:val="00DE3A53"/>
    <w:rsid w:val="00DE3AA0"/>
    <w:rsid w:val="00DE3AE7"/>
    <w:rsid w:val="00DE3C77"/>
    <w:rsid w:val="00DE5786"/>
    <w:rsid w:val="00DE70F1"/>
    <w:rsid w:val="00DE74F8"/>
    <w:rsid w:val="00DE75E5"/>
    <w:rsid w:val="00DE7AD3"/>
    <w:rsid w:val="00DE7C70"/>
    <w:rsid w:val="00DE7EE3"/>
    <w:rsid w:val="00DF05AB"/>
    <w:rsid w:val="00DF0AD4"/>
    <w:rsid w:val="00DF135D"/>
    <w:rsid w:val="00DF140F"/>
    <w:rsid w:val="00DF1AB6"/>
    <w:rsid w:val="00DF1AFA"/>
    <w:rsid w:val="00DF2875"/>
    <w:rsid w:val="00DF2C8D"/>
    <w:rsid w:val="00DF3008"/>
    <w:rsid w:val="00DF349B"/>
    <w:rsid w:val="00DF3EE3"/>
    <w:rsid w:val="00DF43FF"/>
    <w:rsid w:val="00DF5191"/>
    <w:rsid w:val="00DF57A8"/>
    <w:rsid w:val="00DF59C8"/>
    <w:rsid w:val="00DF6127"/>
    <w:rsid w:val="00DF661F"/>
    <w:rsid w:val="00DF6F61"/>
    <w:rsid w:val="00DF7069"/>
    <w:rsid w:val="00DF791B"/>
    <w:rsid w:val="00DF7CBD"/>
    <w:rsid w:val="00DF7F03"/>
    <w:rsid w:val="00E0087E"/>
    <w:rsid w:val="00E00D84"/>
    <w:rsid w:val="00E02837"/>
    <w:rsid w:val="00E02B08"/>
    <w:rsid w:val="00E02E32"/>
    <w:rsid w:val="00E02EFD"/>
    <w:rsid w:val="00E04344"/>
    <w:rsid w:val="00E044A8"/>
    <w:rsid w:val="00E04638"/>
    <w:rsid w:val="00E049A6"/>
    <w:rsid w:val="00E04C72"/>
    <w:rsid w:val="00E07023"/>
    <w:rsid w:val="00E0740C"/>
    <w:rsid w:val="00E0773B"/>
    <w:rsid w:val="00E07842"/>
    <w:rsid w:val="00E101C6"/>
    <w:rsid w:val="00E10411"/>
    <w:rsid w:val="00E105FB"/>
    <w:rsid w:val="00E10CAC"/>
    <w:rsid w:val="00E11437"/>
    <w:rsid w:val="00E1160D"/>
    <w:rsid w:val="00E118DF"/>
    <w:rsid w:val="00E1293B"/>
    <w:rsid w:val="00E133BF"/>
    <w:rsid w:val="00E159A4"/>
    <w:rsid w:val="00E159A7"/>
    <w:rsid w:val="00E163E3"/>
    <w:rsid w:val="00E16AAC"/>
    <w:rsid w:val="00E17653"/>
    <w:rsid w:val="00E17E85"/>
    <w:rsid w:val="00E2064B"/>
    <w:rsid w:val="00E2069F"/>
    <w:rsid w:val="00E215D6"/>
    <w:rsid w:val="00E21E5B"/>
    <w:rsid w:val="00E22D51"/>
    <w:rsid w:val="00E23508"/>
    <w:rsid w:val="00E23CE4"/>
    <w:rsid w:val="00E251C5"/>
    <w:rsid w:val="00E256B1"/>
    <w:rsid w:val="00E25EFE"/>
    <w:rsid w:val="00E25F7A"/>
    <w:rsid w:val="00E261B0"/>
    <w:rsid w:val="00E262EE"/>
    <w:rsid w:val="00E26483"/>
    <w:rsid w:val="00E302AE"/>
    <w:rsid w:val="00E304CA"/>
    <w:rsid w:val="00E3056B"/>
    <w:rsid w:val="00E3162E"/>
    <w:rsid w:val="00E31AA8"/>
    <w:rsid w:val="00E31DEB"/>
    <w:rsid w:val="00E3261C"/>
    <w:rsid w:val="00E32D3F"/>
    <w:rsid w:val="00E33A5B"/>
    <w:rsid w:val="00E33FE9"/>
    <w:rsid w:val="00E3410F"/>
    <w:rsid w:val="00E3444B"/>
    <w:rsid w:val="00E346EF"/>
    <w:rsid w:val="00E349A7"/>
    <w:rsid w:val="00E35506"/>
    <w:rsid w:val="00E35840"/>
    <w:rsid w:val="00E35FCD"/>
    <w:rsid w:val="00E36138"/>
    <w:rsid w:val="00E37247"/>
    <w:rsid w:val="00E374C3"/>
    <w:rsid w:val="00E377B4"/>
    <w:rsid w:val="00E37920"/>
    <w:rsid w:val="00E40856"/>
    <w:rsid w:val="00E4141B"/>
    <w:rsid w:val="00E41821"/>
    <w:rsid w:val="00E41923"/>
    <w:rsid w:val="00E41B3C"/>
    <w:rsid w:val="00E41CCE"/>
    <w:rsid w:val="00E425DF"/>
    <w:rsid w:val="00E42705"/>
    <w:rsid w:val="00E4294B"/>
    <w:rsid w:val="00E43979"/>
    <w:rsid w:val="00E43A0C"/>
    <w:rsid w:val="00E44736"/>
    <w:rsid w:val="00E44C11"/>
    <w:rsid w:val="00E44CA6"/>
    <w:rsid w:val="00E465E9"/>
    <w:rsid w:val="00E4747C"/>
    <w:rsid w:val="00E506E2"/>
    <w:rsid w:val="00E50E7C"/>
    <w:rsid w:val="00E513B9"/>
    <w:rsid w:val="00E51545"/>
    <w:rsid w:val="00E51D9E"/>
    <w:rsid w:val="00E52469"/>
    <w:rsid w:val="00E53012"/>
    <w:rsid w:val="00E537D1"/>
    <w:rsid w:val="00E5452E"/>
    <w:rsid w:val="00E54636"/>
    <w:rsid w:val="00E54AC4"/>
    <w:rsid w:val="00E55150"/>
    <w:rsid w:val="00E55AD2"/>
    <w:rsid w:val="00E567E6"/>
    <w:rsid w:val="00E56971"/>
    <w:rsid w:val="00E574F9"/>
    <w:rsid w:val="00E57E3E"/>
    <w:rsid w:val="00E57E91"/>
    <w:rsid w:val="00E601C4"/>
    <w:rsid w:val="00E604E2"/>
    <w:rsid w:val="00E60BB4"/>
    <w:rsid w:val="00E60CCA"/>
    <w:rsid w:val="00E60E5C"/>
    <w:rsid w:val="00E61484"/>
    <w:rsid w:val="00E61E64"/>
    <w:rsid w:val="00E6217D"/>
    <w:rsid w:val="00E6293D"/>
    <w:rsid w:val="00E62E3B"/>
    <w:rsid w:val="00E63546"/>
    <w:rsid w:val="00E63F47"/>
    <w:rsid w:val="00E651DA"/>
    <w:rsid w:val="00E66807"/>
    <w:rsid w:val="00E66CBC"/>
    <w:rsid w:val="00E675E3"/>
    <w:rsid w:val="00E67A8D"/>
    <w:rsid w:val="00E7017C"/>
    <w:rsid w:val="00E703E1"/>
    <w:rsid w:val="00E70E55"/>
    <w:rsid w:val="00E70E56"/>
    <w:rsid w:val="00E711D7"/>
    <w:rsid w:val="00E71B6F"/>
    <w:rsid w:val="00E71DDF"/>
    <w:rsid w:val="00E72B86"/>
    <w:rsid w:val="00E72F17"/>
    <w:rsid w:val="00E73B4A"/>
    <w:rsid w:val="00E74F48"/>
    <w:rsid w:val="00E75A97"/>
    <w:rsid w:val="00E76B92"/>
    <w:rsid w:val="00E771F0"/>
    <w:rsid w:val="00E8054E"/>
    <w:rsid w:val="00E80D77"/>
    <w:rsid w:val="00E815E1"/>
    <w:rsid w:val="00E81DB5"/>
    <w:rsid w:val="00E81FAB"/>
    <w:rsid w:val="00E822B1"/>
    <w:rsid w:val="00E83C6D"/>
    <w:rsid w:val="00E84544"/>
    <w:rsid w:val="00E84690"/>
    <w:rsid w:val="00E84793"/>
    <w:rsid w:val="00E852F4"/>
    <w:rsid w:val="00E85A88"/>
    <w:rsid w:val="00E85EFF"/>
    <w:rsid w:val="00E87D0E"/>
    <w:rsid w:val="00E902B0"/>
    <w:rsid w:val="00E902E8"/>
    <w:rsid w:val="00E909E0"/>
    <w:rsid w:val="00E91654"/>
    <w:rsid w:val="00E9296B"/>
    <w:rsid w:val="00E92BA7"/>
    <w:rsid w:val="00E92D3D"/>
    <w:rsid w:val="00E95FD7"/>
    <w:rsid w:val="00E9639F"/>
    <w:rsid w:val="00E963B1"/>
    <w:rsid w:val="00E9647D"/>
    <w:rsid w:val="00E96DAF"/>
    <w:rsid w:val="00E96EEE"/>
    <w:rsid w:val="00E972AF"/>
    <w:rsid w:val="00E97C19"/>
    <w:rsid w:val="00E97F62"/>
    <w:rsid w:val="00EA0CB2"/>
    <w:rsid w:val="00EA1AB5"/>
    <w:rsid w:val="00EA1CE7"/>
    <w:rsid w:val="00EA21BE"/>
    <w:rsid w:val="00EA23AC"/>
    <w:rsid w:val="00EA26BC"/>
    <w:rsid w:val="00EA2E6C"/>
    <w:rsid w:val="00EA398F"/>
    <w:rsid w:val="00EA3A16"/>
    <w:rsid w:val="00EA4325"/>
    <w:rsid w:val="00EA4517"/>
    <w:rsid w:val="00EA5A79"/>
    <w:rsid w:val="00EA5B46"/>
    <w:rsid w:val="00EA6250"/>
    <w:rsid w:val="00EA6551"/>
    <w:rsid w:val="00EA74F1"/>
    <w:rsid w:val="00EA7A03"/>
    <w:rsid w:val="00EA7C3D"/>
    <w:rsid w:val="00EB085A"/>
    <w:rsid w:val="00EB1598"/>
    <w:rsid w:val="00EB2032"/>
    <w:rsid w:val="00EB2C82"/>
    <w:rsid w:val="00EB317C"/>
    <w:rsid w:val="00EB343A"/>
    <w:rsid w:val="00EB3CFA"/>
    <w:rsid w:val="00EB4186"/>
    <w:rsid w:val="00EB4836"/>
    <w:rsid w:val="00EB4B0B"/>
    <w:rsid w:val="00EB5171"/>
    <w:rsid w:val="00EB5461"/>
    <w:rsid w:val="00EB5CF0"/>
    <w:rsid w:val="00EB635A"/>
    <w:rsid w:val="00EB65E4"/>
    <w:rsid w:val="00EB67E8"/>
    <w:rsid w:val="00EB6878"/>
    <w:rsid w:val="00EB7AB9"/>
    <w:rsid w:val="00EB7D7C"/>
    <w:rsid w:val="00EC092D"/>
    <w:rsid w:val="00EC19C8"/>
    <w:rsid w:val="00EC1E0E"/>
    <w:rsid w:val="00EC236D"/>
    <w:rsid w:val="00EC3A52"/>
    <w:rsid w:val="00EC3AEB"/>
    <w:rsid w:val="00EC3BDB"/>
    <w:rsid w:val="00EC3CE7"/>
    <w:rsid w:val="00EC3E7E"/>
    <w:rsid w:val="00EC5B37"/>
    <w:rsid w:val="00EC60A9"/>
    <w:rsid w:val="00EC6239"/>
    <w:rsid w:val="00EC6B16"/>
    <w:rsid w:val="00EC77A5"/>
    <w:rsid w:val="00EC7AD9"/>
    <w:rsid w:val="00ED1B42"/>
    <w:rsid w:val="00ED2339"/>
    <w:rsid w:val="00ED2667"/>
    <w:rsid w:val="00ED2B73"/>
    <w:rsid w:val="00ED32CF"/>
    <w:rsid w:val="00ED3D3F"/>
    <w:rsid w:val="00ED3D98"/>
    <w:rsid w:val="00ED47D4"/>
    <w:rsid w:val="00ED4898"/>
    <w:rsid w:val="00ED4D4F"/>
    <w:rsid w:val="00ED5A11"/>
    <w:rsid w:val="00ED5A20"/>
    <w:rsid w:val="00ED5D85"/>
    <w:rsid w:val="00ED7240"/>
    <w:rsid w:val="00ED773A"/>
    <w:rsid w:val="00ED7E8E"/>
    <w:rsid w:val="00EE04EA"/>
    <w:rsid w:val="00EE0639"/>
    <w:rsid w:val="00EE0645"/>
    <w:rsid w:val="00EE10AF"/>
    <w:rsid w:val="00EE1447"/>
    <w:rsid w:val="00EE14F8"/>
    <w:rsid w:val="00EE169C"/>
    <w:rsid w:val="00EE1BF1"/>
    <w:rsid w:val="00EE2E70"/>
    <w:rsid w:val="00EE3019"/>
    <w:rsid w:val="00EE32A0"/>
    <w:rsid w:val="00EE364D"/>
    <w:rsid w:val="00EE4864"/>
    <w:rsid w:val="00EE4DFC"/>
    <w:rsid w:val="00EE56A7"/>
    <w:rsid w:val="00EE6282"/>
    <w:rsid w:val="00EE66BE"/>
    <w:rsid w:val="00EE6DDF"/>
    <w:rsid w:val="00EE6EE8"/>
    <w:rsid w:val="00EE6F7C"/>
    <w:rsid w:val="00EE7744"/>
    <w:rsid w:val="00EF03E1"/>
    <w:rsid w:val="00EF065E"/>
    <w:rsid w:val="00EF0FD5"/>
    <w:rsid w:val="00EF1037"/>
    <w:rsid w:val="00EF145E"/>
    <w:rsid w:val="00EF254C"/>
    <w:rsid w:val="00EF279B"/>
    <w:rsid w:val="00EF2BBB"/>
    <w:rsid w:val="00EF31F1"/>
    <w:rsid w:val="00EF3B7D"/>
    <w:rsid w:val="00EF447B"/>
    <w:rsid w:val="00EF457E"/>
    <w:rsid w:val="00EF4D92"/>
    <w:rsid w:val="00EF547E"/>
    <w:rsid w:val="00EF568B"/>
    <w:rsid w:val="00EF684C"/>
    <w:rsid w:val="00EF6ED6"/>
    <w:rsid w:val="00EF73B0"/>
    <w:rsid w:val="00EF749F"/>
    <w:rsid w:val="00EF79A3"/>
    <w:rsid w:val="00F0082D"/>
    <w:rsid w:val="00F00A9F"/>
    <w:rsid w:val="00F00F37"/>
    <w:rsid w:val="00F015AB"/>
    <w:rsid w:val="00F01857"/>
    <w:rsid w:val="00F01D23"/>
    <w:rsid w:val="00F0204A"/>
    <w:rsid w:val="00F02578"/>
    <w:rsid w:val="00F03AF7"/>
    <w:rsid w:val="00F03B17"/>
    <w:rsid w:val="00F0420F"/>
    <w:rsid w:val="00F045E0"/>
    <w:rsid w:val="00F04B14"/>
    <w:rsid w:val="00F053BC"/>
    <w:rsid w:val="00F05FD7"/>
    <w:rsid w:val="00F068C2"/>
    <w:rsid w:val="00F06B91"/>
    <w:rsid w:val="00F06E83"/>
    <w:rsid w:val="00F0749C"/>
    <w:rsid w:val="00F0785B"/>
    <w:rsid w:val="00F07C90"/>
    <w:rsid w:val="00F10745"/>
    <w:rsid w:val="00F10B62"/>
    <w:rsid w:val="00F11611"/>
    <w:rsid w:val="00F117A2"/>
    <w:rsid w:val="00F119BD"/>
    <w:rsid w:val="00F11B7D"/>
    <w:rsid w:val="00F11BE1"/>
    <w:rsid w:val="00F11FD6"/>
    <w:rsid w:val="00F13076"/>
    <w:rsid w:val="00F133E7"/>
    <w:rsid w:val="00F13FF0"/>
    <w:rsid w:val="00F14E3F"/>
    <w:rsid w:val="00F14E6A"/>
    <w:rsid w:val="00F1512F"/>
    <w:rsid w:val="00F151C9"/>
    <w:rsid w:val="00F154E9"/>
    <w:rsid w:val="00F1584A"/>
    <w:rsid w:val="00F15DAE"/>
    <w:rsid w:val="00F16CDF"/>
    <w:rsid w:val="00F178B8"/>
    <w:rsid w:val="00F2024A"/>
    <w:rsid w:val="00F20F8A"/>
    <w:rsid w:val="00F21D2A"/>
    <w:rsid w:val="00F22010"/>
    <w:rsid w:val="00F22D0C"/>
    <w:rsid w:val="00F22D5E"/>
    <w:rsid w:val="00F23640"/>
    <w:rsid w:val="00F2383D"/>
    <w:rsid w:val="00F24F29"/>
    <w:rsid w:val="00F25904"/>
    <w:rsid w:val="00F26E23"/>
    <w:rsid w:val="00F27387"/>
    <w:rsid w:val="00F276DE"/>
    <w:rsid w:val="00F2796D"/>
    <w:rsid w:val="00F304A4"/>
    <w:rsid w:val="00F309CF"/>
    <w:rsid w:val="00F3159B"/>
    <w:rsid w:val="00F31688"/>
    <w:rsid w:val="00F31EBD"/>
    <w:rsid w:val="00F323A2"/>
    <w:rsid w:val="00F32632"/>
    <w:rsid w:val="00F328AC"/>
    <w:rsid w:val="00F33DB8"/>
    <w:rsid w:val="00F34113"/>
    <w:rsid w:val="00F3443E"/>
    <w:rsid w:val="00F35987"/>
    <w:rsid w:val="00F3626F"/>
    <w:rsid w:val="00F36293"/>
    <w:rsid w:val="00F362A4"/>
    <w:rsid w:val="00F36363"/>
    <w:rsid w:val="00F36646"/>
    <w:rsid w:val="00F36A3A"/>
    <w:rsid w:val="00F37546"/>
    <w:rsid w:val="00F3770F"/>
    <w:rsid w:val="00F37DD9"/>
    <w:rsid w:val="00F37E2A"/>
    <w:rsid w:val="00F411C0"/>
    <w:rsid w:val="00F41DBC"/>
    <w:rsid w:val="00F41F62"/>
    <w:rsid w:val="00F4276B"/>
    <w:rsid w:val="00F42BF7"/>
    <w:rsid w:val="00F42D09"/>
    <w:rsid w:val="00F43E4F"/>
    <w:rsid w:val="00F442B2"/>
    <w:rsid w:val="00F44605"/>
    <w:rsid w:val="00F4478E"/>
    <w:rsid w:val="00F451DB"/>
    <w:rsid w:val="00F4545D"/>
    <w:rsid w:val="00F461AC"/>
    <w:rsid w:val="00F4656B"/>
    <w:rsid w:val="00F46DDC"/>
    <w:rsid w:val="00F50615"/>
    <w:rsid w:val="00F51D7F"/>
    <w:rsid w:val="00F51DB7"/>
    <w:rsid w:val="00F52AC1"/>
    <w:rsid w:val="00F5365A"/>
    <w:rsid w:val="00F556D6"/>
    <w:rsid w:val="00F55B2D"/>
    <w:rsid w:val="00F565A5"/>
    <w:rsid w:val="00F57BED"/>
    <w:rsid w:val="00F57F52"/>
    <w:rsid w:val="00F60131"/>
    <w:rsid w:val="00F60198"/>
    <w:rsid w:val="00F605DB"/>
    <w:rsid w:val="00F60A48"/>
    <w:rsid w:val="00F6115C"/>
    <w:rsid w:val="00F62250"/>
    <w:rsid w:val="00F6312D"/>
    <w:rsid w:val="00F63B57"/>
    <w:rsid w:val="00F63D35"/>
    <w:rsid w:val="00F6442F"/>
    <w:rsid w:val="00F64F4B"/>
    <w:rsid w:val="00F6537D"/>
    <w:rsid w:val="00F65A41"/>
    <w:rsid w:val="00F65E35"/>
    <w:rsid w:val="00F66074"/>
    <w:rsid w:val="00F669CD"/>
    <w:rsid w:val="00F66C13"/>
    <w:rsid w:val="00F66FDB"/>
    <w:rsid w:val="00F70145"/>
    <w:rsid w:val="00F705E3"/>
    <w:rsid w:val="00F71A47"/>
    <w:rsid w:val="00F72773"/>
    <w:rsid w:val="00F72A22"/>
    <w:rsid w:val="00F72A2C"/>
    <w:rsid w:val="00F72E8A"/>
    <w:rsid w:val="00F737DB"/>
    <w:rsid w:val="00F73E54"/>
    <w:rsid w:val="00F74301"/>
    <w:rsid w:val="00F74453"/>
    <w:rsid w:val="00F74A9A"/>
    <w:rsid w:val="00F74D61"/>
    <w:rsid w:val="00F75822"/>
    <w:rsid w:val="00F7613A"/>
    <w:rsid w:val="00F76AB1"/>
    <w:rsid w:val="00F77264"/>
    <w:rsid w:val="00F772EA"/>
    <w:rsid w:val="00F7761E"/>
    <w:rsid w:val="00F77766"/>
    <w:rsid w:val="00F777DA"/>
    <w:rsid w:val="00F77A96"/>
    <w:rsid w:val="00F77D43"/>
    <w:rsid w:val="00F800AB"/>
    <w:rsid w:val="00F802ED"/>
    <w:rsid w:val="00F806B6"/>
    <w:rsid w:val="00F80D78"/>
    <w:rsid w:val="00F81195"/>
    <w:rsid w:val="00F82746"/>
    <w:rsid w:val="00F82C20"/>
    <w:rsid w:val="00F836F9"/>
    <w:rsid w:val="00F839EE"/>
    <w:rsid w:val="00F83BC5"/>
    <w:rsid w:val="00F83DD5"/>
    <w:rsid w:val="00F8456A"/>
    <w:rsid w:val="00F845D7"/>
    <w:rsid w:val="00F85180"/>
    <w:rsid w:val="00F85476"/>
    <w:rsid w:val="00F85628"/>
    <w:rsid w:val="00F86D7C"/>
    <w:rsid w:val="00F876CC"/>
    <w:rsid w:val="00F87933"/>
    <w:rsid w:val="00F901FE"/>
    <w:rsid w:val="00F903C6"/>
    <w:rsid w:val="00F9045F"/>
    <w:rsid w:val="00F90DAE"/>
    <w:rsid w:val="00F90EF7"/>
    <w:rsid w:val="00F918A3"/>
    <w:rsid w:val="00F92279"/>
    <w:rsid w:val="00F941D4"/>
    <w:rsid w:val="00F94643"/>
    <w:rsid w:val="00F9546E"/>
    <w:rsid w:val="00F95AC5"/>
    <w:rsid w:val="00F9620D"/>
    <w:rsid w:val="00F96B2C"/>
    <w:rsid w:val="00F97EA7"/>
    <w:rsid w:val="00FA0062"/>
    <w:rsid w:val="00FA00FC"/>
    <w:rsid w:val="00FA0197"/>
    <w:rsid w:val="00FA030F"/>
    <w:rsid w:val="00FA03D6"/>
    <w:rsid w:val="00FA08D4"/>
    <w:rsid w:val="00FA2284"/>
    <w:rsid w:val="00FA5EF4"/>
    <w:rsid w:val="00FA62CA"/>
    <w:rsid w:val="00FA66E9"/>
    <w:rsid w:val="00FA675F"/>
    <w:rsid w:val="00FA68D8"/>
    <w:rsid w:val="00FA69A2"/>
    <w:rsid w:val="00FA6D2A"/>
    <w:rsid w:val="00FA73F7"/>
    <w:rsid w:val="00FA7524"/>
    <w:rsid w:val="00FA7668"/>
    <w:rsid w:val="00FB0389"/>
    <w:rsid w:val="00FB122B"/>
    <w:rsid w:val="00FB20CD"/>
    <w:rsid w:val="00FB2E99"/>
    <w:rsid w:val="00FB3199"/>
    <w:rsid w:val="00FB34DA"/>
    <w:rsid w:val="00FB4B92"/>
    <w:rsid w:val="00FB4D21"/>
    <w:rsid w:val="00FB52B3"/>
    <w:rsid w:val="00FB5390"/>
    <w:rsid w:val="00FB540D"/>
    <w:rsid w:val="00FB5487"/>
    <w:rsid w:val="00FB67C6"/>
    <w:rsid w:val="00FB762B"/>
    <w:rsid w:val="00FB7A30"/>
    <w:rsid w:val="00FC0456"/>
    <w:rsid w:val="00FC05DD"/>
    <w:rsid w:val="00FC1235"/>
    <w:rsid w:val="00FC13BF"/>
    <w:rsid w:val="00FC1553"/>
    <w:rsid w:val="00FC1DE5"/>
    <w:rsid w:val="00FC2769"/>
    <w:rsid w:val="00FC350A"/>
    <w:rsid w:val="00FC4514"/>
    <w:rsid w:val="00FC4EDE"/>
    <w:rsid w:val="00FC6153"/>
    <w:rsid w:val="00FC62F3"/>
    <w:rsid w:val="00FC6ADA"/>
    <w:rsid w:val="00FC6D98"/>
    <w:rsid w:val="00FC7514"/>
    <w:rsid w:val="00FD04A6"/>
    <w:rsid w:val="00FD04B6"/>
    <w:rsid w:val="00FD076F"/>
    <w:rsid w:val="00FD0E6E"/>
    <w:rsid w:val="00FD13A0"/>
    <w:rsid w:val="00FD1524"/>
    <w:rsid w:val="00FD210C"/>
    <w:rsid w:val="00FD288D"/>
    <w:rsid w:val="00FD33B2"/>
    <w:rsid w:val="00FD38A6"/>
    <w:rsid w:val="00FD5202"/>
    <w:rsid w:val="00FD54BA"/>
    <w:rsid w:val="00FD59EA"/>
    <w:rsid w:val="00FD5B87"/>
    <w:rsid w:val="00FD6D93"/>
    <w:rsid w:val="00FD6F77"/>
    <w:rsid w:val="00FD79FE"/>
    <w:rsid w:val="00FE0517"/>
    <w:rsid w:val="00FE0E5C"/>
    <w:rsid w:val="00FE0F47"/>
    <w:rsid w:val="00FE1483"/>
    <w:rsid w:val="00FE15E1"/>
    <w:rsid w:val="00FE1C4B"/>
    <w:rsid w:val="00FE2045"/>
    <w:rsid w:val="00FE2780"/>
    <w:rsid w:val="00FE377B"/>
    <w:rsid w:val="00FE3E3F"/>
    <w:rsid w:val="00FE432B"/>
    <w:rsid w:val="00FE5585"/>
    <w:rsid w:val="00FE5C5F"/>
    <w:rsid w:val="00FE661C"/>
    <w:rsid w:val="00FE7507"/>
    <w:rsid w:val="00FE7C1C"/>
    <w:rsid w:val="00FF0A61"/>
    <w:rsid w:val="00FF14B1"/>
    <w:rsid w:val="00FF14E9"/>
    <w:rsid w:val="00FF1923"/>
    <w:rsid w:val="00FF1E63"/>
    <w:rsid w:val="00FF2F28"/>
    <w:rsid w:val="00FF3167"/>
    <w:rsid w:val="00FF3CCB"/>
    <w:rsid w:val="00FF4124"/>
    <w:rsid w:val="00FF4908"/>
    <w:rsid w:val="00FF55F9"/>
    <w:rsid w:val="00FF5F99"/>
    <w:rsid w:val="00FF6287"/>
    <w:rsid w:val="0335AE0E"/>
    <w:rsid w:val="03C74CC7"/>
    <w:rsid w:val="10200D50"/>
    <w:rsid w:val="15B50803"/>
    <w:rsid w:val="186F2B27"/>
    <w:rsid w:val="19831BE6"/>
    <w:rsid w:val="19DCB4AB"/>
    <w:rsid w:val="26A7F2F2"/>
    <w:rsid w:val="28C0A397"/>
    <w:rsid w:val="2A479FFC"/>
    <w:rsid w:val="33F508DE"/>
    <w:rsid w:val="34992626"/>
    <w:rsid w:val="357F0241"/>
    <w:rsid w:val="39EC84F9"/>
    <w:rsid w:val="3DD4D999"/>
    <w:rsid w:val="42ECC485"/>
    <w:rsid w:val="4B0C393C"/>
    <w:rsid w:val="4CD5745B"/>
    <w:rsid w:val="4E9A7497"/>
    <w:rsid w:val="4F1B9766"/>
    <w:rsid w:val="529E649C"/>
    <w:rsid w:val="560EF488"/>
    <w:rsid w:val="5E31176E"/>
    <w:rsid w:val="63208399"/>
    <w:rsid w:val="700DAF07"/>
    <w:rsid w:val="763C4EA0"/>
    <w:rsid w:val="77EEAD97"/>
    <w:rsid w:val="7D0906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A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E"/>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BB656C"/>
    <w:pPr>
      <w:outlineLvl w:val="3"/>
    </w:pPr>
    <w:rPr>
      <w:rFonts w:ascii="Calibri Light" w:hAnsi="Calibri Light"/>
      <w:bCs w:val="0"/>
      <w:color w:val="5D779D" w:themeColor="accent3"/>
      <w:sz w:val="24"/>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BB656C"/>
    <w:rPr>
      <w:rFonts w:ascii="Calibri Light" w:eastAsia="Times New Roman" w:hAnsi="Calibri Light" w:cs="Arial"/>
      <w:color w:val="5D779D" w:themeColor="accent3"/>
      <w:kern w:val="32"/>
      <w:sz w:val="24"/>
      <w:szCs w:val="3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aliases w:val="b Char,b + line Char Char,b Char Char,b1 Char,b + line Char,Body Char,level 1 Char,Bullet + line Char,Number Char,List Paragraph2 Char,Bullets Char,L Char,List Paragraph1 Char,List Paragraph11 Char,Recommendation Char,List Paragraph Char,L C"/>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ullet + line,b,b + line,b1,bulleted,level 1,BodyNum,Bullet Char1,Bullet Char1 Char Char Char Char,b1 Char Char Char,Bullet Char1 Char Char Char Char Char,Bullet Char1 Char Char Char,CG-Bullet"/>
    <w:basedOn w:val="Normal"/>
    <w:link w:val="BulletChar"/>
    <w:qFormat/>
    <w:rsid w:val="009E0CA5"/>
    <w:pPr>
      <w:numPr>
        <w:numId w:val="14"/>
      </w:numPr>
      <w:tabs>
        <w:tab w:val="left" w:pos="720"/>
      </w:tabs>
      <w:spacing w:before="0" w:line="276" w:lineRule="auto"/>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14"/>
      </w:numPr>
      <w:spacing w:before="0"/>
    </w:pPr>
  </w:style>
  <w:style w:type="paragraph" w:customStyle="1" w:styleId="DoubleDot">
    <w:name w:val="Double Dot"/>
    <w:basedOn w:val="Normal"/>
    <w:link w:val="DoubleDotChar"/>
    <w:qFormat/>
    <w:rsid w:val="000E0B74"/>
    <w:pPr>
      <w:numPr>
        <w:ilvl w:val="2"/>
        <w:numId w:val="1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1"/>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1"/>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1"/>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rsid w:val="00444CDB"/>
    <w:rPr>
      <w:i/>
      <w:iCs/>
    </w:rPr>
  </w:style>
  <w:style w:type="character" w:styleId="Strong">
    <w:name w:val="Strong"/>
    <w:basedOn w:val="DefaultParagraphFont"/>
    <w:qFormat/>
    <w:rsid w:val="00444CDB"/>
    <w:rPr>
      <w:b/>
      <w:bCs/>
    </w:rPr>
  </w:style>
  <w:style w:type="paragraph" w:styleId="Quote">
    <w:name w:val="Quote"/>
    <w:basedOn w:val="Normal"/>
    <w:next w:val="Normal"/>
    <w:link w:val="QuoteChar"/>
    <w:uiPriority w:val="29"/>
    <w:qFormat/>
    <w:rsid w:val="00E35840"/>
    <w:pPr>
      <w:spacing w:before="160" w:after="160" w:line="278" w:lineRule="auto"/>
      <w:contextualSpacing/>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35840"/>
    <w:rPr>
      <w:i/>
      <w:iCs/>
      <w:color w:val="404040" w:themeColor="text1" w:themeTint="BF"/>
      <w:kern w:val="2"/>
      <w:sz w:val="24"/>
      <w:szCs w:val="24"/>
      <w14:ligatures w14:val="standardContextual"/>
    </w:rPr>
  </w:style>
  <w:style w:type="character" w:customStyle="1" w:styleId="contextualspellingandgrammarerrorzoomed">
    <w:name w:val="contextualspellingandgrammarerrorzoomed"/>
    <w:basedOn w:val="DefaultParagraphFont"/>
    <w:rsid w:val="0062111A"/>
  </w:style>
  <w:style w:type="character" w:styleId="UnresolvedMention">
    <w:name w:val="Unresolved Mention"/>
    <w:basedOn w:val="DefaultParagraphFont"/>
    <w:uiPriority w:val="99"/>
    <w:semiHidden/>
    <w:unhideWhenUsed/>
    <w:rsid w:val="00897230"/>
    <w:rPr>
      <w:color w:val="605E5C"/>
      <w:shd w:val="clear" w:color="auto" w:fill="E1DFDD"/>
    </w:rPr>
  </w:style>
  <w:style w:type="table" w:styleId="TableGridLight">
    <w:name w:val="Grid Table Light"/>
    <w:basedOn w:val="TableNormal"/>
    <w:uiPriority w:val="40"/>
    <w:rsid w:val="00D847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9441B6"/>
    <w:rPr>
      <w:rFonts w:ascii="Calibri Light" w:hAnsi="Calibri Light"/>
      <w:b/>
      <w:bCs/>
    </w:rPr>
  </w:style>
  <w:style w:type="character" w:customStyle="1" w:styleId="CommentSubjectChar">
    <w:name w:val="Comment Subject Char"/>
    <w:basedOn w:val="CommentTextChar"/>
    <w:link w:val="CommentSubject"/>
    <w:uiPriority w:val="99"/>
    <w:semiHidden/>
    <w:rsid w:val="009441B6"/>
    <w:rPr>
      <w:rFonts w:ascii="Calibri Light" w:eastAsia="Times New Roman" w:hAnsi="Calibri Light" w:cs="Times New Roman"/>
      <w:b/>
      <w:bCs/>
      <w:sz w:val="20"/>
      <w:szCs w:val="20"/>
      <w:lang w:eastAsia="en-AU"/>
    </w:rPr>
  </w:style>
  <w:style w:type="paragraph" w:styleId="EndnoteText">
    <w:name w:val="endnote text"/>
    <w:basedOn w:val="Normal"/>
    <w:link w:val="EndnoteTextChar"/>
    <w:uiPriority w:val="99"/>
    <w:semiHidden/>
    <w:unhideWhenUsed/>
    <w:rsid w:val="007A4E7F"/>
    <w:pPr>
      <w:spacing w:before="0" w:after="0"/>
    </w:pPr>
    <w:rPr>
      <w:sz w:val="20"/>
    </w:rPr>
  </w:style>
  <w:style w:type="character" w:customStyle="1" w:styleId="EndnoteTextChar">
    <w:name w:val="Endnote Text Char"/>
    <w:basedOn w:val="DefaultParagraphFont"/>
    <w:link w:val="EndnoteText"/>
    <w:uiPriority w:val="99"/>
    <w:semiHidden/>
    <w:rsid w:val="007A4E7F"/>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7A4E7F"/>
    <w:rPr>
      <w:vertAlign w:val="superscript"/>
    </w:rPr>
  </w:style>
  <w:style w:type="paragraph" w:styleId="NormalWeb">
    <w:name w:val="Normal (Web)"/>
    <w:basedOn w:val="Normal"/>
    <w:uiPriority w:val="99"/>
    <w:semiHidden/>
    <w:unhideWhenUsed/>
    <w:rsid w:val="00205EB5"/>
    <w:rPr>
      <w:rFonts w:ascii="Times New Roman" w:hAnsi="Times New Roman"/>
      <w:sz w:val="24"/>
      <w:szCs w:val="24"/>
    </w:rPr>
  </w:style>
  <w:style w:type="paragraph" w:styleId="TOCHeading">
    <w:name w:val="TOC Heading"/>
    <w:basedOn w:val="Heading1"/>
    <w:next w:val="Normal"/>
    <w:uiPriority w:val="39"/>
    <w:unhideWhenUsed/>
    <w:qFormat/>
    <w:rsid w:val="007048FB"/>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TOC4">
    <w:name w:val="toc 4"/>
    <w:basedOn w:val="Normal"/>
    <w:next w:val="Normal"/>
    <w:autoRedefine/>
    <w:uiPriority w:val="39"/>
    <w:unhideWhenUsed/>
    <w:rsid w:val="007048FB"/>
    <w:pPr>
      <w:spacing w:after="100"/>
      <w:ind w:left="660"/>
    </w:pPr>
  </w:style>
  <w:style w:type="paragraph" w:styleId="Revision">
    <w:name w:val="Revision"/>
    <w:hidden/>
    <w:uiPriority w:val="99"/>
    <w:semiHidden/>
    <w:rsid w:val="006525D1"/>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06654B"/>
    <w:rPr>
      <w:color w:val="2B579A"/>
      <w:shd w:val="clear" w:color="auto" w:fill="E1DFDD"/>
    </w:rPr>
  </w:style>
  <w:style w:type="paragraph" w:customStyle="1" w:styleId="FigureChartMainHeading">
    <w:name w:val="Figure Chart Main Heading"/>
    <w:basedOn w:val="Heading4"/>
    <w:link w:val="FigureChartMainHeadingChar"/>
    <w:qFormat/>
    <w:rsid w:val="00A731D0"/>
    <w:pPr>
      <w:numPr>
        <w:numId w:val="9"/>
      </w:numPr>
      <w:outlineLvl w:val="2"/>
    </w:pPr>
    <w:rPr>
      <w:rFonts w:ascii="Calibri" w:hAnsi="Calibri"/>
      <w:b/>
    </w:rPr>
  </w:style>
  <w:style w:type="character" w:customStyle="1" w:styleId="FigureChartMainHeadingChar">
    <w:name w:val="Figure Chart Main Heading Char"/>
    <w:basedOn w:val="Heading4Char"/>
    <w:link w:val="FigureChartMainHeading"/>
    <w:rsid w:val="00A731D0"/>
    <w:rPr>
      <w:rFonts w:ascii="Calibri" w:eastAsia="Times New Roman" w:hAnsi="Calibri" w:cs="Arial"/>
      <w:b/>
      <w:bCs w:val="0"/>
      <w:color w:val="4D7861" w:themeColor="accent2"/>
      <w:kern w:val="32"/>
      <w:sz w:val="24"/>
      <w:szCs w:val="20"/>
      <w:lang w:eastAsia="en-AU"/>
    </w:rPr>
  </w:style>
  <w:style w:type="table" w:styleId="PlainTable4">
    <w:name w:val="Plain Table 4"/>
    <w:basedOn w:val="TableNormal"/>
    <w:uiPriority w:val="44"/>
    <w:rsid w:val="00BC26A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C26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87802">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490041">
      <w:bodyDiv w:val="1"/>
      <w:marLeft w:val="0"/>
      <w:marRight w:val="0"/>
      <w:marTop w:val="0"/>
      <w:marBottom w:val="0"/>
      <w:divBdr>
        <w:top w:val="none" w:sz="0" w:space="0" w:color="auto"/>
        <w:left w:val="none" w:sz="0" w:space="0" w:color="auto"/>
        <w:bottom w:val="none" w:sz="0" w:space="0" w:color="auto"/>
        <w:right w:val="none" w:sz="0" w:space="0" w:color="auto"/>
      </w:divBdr>
      <w:divsChild>
        <w:div w:id="81075313">
          <w:marLeft w:val="547"/>
          <w:marRight w:val="0"/>
          <w:marTop w:val="0"/>
          <w:marBottom w:val="0"/>
          <w:divBdr>
            <w:top w:val="none" w:sz="0" w:space="0" w:color="auto"/>
            <w:left w:val="none" w:sz="0" w:space="0" w:color="auto"/>
            <w:bottom w:val="none" w:sz="0" w:space="0" w:color="auto"/>
            <w:right w:val="none" w:sz="0" w:space="0" w:color="auto"/>
          </w:divBdr>
        </w:div>
      </w:divsChild>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48271849">
      <w:bodyDiv w:val="1"/>
      <w:marLeft w:val="0"/>
      <w:marRight w:val="0"/>
      <w:marTop w:val="0"/>
      <w:marBottom w:val="0"/>
      <w:divBdr>
        <w:top w:val="none" w:sz="0" w:space="0" w:color="auto"/>
        <w:left w:val="none" w:sz="0" w:space="0" w:color="auto"/>
        <w:bottom w:val="none" w:sz="0" w:space="0" w:color="auto"/>
        <w:right w:val="none" w:sz="0" w:space="0" w:color="auto"/>
      </w:divBdr>
    </w:div>
    <w:div w:id="19041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yperlink" Target="https://evaluation.treasury.gov.au/about/commonwealth-evaluation-policy"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evaluation.treasury.gov.au/publications/australian-centre-evaluation-strategy"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industry.gov.au/publications/evaluation-strategy-2024-20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4057</Words>
  <Characters>23130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Treasury Evaluation Strategy</vt:lpstr>
    </vt:vector>
  </TitlesOfParts>
  <Company/>
  <LinksUpToDate>false</LinksUpToDate>
  <CharactersWithSpaces>27133</CharactersWithSpaces>
  <SharedDoc>false</SharedDoc>
  <HLinks>
    <vt:vector size="114" baseType="variant">
      <vt:variant>
        <vt:i4>3145776</vt:i4>
      </vt:variant>
      <vt:variant>
        <vt:i4>84</vt:i4>
      </vt:variant>
      <vt:variant>
        <vt:i4>0</vt:i4>
      </vt:variant>
      <vt:variant>
        <vt:i4>5</vt:i4>
      </vt:variant>
      <vt:variant>
        <vt:lpwstr>https://evaluation.treasury.gov.au/about/commonwealth-evaluation-policy</vt:lpwstr>
      </vt:variant>
      <vt:variant>
        <vt:lpwstr/>
      </vt:variant>
      <vt:variant>
        <vt:i4>917589</vt:i4>
      </vt:variant>
      <vt:variant>
        <vt:i4>81</vt:i4>
      </vt:variant>
      <vt:variant>
        <vt:i4>0</vt:i4>
      </vt:variant>
      <vt:variant>
        <vt:i4>5</vt:i4>
      </vt:variant>
      <vt:variant>
        <vt:lpwstr>https://evaluation.treasury.gov.au/publications/australian-centre-evaluation-strategy</vt:lpwstr>
      </vt:variant>
      <vt:variant>
        <vt:lpwstr/>
      </vt:variant>
      <vt:variant>
        <vt:i4>1769535</vt:i4>
      </vt:variant>
      <vt:variant>
        <vt:i4>74</vt:i4>
      </vt:variant>
      <vt:variant>
        <vt:i4>0</vt:i4>
      </vt:variant>
      <vt:variant>
        <vt:i4>5</vt:i4>
      </vt:variant>
      <vt:variant>
        <vt:lpwstr/>
      </vt:variant>
      <vt:variant>
        <vt:lpwstr>_Toc208932675</vt:lpwstr>
      </vt:variant>
      <vt:variant>
        <vt:i4>1769535</vt:i4>
      </vt:variant>
      <vt:variant>
        <vt:i4>68</vt:i4>
      </vt:variant>
      <vt:variant>
        <vt:i4>0</vt:i4>
      </vt:variant>
      <vt:variant>
        <vt:i4>5</vt:i4>
      </vt:variant>
      <vt:variant>
        <vt:lpwstr/>
      </vt:variant>
      <vt:variant>
        <vt:lpwstr>_Toc208932674</vt:lpwstr>
      </vt:variant>
      <vt:variant>
        <vt:i4>1769535</vt:i4>
      </vt:variant>
      <vt:variant>
        <vt:i4>62</vt:i4>
      </vt:variant>
      <vt:variant>
        <vt:i4>0</vt:i4>
      </vt:variant>
      <vt:variant>
        <vt:i4>5</vt:i4>
      </vt:variant>
      <vt:variant>
        <vt:lpwstr/>
      </vt:variant>
      <vt:variant>
        <vt:lpwstr>_Toc208932673</vt:lpwstr>
      </vt:variant>
      <vt:variant>
        <vt:i4>1769535</vt:i4>
      </vt:variant>
      <vt:variant>
        <vt:i4>56</vt:i4>
      </vt:variant>
      <vt:variant>
        <vt:i4>0</vt:i4>
      </vt:variant>
      <vt:variant>
        <vt:i4>5</vt:i4>
      </vt:variant>
      <vt:variant>
        <vt:lpwstr/>
      </vt:variant>
      <vt:variant>
        <vt:lpwstr>_Toc208932672</vt:lpwstr>
      </vt:variant>
      <vt:variant>
        <vt:i4>1769535</vt:i4>
      </vt:variant>
      <vt:variant>
        <vt:i4>50</vt:i4>
      </vt:variant>
      <vt:variant>
        <vt:i4>0</vt:i4>
      </vt:variant>
      <vt:variant>
        <vt:i4>5</vt:i4>
      </vt:variant>
      <vt:variant>
        <vt:lpwstr/>
      </vt:variant>
      <vt:variant>
        <vt:lpwstr>_Toc208932671</vt:lpwstr>
      </vt:variant>
      <vt:variant>
        <vt:i4>1769535</vt:i4>
      </vt:variant>
      <vt:variant>
        <vt:i4>44</vt:i4>
      </vt:variant>
      <vt:variant>
        <vt:i4>0</vt:i4>
      </vt:variant>
      <vt:variant>
        <vt:i4>5</vt:i4>
      </vt:variant>
      <vt:variant>
        <vt:lpwstr/>
      </vt:variant>
      <vt:variant>
        <vt:lpwstr>_Toc208932670</vt:lpwstr>
      </vt:variant>
      <vt:variant>
        <vt:i4>1703999</vt:i4>
      </vt:variant>
      <vt:variant>
        <vt:i4>38</vt:i4>
      </vt:variant>
      <vt:variant>
        <vt:i4>0</vt:i4>
      </vt:variant>
      <vt:variant>
        <vt:i4>5</vt:i4>
      </vt:variant>
      <vt:variant>
        <vt:lpwstr/>
      </vt:variant>
      <vt:variant>
        <vt:lpwstr>_Toc208932669</vt:lpwstr>
      </vt:variant>
      <vt:variant>
        <vt:i4>1703999</vt:i4>
      </vt:variant>
      <vt:variant>
        <vt:i4>32</vt:i4>
      </vt:variant>
      <vt:variant>
        <vt:i4>0</vt:i4>
      </vt:variant>
      <vt:variant>
        <vt:i4>5</vt:i4>
      </vt:variant>
      <vt:variant>
        <vt:lpwstr/>
      </vt:variant>
      <vt:variant>
        <vt:lpwstr>_Toc208932668</vt:lpwstr>
      </vt:variant>
      <vt:variant>
        <vt:i4>1703999</vt:i4>
      </vt:variant>
      <vt:variant>
        <vt:i4>26</vt:i4>
      </vt:variant>
      <vt:variant>
        <vt:i4>0</vt:i4>
      </vt:variant>
      <vt:variant>
        <vt:i4>5</vt:i4>
      </vt:variant>
      <vt:variant>
        <vt:lpwstr/>
      </vt:variant>
      <vt:variant>
        <vt:lpwstr>_Toc208932667</vt:lpwstr>
      </vt:variant>
      <vt:variant>
        <vt:i4>1703999</vt:i4>
      </vt:variant>
      <vt:variant>
        <vt:i4>20</vt:i4>
      </vt:variant>
      <vt:variant>
        <vt:i4>0</vt:i4>
      </vt:variant>
      <vt:variant>
        <vt:i4>5</vt:i4>
      </vt:variant>
      <vt:variant>
        <vt:lpwstr/>
      </vt:variant>
      <vt:variant>
        <vt:lpwstr>_Toc208932666</vt:lpwstr>
      </vt:variant>
      <vt:variant>
        <vt:i4>1703999</vt:i4>
      </vt:variant>
      <vt:variant>
        <vt:i4>17</vt:i4>
      </vt:variant>
      <vt:variant>
        <vt:i4>0</vt:i4>
      </vt:variant>
      <vt:variant>
        <vt:i4>5</vt:i4>
      </vt:variant>
      <vt:variant>
        <vt:lpwstr/>
      </vt:variant>
      <vt:variant>
        <vt:lpwstr>_Toc208932665</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7864355</vt:i4>
      </vt:variant>
      <vt:variant>
        <vt:i4>0</vt:i4>
      </vt:variant>
      <vt:variant>
        <vt:i4>0</vt:i4>
      </vt:variant>
      <vt:variant>
        <vt:i4>5</vt:i4>
      </vt:variant>
      <vt:variant>
        <vt:lpwstr>https://www.industry.gov.au/publications/evaluation-strategy-2024-2028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Evaluation Strategy</dc:title>
  <dc:subject/>
  <dc:creator>Treasury</dc:creator>
  <cp:keywords/>
  <cp:lastModifiedBy/>
  <cp:revision>1</cp:revision>
  <dcterms:created xsi:type="dcterms:W3CDTF">2025-09-16T23:58:00Z</dcterms:created>
  <dcterms:modified xsi:type="dcterms:W3CDTF">2025-09-17T00:02:00Z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2025-09-16T23:58:41Z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bd105d2b-fa34-4847-a1e2-a87d4c9c3c30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