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40FAC" w14:textId="5AFCB294" w:rsidR="00C76251" w:rsidRPr="00DB6407" w:rsidRDefault="00A07DD8" w:rsidP="00817041">
      <w:pPr>
        <w:jc w:val="center"/>
        <w:rPr>
          <w:rFonts w:ascii="Helvetica" w:eastAsia="Calibri" w:hAnsi="Helvetica" w:cs="Helvetica"/>
          <w:b/>
          <w:bCs/>
          <w:szCs w:val="22"/>
          <w:lang w:eastAsia="en-US"/>
        </w:rPr>
      </w:pPr>
      <w:r>
        <w:rPr>
          <w:rFonts w:ascii="Helvetica" w:eastAsia="Calibri" w:hAnsi="Helvetica" w:cs="Helvetica"/>
          <w:b/>
          <w:bCs/>
          <w:szCs w:val="22"/>
          <w:lang w:eastAsia="en-US"/>
        </w:rPr>
        <w:t>S</w:t>
      </w:r>
      <w:r w:rsidR="00E05C25" w:rsidRPr="00DB6407">
        <w:rPr>
          <w:rFonts w:ascii="Helvetica" w:eastAsia="Calibri" w:hAnsi="Helvetica" w:cs="Helvetica"/>
          <w:b/>
          <w:bCs/>
          <w:szCs w:val="22"/>
          <w:lang w:eastAsia="en-US"/>
        </w:rPr>
        <w:t>TATEMENT OF EXPECTATIONS FOR HOUSING AUSTRALIA</w:t>
      </w:r>
    </w:p>
    <w:p w14:paraId="790B21B1" w14:textId="2C8E031C" w:rsidR="00630DC7" w:rsidRPr="008D5333" w:rsidRDefault="00DF2F95" w:rsidP="00817041">
      <w:pPr>
        <w:rPr>
          <w:rFonts w:ascii="Helvetica" w:eastAsiaTheme="minorHAnsi" w:hAnsi="Helvetica" w:cs="Helvetica"/>
          <w:kern w:val="2"/>
          <w:szCs w:val="22"/>
          <w:lang w:eastAsia="en-US"/>
          <w14:ligatures w14:val="standardContextual"/>
        </w:rPr>
      </w:pPr>
      <w:r w:rsidRPr="008D5333">
        <w:rPr>
          <w:rFonts w:ascii="Helvetica" w:eastAsiaTheme="minorHAnsi" w:hAnsi="Helvetica" w:cs="Helvetica"/>
          <w:kern w:val="2"/>
          <w:szCs w:val="22"/>
          <w:lang w:eastAsia="en-US"/>
          <w14:ligatures w14:val="standardContextual"/>
        </w:rPr>
        <w:t xml:space="preserve">Following the re-election of the Albanese Labor Government, </w:t>
      </w:r>
      <w:r w:rsidR="00E05C25" w:rsidRPr="008D5333">
        <w:rPr>
          <w:rFonts w:ascii="Helvetica" w:eastAsiaTheme="minorHAnsi" w:hAnsi="Helvetica" w:cs="Helvetica"/>
          <w:kern w:val="2"/>
          <w:szCs w:val="22"/>
          <w:lang w:eastAsia="en-US"/>
          <w14:ligatures w14:val="standardContextual"/>
        </w:rPr>
        <w:t>we</w:t>
      </w:r>
      <w:r w:rsidR="00677169" w:rsidRPr="008D5333">
        <w:rPr>
          <w:rFonts w:ascii="Helvetica" w:eastAsiaTheme="minorHAnsi" w:hAnsi="Helvetica" w:cs="Helvetica"/>
          <w:kern w:val="2"/>
          <w:szCs w:val="22"/>
          <w:lang w:eastAsia="en-US"/>
          <w14:ligatures w14:val="standardContextual"/>
        </w:rPr>
        <w:t xml:space="preserve"> are pleased to provide Housing Australia with </w:t>
      </w:r>
      <w:r w:rsidR="008A77B9" w:rsidRPr="008D5333">
        <w:rPr>
          <w:rFonts w:ascii="Helvetica" w:eastAsiaTheme="minorHAnsi" w:hAnsi="Helvetica" w:cs="Helvetica"/>
          <w:kern w:val="2"/>
          <w:szCs w:val="22"/>
          <w:lang w:eastAsia="en-US"/>
          <w14:ligatures w14:val="standardContextual"/>
        </w:rPr>
        <w:t>a</w:t>
      </w:r>
      <w:r w:rsidR="00677169" w:rsidRPr="008D5333">
        <w:rPr>
          <w:rFonts w:ascii="Helvetica" w:eastAsiaTheme="minorHAnsi" w:hAnsi="Helvetica" w:cs="Helvetica"/>
          <w:kern w:val="2"/>
          <w:szCs w:val="22"/>
          <w:lang w:eastAsia="en-US"/>
          <w14:ligatures w14:val="standardContextual"/>
        </w:rPr>
        <w:t xml:space="preserve">n updated Statement of Expectations, which outlines the Government’s key priorities, objectives and expectations of Housing Australia’s operations. </w:t>
      </w:r>
    </w:p>
    <w:p w14:paraId="2E2024DA" w14:textId="5F1A1C91" w:rsidR="001516DF" w:rsidRPr="008D5333" w:rsidRDefault="00DF2F95" w:rsidP="00817041">
      <w:pPr>
        <w:rPr>
          <w:rFonts w:ascii="Helvetica" w:eastAsiaTheme="minorHAnsi" w:hAnsi="Helvetica" w:cs="Helvetica"/>
          <w:kern w:val="2"/>
          <w:szCs w:val="22"/>
          <w:lang w:eastAsia="en-US"/>
          <w14:ligatures w14:val="standardContextual"/>
        </w:rPr>
      </w:pPr>
      <w:r w:rsidRPr="008D5333">
        <w:rPr>
          <w:rFonts w:ascii="Helvetica" w:eastAsiaTheme="minorHAnsi" w:hAnsi="Helvetica" w:cs="Helvetica"/>
          <w:kern w:val="2"/>
          <w:szCs w:val="22"/>
          <w:lang w:eastAsia="en-US"/>
          <w14:ligatures w14:val="standardContextual"/>
        </w:rPr>
        <w:t xml:space="preserve">Australia’s housing crisis has been a generation in the making. Many Australians are working hard, doing everything right – and still can’t afford a place to call home. While this crisis won’t be overcome overnight, Australians rightly expect the Government to act ambitiously and to move fast to tackle Australia’s housing crisis. </w:t>
      </w:r>
    </w:p>
    <w:p w14:paraId="06180EA2" w14:textId="056F4EE3" w:rsidR="00E05C25" w:rsidRPr="008D5333" w:rsidRDefault="00DF2F95" w:rsidP="00817041">
      <w:pPr>
        <w:rPr>
          <w:rFonts w:ascii="Helvetica" w:eastAsiaTheme="minorHAnsi" w:hAnsi="Helvetica" w:cs="Helvetica"/>
          <w:kern w:val="2"/>
          <w:szCs w:val="22"/>
          <w:lang w:eastAsia="en-US"/>
          <w14:ligatures w14:val="standardContextual"/>
        </w:rPr>
      </w:pPr>
      <w:r w:rsidRPr="008D5333">
        <w:rPr>
          <w:rFonts w:ascii="Helvetica" w:eastAsiaTheme="minorHAnsi" w:hAnsi="Helvetica" w:cs="Helvetica"/>
          <w:kern w:val="2"/>
          <w:szCs w:val="22"/>
          <w:lang w:eastAsia="en-US"/>
          <w14:ligatures w14:val="standardContextual"/>
        </w:rPr>
        <w:t>The Albanese Labor Government has a $43 billion Homes for Australia Plan</w:t>
      </w:r>
      <w:r w:rsidR="001516DF" w:rsidRPr="008D5333">
        <w:rPr>
          <w:rFonts w:ascii="Helvetica" w:eastAsiaTheme="minorHAnsi" w:hAnsi="Helvetica" w:cs="Helvetica"/>
          <w:kern w:val="2"/>
          <w:szCs w:val="22"/>
          <w:lang w:eastAsia="en-US"/>
          <w14:ligatures w14:val="standardContextual"/>
        </w:rPr>
        <w:t xml:space="preserve"> focused on making it easier to buy, better to rent and build more homes. </w:t>
      </w:r>
      <w:r w:rsidR="00E05C25" w:rsidRPr="008D5333">
        <w:rPr>
          <w:rFonts w:ascii="Helvetica" w:eastAsiaTheme="minorHAnsi" w:hAnsi="Helvetica" w:cs="Helvetica"/>
          <w:kern w:val="2"/>
          <w:szCs w:val="22"/>
          <w:lang w:eastAsia="en-US"/>
          <w14:ligatures w14:val="standardContextual"/>
        </w:rPr>
        <w:t>This is more than 8 times the Government</w:t>
      </w:r>
      <w:r w:rsidR="00E24BF1" w:rsidRPr="008D5333">
        <w:rPr>
          <w:rFonts w:ascii="Helvetica" w:eastAsiaTheme="minorHAnsi" w:hAnsi="Helvetica" w:cs="Helvetica"/>
          <w:kern w:val="2"/>
          <w:szCs w:val="22"/>
          <w:lang w:eastAsia="en-US"/>
          <w14:ligatures w14:val="standardContextual"/>
        </w:rPr>
        <w:t>’s</w:t>
      </w:r>
      <w:r w:rsidR="00E05C25" w:rsidRPr="008D5333">
        <w:rPr>
          <w:rFonts w:ascii="Helvetica" w:eastAsiaTheme="minorHAnsi" w:hAnsi="Helvetica" w:cs="Helvetica"/>
          <w:kern w:val="2"/>
          <w:szCs w:val="22"/>
          <w:lang w:eastAsia="en-US"/>
          <w14:ligatures w14:val="standardContextual"/>
        </w:rPr>
        <w:t xml:space="preserve"> investment in housing in the decade prior. Housing Australia has a significant role in delivering this agenda, particularly through</w:t>
      </w:r>
      <w:r w:rsidR="00C3497C" w:rsidRPr="008D5333">
        <w:rPr>
          <w:rFonts w:ascii="Helvetica" w:eastAsiaTheme="minorHAnsi" w:hAnsi="Helvetica" w:cs="Helvetica"/>
          <w:kern w:val="2"/>
          <w:szCs w:val="22"/>
          <w:lang w:eastAsia="en-US"/>
          <w14:ligatures w14:val="standardContextual"/>
        </w:rPr>
        <w:t xml:space="preserve"> social and affordable housing and homeownership support. </w:t>
      </w:r>
    </w:p>
    <w:p w14:paraId="20D6D7E8" w14:textId="77777777" w:rsidR="00C07CBE" w:rsidRDefault="00E05C25" w:rsidP="00817041">
      <w:pPr>
        <w:rPr>
          <w:rFonts w:ascii="Helvetica" w:eastAsiaTheme="minorHAnsi" w:hAnsi="Helvetica" w:cs="Helvetica"/>
          <w:kern w:val="2"/>
          <w:szCs w:val="22"/>
          <w:lang w:eastAsia="en-US"/>
          <w14:ligatures w14:val="standardContextual"/>
        </w:rPr>
      </w:pPr>
      <w:r w:rsidRPr="008D5333">
        <w:rPr>
          <w:rFonts w:ascii="Helvetica" w:eastAsiaTheme="minorHAnsi" w:hAnsi="Helvetica" w:cs="Helvetica"/>
          <w:kern w:val="2"/>
          <w:szCs w:val="22"/>
          <w:lang w:eastAsia="en-US"/>
          <w14:ligatures w14:val="standardContextual"/>
        </w:rPr>
        <w:t xml:space="preserve">The Government’s Homes for Australia Plan </w:t>
      </w:r>
      <w:r w:rsidR="007B72FB" w:rsidRPr="008D5333">
        <w:rPr>
          <w:rFonts w:ascii="Helvetica" w:eastAsiaTheme="minorHAnsi" w:hAnsi="Helvetica" w:cs="Helvetica"/>
          <w:kern w:val="2"/>
          <w:szCs w:val="22"/>
          <w:lang w:eastAsia="en-US"/>
          <w14:ligatures w14:val="standardContextual"/>
        </w:rPr>
        <w:t xml:space="preserve">recognises the importance of securing safe and affordable accommodation </w:t>
      </w:r>
      <w:r w:rsidR="002F0CC3" w:rsidRPr="008D5333">
        <w:rPr>
          <w:rFonts w:ascii="Helvetica" w:eastAsiaTheme="minorHAnsi" w:hAnsi="Helvetica" w:cs="Helvetica"/>
          <w:kern w:val="2"/>
          <w:szCs w:val="22"/>
          <w:lang w:eastAsia="en-US"/>
          <w14:ligatures w14:val="standardContextual"/>
        </w:rPr>
        <w:t xml:space="preserve">to meet the </w:t>
      </w:r>
      <w:proofErr w:type="gramStart"/>
      <w:r w:rsidR="002F0CC3" w:rsidRPr="008D5333">
        <w:rPr>
          <w:rFonts w:ascii="Helvetica" w:eastAsiaTheme="minorHAnsi" w:hAnsi="Helvetica" w:cs="Helvetica"/>
          <w:kern w:val="2"/>
          <w:szCs w:val="22"/>
          <w:lang w:eastAsia="en-US"/>
          <w14:ligatures w14:val="standardContextual"/>
        </w:rPr>
        <w:t>particular needs</w:t>
      </w:r>
      <w:proofErr w:type="gramEnd"/>
      <w:r w:rsidR="002F0CC3" w:rsidRPr="008D5333">
        <w:rPr>
          <w:rFonts w:ascii="Helvetica" w:eastAsiaTheme="minorHAnsi" w:hAnsi="Helvetica" w:cs="Helvetica"/>
          <w:kern w:val="2"/>
          <w:szCs w:val="22"/>
          <w:lang w:eastAsia="en-US"/>
          <w14:ligatures w14:val="standardContextual"/>
        </w:rPr>
        <w:t xml:space="preserve"> of</w:t>
      </w:r>
      <w:r w:rsidR="007B72FB" w:rsidRPr="008D5333">
        <w:rPr>
          <w:rFonts w:ascii="Helvetica" w:eastAsiaTheme="minorHAnsi" w:hAnsi="Helvetica" w:cs="Helvetica"/>
          <w:kern w:val="2"/>
          <w:szCs w:val="22"/>
          <w:lang w:eastAsia="en-US"/>
          <w14:ligatures w14:val="standardContextual"/>
        </w:rPr>
        <w:t xml:space="preserve"> </w:t>
      </w:r>
      <w:r w:rsidR="00E24BF1" w:rsidRPr="008D5333">
        <w:rPr>
          <w:rFonts w:ascii="Helvetica" w:eastAsiaTheme="minorHAnsi" w:hAnsi="Helvetica" w:cs="Helvetica"/>
          <w:kern w:val="2"/>
          <w:szCs w:val="22"/>
          <w:lang w:eastAsia="en-US"/>
          <w14:ligatures w14:val="standardContextual"/>
        </w:rPr>
        <w:t xml:space="preserve">vulnerable cohorts of </w:t>
      </w:r>
      <w:r w:rsidR="007B72FB" w:rsidRPr="008D5333">
        <w:rPr>
          <w:rFonts w:ascii="Helvetica" w:eastAsiaTheme="minorHAnsi" w:hAnsi="Helvetica" w:cs="Helvetica"/>
          <w:kern w:val="2"/>
          <w:szCs w:val="22"/>
          <w:lang w:eastAsia="en-US"/>
          <w14:ligatures w14:val="standardContextual"/>
        </w:rPr>
        <w:t>people</w:t>
      </w:r>
      <w:r w:rsidR="001A09E7" w:rsidRPr="008D5333">
        <w:rPr>
          <w:rFonts w:ascii="Helvetica" w:eastAsiaTheme="minorHAnsi" w:hAnsi="Helvetica" w:cs="Helvetica"/>
          <w:kern w:val="2"/>
          <w:szCs w:val="22"/>
          <w:lang w:eastAsia="en-US"/>
          <w14:ligatures w14:val="standardContextual"/>
        </w:rPr>
        <w:t>, including</w:t>
      </w:r>
      <w:r w:rsidR="007B72FB" w:rsidRPr="008D5333">
        <w:rPr>
          <w:rFonts w:ascii="Helvetica" w:eastAsiaTheme="minorHAnsi" w:hAnsi="Helvetica" w:cs="Helvetica"/>
          <w:kern w:val="2"/>
          <w:szCs w:val="22"/>
          <w:lang w:eastAsia="en-US"/>
          <w14:ligatures w14:val="standardContextual"/>
        </w:rPr>
        <w:t xml:space="preserve"> </w:t>
      </w:r>
      <w:r w:rsidRPr="008D5333">
        <w:rPr>
          <w:rFonts w:ascii="Helvetica" w:eastAsiaTheme="minorHAnsi" w:hAnsi="Helvetica" w:cs="Helvetica"/>
          <w:kern w:val="2"/>
          <w:szCs w:val="22"/>
          <w:lang w:eastAsia="en-US"/>
          <w14:ligatures w14:val="standardContextual"/>
        </w:rPr>
        <w:t>women</w:t>
      </w:r>
      <w:r w:rsidR="001A09E7" w:rsidRPr="008D5333">
        <w:rPr>
          <w:rFonts w:ascii="Helvetica" w:eastAsiaTheme="minorHAnsi" w:hAnsi="Helvetica" w:cs="Helvetica"/>
          <w:kern w:val="2"/>
          <w:szCs w:val="22"/>
          <w:lang w:eastAsia="en-US"/>
          <w14:ligatures w14:val="standardContextual"/>
        </w:rPr>
        <w:t xml:space="preserve">, young people and First </w:t>
      </w:r>
      <w:r w:rsidR="002F0CC3" w:rsidRPr="008D5333">
        <w:rPr>
          <w:rFonts w:ascii="Helvetica" w:eastAsiaTheme="minorHAnsi" w:hAnsi="Helvetica" w:cs="Helvetica"/>
          <w:kern w:val="2"/>
          <w:szCs w:val="22"/>
          <w:lang w:eastAsia="en-US"/>
          <w14:ligatures w14:val="standardContextual"/>
        </w:rPr>
        <w:t>N</w:t>
      </w:r>
      <w:r w:rsidR="001A09E7" w:rsidRPr="008D5333">
        <w:rPr>
          <w:rFonts w:ascii="Helvetica" w:eastAsiaTheme="minorHAnsi" w:hAnsi="Helvetica" w:cs="Helvetica"/>
          <w:kern w:val="2"/>
          <w:szCs w:val="22"/>
          <w:lang w:eastAsia="en-US"/>
          <w14:ligatures w14:val="standardContextual"/>
        </w:rPr>
        <w:t>ations peoples</w:t>
      </w:r>
      <w:r w:rsidRPr="008D5333">
        <w:rPr>
          <w:rFonts w:ascii="Helvetica" w:eastAsiaTheme="minorHAnsi" w:hAnsi="Helvetica" w:cs="Helvetica"/>
          <w:kern w:val="2"/>
          <w:szCs w:val="22"/>
          <w:lang w:eastAsia="en-US"/>
          <w14:ligatures w14:val="standardContextual"/>
        </w:rPr>
        <w:t xml:space="preserve">. </w:t>
      </w:r>
      <w:bookmarkStart w:id="0" w:name="tempbookmark"/>
      <w:bookmarkEnd w:id="0"/>
    </w:p>
    <w:p w14:paraId="3C8B121B" w14:textId="4CD84B8A" w:rsidR="00677169" w:rsidRPr="00DB6407" w:rsidRDefault="00677169" w:rsidP="00817041">
      <w:pPr>
        <w:rPr>
          <w:rFonts w:ascii="Helvetica" w:eastAsia="Calibri" w:hAnsi="Helvetica" w:cs="Helvetica"/>
          <w:szCs w:val="22"/>
          <w:lang w:eastAsia="en-US"/>
        </w:rPr>
      </w:pPr>
      <w:r w:rsidRPr="00DB6407">
        <w:rPr>
          <w:rFonts w:ascii="Helvetica" w:eastAsia="Calibri" w:hAnsi="Helvetica" w:cs="Helvetica"/>
          <w:szCs w:val="22"/>
          <w:lang w:eastAsia="en-US"/>
        </w:rPr>
        <w:t xml:space="preserve">In providing this Statement of Expectations (Statement), we acknowledge the </w:t>
      </w:r>
      <w:r w:rsidR="008F28CD" w:rsidRPr="00DB6407">
        <w:rPr>
          <w:rFonts w:ascii="Helvetica" w:eastAsia="Calibri" w:hAnsi="Helvetica" w:cs="Helvetica"/>
          <w:szCs w:val="22"/>
          <w:lang w:eastAsia="en-US"/>
        </w:rPr>
        <w:t xml:space="preserve">objectives, </w:t>
      </w:r>
      <w:r w:rsidRPr="00DB6407">
        <w:rPr>
          <w:rFonts w:ascii="Helvetica" w:eastAsia="Calibri" w:hAnsi="Helvetica" w:cs="Helvetica"/>
          <w:szCs w:val="22"/>
          <w:lang w:eastAsia="en-US"/>
        </w:rPr>
        <w:t>functions, powers, activities and governance arrangements of Housing Australia as set out under the Housing Australia Act 2018 (Housing Australia Act)</w:t>
      </w:r>
      <w:r w:rsidR="00782391" w:rsidRPr="00DB6407">
        <w:rPr>
          <w:rFonts w:ascii="Helvetica" w:eastAsia="Calibri" w:hAnsi="Helvetica" w:cs="Helvetica"/>
          <w:szCs w:val="22"/>
          <w:lang w:eastAsia="en-US"/>
        </w:rPr>
        <w:t>, the Help to Buy Act 2024</w:t>
      </w:r>
      <w:r w:rsidR="0022743F" w:rsidRPr="00DB6407">
        <w:rPr>
          <w:rFonts w:ascii="Helvetica" w:eastAsia="Calibri" w:hAnsi="Helvetica" w:cs="Helvetica"/>
          <w:szCs w:val="22"/>
          <w:lang w:eastAsia="en-US"/>
        </w:rPr>
        <w:t>, the Help to Buy Program Directions</w:t>
      </w:r>
      <w:r w:rsidR="000D0C44" w:rsidRPr="00DB6407">
        <w:rPr>
          <w:rFonts w:ascii="Helvetica" w:eastAsia="Calibri" w:hAnsi="Helvetica" w:cs="Helvetica"/>
          <w:szCs w:val="22"/>
          <w:lang w:eastAsia="en-US"/>
        </w:rPr>
        <w:t xml:space="preserve"> 2025</w:t>
      </w:r>
      <w:r w:rsidR="0022743F" w:rsidRPr="00DB6407">
        <w:rPr>
          <w:rFonts w:ascii="Helvetica" w:eastAsia="Calibri" w:hAnsi="Helvetica" w:cs="Helvetica"/>
          <w:szCs w:val="22"/>
          <w:lang w:eastAsia="en-US"/>
        </w:rPr>
        <w:t>,</w:t>
      </w:r>
      <w:r w:rsidRPr="00DB6407">
        <w:rPr>
          <w:rFonts w:ascii="Helvetica" w:eastAsia="Calibri" w:hAnsi="Helvetica" w:cs="Helvetica"/>
          <w:szCs w:val="22"/>
          <w:lang w:eastAsia="en-US"/>
        </w:rPr>
        <w:t xml:space="preserve"> and the Housing Australia Investment Mandate Direction 2018 (Investment Mandate).</w:t>
      </w:r>
    </w:p>
    <w:p w14:paraId="17B62E7A" w14:textId="0A20CC09" w:rsidR="00677169" w:rsidRPr="00DB6407" w:rsidRDefault="00677169" w:rsidP="00817041">
      <w:pPr>
        <w:rPr>
          <w:rFonts w:ascii="Helvetica" w:eastAsia="Calibri" w:hAnsi="Helvetica" w:cs="Helvetica"/>
          <w:szCs w:val="22"/>
          <w:lang w:eastAsia="en-US"/>
        </w:rPr>
      </w:pPr>
      <w:r w:rsidRPr="00DB6407">
        <w:rPr>
          <w:rFonts w:ascii="Helvetica" w:eastAsia="Calibri" w:hAnsi="Helvetica" w:cs="Helvetica"/>
          <w:szCs w:val="22"/>
          <w:lang w:eastAsia="en-US"/>
        </w:rPr>
        <w:t xml:space="preserve">We also acknowledge Housing Australia’s independence as a corporate Commonwealth entity (CCE), and the roles of its Board and Executive leadership in the operation and stewardship of the organisation. </w:t>
      </w:r>
    </w:p>
    <w:p w14:paraId="05641017" w14:textId="495A1E3D" w:rsidR="00326923" w:rsidRPr="003D481E" w:rsidRDefault="00256AAC" w:rsidP="00817041">
      <w:pPr>
        <w:rPr>
          <w:rFonts w:ascii="Helvetica" w:eastAsia="Calibri" w:hAnsi="Helvetica" w:cs="Helvetica"/>
          <w:szCs w:val="22"/>
          <w:lang w:eastAsia="en-US"/>
        </w:rPr>
      </w:pPr>
      <w:r w:rsidRPr="00DB6407">
        <w:rPr>
          <w:rFonts w:ascii="Helvetica" w:eastAsia="Calibri" w:hAnsi="Helvetica" w:cs="Helvetica"/>
          <w:szCs w:val="22"/>
          <w:lang w:eastAsia="en-US"/>
        </w:rPr>
        <w:t>We</w:t>
      </w:r>
      <w:r w:rsidR="00677169" w:rsidRPr="00DB6407">
        <w:rPr>
          <w:rFonts w:ascii="Helvetica" w:eastAsia="Calibri" w:hAnsi="Helvetica" w:cs="Helvetica"/>
          <w:szCs w:val="22"/>
          <w:lang w:eastAsia="en-US"/>
        </w:rPr>
        <w:t xml:space="preserve"> expect Housing Australia to adhere to the highest standards of governance, performance, transparency and accountability. All investment made by Housing Australia must have a clear legislative basis and align with the Government’s key priorities, including but not limited to priorities articulated in this Statement. </w:t>
      </w:r>
    </w:p>
    <w:p w14:paraId="0930B369" w14:textId="01FC0954" w:rsidR="00677169" w:rsidRPr="00326923" w:rsidRDefault="00FE435A" w:rsidP="00817041">
      <w:pPr>
        <w:pStyle w:val="ListParagraph"/>
        <w:numPr>
          <w:ilvl w:val="0"/>
          <w:numId w:val="11"/>
        </w:numPr>
        <w:contextualSpacing w:val="0"/>
        <w:rPr>
          <w:rFonts w:ascii="Helvetica" w:eastAsia="Calibri" w:hAnsi="Helvetica" w:cs="Helvetica"/>
        </w:rPr>
      </w:pPr>
      <w:r w:rsidRPr="00DB6407">
        <w:rPr>
          <w:rFonts w:ascii="Helvetica" w:eastAsia="Calibri" w:hAnsi="Helvetica" w:cs="Helvetica"/>
          <w:b/>
          <w:bCs/>
          <w:i/>
          <w:iCs/>
        </w:rPr>
        <w:t>Purpose and Objectives</w:t>
      </w:r>
    </w:p>
    <w:p w14:paraId="2C5F78B6" w14:textId="77777777" w:rsidR="00326923" w:rsidRPr="00DB6407" w:rsidRDefault="00677169" w:rsidP="00817041">
      <w:pPr>
        <w:rPr>
          <w:rFonts w:ascii="Helvetica" w:eastAsia="Calibri" w:hAnsi="Helvetica" w:cs="Helvetica"/>
          <w:szCs w:val="22"/>
          <w:lang w:eastAsia="en-US"/>
        </w:rPr>
      </w:pPr>
      <w:r w:rsidRPr="00DB6407">
        <w:rPr>
          <w:rFonts w:ascii="Helvetica" w:eastAsia="Calibri" w:hAnsi="Helvetica" w:cs="Helvetica"/>
          <w:szCs w:val="22"/>
          <w:lang w:eastAsia="en-US"/>
        </w:rPr>
        <w:t xml:space="preserve">Housing supply and affordability continues to impact many Australians. </w:t>
      </w:r>
      <w:r w:rsidR="003F4CF2" w:rsidRPr="00DB6407">
        <w:rPr>
          <w:rFonts w:ascii="Helvetica" w:eastAsia="Calibri" w:hAnsi="Helvetica" w:cs="Helvetica"/>
          <w:szCs w:val="22"/>
          <w:lang w:eastAsia="en-US"/>
        </w:rPr>
        <w:t xml:space="preserve">As </w:t>
      </w:r>
      <w:r w:rsidR="00120CDF" w:rsidRPr="00DB6407">
        <w:rPr>
          <w:rFonts w:ascii="Helvetica" w:eastAsia="Calibri" w:hAnsi="Helvetica" w:cs="Helvetica"/>
          <w:szCs w:val="22"/>
          <w:lang w:eastAsia="en-US"/>
        </w:rPr>
        <w:t>set</w:t>
      </w:r>
      <w:r w:rsidR="003F4CF2" w:rsidRPr="00DB6407">
        <w:rPr>
          <w:rFonts w:ascii="Helvetica" w:eastAsia="Calibri" w:hAnsi="Helvetica" w:cs="Helvetica"/>
          <w:szCs w:val="22"/>
          <w:lang w:eastAsia="en-US"/>
        </w:rPr>
        <w:t xml:space="preserve"> in the legislative framework, t</w:t>
      </w:r>
      <w:r w:rsidRPr="00DB6407">
        <w:rPr>
          <w:rFonts w:ascii="Helvetica" w:eastAsia="Calibri" w:hAnsi="Helvetica" w:cs="Helvetica"/>
          <w:szCs w:val="22"/>
          <w:lang w:eastAsia="en-US"/>
        </w:rPr>
        <w:t xml:space="preserve">he purpose of Housing Australia is to improve housing outcomes by helping more Australians access affordable, safe and secure housing.  </w:t>
      </w:r>
      <w:r w:rsidR="00242FE5" w:rsidRPr="00DB6407">
        <w:rPr>
          <w:rFonts w:ascii="Helvetica" w:eastAsia="Calibri" w:hAnsi="Helvetica" w:cs="Helvetica"/>
          <w:szCs w:val="22"/>
          <w:lang w:eastAsia="en-US"/>
        </w:rPr>
        <w:br/>
      </w:r>
      <w:r w:rsidR="00242FE5" w:rsidRPr="00DB6407">
        <w:rPr>
          <w:rFonts w:ascii="Helvetica" w:eastAsia="Calibri" w:hAnsi="Helvetica" w:cs="Helvetica"/>
          <w:szCs w:val="22"/>
          <w:lang w:eastAsia="en-US"/>
        </w:rPr>
        <w:br/>
      </w:r>
      <w:r w:rsidRPr="00DB6407">
        <w:rPr>
          <w:rFonts w:ascii="Helvetica" w:eastAsia="Calibri" w:hAnsi="Helvetica" w:cs="Helvetica"/>
          <w:szCs w:val="22"/>
          <w:lang w:eastAsia="en-US"/>
        </w:rPr>
        <w:t xml:space="preserve">Housing Australia plays a key role as the Government’s national housing </w:t>
      </w:r>
      <w:r w:rsidR="00AE5C48" w:rsidRPr="00DB6407">
        <w:rPr>
          <w:rFonts w:ascii="Helvetica" w:eastAsia="Calibri" w:hAnsi="Helvetica" w:cs="Helvetica"/>
          <w:szCs w:val="22"/>
          <w:lang w:eastAsia="en-US"/>
        </w:rPr>
        <w:t>authority</w:t>
      </w:r>
      <w:r w:rsidRPr="00DB6407">
        <w:rPr>
          <w:rFonts w:ascii="Helvetica" w:eastAsia="Calibri" w:hAnsi="Helvetica" w:cs="Helvetica"/>
          <w:szCs w:val="22"/>
          <w:lang w:eastAsia="en-US"/>
        </w:rPr>
        <w:t>. The Government has given Housing Australia responsibility for delivering key programs in the Government’s housing agenda including increasing the supply of social and affordable housing and supporting pathways to home ownership.</w:t>
      </w:r>
    </w:p>
    <w:p w14:paraId="0DB35C58" w14:textId="1FD5C5BB" w:rsidR="00677169" w:rsidRPr="00DB6407" w:rsidRDefault="00677169" w:rsidP="00817041">
      <w:pPr>
        <w:pStyle w:val="ListParagraph"/>
        <w:numPr>
          <w:ilvl w:val="0"/>
          <w:numId w:val="11"/>
        </w:numPr>
        <w:contextualSpacing w:val="0"/>
        <w:rPr>
          <w:rFonts w:ascii="Helvetica" w:eastAsia="Calibri" w:hAnsi="Helvetica" w:cs="Helvetica"/>
          <w:b/>
          <w:bCs/>
          <w:i/>
          <w:iCs/>
        </w:rPr>
      </w:pPr>
      <w:r w:rsidRPr="00DB6407">
        <w:rPr>
          <w:rFonts w:ascii="Helvetica" w:eastAsia="Calibri" w:hAnsi="Helvetica" w:cs="Helvetica"/>
          <w:b/>
          <w:bCs/>
          <w:i/>
          <w:iCs/>
        </w:rPr>
        <w:t>Key role</w:t>
      </w:r>
    </w:p>
    <w:p w14:paraId="1E779D40" w14:textId="0159B4CE" w:rsidR="004D6884" w:rsidRPr="00DB6407" w:rsidRDefault="00702DDD" w:rsidP="00817041">
      <w:pPr>
        <w:rPr>
          <w:rFonts w:ascii="Helvetica" w:eastAsia="Calibri" w:hAnsi="Helvetica" w:cs="Helvetica"/>
          <w:szCs w:val="22"/>
          <w:lang w:eastAsia="en-US"/>
        </w:rPr>
      </w:pPr>
      <w:r w:rsidRPr="00DB6407">
        <w:rPr>
          <w:rFonts w:ascii="Helvetica" w:eastAsia="Calibri" w:hAnsi="Helvetica" w:cs="Helvetica"/>
          <w:szCs w:val="22"/>
          <w:lang w:eastAsia="en-US"/>
        </w:rPr>
        <w:t>Housing Australia delivers on key programs in the Government’s housing agenda by providing finance to support additional social and affordable housing, delivering programs to support home ownership, and strengthening the capabilities of the community housing sector. </w:t>
      </w:r>
    </w:p>
    <w:p w14:paraId="1F41B60C" w14:textId="6B265061" w:rsidR="00677169" w:rsidRPr="00DB6407" w:rsidRDefault="00677169" w:rsidP="00817041">
      <w:pPr>
        <w:spacing w:after="120"/>
        <w:rPr>
          <w:rFonts w:ascii="Helvetica" w:eastAsia="Calibri" w:hAnsi="Helvetica" w:cs="Helvetica"/>
          <w:szCs w:val="22"/>
          <w:lang w:eastAsia="en-US"/>
        </w:rPr>
      </w:pPr>
      <w:r w:rsidRPr="00DB6407">
        <w:rPr>
          <w:rFonts w:ascii="Helvetica" w:eastAsia="Calibri" w:hAnsi="Helvetica" w:cs="Helvetica"/>
          <w:szCs w:val="22"/>
          <w:lang w:eastAsia="en-US"/>
        </w:rPr>
        <w:lastRenderedPageBreak/>
        <w:t xml:space="preserve">Given Housing Australia’s significant role in delivering the Government’s housing agenda, Housing Australia is expected to be well positioned to prioritise: </w:t>
      </w:r>
    </w:p>
    <w:p w14:paraId="36F1A421" w14:textId="77777777" w:rsidR="00677169" w:rsidRPr="00DB6407" w:rsidRDefault="00677169" w:rsidP="00817041">
      <w:pPr>
        <w:pStyle w:val="ListParagraph"/>
        <w:numPr>
          <w:ilvl w:val="0"/>
          <w:numId w:val="1"/>
        </w:numPr>
        <w:tabs>
          <w:tab w:val="clear" w:pos="520"/>
        </w:tabs>
        <w:spacing w:after="120"/>
        <w:ind w:left="720" w:hanging="360"/>
        <w:contextualSpacing w:val="0"/>
        <w:rPr>
          <w:rFonts w:ascii="Helvetica" w:eastAsia="Calibri" w:hAnsi="Helvetica" w:cs="Helvetica"/>
          <w:szCs w:val="22"/>
          <w:lang w:eastAsia="en-US"/>
        </w:rPr>
      </w:pPr>
      <w:r w:rsidRPr="00DB6407">
        <w:rPr>
          <w:rFonts w:ascii="Helvetica" w:eastAsia="Calibri" w:hAnsi="Helvetica" w:cs="Helvetica"/>
          <w:szCs w:val="22"/>
          <w:u w:val="single"/>
          <w:lang w:eastAsia="en-US"/>
        </w:rPr>
        <w:t>Program Delivery:</w:t>
      </w:r>
      <w:r w:rsidRPr="00DB6407">
        <w:rPr>
          <w:rFonts w:ascii="Helvetica" w:eastAsia="Calibri" w:hAnsi="Helvetica" w:cs="Helvetica"/>
          <w:szCs w:val="22"/>
          <w:lang w:eastAsia="en-US"/>
        </w:rPr>
        <w:t xml:space="preserve"> Ensur</w:t>
      </w:r>
      <w:r w:rsidR="00AE5C48" w:rsidRPr="00DB6407">
        <w:rPr>
          <w:rFonts w:ascii="Helvetica" w:eastAsia="Calibri" w:hAnsi="Helvetica" w:cs="Helvetica"/>
          <w:szCs w:val="22"/>
          <w:lang w:eastAsia="en-US"/>
        </w:rPr>
        <w:t>ing</w:t>
      </w:r>
      <w:r w:rsidRPr="00DB6407">
        <w:rPr>
          <w:rFonts w:ascii="Helvetica" w:eastAsia="Calibri" w:hAnsi="Helvetica" w:cs="Helvetica"/>
          <w:szCs w:val="22"/>
          <w:lang w:eastAsia="en-US"/>
        </w:rPr>
        <w:t xml:space="preserve"> the delivery of programs is efficient, effective, timely and delivers against the Government’s key policy</w:t>
      </w:r>
      <w:r w:rsidR="00F200DF" w:rsidRPr="00DB6407">
        <w:rPr>
          <w:rFonts w:ascii="Helvetica" w:eastAsia="Calibri" w:hAnsi="Helvetica" w:cs="Helvetica"/>
          <w:szCs w:val="22"/>
          <w:lang w:eastAsia="en-US"/>
        </w:rPr>
        <w:t xml:space="preserve">, legislative </w:t>
      </w:r>
      <w:r w:rsidRPr="00DB6407">
        <w:rPr>
          <w:rFonts w:ascii="Helvetica" w:eastAsia="Calibri" w:hAnsi="Helvetica" w:cs="Helvetica"/>
          <w:szCs w:val="22"/>
          <w:lang w:eastAsia="en-US"/>
        </w:rPr>
        <w:t xml:space="preserve">and financial priorities. </w:t>
      </w:r>
    </w:p>
    <w:p w14:paraId="6F32618C" w14:textId="77777777" w:rsidR="00677169" w:rsidRPr="00DB6407" w:rsidRDefault="00677169" w:rsidP="00817041">
      <w:pPr>
        <w:pStyle w:val="ListParagraph"/>
        <w:numPr>
          <w:ilvl w:val="0"/>
          <w:numId w:val="1"/>
        </w:numPr>
        <w:tabs>
          <w:tab w:val="clear" w:pos="520"/>
        </w:tabs>
        <w:spacing w:after="120"/>
        <w:ind w:left="720" w:hanging="360"/>
        <w:contextualSpacing w:val="0"/>
        <w:rPr>
          <w:rFonts w:ascii="Helvetica" w:eastAsia="Calibri" w:hAnsi="Helvetica" w:cs="Helvetica"/>
          <w:szCs w:val="22"/>
          <w:lang w:eastAsia="en-US"/>
        </w:rPr>
      </w:pPr>
      <w:r w:rsidRPr="00DB6407">
        <w:rPr>
          <w:rFonts w:ascii="Helvetica" w:eastAsia="Calibri" w:hAnsi="Helvetica" w:cs="Helvetica"/>
          <w:szCs w:val="22"/>
          <w:u w:val="single"/>
          <w:lang w:eastAsia="en-US"/>
        </w:rPr>
        <w:t>Program Performance:</w:t>
      </w:r>
      <w:r w:rsidRPr="00DB6407">
        <w:rPr>
          <w:rFonts w:ascii="Helvetica" w:eastAsia="Calibri" w:hAnsi="Helvetica" w:cs="Helvetica"/>
          <w:szCs w:val="22"/>
          <w:lang w:eastAsia="en-US"/>
        </w:rPr>
        <w:t xml:space="preserve"> Support</w:t>
      </w:r>
      <w:r w:rsidR="00AE5C48" w:rsidRPr="00DB6407">
        <w:rPr>
          <w:rFonts w:ascii="Helvetica" w:eastAsia="Calibri" w:hAnsi="Helvetica" w:cs="Helvetica"/>
          <w:szCs w:val="22"/>
          <w:lang w:eastAsia="en-US"/>
        </w:rPr>
        <w:t>ing</w:t>
      </w:r>
      <w:r w:rsidRPr="00DB6407">
        <w:rPr>
          <w:rFonts w:ascii="Helvetica" w:eastAsia="Calibri" w:hAnsi="Helvetica" w:cs="Helvetica"/>
          <w:szCs w:val="22"/>
          <w:lang w:eastAsia="en-US"/>
        </w:rPr>
        <w:t xml:space="preserve"> the Ministers’ oversight of the performance of its programs and achievement towards its Corporate Plan, the Government’s policy objectives and compliance with this Statement. This includes timely and accurate data collection, analysis and reporting</w:t>
      </w:r>
      <w:r w:rsidR="004D6884" w:rsidRPr="00DB6407">
        <w:rPr>
          <w:rFonts w:ascii="Helvetica" w:eastAsia="Calibri" w:hAnsi="Helvetica" w:cs="Helvetica"/>
          <w:szCs w:val="22"/>
          <w:lang w:eastAsia="en-US"/>
        </w:rPr>
        <w:t xml:space="preserve"> to the Minister</w:t>
      </w:r>
      <w:r w:rsidR="00A060CE" w:rsidRPr="00DB6407">
        <w:rPr>
          <w:rFonts w:ascii="Helvetica" w:eastAsia="Calibri" w:hAnsi="Helvetica" w:cs="Helvetica"/>
          <w:szCs w:val="22"/>
          <w:lang w:eastAsia="en-US"/>
        </w:rPr>
        <w:t>s</w:t>
      </w:r>
      <w:r w:rsidR="00E40EDF" w:rsidRPr="00DB6407">
        <w:rPr>
          <w:rFonts w:ascii="Helvetica" w:eastAsia="Calibri" w:hAnsi="Helvetica" w:cs="Helvetica"/>
          <w:szCs w:val="22"/>
          <w:lang w:eastAsia="en-US"/>
        </w:rPr>
        <w:t>,</w:t>
      </w:r>
      <w:r w:rsidR="00A060CE" w:rsidRPr="00DB6407">
        <w:rPr>
          <w:rFonts w:ascii="Helvetica" w:eastAsia="Calibri" w:hAnsi="Helvetica" w:cs="Helvetica"/>
          <w:szCs w:val="22"/>
          <w:lang w:eastAsia="en-US"/>
        </w:rPr>
        <w:t xml:space="preserve"> </w:t>
      </w:r>
      <w:r w:rsidR="004D6884" w:rsidRPr="00DB6407">
        <w:rPr>
          <w:rFonts w:ascii="Helvetica" w:eastAsia="Calibri" w:hAnsi="Helvetica" w:cs="Helvetica"/>
          <w:szCs w:val="22"/>
          <w:lang w:eastAsia="en-US"/>
        </w:rPr>
        <w:t>Treasury</w:t>
      </w:r>
      <w:r w:rsidR="00A060CE" w:rsidRPr="00DB6407">
        <w:rPr>
          <w:rFonts w:ascii="Helvetica" w:eastAsia="Calibri" w:hAnsi="Helvetica" w:cs="Helvetica"/>
          <w:szCs w:val="22"/>
          <w:lang w:eastAsia="en-US"/>
        </w:rPr>
        <w:t xml:space="preserve"> and the Department of Finance</w:t>
      </w:r>
      <w:r w:rsidR="004D6884" w:rsidRPr="00DB6407">
        <w:rPr>
          <w:rFonts w:ascii="Helvetica" w:eastAsia="Calibri" w:hAnsi="Helvetica" w:cs="Helvetica"/>
          <w:szCs w:val="22"/>
          <w:lang w:eastAsia="en-US"/>
        </w:rPr>
        <w:t xml:space="preserve">. </w:t>
      </w:r>
    </w:p>
    <w:p w14:paraId="1A441BE1" w14:textId="2465E4B8" w:rsidR="00FE435A" w:rsidRPr="00817041" w:rsidRDefault="00677169" w:rsidP="00817041">
      <w:pPr>
        <w:pStyle w:val="ListParagraph"/>
        <w:numPr>
          <w:ilvl w:val="0"/>
          <w:numId w:val="1"/>
        </w:numPr>
        <w:tabs>
          <w:tab w:val="clear" w:pos="520"/>
        </w:tabs>
        <w:ind w:left="714" w:hanging="357"/>
        <w:contextualSpacing w:val="0"/>
        <w:rPr>
          <w:rFonts w:ascii="Calibri" w:eastAsia="Calibri" w:hAnsi="Calibri" w:cs="Calibri"/>
          <w:szCs w:val="22"/>
          <w:lang w:eastAsia="en-US"/>
        </w:rPr>
      </w:pPr>
      <w:r w:rsidRPr="00817041">
        <w:rPr>
          <w:rFonts w:ascii="Helvetica" w:eastAsia="Calibri" w:hAnsi="Helvetica" w:cs="Helvetica"/>
          <w:szCs w:val="22"/>
          <w:u w:val="single"/>
          <w:lang w:eastAsia="en-US"/>
        </w:rPr>
        <w:t xml:space="preserve">Operations: </w:t>
      </w:r>
      <w:r w:rsidRPr="00817041">
        <w:rPr>
          <w:rFonts w:ascii="Helvetica" w:eastAsia="Calibri" w:hAnsi="Helvetica" w:cs="Helvetica"/>
          <w:szCs w:val="22"/>
          <w:lang w:eastAsia="en-US"/>
        </w:rPr>
        <w:t>Appropriate organisational capability and governance to administer and deliver Housing Australia’s programs, including effective management of human and financial resources.</w:t>
      </w:r>
    </w:p>
    <w:p w14:paraId="14A0CF5A" w14:textId="0B993728" w:rsidR="00677169" w:rsidRPr="00DB6407" w:rsidRDefault="00677169" w:rsidP="00817041">
      <w:pPr>
        <w:pStyle w:val="ListParagraph"/>
        <w:numPr>
          <w:ilvl w:val="0"/>
          <w:numId w:val="11"/>
        </w:numPr>
        <w:contextualSpacing w:val="0"/>
        <w:rPr>
          <w:rFonts w:ascii="Helvetica" w:eastAsia="Calibri" w:hAnsi="Helvetica" w:cs="Helvetica"/>
          <w:b/>
          <w:bCs/>
          <w:i/>
          <w:iCs/>
        </w:rPr>
      </w:pPr>
      <w:r w:rsidRPr="00DB6407">
        <w:rPr>
          <w:rFonts w:ascii="Helvetica" w:eastAsia="Calibri" w:hAnsi="Helvetica" w:cs="Helvetica"/>
          <w:b/>
          <w:bCs/>
          <w:i/>
          <w:iCs/>
        </w:rPr>
        <w:t>Working with Government</w:t>
      </w:r>
    </w:p>
    <w:p w14:paraId="36391936" w14:textId="284D1F9C" w:rsidR="00520604" w:rsidRPr="00DB6407" w:rsidRDefault="00520604" w:rsidP="00817041">
      <w:pPr>
        <w:rPr>
          <w:rFonts w:ascii="Helvetica" w:eastAsia="Calibri" w:hAnsi="Helvetica" w:cs="Helvetica"/>
          <w:szCs w:val="22"/>
          <w:lang w:eastAsia="en-US"/>
        </w:rPr>
      </w:pPr>
      <w:r w:rsidRPr="00DB6407">
        <w:rPr>
          <w:rFonts w:ascii="Helvetica" w:eastAsia="Calibri" w:hAnsi="Helvetica" w:cs="Helvetica"/>
          <w:szCs w:val="22"/>
          <w:lang w:eastAsia="en-US"/>
        </w:rPr>
        <w:t>The Minister for Housing</w:t>
      </w:r>
      <w:r w:rsidR="00E40EDF" w:rsidRPr="00DB6407">
        <w:rPr>
          <w:rFonts w:ascii="Helvetica" w:eastAsia="Calibri" w:hAnsi="Helvetica" w:cs="Helvetica"/>
          <w:szCs w:val="22"/>
          <w:lang w:eastAsia="en-US"/>
        </w:rPr>
        <w:t>,</w:t>
      </w:r>
      <w:r w:rsidR="006F5EE9" w:rsidRPr="00DB6407">
        <w:rPr>
          <w:rFonts w:ascii="Helvetica" w:eastAsia="Calibri" w:hAnsi="Helvetica" w:cs="Helvetica"/>
          <w:szCs w:val="22"/>
          <w:lang w:eastAsia="en-US"/>
        </w:rPr>
        <w:t xml:space="preserve"> Minister for </w:t>
      </w:r>
      <w:r w:rsidR="00E40EDF" w:rsidRPr="00DB6407">
        <w:rPr>
          <w:rFonts w:ascii="Helvetica" w:eastAsia="Calibri" w:hAnsi="Helvetica" w:cs="Helvetica"/>
          <w:szCs w:val="22"/>
          <w:lang w:eastAsia="en-US"/>
        </w:rPr>
        <w:t>Homelessness and Minister for Cities</w:t>
      </w:r>
      <w:r w:rsidR="006F5EE9" w:rsidRPr="00DB6407">
        <w:rPr>
          <w:rFonts w:ascii="Helvetica" w:eastAsia="Calibri" w:hAnsi="Helvetica" w:cs="Helvetica"/>
          <w:szCs w:val="22"/>
          <w:lang w:eastAsia="en-US"/>
        </w:rPr>
        <w:t xml:space="preserve"> is </w:t>
      </w:r>
      <w:r w:rsidRPr="00DB6407">
        <w:rPr>
          <w:rFonts w:ascii="Helvetica" w:eastAsia="Calibri" w:hAnsi="Helvetica" w:cs="Helvetica"/>
          <w:szCs w:val="22"/>
          <w:lang w:eastAsia="en-US"/>
        </w:rPr>
        <w:t>responsible for appointing members to the Housing Australia Board and issuing directions of Housing Australia’s functions.</w:t>
      </w:r>
    </w:p>
    <w:p w14:paraId="7016F92C" w14:textId="56B4F79D" w:rsidR="00520604" w:rsidRPr="00DB6407" w:rsidRDefault="00F200DF" w:rsidP="00817041">
      <w:pPr>
        <w:rPr>
          <w:rFonts w:ascii="Helvetica" w:eastAsia="Calibri" w:hAnsi="Helvetica" w:cs="Helvetica"/>
          <w:szCs w:val="22"/>
          <w:lang w:eastAsia="en-US"/>
        </w:rPr>
      </w:pPr>
      <w:r w:rsidRPr="00DB6407">
        <w:rPr>
          <w:rFonts w:ascii="Helvetica" w:eastAsia="Calibri" w:hAnsi="Helvetica" w:cs="Helvetica"/>
          <w:szCs w:val="22"/>
          <w:lang w:eastAsia="en-US"/>
        </w:rPr>
        <w:t>W</w:t>
      </w:r>
      <w:r w:rsidR="00520604" w:rsidRPr="00DB6407">
        <w:rPr>
          <w:rFonts w:ascii="Helvetica" w:eastAsia="Calibri" w:hAnsi="Helvetica" w:cs="Helvetica"/>
          <w:szCs w:val="22"/>
          <w:lang w:eastAsia="en-US"/>
        </w:rPr>
        <w:t xml:space="preserve">e expect Housing Australia </w:t>
      </w:r>
      <w:r w:rsidR="006F5EE9" w:rsidRPr="00DB6407">
        <w:rPr>
          <w:rFonts w:ascii="Helvetica" w:eastAsia="Calibri" w:hAnsi="Helvetica" w:cs="Helvetica"/>
          <w:szCs w:val="22"/>
          <w:lang w:eastAsia="en-US"/>
        </w:rPr>
        <w:t xml:space="preserve">to </w:t>
      </w:r>
      <w:r w:rsidR="00520604" w:rsidRPr="00DB6407">
        <w:rPr>
          <w:rFonts w:ascii="Helvetica" w:eastAsia="Calibri" w:hAnsi="Helvetica" w:cs="Helvetica"/>
          <w:szCs w:val="22"/>
          <w:lang w:eastAsia="en-US"/>
        </w:rPr>
        <w:t xml:space="preserve">keep </w:t>
      </w:r>
      <w:proofErr w:type="gramStart"/>
      <w:r w:rsidR="00520604" w:rsidRPr="00DB6407">
        <w:rPr>
          <w:rFonts w:ascii="Helvetica" w:eastAsia="Calibri" w:hAnsi="Helvetica" w:cs="Helvetica"/>
          <w:szCs w:val="22"/>
          <w:lang w:eastAsia="en-US"/>
        </w:rPr>
        <w:t>us</w:t>
      </w:r>
      <w:proofErr w:type="gramEnd"/>
      <w:r w:rsidR="00520604" w:rsidRPr="00DB6407">
        <w:rPr>
          <w:rFonts w:ascii="Helvetica" w:eastAsia="Calibri" w:hAnsi="Helvetica" w:cs="Helvetica"/>
          <w:szCs w:val="22"/>
          <w:lang w:eastAsia="en-US"/>
        </w:rPr>
        <w:t xml:space="preserve"> and our agencies informed, in a timely and accurate manner, of significant </w:t>
      </w:r>
      <w:r w:rsidR="00E05C25" w:rsidRPr="00DB6407">
        <w:rPr>
          <w:rFonts w:ascii="Helvetica" w:eastAsia="Calibri" w:hAnsi="Helvetica" w:cs="Helvetica"/>
          <w:szCs w:val="22"/>
          <w:lang w:eastAsia="en-US"/>
        </w:rPr>
        <w:t>matters relating to Housing Australia.</w:t>
      </w:r>
      <w:r w:rsidR="00520604" w:rsidRPr="00DB6407">
        <w:rPr>
          <w:rFonts w:ascii="Helvetica" w:eastAsia="Calibri" w:hAnsi="Helvetica" w:cs="Helvetica"/>
          <w:szCs w:val="22"/>
          <w:lang w:eastAsia="en-US"/>
        </w:rPr>
        <w:t xml:space="preserve"> This includes: </w:t>
      </w:r>
    </w:p>
    <w:p w14:paraId="3C61FB0E" w14:textId="77777777" w:rsidR="00520604" w:rsidRPr="00DB6407" w:rsidRDefault="00520604" w:rsidP="00817041">
      <w:pPr>
        <w:pStyle w:val="ListParagraph"/>
        <w:numPr>
          <w:ilvl w:val="0"/>
          <w:numId w:val="1"/>
        </w:numPr>
        <w:tabs>
          <w:tab w:val="clear" w:pos="520"/>
        </w:tabs>
        <w:spacing w:after="120"/>
        <w:ind w:left="714" w:hanging="357"/>
        <w:contextualSpacing w:val="0"/>
        <w:rPr>
          <w:rFonts w:ascii="Helvetica" w:eastAsia="Calibri" w:hAnsi="Helvetica" w:cs="Helvetica"/>
          <w:szCs w:val="22"/>
          <w:lang w:eastAsia="en-US"/>
        </w:rPr>
      </w:pPr>
      <w:r w:rsidRPr="00DB6407">
        <w:rPr>
          <w:rFonts w:ascii="Helvetica" w:eastAsia="Calibri" w:hAnsi="Helvetica" w:cs="Helvetica"/>
          <w:szCs w:val="22"/>
          <w:lang w:eastAsia="en-US"/>
        </w:rPr>
        <w:t>Outcomes of Board meetings including outlining the key deliberations and details of any significant decisions through a written report within 10 business days of each meeting</w:t>
      </w:r>
      <w:r w:rsidR="00C3497C" w:rsidRPr="00DB6407">
        <w:rPr>
          <w:rFonts w:ascii="Helvetica" w:eastAsia="Calibri" w:hAnsi="Helvetica" w:cs="Helvetica"/>
          <w:szCs w:val="22"/>
          <w:lang w:eastAsia="en-US"/>
        </w:rPr>
        <w:t>.</w:t>
      </w:r>
    </w:p>
    <w:p w14:paraId="15E91B7C" w14:textId="77777777" w:rsidR="00520604" w:rsidRPr="00DB6407" w:rsidRDefault="00520604" w:rsidP="00817041">
      <w:pPr>
        <w:pStyle w:val="ListParagraph"/>
        <w:numPr>
          <w:ilvl w:val="0"/>
          <w:numId w:val="1"/>
        </w:numPr>
        <w:tabs>
          <w:tab w:val="clear" w:pos="520"/>
        </w:tabs>
        <w:spacing w:after="120"/>
        <w:ind w:left="714" w:hanging="357"/>
        <w:contextualSpacing w:val="0"/>
        <w:rPr>
          <w:rFonts w:ascii="Helvetica" w:eastAsia="Calibri" w:hAnsi="Helvetica" w:cs="Helvetica"/>
          <w:szCs w:val="22"/>
          <w:lang w:eastAsia="en-US"/>
        </w:rPr>
      </w:pPr>
      <w:r w:rsidRPr="00DB6407">
        <w:rPr>
          <w:rFonts w:ascii="Helvetica" w:eastAsia="Calibri" w:hAnsi="Helvetica" w:cs="Helvetica"/>
          <w:szCs w:val="22"/>
          <w:lang w:eastAsia="en-US"/>
        </w:rPr>
        <w:t>Regular updates on its achievements and performance towards the Government’s policy objectives and compliance with this Statement</w:t>
      </w:r>
      <w:r w:rsidR="00C3497C" w:rsidRPr="00DB6407">
        <w:rPr>
          <w:rFonts w:ascii="Helvetica" w:eastAsia="Calibri" w:hAnsi="Helvetica" w:cs="Helvetica"/>
          <w:szCs w:val="22"/>
          <w:lang w:eastAsia="en-US"/>
        </w:rPr>
        <w:t>.</w:t>
      </w:r>
    </w:p>
    <w:p w14:paraId="2AD01DE5" w14:textId="77777777" w:rsidR="00520604" w:rsidRPr="00DB6407" w:rsidRDefault="00D5615E" w:rsidP="00817041">
      <w:pPr>
        <w:pStyle w:val="ListParagraph"/>
        <w:numPr>
          <w:ilvl w:val="0"/>
          <w:numId w:val="1"/>
        </w:numPr>
        <w:tabs>
          <w:tab w:val="clear" w:pos="520"/>
        </w:tabs>
        <w:spacing w:after="120"/>
        <w:ind w:left="714" w:hanging="357"/>
        <w:contextualSpacing w:val="0"/>
        <w:rPr>
          <w:rFonts w:ascii="Helvetica" w:eastAsia="Calibri" w:hAnsi="Helvetica" w:cs="Helvetica"/>
          <w:szCs w:val="22"/>
          <w:lang w:eastAsia="en-US"/>
        </w:rPr>
      </w:pPr>
      <w:r w:rsidRPr="00DB6407">
        <w:rPr>
          <w:rFonts w:ascii="Helvetica" w:eastAsia="Calibri" w:hAnsi="Helvetica" w:cs="Helvetica"/>
          <w:szCs w:val="22"/>
          <w:lang w:eastAsia="en-US"/>
        </w:rPr>
        <w:t>Regular reporting on program performance as required by the Investment Mandate such as the Housing Australia Future Fund quarterly report</w:t>
      </w:r>
      <w:r w:rsidR="004D6884" w:rsidRPr="00DB6407">
        <w:rPr>
          <w:rFonts w:ascii="Helvetica" w:eastAsia="Calibri" w:hAnsi="Helvetica" w:cs="Helvetica"/>
          <w:szCs w:val="22"/>
          <w:lang w:eastAsia="en-US"/>
        </w:rPr>
        <w:t xml:space="preserve"> and </w:t>
      </w:r>
      <w:r w:rsidRPr="00DB6407">
        <w:rPr>
          <w:rFonts w:ascii="Helvetica" w:eastAsia="Calibri" w:hAnsi="Helvetica" w:cs="Helvetica"/>
          <w:szCs w:val="22"/>
          <w:lang w:eastAsia="en-US"/>
        </w:rPr>
        <w:t xml:space="preserve">the National Housing Infrastructure Facility quarterly report. </w:t>
      </w:r>
      <w:r w:rsidR="004D6884" w:rsidRPr="00DB6407">
        <w:rPr>
          <w:rFonts w:ascii="Helvetica" w:eastAsia="Calibri" w:hAnsi="Helvetica" w:cs="Helvetica"/>
          <w:szCs w:val="22"/>
          <w:lang w:eastAsia="en-US"/>
        </w:rPr>
        <w:t>More detailed and more frequent reporting on all programs administered by Housing Australia is also strongly encouraged</w:t>
      </w:r>
      <w:r w:rsidR="00C3497C" w:rsidRPr="00DB6407">
        <w:rPr>
          <w:rFonts w:ascii="Helvetica" w:eastAsia="Calibri" w:hAnsi="Helvetica" w:cs="Helvetica"/>
          <w:szCs w:val="22"/>
          <w:lang w:eastAsia="en-US"/>
        </w:rPr>
        <w:t>.</w:t>
      </w:r>
    </w:p>
    <w:p w14:paraId="0D17965D" w14:textId="77777777" w:rsidR="00520604" w:rsidRPr="00DB6407" w:rsidRDefault="00520604" w:rsidP="00817041">
      <w:pPr>
        <w:pStyle w:val="ListParagraph"/>
        <w:numPr>
          <w:ilvl w:val="0"/>
          <w:numId w:val="1"/>
        </w:numPr>
        <w:tabs>
          <w:tab w:val="clear" w:pos="520"/>
        </w:tabs>
        <w:spacing w:after="120"/>
        <w:ind w:left="714" w:hanging="357"/>
        <w:contextualSpacing w:val="0"/>
        <w:rPr>
          <w:rFonts w:ascii="Helvetica" w:eastAsia="Calibri" w:hAnsi="Helvetica" w:cs="Helvetica"/>
          <w:szCs w:val="22"/>
          <w:lang w:eastAsia="en-US"/>
        </w:rPr>
      </w:pPr>
      <w:r w:rsidRPr="00DB6407">
        <w:rPr>
          <w:rFonts w:ascii="Helvetica" w:eastAsia="Calibri" w:hAnsi="Helvetica" w:cs="Helvetica"/>
          <w:szCs w:val="22"/>
          <w:lang w:eastAsia="en-US"/>
        </w:rPr>
        <w:t>Providing biannual S</w:t>
      </w:r>
      <w:r w:rsidR="00D5615E" w:rsidRPr="00DB6407">
        <w:rPr>
          <w:rFonts w:ascii="Helvetica" w:eastAsia="Calibri" w:hAnsi="Helvetica" w:cs="Helvetica"/>
          <w:szCs w:val="22"/>
          <w:lang w:eastAsia="en-US"/>
        </w:rPr>
        <w:t xml:space="preserve">pecialist </w:t>
      </w:r>
      <w:r w:rsidRPr="00DB6407">
        <w:rPr>
          <w:rFonts w:ascii="Helvetica" w:eastAsia="Calibri" w:hAnsi="Helvetica" w:cs="Helvetica"/>
          <w:szCs w:val="22"/>
          <w:lang w:eastAsia="en-US"/>
        </w:rPr>
        <w:t>I</w:t>
      </w:r>
      <w:r w:rsidR="00D5615E" w:rsidRPr="00DB6407">
        <w:rPr>
          <w:rFonts w:ascii="Helvetica" w:eastAsia="Calibri" w:hAnsi="Helvetica" w:cs="Helvetica"/>
          <w:szCs w:val="22"/>
          <w:lang w:eastAsia="en-US"/>
        </w:rPr>
        <w:t xml:space="preserve">nvestment </w:t>
      </w:r>
      <w:r w:rsidRPr="00DB6407">
        <w:rPr>
          <w:rFonts w:ascii="Helvetica" w:eastAsia="Calibri" w:hAnsi="Helvetica" w:cs="Helvetica"/>
          <w:szCs w:val="22"/>
          <w:lang w:eastAsia="en-US"/>
        </w:rPr>
        <w:t>V</w:t>
      </w:r>
      <w:r w:rsidR="00D5615E" w:rsidRPr="00DB6407">
        <w:rPr>
          <w:rFonts w:ascii="Helvetica" w:eastAsia="Calibri" w:hAnsi="Helvetica" w:cs="Helvetica"/>
          <w:szCs w:val="22"/>
          <w:lang w:eastAsia="en-US"/>
        </w:rPr>
        <w:t>ehicle (SIV)</w:t>
      </w:r>
      <w:r w:rsidRPr="00DB6407">
        <w:rPr>
          <w:rFonts w:ascii="Helvetica" w:eastAsia="Calibri" w:hAnsi="Helvetica" w:cs="Helvetica"/>
          <w:szCs w:val="22"/>
          <w:lang w:eastAsia="en-US"/>
        </w:rPr>
        <w:t xml:space="preserve"> Portfolio dashboard reporting and working constructively with Treasury and the Department of Finance</w:t>
      </w:r>
      <w:r w:rsidR="00C3497C" w:rsidRPr="00DB6407">
        <w:rPr>
          <w:rFonts w:ascii="Helvetica" w:eastAsia="Calibri" w:hAnsi="Helvetica" w:cs="Helvetica"/>
          <w:szCs w:val="22"/>
          <w:lang w:eastAsia="en-US"/>
        </w:rPr>
        <w:t>.</w:t>
      </w:r>
    </w:p>
    <w:p w14:paraId="5CF01BCA" w14:textId="77777777" w:rsidR="00520604" w:rsidRPr="00DB6407" w:rsidRDefault="00D5449B" w:rsidP="00817041">
      <w:pPr>
        <w:pStyle w:val="ListParagraph"/>
        <w:numPr>
          <w:ilvl w:val="0"/>
          <w:numId w:val="1"/>
        </w:numPr>
        <w:tabs>
          <w:tab w:val="clear" w:pos="520"/>
        </w:tabs>
        <w:spacing w:after="120"/>
        <w:ind w:left="714" w:hanging="357"/>
        <w:contextualSpacing w:val="0"/>
        <w:rPr>
          <w:rFonts w:ascii="Helvetica" w:eastAsia="Calibri" w:hAnsi="Helvetica" w:cs="Helvetica"/>
          <w:szCs w:val="22"/>
          <w:lang w:eastAsia="en-US"/>
        </w:rPr>
      </w:pPr>
      <w:r w:rsidRPr="00DB6407">
        <w:rPr>
          <w:rFonts w:ascii="Helvetica" w:eastAsia="Calibri" w:hAnsi="Helvetica" w:cs="Helvetica"/>
          <w:szCs w:val="22"/>
          <w:lang w:eastAsia="en-US"/>
        </w:rPr>
        <w:t xml:space="preserve">Advising us of changes </w:t>
      </w:r>
      <w:r w:rsidR="00520604" w:rsidRPr="00DB6407">
        <w:rPr>
          <w:rFonts w:ascii="Helvetica" w:eastAsia="Calibri" w:hAnsi="Helvetica" w:cs="Helvetica"/>
          <w:szCs w:val="22"/>
          <w:lang w:eastAsia="en-US"/>
        </w:rPr>
        <w:t>to key management personnel and any material changes to Housing Australia’s operating environment. This includes notifying the responsible Ministers of any</w:t>
      </w:r>
      <w:r w:rsidR="00520604" w:rsidRPr="00C55A06">
        <w:rPr>
          <w:rFonts w:ascii="Calibri" w:eastAsia="Calibri" w:hAnsi="Calibri" w:cs="Calibri"/>
          <w:szCs w:val="22"/>
          <w:lang w:eastAsia="en-US"/>
        </w:rPr>
        <w:t xml:space="preserve"> </w:t>
      </w:r>
      <w:r w:rsidRPr="00DB6407">
        <w:rPr>
          <w:rFonts w:ascii="Helvetica" w:eastAsia="Calibri" w:hAnsi="Helvetica" w:cs="Helvetica"/>
          <w:szCs w:val="22"/>
          <w:lang w:eastAsia="en-US"/>
        </w:rPr>
        <w:t xml:space="preserve">material </w:t>
      </w:r>
      <w:r w:rsidR="00520604" w:rsidRPr="00DB6407">
        <w:rPr>
          <w:rFonts w:ascii="Helvetica" w:eastAsia="Calibri" w:hAnsi="Helvetica" w:cs="Helvetica"/>
          <w:szCs w:val="22"/>
          <w:lang w:eastAsia="en-US"/>
        </w:rPr>
        <w:t xml:space="preserve">change and providing a Board and Executive skills matrix that assesses the appropriateness of the Board and Executive management to the responsible Ministers annually or in the event of a </w:t>
      </w:r>
      <w:r w:rsidRPr="00DB6407">
        <w:rPr>
          <w:rFonts w:ascii="Helvetica" w:eastAsia="Calibri" w:hAnsi="Helvetica" w:cs="Helvetica"/>
          <w:szCs w:val="22"/>
          <w:lang w:eastAsia="en-US"/>
        </w:rPr>
        <w:t xml:space="preserve">material </w:t>
      </w:r>
      <w:r w:rsidR="00520604" w:rsidRPr="00DB6407">
        <w:rPr>
          <w:rFonts w:ascii="Helvetica" w:eastAsia="Calibri" w:hAnsi="Helvetica" w:cs="Helvetica"/>
          <w:szCs w:val="22"/>
          <w:lang w:eastAsia="en-US"/>
        </w:rPr>
        <w:t>change</w:t>
      </w:r>
      <w:r w:rsidR="00C3497C" w:rsidRPr="00DB6407">
        <w:rPr>
          <w:rFonts w:ascii="Helvetica" w:eastAsia="Calibri" w:hAnsi="Helvetica" w:cs="Helvetica"/>
          <w:szCs w:val="22"/>
          <w:lang w:eastAsia="en-US"/>
        </w:rPr>
        <w:t>.</w:t>
      </w:r>
    </w:p>
    <w:p w14:paraId="02670275" w14:textId="77777777" w:rsidR="00520604" w:rsidRPr="00DB6407" w:rsidRDefault="00520604" w:rsidP="00817041">
      <w:pPr>
        <w:pStyle w:val="ListParagraph"/>
        <w:numPr>
          <w:ilvl w:val="0"/>
          <w:numId w:val="1"/>
        </w:numPr>
        <w:tabs>
          <w:tab w:val="clear" w:pos="520"/>
        </w:tabs>
        <w:ind w:left="720" w:hanging="360"/>
        <w:contextualSpacing w:val="0"/>
        <w:rPr>
          <w:rFonts w:ascii="Helvetica" w:eastAsia="Calibri" w:hAnsi="Helvetica" w:cs="Helvetica"/>
          <w:szCs w:val="22"/>
          <w:lang w:eastAsia="en-US"/>
        </w:rPr>
      </w:pPr>
      <w:r w:rsidRPr="00DB6407">
        <w:rPr>
          <w:rFonts w:ascii="Helvetica" w:eastAsia="Calibri" w:hAnsi="Helvetica" w:cs="Helvetica"/>
          <w:szCs w:val="22"/>
          <w:lang w:eastAsia="en-US"/>
        </w:rPr>
        <w:t xml:space="preserve">Housing Australia’s publications, submissions, major speeches, media releases and any other </w:t>
      </w:r>
      <w:r w:rsidR="00AE5C48" w:rsidRPr="00DB6407">
        <w:rPr>
          <w:rFonts w:ascii="Helvetica" w:eastAsia="Calibri" w:hAnsi="Helvetica" w:cs="Helvetica"/>
          <w:szCs w:val="22"/>
          <w:lang w:eastAsia="en-US"/>
        </w:rPr>
        <w:t xml:space="preserve">matters of significant </w:t>
      </w:r>
      <w:r w:rsidR="00C8200E" w:rsidRPr="00DB6407">
        <w:rPr>
          <w:rFonts w:ascii="Helvetica" w:eastAsia="Calibri" w:hAnsi="Helvetica" w:cs="Helvetica"/>
          <w:szCs w:val="22"/>
          <w:lang w:eastAsia="en-US"/>
        </w:rPr>
        <w:t>interest</w:t>
      </w:r>
      <w:r w:rsidRPr="00DB6407">
        <w:rPr>
          <w:rFonts w:ascii="Helvetica" w:eastAsia="Calibri" w:hAnsi="Helvetica" w:cs="Helvetica"/>
          <w:szCs w:val="22"/>
          <w:lang w:eastAsia="en-US"/>
        </w:rPr>
        <w:t xml:space="preserve"> for which the Government is accountable. </w:t>
      </w:r>
    </w:p>
    <w:p w14:paraId="44D5EF76" w14:textId="77777777" w:rsidR="00FE435A" w:rsidRPr="00DB6407" w:rsidRDefault="00520604" w:rsidP="00817041">
      <w:pPr>
        <w:rPr>
          <w:rFonts w:ascii="Helvetica" w:eastAsia="Calibri" w:hAnsi="Helvetica" w:cs="Helvetica"/>
          <w:szCs w:val="22"/>
          <w:lang w:eastAsia="en-US"/>
        </w:rPr>
      </w:pPr>
      <w:r w:rsidRPr="00DB6407">
        <w:rPr>
          <w:rFonts w:ascii="Helvetica" w:eastAsia="Calibri" w:hAnsi="Helvetica" w:cs="Helvetica"/>
          <w:szCs w:val="22"/>
          <w:lang w:eastAsia="en-US"/>
        </w:rPr>
        <w:t xml:space="preserve">We also expect timely, accurate and collaborative provision of information when requested, by us or our agencies, to support provision of advice to </w:t>
      </w:r>
      <w:r w:rsidR="00720F03" w:rsidRPr="00DB6407">
        <w:rPr>
          <w:rFonts w:ascii="Helvetica" w:eastAsia="Calibri" w:hAnsi="Helvetica" w:cs="Helvetica"/>
          <w:szCs w:val="22"/>
          <w:lang w:eastAsia="en-US"/>
        </w:rPr>
        <w:t xml:space="preserve">the </w:t>
      </w:r>
      <w:r w:rsidRPr="00DB6407">
        <w:rPr>
          <w:rFonts w:ascii="Helvetica" w:eastAsia="Calibri" w:hAnsi="Helvetica" w:cs="Helvetica"/>
          <w:szCs w:val="22"/>
          <w:lang w:eastAsia="en-US"/>
        </w:rPr>
        <w:t xml:space="preserve">Government. This is consistent with Housing Australia’s duty under the </w:t>
      </w:r>
      <w:r w:rsidRPr="00DB6407">
        <w:rPr>
          <w:rFonts w:ascii="Helvetica" w:eastAsia="Calibri" w:hAnsi="Helvetica" w:cs="Helvetica"/>
          <w:i/>
          <w:iCs/>
          <w:szCs w:val="22"/>
          <w:lang w:eastAsia="en-US"/>
        </w:rPr>
        <w:t>Public Governance, Performance and Accountability Act 2013</w:t>
      </w:r>
      <w:r w:rsidRPr="00DB6407">
        <w:rPr>
          <w:rFonts w:ascii="Helvetica" w:eastAsia="Calibri" w:hAnsi="Helvetica" w:cs="Helvetica"/>
          <w:szCs w:val="22"/>
          <w:lang w:eastAsia="en-US"/>
        </w:rPr>
        <w:t xml:space="preserve"> (PGPA Act) to keep the responsible Minister and Finance Minister informed</w:t>
      </w:r>
      <w:r w:rsidR="00831723" w:rsidRPr="00DB6407">
        <w:rPr>
          <w:rFonts w:ascii="Helvetica" w:eastAsia="Calibri" w:hAnsi="Helvetica" w:cs="Helvetica"/>
          <w:szCs w:val="22"/>
          <w:lang w:eastAsia="en-US"/>
        </w:rPr>
        <w:t>, among other obligations</w:t>
      </w:r>
      <w:r w:rsidRPr="00DB6407">
        <w:rPr>
          <w:rFonts w:ascii="Helvetica" w:eastAsia="Calibri" w:hAnsi="Helvetica" w:cs="Helvetica"/>
          <w:szCs w:val="22"/>
          <w:lang w:eastAsia="en-US"/>
        </w:rPr>
        <w:t>.</w:t>
      </w:r>
    </w:p>
    <w:p w14:paraId="3CEB5829" w14:textId="1F472E16" w:rsidR="00520604" w:rsidRPr="00DB6407" w:rsidRDefault="00520604" w:rsidP="00817041">
      <w:pPr>
        <w:pStyle w:val="ListParagraph"/>
        <w:numPr>
          <w:ilvl w:val="0"/>
          <w:numId w:val="11"/>
        </w:numPr>
        <w:contextualSpacing w:val="0"/>
        <w:rPr>
          <w:rFonts w:ascii="Helvetica" w:eastAsia="Calibri" w:hAnsi="Helvetica" w:cs="Helvetica"/>
          <w:b/>
          <w:bCs/>
          <w:i/>
          <w:iCs/>
        </w:rPr>
      </w:pPr>
      <w:r w:rsidRPr="00DB6407">
        <w:rPr>
          <w:rFonts w:ascii="Helvetica" w:eastAsia="Calibri" w:hAnsi="Helvetica" w:cs="Helvetica"/>
          <w:b/>
          <w:bCs/>
          <w:i/>
          <w:iCs/>
        </w:rPr>
        <w:t>Governance and operations</w:t>
      </w:r>
    </w:p>
    <w:p w14:paraId="7D7273C3" w14:textId="02380FBD" w:rsidR="00520604" w:rsidRPr="00DB6407" w:rsidRDefault="00520604" w:rsidP="00817041">
      <w:pPr>
        <w:spacing w:after="120"/>
        <w:rPr>
          <w:rFonts w:ascii="Helvetica" w:eastAsia="Calibri" w:hAnsi="Helvetica" w:cs="Helvetica"/>
          <w:szCs w:val="22"/>
          <w:lang w:eastAsia="en-US"/>
        </w:rPr>
      </w:pPr>
      <w:r w:rsidRPr="00DB6407">
        <w:rPr>
          <w:rFonts w:ascii="Helvetica" w:eastAsia="Calibri" w:hAnsi="Helvetica" w:cs="Helvetica"/>
          <w:szCs w:val="22"/>
          <w:lang w:eastAsia="en-US"/>
        </w:rPr>
        <w:t xml:space="preserve">As a CCE, Housing Australia is expected to comply with accountability, management, performance and reporting requirements specified in the PGPA Act. This means: </w:t>
      </w:r>
    </w:p>
    <w:p w14:paraId="2ACFF69A" w14:textId="77777777" w:rsidR="00520604" w:rsidRPr="00DB6407" w:rsidRDefault="00520604" w:rsidP="00817041">
      <w:pPr>
        <w:pStyle w:val="ListParagraph"/>
        <w:numPr>
          <w:ilvl w:val="0"/>
          <w:numId w:val="1"/>
        </w:numPr>
        <w:tabs>
          <w:tab w:val="clear" w:pos="520"/>
        </w:tabs>
        <w:spacing w:after="120"/>
        <w:ind w:left="720" w:hanging="360"/>
        <w:contextualSpacing w:val="0"/>
        <w:rPr>
          <w:rFonts w:ascii="Helvetica" w:eastAsia="Calibri" w:hAnsi="Helvetica" w:cs="Helvetica"/>
          <w:szCs w:val="22"/>
          <w:lang w:eastAsia="en-US"/>
        </w:rPr>
      </w:pPr>
      <w:r w:rsidRPr="00DB6407">
        <w:rPr>
          <w:rFonts w:ascii="Helvetica" w:eastAsia="Calibri" w:hAnsi="Helvetica" w:cs="Helvetica"/>
          <w:szCs w:val="22"/>
          <w:lang w:eastAsia="en-US"/>
        </w:rPr>
        <w:lastRenderedPageBreak/>
        <w:t>Housing Australia is governed in a transparent and accountable way that promotes the proper use of public resources, the achievement of its purpose and its financial sustainability</w:t>
      </w:r>
      <w:r w:rsidR="00C3497C" w:rsidRPr="00DB6407">
        <w:rPr>
          <w:rFonts w:ascii="Helvetica" w:eastAsia="Calibri" w:hAnsi="Helvetica" w:cs="Helvetica"/>
          <w:szCs w:val="22"/>
          <w:lang w:eastAsia="en-US"/>
        </w:rPr>
        <w:t>.</w:t>
      </w:r>
    </w:p>
    <w:p w14:paraId="0734480B" w14:textId="77777777" w:rsidR="00520604" w:rsidRPr="00DB6407" w:rsidRDefault="00E40EDF" w:rsidP="00817041">
      <w:pPr>
        <w:pStyle w:val="ListParagraph"/>
        <w:numPr>
          <w:ilvl w:val="0"/>
          <w:numId w:val="1"/>
        </w:numPr>
        <w:tabs>
          <w:tab w:val="clear" w:pos="520"/>
        </w:tabs>
        <w:spacing w:after="120"/>
        <w:ind w:left="720" w:hanging="360"/>
        <w:contextualSpacing w:val="0"/>
        <w:rPr>
          <w:rFonts w:ascii="Helvetica" w:eastAsia="Calibri" w:hAnsi="Helvetica" w:cs="Helvetica"/>
          <w:szCs w:val="22"/>
          <w:lang w:eastAsia="en-US"/>
        </w:rPr>
      </w:pPr>
      <w:r w:rsidRPr="00DB6407">
        <w:rPr>
          <w:rFonts w:ascii="Helvetica" w:eastAsia="Calibri" w:hAnsi="Helvetica" w:cs="Helvetica"/>
          <w:szCs w:val="22"/>
          <w:lang w:eastAsia="en-US"/>
        </w:rPr>
        <w:t>S</w:t>
      </w:r>
      <w:r w:rsidR="00520604" w:rsidRPr="00DB6407">
        <w:rPr>
          <w:rFonts w:ascii="Helvetica" w:eastAsia="Calibri" w:hAnsi="Helvetica" w:cs="Helvetica"/>
          <w:szCs w:val="22"/>
          <w:lang w:eastAsia="en-US"/>
        </w:rPr>
        <w:t>etting remuneration structures that are transparent, appropriately aligned to key performance indicators and justifiable to the Parliament and the Australian public</w:t>
      </w:r>
      <w:r w:rsidR="00C3497C" w:rsidRPr="00DB6407">
        <w:rPr>
          <w:rFonts w:ascii="Helvetica" w:eastAsia="Calibri" w:hAnsi="Helvetica" w:cs="Helvetica"/>
          <w:szCs w:val="22"/>
          <w:lang w:eastAsia="en-US"/>
        </w:rPr>
        <w:t>.</w:t>
      </w:r>
    </w:p>
    <w:p w14:paraId="7BBC7628" w14:textId="77777777" w:rsidR="00520604" w:rsidRPr="00DB6407" w:rsidRDefault="00E40EDF" w:rsidP="00817041">
      <w:pPr>
        <w:pStyle w:val="ListParagraph"/>
        <w:numPr>
          <w:ilvl w:val="0"/>
          <w:numId w:val="1"/>
        </w:numPr>
        <w:tabs>
          <w:tab w:val="clear" w:pos="520"/>
        </w:tabs>
        <w:ind w:left="720" w:hanging="360"/>
        <w:contextualSpacing w:val="0"/>
        <w:rPr>
          <w:rFonts w:ascii="Helvetica" w:eastAsia="Calibri" w:hAnsi="Helvetica" w:cs="Helvetica"/>
          <w:szCs w:val="22"/>
          <w:lang w:eastAsia="en-US"/>
        </w:rPr>
      </w:pPr>
      <w:r w:rsidRPr="00DB6407">
        <w:rPr>
          <w:rFonts w:ascii="Helvetica" w:eastAsia="Calibri" w:hAnsi="Helvetica" w:cs="Helvetica"/>
          <w:szCs w:val="22"/>
          <w:lang w:eastAsia="en-US"/>
        </w:rPr>
        <w:t>A</w:t>
      </w:r>
      <w:r w:rsidR="00520604" w:rsidRPr="00DB6407">
        <w:rPr>
          <w:rFonts w:ascii="Helvetica" w:eastAsia="Calibri" w:hAnsi="Helvetica" w:cs="Helvetica"/>
          <w:szCs w:val="22"/>
          <w:lang w:eastAsia="en-US"/>
        </w:rPr>
        <w:t>dministering all programs in a manner that ensures ongoing integrity, equity and transparency including regularly communicating progress to all levels of stakeholders.</w:t>
      </w:r>
    </w:p>
    <w:p w14:paraId="132B1477" w14:textId="7FF62D30" w:rsidR="00520604" w:rsidRPr="00DB6407" w:rsidRDefault="00520604" w:rsidP="00817041">
      <w:pPr>
        <w:spacing w:after="120"/>
        <w:rPr>
          <w:rFonts w:ascii="Helvetica" w:eastAsia="Calibri" w:hAnsi="Helvetica" w:cs="Helvetica"/>
          <w:szCs w:val="22"/>
          <w:lang w:eastAsia="en-US"/>
        </w:rPr>
      </w:pPr>
      <w:r w:rsidRPr="00DB6407">
        <w:rPr>
          <w:rFonts w:ascii="Helvetica" w:eastAsia="Calibri" w:hAnsi="Helvetica" w:cs="Helvetica"/>
          <w:szCs w:val="22"/>
          <w:lang w:eastAsia="en-US"/>
        </w:rPr>
        <w:t>To support the main priorities of delivering on its programs and adhering to the PGPA Act, we expect Housing Australia to exhibit the following key operational and governance attributes that are also demonstrated by other high performing SIVs</w:t>
      </w:r>
      <w:r w:rsidR="00BA6808" w:rsidRPr="00DB6407">
        <w:rPr>
          <w:rFonts w:ascii="Helvetica" w:eastAsia="Calibri" w:hAnsi="Helvetica" w:cs="Helvetica"/>
          <w:szCs w:val="22"/>
          <w:lang w:eastAsia="en-US"/>
        </w:rPr>
        <w:t>:</w:t>
      </w:r>
    </w:p>
    <w:p w14:paraId="76BCDC37" w14:textId="77777777" w:rsidR="00520604" w:rsidRPr="00DB6407" w:rsidRDefault="00520604" w:rsidP="00817041">
      <w:pPr>
        <w:pStyle w:val="ListParagraph"/>
        <w:numPr>
          <w:ilvl w:val="0"/>
          <w:numId w:val="1"/>
        </w:numPr>
        <w:tabs>
          <w:tab w:val="clear" w:pos="520"/>
        </w:tabs>
        <w:spacing w:after="120"/>
        <w:ind w:left="720" w:hanging="360"/>
        <w:contextualSpacing w:val="0"/>
        <w:rPr>
          <w:rFonts w:ascii="Helvetica" w:eastAsia="Calibri" w:hAnsi="Helvetica" w:cs="Helvetica"/>
          <w:szCs w:val="22"/>
          <w:lang w:eastAsia="en-US"/>
        </w:rPr>
      </w:pPr>
      <w:r w:rsidRPr="00DB6407">
        <w:rPr>
          <w:rFonts w:ascii="Helvetica" w:eastAsia="Calibri" w:hAnsi="Helvetica" w:cs="Helvetica"/>
          <w:szCs w:val="22"/>
          <w:u w:val="single"/>
          <w:lang w:eastAsia="en-US"/>
        </w:rPr>
        <w:t>Financial management and investment:</w:t>
      </w:r>
      <w:r w:rsidRPr="00DB6407">
        <w:rPr>
          <w:rFonts w:ascii="Helvetica" w:eastAsia="Calibri" w:hAnsi="Helvetica" w:cs="Helvetica"/>
          <w:szCs w:val="22"/>
          <w:lang w:eastAsia="en-US"/>
        </w:rPr>
        <w:t xml:space="preserve"> </w:t>
      </w:r>
      <w:r w:rsidR="00D268D8" w:rsidRPr="00DB6407">
        <w:rPr>
          <w:rFonts w:ascii="Helvetica" w:eastAsia="Calibri" w:hAnsi="Helvetica" w:cs="Helvetica"/>
          <w:szCs w:val="22"/>
          <w:lang w:eastAsia="en-US"/>
        </w:rPr>
        <w:t>M</w:t>
      </w:r>
      <w:r w:rsidR="0016012E" w:rsidRPr="00DB6407">
        <w:rPr>
          <w:rFonts w:ascii="Helvetica" w:eastAsia="Calibri" w:hAnsi="Helvetica" w:cs="Helvetica"/>
          <w:szCs w:val="22"/>
          <w:lang w:eastAsia="en-US"/>
        </w:rPr>
        <w:t xml:space="preserve">aking </w:t>
      </w:r>
      <w:r w:rsidR="00641AF5" w:rsidRPr="00DB6407">
        <w:rPr>
          <w:rFonts w:ascii="Helvetica" w:eastAsia="Calibri" w:hAnsi="Helvetica" w:cs="Helvetica"/>
          <w:szCs w:val="22"/>
          <w:lang w:eastAsia="en-US"/>
        </w:rPr>
        <w:t xml:space="preserve">financial </w:t>
      </w:r>
      <w:r w:rsidR="0016012E" w:rsidRPr="00DB6407">
        <w:rPr>
          <w:rFonts w:ascii="Helvetica" w:eastAsia="Calibri" w:hAnsi="Helvetica" w:cs="Helvetica"/>
          <w:szCs w:val="22"/>
          <w:lang w:eastAsia="en-US"/>
        </w:rPr>
        <w:t xml:space="preserve">decisions </w:t>
      </w:r>
      <w:r w:rsidRPr="00DB6407">
        <w:rPr>
          <w:rFonts w:ascii="Helvetica" w:eastAsia="Calibri" w:hAnsi="Helvetica" w:cs="Helvetica"/>
          <w:szCs w:val="22"/>
          <w:lang w:eastAsia="en-US"/>
        </w:rPr>
        <w:t xml:space="preserve">in a way that </w:t>
      </w:r>
      <w:r w:rsidR="0016012E" w:rsidRPr="00DB6407">
        <w:rPr>
          <w:rFonts w:ascii="Helvetica" w:eastAsia="Calibri" w:hAnsi="Helvetica" w:cs="Helvetica"/>
          <w:szCs w:val="22"/>
          <w:lang w:eastAsia="en-US"/>
        </w:rPr>
        <w:t>is merit based, transparent, well documented</w:t>
      </w:r>
      <w:r w:rsidR="00D268D8" w:rsidRPr="00DB6407">
        <w:rPr>
          <w:rFonts w:ascii="Helvetica" w:eastAsia="Calibri" w:hAnsi="Helvetica" w:cs="Helvetica"/>
          <w:szCs w:val="22"/>
          <w:lang w:eastAsia="en-US"/>
        </w:rPr>
        <w:t>, and</w:t>
      </w:r>
      <w:r w:rsidR="00641AF5" w:rsidRPr="00DB6407">
        <w:rPr>
          <w:rFonts w:ascii="Helvetica" w:eastAsia="Calibri" w:hAnsi="Helvetica" w:cs="Helvetica"/>
          <w:szCs w:val="22"/>
          <w:lang w:eastAsia="en-US"/>
        </w:rPr>
        <w:t xml:space="preserve"> </w:t>
      </w:r>
      <w:r w:rsidR="0016012E" w:rsidRPr="00DB6407">
        <w:rPr>
          <w:rFonts w:ascii="Helvetica" w:eastAsia="Calibri" w:hAnsi="Helvetica" w:cs="Helvetica"/>
          <w:szCs w:val="22"/>
          <w:lang w:eastAsia="en-US"/>
        </w:rPr>
        <w:t>subject to</w:t>
      </w:r>
      <w:r w:rsidR="00D268D8" w:rsidRPr="00DB6407">
        <w:rPr>
          <w:rFonts w:ascii="Helvetica" w:eastAsia="Calibri" w:hAnsi="Helvetica" w:cs="Helvetica"/>
          <w:szCs w:val="22"/>
          <w:lang w:eastAsia="en-US"/>
        </w:rPr>
        <w:t xml:space="preserve"> commercial </w:t>
      </w:r>
      <w:r w:rsidR="00FC5A1C" w:rsidRPr="00DB6407">
        <w:rPr>
          <w:rFonts w:ascii="Helvetica" w:eastAsia="Calibri" w:hAnsi="Helvetica" w:cs="Helvetica"/>
          <w:szCs w:val="22"/>
          <w:lang w:eastAsia="en-US"/>
        </w:rPr>
        <w:t>discipline</w:t>
      </w:r>
      <w:r w:rsidR="00D268D8" w:rsidRPr="00DB6407">
        <w:rPr>
          <w:rFonts w:ascii="Helvetica" w:eastAsia="Calibri" w:hAnsi="Helvetica" w:cs="Helvetica"/>
          <w:szCs w:val="22"/>
          <w:lang w:eastAsia="en-US"/>
        </w:rPr>
        <w:t xml:space="preserve"> and</w:t>
      </w:r>
      <w:r w:rsidR="0016012E" w:rsidRPr="00DB6407">
        <w:rPr>
          <w:rFonts w:ascii="Helvetica" w:eastAsia="Calibri" w:hAnsi="Helvetica" w:cs="Helvetica"/>
          <w:szCs w:val="22"/>
          <w:lang w:eastAsia="en-US"/>
        </w:rPr>
        <w:t xml:space="preserve"> an appropriate level of risk</w:t>
      </w:r>
      <w:r w:rsidR="00641AF5" w:rsidRPr="00DB6407">
        <w:rPr>
          <w:rFonts w:ascii="Helvetica" w:eastAsia="Calibri" w:hAnsi="Helvetica" w:cs="Helvetica"/>
          <w:szCs w:val="22"/>
          <w:lang w:eastAsia="en-US"/>
        </w:rPr>
        <w:t xml:space="preserve"> while having regard to the Government’s priority.</w:t>
      </w:r>
    </w:p>
    <w:p w14:paraId="465912A8" w14:textId="77777777" w:rsidR="00520604" w:rsidRPr="00DB6407" w:rsidRDefault="00520604" w:rsidP="00817041">
      <w:pPr>
        <w:pStyle w:val="ListParagraph"/>
        <w:numPr>
          <w:ilvl w:val="0"/>
          <w:numId w:val="1"/>
        </w:numPr>
        <w:tabs>
          <w:tab w:val="clear" w:pos="520"/>
        </w:tabs>
        <w:spacing w:after="120"/>
        <w:ind w:left="720" w:hanging="360"/>
        <w:contextualSpacing w:val="0"/>
        <w:rPr>
          <w:rFonts w:ascii="Helvetica" w:eastAsia="Calibri" w:hAnsi="Helvetica" w:cs="Helvetica"/>
          <w:szCs w:val="22"/>
          <w:lang w:eastAsia="en-US"/>
        </w:rPr>
      </w:pPr>
      <w:r w:rsidRPr="00DB6407">
        <w:rPr>
          <w:rFonts w:ascii="Helvetica" w:eastAsia="Calibri" w:hAnsi="Helvetica" w:cs="Helvetica"/>
          <w:szCs w:val="22"/>
          <w:u w:val="single"/>
          <w:lang w:eastAsia="en-US"/>
        </w:rPr>
        <w:t>Risk management:</w:t>
      </w:r>
      <w:r w:rsidRPr="00DB6407">
        <w:rPr>
          <w:rFonts w:ascii="Helvetica" w:eastAsia="Calibri" w:hAnsi="Helvetica" w:cs="Helvetica"/>
          <w:szCs w:val="22"/>
          <w:lang w:eastAsia="en-US"/>
        </w:rPr>
        <w:t xml:space="preserve"> Continue to embed and sustain a culture of transparency, accountability and integrity that underpins decision-making, and embed mature systems of risk management, record keeping and internal controls</w:t>
      </w:r>
      <w:r w:rsidR="000A7EFE" w:rsidRPr="00DB6407">
        <w:rPr>
          <w:rFonts w:ascii="Helvetica" w:eastAsia="Calibri" w:hAnsi="Helvetica" w:cs="Helvetica"/>
          <w:szCs w:val="22"/>
          <w:lang w:eastAsia="en-US"/>
        </w:rPr>
        <w:t>.</w:t>
      </w:r>
    </w:p>
    <w:p w14:paraId="622D876D" w14:textId="77777777" w:rsidR="00520604" w:rsidRPr="00DB6407" w:rsidRDefault="00520604" w:rsidP="00817041">
      <w:pPr>
        <w:pStyle w:val="ListParagraph"/>
        <w:numPr>
          <w:ilvl w:val="0"/>
          <w:numId w:val="1"/>
        </w:numPr>
        <w:tabs>
          <w:tab w:val="clear" w:pos="520"/>
        </w:tabs>
        <w:spacing w:after="120"/>
        <w:ind w:left="720" w:hanging="360"/>
        <w:contextualSpacing w:val="0"/>
        <w:rPr>
          <w:rFonts w:ascii="Helvetica" w:eastAsia="Calibri" w:hAnsi="Helvetica" w:cs="Helvetica"/>
          <w:szCs w:val="22"/>
          <w:lang w:eastAsia="en-US"/>
        </w:rPr>
      </w:pPr>
      <w:r w:rsidRPr="00DB6407">
        <w:rPr>
          <w:rFonts w:ascii="Helvetica" w:eastAsia="Calibri" w:hAnsi="Helvetica" w:cs="Helvetica"/>
          <w:szCs w:val="22"/>
          <w:u w:val="single"/>
          <w:lang w:eastAsia="en-US"/>
        </w:rPr>
        <w:t>People management:</w:t>
      </w:r>
      <w:r w:rsidRPr="00DB6407">
        <w:rPr>
          <w:rFonts w:ascii="Helvetica" w:eastAsia="Calibri" w:hAnsi="Helvetica" w:cs="Helvetica"/>
          <w:szCs w:val="22"/>
          <w:lang w:eastAsia="en-US"/>
        </w:rPr>
        <w:t xml:space="preserve"> Manage the affairs and people of Housing Australia to the highest standards, in accordance with all applicable legislation including the PGPA Act and actively support </w:t>
      </w:r>
      <w:r w:rsidR="00134B54" w:rsidRPr="00DB6407">
        <w:rPr>
          <w:rFonts w:ascii="Helvetica" w:eastAsia="Calibri" w:hAnsi="Helvetica" w:cs="Helvetica"/>
          <w:szCs w:val="22"/>
          <w:lang w:eastAsia="en-US"/>
        </w:rPr>
        <w:t xml:space="preserve">employee engagement, </w:t>
      </w:r>
      <w:r w:rsidRPr="00DB6407">
        <w:rPr>
          <w:rFonts w:ascii="Helvetica" w:eastAsia="Calibri" w:hAnsi="Helvetica" w:cs="Helvetica"/>
          <w:szCs w:val="22"/>
          <w:lang w:eastAsia="en-US"/>
        </w:rPr>
        <w:t>wellbeing</w:t>
      </w:r>
      <w:r w:rsidRPr="00DB6407" w:rsidDel="00134B54">
        <w:rPr>
          <w:rFonts w:ascii="Helvetica" w:eastAsia="Calibri" w:hAnsi="Helvetica" w:cs="Helvetica"/>
          <w:szCs w:val="22"/>
          <w:lang w:eastAsia="en-US"/>
        </w:rPr>
        <w:t>,</w:t>
      </w:r>
      <w:r w:rsidRPr="00DB6407">
        <w:rPr>
          <w:rFonts w:ascii="Helvetica" w:eastAsia="Calibri" w:hAnsi="Helvetica" w:cs="Helvetica"/>
          <w:szCs w:val="22"/>
          <w:lang w:eastAsia="en-US"/>
        </w:rPr>
        <w:t xml:space="preserve"> and capability to support a high-performance culture</w:t>
      </w:r>
      <w:r w:rsidR="000A7EFE" w:rsidRPr="00DB6407">
        <w:rPr>
          <w:rFonts w:ascii="Helvetica" w:eastAsia="Calibri" w:hAnsi="Helvetica" w:cs="Helvetica"/>
          <w:szCs w:val="22"/>
          <w:lang w:eastAsia="en-US"/>
        </w:rPr>
        <w:t>.</w:t>
      </w:r>
    </w:p>
    <w:p w14:paraId="07B15CFB" w14:textId="77777777" w:rsidR="00520604" w:rsidRPr="00DB6407" w:rsidRDefault="00AF57D7" w:rsidP="00817041">
      <w:pPr>
        <w:pStyle w:val="ListParagraph"/>
        <w:numPr>
          <w:ilvl w:val="0"/>
          <w:numId w:val="1"/>
        </w:numPr>
        <w:tabs>
          <w:tab w:val="clear" w:pos="520"/>
        </w:tabs>
        <w:spacing w:after="120"/>
        <w:ind w:left="720" w:hanging="357"/>
        <w:contextualSpacing w:val="0"/>
        <w:rPr>
          <w:rFonts w:ascii="Helvetica" w:eastAsia="Calibri" w:hAnsi="Helvetica" w:cs="Helvetica"/>
          <w:szCs w:val="22"/>
          <w:lang w:eastAsia="en-US"/>
        </w:rPr>
      </w:pPr>
      <w:r w:rsidRPr="00DB6407">
        <w:rPr>
          <w:rFonts w:ascii="Helvetica" w:eastAsia="Calibri" w:hAnsi="Helvetica" w:cs="Helvetica"/>
          <w:szCs w:val="22"/>
          <w:u w:val="single"/>
          <w:lang w:eastAsia="en-US"/>
        </w:rPr>
        <w:t>Stakeholder c</w:t>
      </w:r>
      <w:r w:rsidR="00520604" w:rsidRPr="00DB6407">
        <w:rPr>
          <w:rFonts w:ascii="Helvetica" w:eastAsia="Calibri" w:hAnsi="Helvetica" w:cs="Helvetica"/>
          <w:szCs w:val="22"/>
          <w:u w:val="single"/>
          <w:lang w:eastAsia="en-US"/>
        </w:rPr>
        <w:t>ollaboration:</w:t>
      </w:r>
      <w:r w:rsidR="00520604" w:rsidRPr="00DB6407">
        <w:rPr>
          <w:rFonts w:ascii="Helvetica" w:eastAsia="Calibri" w:hAnsi="Helvetica" w:cs="Helvetica"/>
          <w:szCs w:val="22"/>
          <w:lang w:eastAsia="en-US"/>
        </w:rPr>
        <w:t xml:space="preserve"> Regularly and openly collaborate and cooperate with key stakeholders</w:t>
      </w:r>
      <w:r w:rsidRPr="00DB6407">
        <w:rPr>
          <w:rFonts w:ascii="Helvetica" w:eastAsia="Calibri" w:hAnsi="Helvetica" w:cs="Helvetica"/>
          <w:szCs w:val="22"/>
          <w:lang w:eastAsia="en-US"/>
        </w:rPr>
        <w:t xml:space="preserve">, including </w:t>
      </w:r>
      <w:r w:rsidR="00520604" w:rsidRPr="00DB6407">
        <w:rPr>
          <w:rFonts w:ascii="Helvetica" w:eastAsia="Calibri" w:hAnsi="Helvetica" w:cs="Helvetica"/>
          <w:szCs w:val="22"/>
          <w:lang w:eastAsia="en-US"/>
        </w:rPr>
        <w:t>priority cohorts, where practical and appropriate, to pursue common objectives. This includes:</w:t>
      </w:r>
    </w:p>
    <w:p w14:paraId="3A48D0BE" w14:textId="030DC6D0" w:rsidR="00520604" w:rsidRPr="002F4247" w:rsidRDefault="00520604" w:rsidP="00817041">
      <w:pPr>
        <w:pStyle w:val="Dash"/>
        <w:numPr>
          <w:ilvl w:val="0"/>
          <w:numId w:val="8"/>
        </w:numPr>
        <w:spacing w:after="120"/>
        <w:ind w:hanging="357"/>
        <w:rPr>
          <w:rFonts w:ascii="Helvetica" w:eastAsia="Calibri" w:hAnsi="Helvetica" w:cs="Helvetica"/>
          <w:color w:val="auto"/>
          <w:szCs w:val="22"/>
          <w:lang w:eastAsia="en-US"/>
        </w:rPr>
      </w:pPr>
      <w:r w:rsidRPr="002F4247">
        <w:rPr>
          <w:rFonts w:ascii="Helvetica" w:eastAsia="Calibri" w:hAnsi="Helvetica" w:cs="Helvetica"/>
          <w:color w:val="auto"/>
          <w:szCs w:val="22"/>
          <w:lang w:eastAsia="en-US"/>
        </w:rPr>
        <w:t>Collaborating with Commonwealth agencies and all levels of government, the community housing sector, investors and the construction sector to ensure the organisation will deliver optimal housing outcomes</w:t>
      </w:r>
      <w:r w:rsidR="00FA4DD0" w:rsidRPr="002F4247">
        <w:rPr>
          <w:rFonts w:ascii="Helvetica" w:eastAsia="Calibri" w:hAnsi="Helvetica" w:cs="Helvetica"/>
          <w:color w:val="auto"/>
          <w:szCs w:val="22"/>
          <w:lang w:eastAsia="en-US"/>
        </w:rPr>
        <w:t>.</w:t>
      </w:r>
    </w:p>
    <w:p w14:paraId="167CCE69" w14:textId="77777777" w:rsidR="00872D22" w:rsidRPr="002F4247" w:rsidRDefault="00872D22" w:rsidP="00817041">
      <w:pPr>
        <w:pStyle w:val="Dash"/>
        <w:numPr>
          <w:ilvl w:val="0"/>
          <w:numId w:val="8"/>
        </w:numPr>
        <w:spacing w:after="120"/>
        <w:ind w:hanging="357"/>
        <w:rPr>
          <w:rFonts w:ascii="Helvetica" w:eastAsia="Calibri" w:hAnsi="Helvetica" w:cs="Helvetica"/>
          <w:color w:val="auto"/>
          <w:szCs w:val="22"/>
          <w:lang w:eastAsia="en-US"/>
        </w:rPr>
      </w:pPr>
      <w:r w:rsidRPr="002F4247">
        <w:rPr>
          <w:rFonts w:ascii="Helvetica" w:eastAsia="Calibri" w:hAnsi="Helvetica" w:cs="Helvetica"/>
          <w:color w:val="auto"/>
          <w:szCs w:val="22"/>
          <w:lang w:eastAsia="en-US"/>
        </w:rPr>
        <w:t xml:space="preserve">Seeking and considering the views of </w:t>
      </w:r>
      <w:r w:rsidR="00E95DD0" w:rsidRPr="002F4247">
        <w:rPr>
          <w:rFonts w:ascii="Helvetica" w:eastAsia="Calibri" w:hAnsi="Helvetica" w:cs="Helvetica"/>
          <w:color w:val="auto"/>
          <w:szCs w:val="22"/>
          <w:lang w:eastAsia="en-US"/>
        </w:rPr>
        <w:t>organisations which have the primary purpose of improving, directly or indirectly, housing outcomes for Aboriginal or Torres Strait Islander people</w:t>
      </w:r>
      <w:r w:rsidR="00FA4DD0" w:rsidRPr="002F4247">
        <w:rPr>
          <w:rFonts w:ascii="Helvetica" w:eastAsia="Calibri" w:hAnsi="Helvetica" w:cs="Helvetica"/>
          <w:color w:val="auto"/>
          <w:szCs w:val="22"/>
          <w:lang w:eastAsia="en-US"/>
        </w:rPr>
        <w:t>.</w:t>
      </w:r>
    </w:p>
    <w:p w14:paraId="4D074D43" w14:textId="77777777" w:rsidR="00520604" w:rsidRPr="002F4247" w:rsidRDefault="00520604" w:rsidP="00817041">
      <w:pPr>
        <w:pStyle w:val="Dash"/>
        <w:numPr>
          <w:ilvl w:val="0"/>
          <w:numId w:val="8"/>
        </w:numPr>
        <w:spacing w:after="120"/>
        <w:ind w:hanging="357"/>
        <w:rPr>
          <w:rFonts w:ascii="Helvetica" w:eastAsia="Calibri" w:hAnsi="Helvetica" w:cs="Helvetica"/>
          <w:color w:val="auto"/>
          <w:szCs w:val="22"/>
          <w:lang w:eastAsia="en-US"/>
        </w:rPr>
      </w:pPr>
      <w:r w:rsidRPr="002F4247">
        <w:rPr>
          <w:rFonts w:ascii="Helvetica" w:eastAsia="Calibri" w:hAnsi="Helvetica" w:cs="Helvetica"/>
          <w:color w:val="auto"/>
          <w:szCs w:val="22"/>
          <w:lang w:eastAsia="en-US"/>
        </w:rPr>
        <w:t xml:space="preserve">Considering the Commonwealth’s broader financial exposure when </w:t>
      </w:r>
      <w:proofErr w:type="gramStart"/>
      <w:r w:rsidRPr="002F4247">
        <w:rPr>
          <w:rFonts w:ascii="Helvetica" w:eastAsia="Calibri" w:hAnsi="Helvetica" w:cs="Helvetica"/>
          <w:color w:val="auto"/>
          <w:szCs w:val="22"/>
          <w:lang w:eastAsia="en-US"/>
        </w:rPr>
        <w:t>entering into</w:t>
      </w:r>
      <w:proofErr w:type="gramEnd"/>
      <w:r w:rsidRPr="002F4247">
        <w:rPr>
          <w:rFonts w:ascii="Helvetica" w:eastAsia="Calibri" w:hAnsi="Helvetica" w:cs="Helvetica"/>
          <w:color w:val="auto"/>
          <w:szCs w:val="22"/>
          <w:lang w:eastAsia="en-US"/>
        </w:rPr>
        <w:t xml:space="preserve"> investments with, or collaborating and cooperating with, other Commonwealth entities so as to not overcommit the Commonwealth within a particular proponent or investment</w:t>
      </w:r>
      <w:r w:rsidR="000A7EFE" w:rsidRPr="002F4247">
        <w:rPr>
          <w:rFonts w:ascii="Helvetica" w:eastAsia="Calibri" w:hAnsi="Helvetica" w:cs="Helvetica"/>
          <w:color w:val="auto"/>
          <w:szCs w:val="22"/>
          <w:lang w:eastAsia="en-US"/>
        </w:rPr>
        <w:t>.</w:t>
      </w:r>
    </w:p>
    <w:p w14:paraId="2C2BE93E" w14:textId="77777777" w:rsidR="00520604" w:rsidRPr="00DB6407" w:rsidRDefault="00520604" w:rsidP="00817041">
      <w:pPr>
        <w:pStyle w:val="ListParagraph"/>
        <w:numPr>
          <w:ilvl w:val="0"/>
          <w:numId w:val="1"/>
        </w:numPr>
        <w:tabs>
          <w:tab w:val="clear" w:pos="520"/>
        </w:tabs>
        <w:spacing w:after="120"/>
        <w:ind w:left="720" w:hanging="357"/>
        <w:contextualSpacing w:val="0"/>
        <w:rPr>
          <w:rFonts w:ascii="Helvetica" w:eastAsia="Calibri" w:hAnsi="Helvetica" w:cs="Helvetica"/>
          <w:szCs w:val="22"/>
          <w:lang w:eastAsia="en-US"/>
        </w:rPr>
      </w:pPr>
      <w:r w:rsidRPr="00DB6407">
        <w:rPr>
          <w:rFonts w:ascii="Helvetica" w:eastAsia="Calibri" w:hAnsi="Helvetica" w:cs="Helvetica"/>
          <w:szCs w:val="22"/>
          <w:u w:val="single"/>
          <w:lang w:eastAsia="en-US"/>
        </w:rPr>
        <w:t>Environmental, Social and Governance (ESG):</w:t>
      </w:r>
      <w:r w:rsidRPr="00DB6407">
        <w:rPr>
          <w:rFonts w:ascii="Helvetica" w:eastAsia="Calibri" w:hAnsi="Helvetica" w:cs="Helvetica"/>
          <w:szCs w:val="22"/>
          <w:lang w:eastAsia="en-US"/>
        </w:rPr>
        <w:t xml:space="preserve"> Continue to be guided by an ESG framework to support sustainable activity. This includes:</w:t>
      </w:r>
    </w:p>
    <w:p w14:paraId="2B9FCA90" w14:textId="77777777" w:rsidR="00520604" w:rsidRPr="00DB6407" w:rsidRDefault="00520604" w:rsidP="00817041">
      <w:pPr>
        <w:pStyle w:val="Dash"/>
        <w:numPr>
          <w:ilvl w:val="0"/>
          <w:numId w:val="8"/>
        </w:numPr>
        <w:spacing w:after="120"/>
        <w:ind w:hanging="357"/>
        <w:rPr>
          <w:rFonts w:ascii="Helvetica" w:eastAsia="Calibri" w:hAnsi="Helvetica" w:cs="Helvetica"/>
          <w:color w:val="auto"/>
          <w:szCs w:val="22"/>
          <w:lang w:eastAsia="en-US"/>
        </w:rPr>
      </w:pPr>
      <w:r w:rsidRPr="00DB6407">
        <w:rPr>
          <w:rFonts w:ascii="Helvetica" w:eastAsia="Calibri" w:hAnsi="Helvetica" w:cs="Helvetica"/>
          <w:color w:val="auto"/>
          <w:szCs w:val="22"/>
          <w:lang w:eastAsia="en-US"/>
        </w:rPr>
        <w:t xml:space="preserve">identifying opportunities to support the orderly and positive net zero economic transformation of Australia, its regions, industries, workers and communities transition to net zero emission; or </w:t>
      </w:r>
    </w:p>
    <w:p w14:paraId="2C2AC464" w14:textId="77777777" w:rsidR="00520604" w:rsidRPr="00DB6407" w:rsidRDefault="00520604" w:rsidP="00817041">
      <w:pPr>
        <w:pStyle w:val="Dash"/>
        <w:numPr>
          <w:ilvl w:val="0"/>
          <w:numId w:val="8"/>
        </w:numPr>
        <w:rPr>
          <w:rFonts w:ascii="Helvetica" w:eastAsia="Calibri" w:hAnsi="Helvetica" w:cs="Helvetica"/>
          <w:color w:val="auto"/>
          <w:szCs w:val="22"/>
          <w:lang w:eastAsia="en-US"/>
        </w:rPr>
      </w:pPr>
      <w:r w:rsidRPr="00DB6407">
        <w:rPr>
          <w:rFonts w:ascii="Helvetica" w:eastAsia="Calibri" w:hAnsi="Helvetica" w:cs="Helvetica"/>
          <w:color w:val="auto"/>
          <w:szCs w:val="22"/>
          <w:lang w:eastAsia="en-US"/>
        </w:rPr>
        <w:t>making reasonable efforts to ensure equitable support across Australia.</w:t>
      </w:r>
    </w:p>
    <w:p w14:paraId="0E08D5AA" w14:textId="2ED7979C" w:rsidR="00520604" w:rsidRPr="00DB6407" w:rsidRDefault="00520604" w:rsidP="00817041">
      <w:pPr>
        <w:pStyle w:val="ListParagraph"/>
        <w:numPr>
          <w:ilvl w:val="0"/>
          <w:numId w:val="11"/>
        </w:numPr>
        <w:rPr>
          <w:rFonts w:ascii="Helvetica" w:hAnsi="Helvetica" w:cs="Helvetica"/>
          <w:sz w:val="24"/>
        </w:rPr>
      </w:pPr>
      <w:r w:rsidRPr="00DB6407">
        <w:rPr>
          <w:rFonts w:ascii="Helvetica" w:eastAsia="Calibri" w:hAnsi="Helvetica" w:cs="Helvetica"/>
          <w:b/>
          <w:bCs/>
          <w:i/>
          <w:iCs/>
        </w:rPr>
        <w:t>Application of this Statement</w:t>
      </w:r>
    </w:p>
    <w:p w14:paraId="18C3DA9C" w14:textId="269373E4" w:rsidR="00520604" w:rsidRPr="00DB6407" w:rsidRDefault="00520604" w:rsidP="00817041">
      <w:pPr>
        <w:rPr>
          <w:rFonts w:ascii="Helvetica" w:eastAsia="Calibri" w:hAnsi="Helvetica" w:cs="Helvetica"/>
          <w:szCs w:val="22"/>
          <w:lang w:eastAsia="en-US"/>
        </w:rPr>
      </w:pPr>
      <w:r w:rsidRPr="00DB6407">
        <w:rPr>
          <w:rFonts w:ascii="Helvetica" w:eastAsia="Calibri" w:hAnsi="Helvetica" w:cs="Helvetica"/>
          <w:szCs w:val="22"/>
          <w:lang w:eastAsia="en-US"/>
        </w:rPr>
        <w:t xml:space="preserve">This Statement replaces the previous Statement issued on 25 March 2024 and applies from the date of receipt by Housing Australia until otherwise amended. In </w:t>
      </w:r>
      <w:r w:rsidR="00C8200E" w:rsidRPr="00DB6407">
        <w:rPr>
          <w:rFonts w:ascii="Helvetica" w:eastAsia="Calibri" w:hAnsi="Helvetica" w:cs="Helvetica"/>
          <w:szCs w:val="22"/>
          <w:lang w:eastAsia="en-US"/>
        </w:rPr>
        <w:t>addition to</w:t>
      </w:r>
      <w:r w:rsidRPr="00DB6407">
        <w:rPr>
          <w:rFonts w:ascii="Helvetica" w:eastAsia="Calibri" w:hAnsi="Helvetica" w:cs="Helvetica"/>
          <w:szCs w:val="22"/>
          <w:lang w:eastAsia="en-US"/>
        </w:rPr>
        <w:t xml:space="preserve"> the requirement under the PGPA Act, </w:t>
      </w:r>
      <w:r w:rsidR="00C8200E" w:rsidRPr="00DB6407">
        <w:rPr>
          <w:rFonts w:ascii="Helvetica" w:eastAsia="Calibri" w:hAnsi="Helvetica" w:cs="Helvetica"/>
          <w:szCs w:val="22"/>
          <w:lang w:eastAsia="en-US"/>
        </w:rPr>
        <w:t xml:space="preserve">we </w:t>
      </w:r>
      <w:r w:rsidR="0030629D" w:rsidRPr="00DB6407">
        <w:rPr>
          <w:rFonts w:ascii="Helvetica" w:eastAsia="Calibri" w:hAnsi="Helvetica" w:cs="Helvetica"/>
          <w:szCs w:val="22"/>
          <w:lang w:eastAsia="en-US"/>
        </w:rPr>
        <w:t>expect</w:t>
      </w:r>
      <w:r w:rsidR="00C8200E" w:rsidRPr="00DB6407">
        <w:rPr>
          <w:rFonts w:ascii="Helvetica" w:eastAsia="Calibri" w:hAnsi="Helvetica" w:cs="Helvetica"/>
          <w:szCs w:val="22"/>
          <w:lang w:eastAsia="en-US"/>
        </w:rPr>
        <w:t xml:space="preserve"> </w:t>
      </w:r>
      <w:r w:rsidRPr="00DB6407">
        <w:rPr>
          <w:rFonts w:ascii="Helvetica" w:eastAsia="Calibri" w:hAnsi="Helvetica" w:cs="Helvetica"/>
          <w:szCs w:val="22"/>
          <w:lang w:eastAsia="en-US"/>
        </w:rPr>
        <w:t xml:space="preserve">this Statement </w:t>
      </w:r>
      <w:r w:rsidR="00C8200E" w:rsidRPr="00DB6407">
        <w:rPr>
          <w:rFonts w:ascii="Helvetica" w:eastAsia="Calibri" w:hAnsi="Helvetica" w:cs="Helvetica"/>
          <w:szCs w:val="22"/>
          <w:lang w:eastAsia="en-US"/>
        </w:rPr>
        <w:t>to</w:t>
      </w:r>
      <w:r w:rsidRPr="00DB6407">
        <w:rPr>
          <w:rFonts w:ascii="Helvetica" w:eastAsia="Calibri" w:hAnsi="Helvetica" w:cs="Helvetica"/>
          <w:szCs w:val="22"/>
          <w:lang w:eastAsia="en-US"/>
        </w:rPr>
        <w:t xml:space="preserve"> be integrated into Housing Australia’s performance reporting processes as part of corporate planning as well as the Annual Reports.</w:t>
      </w:r>
    </w:p>
    <w:p w14:paraId="01AA33CF" w14:textId="3D080B2A" w:rsidR="00520604" w:rsidRPr="00DB6407" w:rsidRDefault="00520604" w:rsidP="00817041">
      <w:pPr>
        <w:rPr>
          <w:rFonts w:ascii="Helvetica" w:eastAsia="Calibri" w:hAnsi="Helvetica" w:cs="Helvetica"/>
          <w:szCs w:val="22"/>
          <w:lang w:eastAsia="en-US"/>
        </w:rPr>
      </w:pPr>
      <w:r w:rsidRPr="00DB6407">
        <w:rPr>
          <w:rFonts w:ascii="Helvetica" w:eastAsia="Calibri" w:hAnsi="Helvetica" w:cs="Helvetica"/>
          <w:szCs w:val="22"/>
          <w:lang w:eastAsia="en-US"/>
        </w:rPr>
        <w:lastRenderedPageBreak/>
        <w:t>We look forward to receiving Housing Australia’s Statement of Intent in reply</w:t>
      </w:r>
      <w:r w:rsidR="000A7EFE" w:rsidRPr="00DB6407">
        <w:rPr>
          <w:rFonts w:ascii="Helvetica" w:eastAsia="Calibri" w:hAnsi="Helvetica" w:cs="Helvetica"/>
          <w:szCs w:val="22"/>
          <w:lang w:eastAsia="en-US"/>
        </w:rPr>
        <w:t>,</w:t>
      </w:r>
      <w:r w:rsidR="00E7481B" w:rsidRPr="00DB6407">
        <w:rPr>
          <w:rFonts w:ascii="Helvetica" w:eastAsia="Calibri" w:hAnsi="Helvetica" w:cs="Helvetica"/>
          <w:szCs w:val="22"/>
          <w:lang w:eastAsia="en-US"/>
        </w:rPr>
        <w:t xml:space="preserve"> </w:t>
      </w:r>
      <w:r w:rsidRPr="00DB6407">
        <w:rPr>
          <w:rFonts w:ascii="Helvetica" w:eastAsia="Calibri" w:hAnsi="Helvetica" w:cs="Helvetica"/>
          <w:szCs w:val="22"/>
          <w:lang w:eastAsia="en-US"/>
        </w:rPr>
        <w:t>outlining how Housing Australia propose</w:t>
      </w:r>
      <w:r w:rsidR="000A7EFE" w:rsidRPr="00DB6407">
        <w:rPr>
          <w:rFonts w:ascii="Helvetica" w:eastAsia="Calibri" w:hAnsi="Helvetica" w:cs="Helvetica"/>
          <w:szCs w:val="22"/>
          <w:lang w:eastAsia="en-US"/>
        </w:rPr>
        <w:t>s</w:t>
      </w:r>
      <w:r w:rsidRPr="00DB6407">
        <w:rPr>
          <w:rFonts w:ascii="Helvetica" w:eastAsia="Calibri" w:hAnsi="Helvetica" w:cs="Helvetica"/>
          <w:szCs w:val="22"/>
          <w:lang w:eastAsia="en-US"/>
        </w:rPr>
        <w:t xml:space="preserve"> to meet these expectations. Housing Australia should clearly outline how it intends to </w:t>
      </w:r>
      <w:proofErr w:type="gramStart"/>
      <w:r w:rsidRPr="00DB6407">
        <w:rPr>
          <w:rFonts w:ascii="Helvetica" w:eastAsia="Calibri" w:hAnsi="Helvetica" w:cs="Helvetica"/>
          <w:szCs w:val="22"/>
          <w:lang w:eastAsia="en-US"/>
        </w:rPr>
        <w:t>take into account</w:t>
      </w:r>
      <w:proofErr w:type="gramEnd"/>
      <w:r w:rsidRPr="00DB6407">
        <w:rPr>
          <w:rFonts w:ascii="Helvetica" w:eastAsia="Calibri" w:hAnsi="Helvetica" w:cs="Helvetica"/>
          <w:szCs w:val="22"/>
          <w:lang w:eastAsia="en-US"/>
        </w:rPr>
        <w:t xml:space="preserve"> the Government’s policy priorities and objectives, and how it will demonstrate delivery against all expectations outlined in this correspondence.  </w:t>
      </w:r>
    </w:p>
    <w:p w14:paraId="7A2EA6B1" w14:textId="0B7BF293" w:rsidR="00520604" w:rsidRPr="00DB6407" w:rsidRDefault="00520604" w:rsidP="00817041">
      <w:pPr>
        <w:rPr>
          <w:rFonts w:ascii="Helvetica" w:eastAsia="Calibri" w:hAnsi="Helvetica" w:cs="Helvetica"/>
          <w:szCs w:val="22"/>
          <w:lang w:eastAsia="en-US"/>
        </w:rPr>
      </w:pPr>
      <w:r w:rsidRPr="00DB6407">
        <w:rPr>
          <w:rFonts w:ascii="Helvetica" w:eastAsia="Calibri" w:hAnsi="Helvetica" w:cs="Helvetica"/>
          <w:szCs w:val="22"/>
          <w:lang w:eastAsia="en-US"/>
        </w:rPr>
        <w:t>Housing Australia should ensure that both this Statement and the Statement of Intent are made publicly available on your website.</w:t>
      </w:r>
    </w:p>
    <w:p w14:paraId="0D2CC608" w14:textId="5BDD25DC" w:rsidR="00520604" w:rsidRDefault="00520604" w:rsidP="0052442B">
      <w:pPr>
        <w:spacing w:after="0" w:line="259" w:lineRule="auto"/>
        <w:rPr>
          <w:rFonts w:ascii="Helvetica" w:eastAsiaTheme="minorHAnsi" w:hAnsi="Helvetica" w:cs="Helvetica"/>
          <w:kern w:val="2"/>
          <w:szCs w:val="22"/>
          <w:lang w:eastAsia="en-US"/>
          <w14:ligatures w14:val="standardContextual"/>
        </w:rPr>
      </w:pPr>
      <w:r w:rsidRPr="00DB6407">
        <w:rPr>
          <w:rFonts w:ascii="Helvetica" w:eastAsiaTheme="minorHAnsi" w:hAnsi="Helvetica" w:cs="Helvetica"/>
          <w:kern w:val="2"/>
          <w:szCs w:val="22"/>
          <w:lang w:eastAsia="en-US"/>
          <w14:ligatures w14:val="standardContextual"/>
        </w:rPr>
        <w:t xml:space="preserve">We look forward to continuing </w:t>
      </w:r>
      <w:r w:rsidR="005815C9" w:rsidRPr="00DB6407">
        <w:rPr>
          <w:rFonts w:ascii="Helvetica" w:eastAsiaTheme="minorHAnsi" w:hAnsi="Helvetica" w:cs="Helvetica"/>
          <w:kern w:val="2"/>
          <w:szCs w:val="22"/>
          <w:lang w:eastAsia="en-US"/>
          <w14:ligatures w14:val="standardContextual"/>
        </w:rPr>
        <w:t xml:space="preserve">to </w:t>
      </w:r>
      <w:r w:rsidRPr="00DB6407">
        <w:rPr>
          <w:rFonts w:ascii="Helvetica" w:eastAsiaTheme="minorHAnsi" w:hAnsi="Helvetica" w:cs="Helvetica"/>
          <w:kern w:val="2"/>
          <w:szCs w:val="22"/>
          <w:lang w:eastAsia="en-US"/>
          <w14:ligatures w14:val="standardContextual"/>
        </w:rPr>
        <w:t>work with Housing Australia to deliver the Government’s housing agenda.</w:t>
      </w:r>
    </w:p>
    <w:p w14:paraId="09FFF6E3" w14:textId="77777777" w:rsidR="00EE50E9" w:rsidRPr="00DB6407" w:rsidRDefault="00EE50E9" w:rsidP="0052442B">
      <w:pPr>
        <w:spacing w:after="0" w:line="259" w:lineRule="auto"/>
        <w:rPr>
          <w:rFonts w:ascii="Helvetica" w:eastAsiaTheme="minorHAnsi" w:hAnsi="Helvetica" w:cs="Helvetica"/>
          <w:kern w:val="2"/>
          <w:szCs w:val="22"/>
          <w:lang w:eastAsia="en-US"/>
          <w14:ligatures w14:val="standardContextual"/>
        </w:rPr>
      </w:pPr>
    </w:p>
    <w:sectPr w:rsidR="00EE50E9" w:rsidRPr="00DB6407" w:rsidSect="003D481E">
      <w:headerReference w:type="first" r:id="rId7"/>
      <w:footerReference w:type="first" r:id="rId8"/>
      <w:pgSz w:w="11907" w:h="16840" w:code="9"/>
      <w:pgMar w:top="1440" w:right="1440" w:bottom="1440" w:left="1440" w:header="425" w:footer="42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DA6D0" w14:textId="77777777" w:rsidR="00A8063E" w:rsidRDefault="00A8063E">
      <w:pPr>
        <w:spacing w:after="0"/>
      </w:pPr>
      <w:r>
        <w:separator/>
      </w:r>
    </w:p>
  </w:endnote>
  <w:endnote w:type="continuationSeparator" w:id="0">
    <w:p w14:paraId="7055E697" w14:textId="77777777" w:rsidR="00A8063E" w:rsidRDefault="00A8063E">
      <w:pPr>
        <w:spacing w:after="0"/>
      </w:pPr>
      <w:r>
        <w:continuationSeparator/>
      </w:r>
    </w:p>
  </w:endnote>
  <w:endnote w:type="continuationNotice" w:id="1">
    <w:p w14:paraId="7A1A7920" w14:textId="77777777" w:rsidR="00A8063E" w:rsidRDefault="00A8063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1C137" w14:textId="77777777" w:rsidR="00710146" w:rsidRPr="005401BE" w:rsidRDefault="00710146" w:rsidP="005401BE">
    <w:pPr>
      <w:pStyle w:val="ParliamentHouse"/>
      <w:rPr>
        <w:rFonts w:ascii="Garamond" w:hAnsi="Garamond"/>
        <w:b/>
        <w:sz w:val="20"/>
      </w:rPr>
    </w:pPr>
  </w:p>
  <w:p w14:paraId="03D9B987" w14:textId="538822A7" w:rsidR="0063337F" w:rsidRDefault="0063337F" w:rsidP="0063337F">
    <w:pPr>
      <w:pStyle w:val="ParliamentHouse"/>
      <w:rPr>
        <w:rFonts w:ascii="Garamond" w:hAnsi="Garamond"/>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A7F90" w14:textId="77777777" w:rsidR="00A8063E" w:rsidRDefault="00A8063E">
      <w:pPr>
        <w:spacing w:after="0"/>
      </w:pPr>
      <w:r>
        <w:separator/>
      </w:r>
    </w:p>
  </w:footnote>
  <w:footnote w:type="continuationSeparator" w:id="0">
    <w:p w14:paraId="5A62EAF5" w14:textId="77777777" w:rsidR="00A8063E" w:rsidRDefault="00A8063E">
      <w:pPr>
        <w:spacing w:after="0"/>
      </w:pPr>
      <w:r>
        <w:continuationSeparator/>
      </w:r>
    </w:p>
  </w:footnote>
  <w:footnote w:type="continuationNotice" w:id="1">
    <w:p w14:paraId="6D9547A5" w14:textId="77777777" w:rsidR="00A8063E" w:rsidRDefault="00A8063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535C7" w14:textId="3B20D5F8" w:rsidR="00E32051" w:rsidRPr="000E1BAC" w:rsidRDefault="00E32051" w:rsidP="00E32051">
    <w:pPr>
      <w:overflowPunct w:val="0"/>
      <w:autoSpaceDE w:val="0"/>
      <w:autoSpaceDN w:val="0"/>
      <w:adjustRightInd w:val="0"/>
      <w:spacing w:after="0"/>
      <w:jc w:val="center"/>
      <w:textAlignment w:val="baseline"/>
      <w:rPr>
        <w:rFonts w:ascii="Tahoma" w:hAnsi="Tahoma" w:cs="Tahoma"/>
        <w:b/>
        <w:color w:val="FF0000"/>
        <w:szCs w:val="22"/>
      </w:rPr>
    </w:pPr>
  </w:p>
  <w:p w14:paraId="3FD8B0AB" w14:textId="77777777" w:rsidR="00BC28AB" w:rsidRPr="000E1BAC" w:rsidRDefault="00BC28AB" w:rsidP="000519AC">
    <w:pPr>
      <w:spacing w:after="0"/>
      <w:jc w:val="center"/>
      <w:rPr>
        <w:rFonts w:ascii="Tahoma" w:hAnsi="Tahoma" w:cs="Tahoma"/>
        <w:color w:val="FF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9FF43"/>
    <w:multiLevelType w:val="hybridMultilevel"/>
    <w:tmpl w:val="8B5CEA96"/>
    <w:lvl w:ilvl="0" w:tplc="33FA75E6">
      <w:start w:val="1"/>
      <w:numFmt w:val="decimal"/>
      <w:lvlText w:val="%1."/>
      <w:lvlJc w:val="left"/>
      <w:pPr>
        <w:ind w:left="720" w:hanging="360"/>
      </w:pPr>
      <w:rPr>
        <w:b w:val="0"/>
        <w:bCs w:val="0"/>
      </w:rPr>
    </w:lvl>
    <w:lvl w:ilvl="1" w:tplc="05BA1EDE">
      <w:start w:val="1"/>
      <w:numFmt w:val="lowerLetter"/>
      <w:lvlText w:val="%2."/>
      <w:lvlJc w:val="left"/>
      <w:pPr>
        <w:ind w:left="1440" w:hanging="360"/>
      </w:pPr>
    </w:lvl>
    <w:lvl w:ilvl="2" w:tplc="9B06D246">
      <w:start w:val="1"/>
      <w:numFmt w:val="lowerRoman"/>
      <w:lvlText w:val="%3."/>
      <w:lvlJc w:val="right"/>
      <w:pPr>
        <w:ind w:left="2160" w:hanging="180"/>
      </w:pPr>
    </w:lvl>
    <w:lvl w:ilvl="3" w:tplc="6BC01B12">
      <w:start w:val="1"/>
      <w:numFmt w:val="decimal"/>
      <w:lvlText w:val="%4."/>
      <w:lvlJc w:val="left"/>
      <w:pPr>
        <w:ind w:left="2880" w:hanging="360"/>
      </w:pPr>
    </w:lvl>
    <w:lvl w:ilvl="4" w:tplc="009E0CE6">
      <w:start w:val="1"/>
      <w:numFmt w:val="lowerLetter"/>
      <w:lvlText w:val="%5."/>
      <w:lvlJc w:val="left"/>
      <w:pPr>
        <w:ind w:left="3600" w:hanging="360"/>
      </w:pPr>
    </w:lvl>
    <w:lvl w:ilvl="5" w:tplc="5900C6D6">
      <w:start w:val="1"/>
      <w:numFmt w:val="lowerRoman"/>
      <w:lvlText w:val="%6."/>
      <w:lvlJc w:val="right"/>
      <w:pPr>
        <w:ind w:left="4320" w:hanging="180"/>
      </w:pPr>
    </w:lvl>
    <w:lvl w:ilvl="6" w:tplc="BB7615C6">
      <w:start w:val="1"/>
      <w:numFmt w:val="decimal"/>
      <w:lvlText w:val="%7."/>
      <w:lvlJc w:val="left"/>
      <w:pPr>
        <w:ind w:left="5040" w:hanging="360"/>
      </w:pPr>
    </w:lvl>
    <w:lvl w:ilvl="7" w:tplc="A92CAB9E">
      <w:start w:val="1"/>
      <w:numFmt w:val="lowerLetter"/>
      <w:lvlText w:val="%8."/>
      <w:lvlJc w:val="left"/>
      <w:pPr>
        <w:ind w:left="5760" w:hanging="360"/>
      </w:pPr>
    </w:lvl>
    <w:lvl w:ilvl="8" w:tplc="7CA66268">
      <w:start w:val="1"/>
      <w:numFmt w:val="lowerRoman"/>
      <w:lvlText w:val="%9."/>
      <w:lvlJc w:val="right"/>
      <w:pPr>
        <w:ind w:left="6480" w:hanging="180"/>
      </w:pPr>
    </w:lvl>
  </w:abstractNum>
  <w:abstractNum w:abstractNumId="1" w15:restartNumberingAfterBreak="0">
    <w:nsid w:val="1EFB287E"/>
    <w:multiLevelType w:val="multilevel"/>
    <w:tmpl w:val="136096D8"/>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79D75DF"/>
    <w:multiLevelType w:val="multilevel"/>
    <w:tmpl w:val="7E4812FA"/>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607"/>
        </w:tabs>
        <w:ind w:left="1607"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F4A7F8B"/>
    <w:multiLevelType w:val="hybridMultilevel"/>
    <w:tmpl w:val="925C8068"/>
    <w:lvl w:ilvl="0" w:tplc="AF3C02FC">
      <w:start w:val="1"/>
      <w:numFmt w:val="bullet"/>
      <w:lvlText w:val=""/>
      <w:lvlJc w:val="left"/>
      <w:pPr>
        <w:ind w:left="720" w:hanging="360"/>
      </w:pPr>
      <w:rPr>
        <w:rFonts w:ascii="Symbol" w:hAnsi="Symbol" w:hint="default"/>
      </w:rPr>
    </w:lvl>
    <w:lvl w:ilvl="1" w:tplc="D9E49F38">
      <w:start w:val="1"/>
      <w:numFmt w:val="bullet"/>
      <w:lvlText w:val="o"/>
      <w:lvlJc w:val="left"/>
      <w:pPr>
        <w:ind w:left="1440" w:hanging="360"/>
      </w:pPr>
      <w:rPr>
        <w:rFonts w:ascii="Courier New" w:hAnsi="Courier New" w:cs="Courier New" w:hint="default"/>
      </w:rPr>
    </w:lvl>
    <w:lvl w:ilvl="2" w:tplc="C6B6BADE">
      <w:start w:val="1"/>
      <w:numFmt w:val="bullet"/>
      <w:lvlText w:val=""/>
      <w:lvlJc w:val="left"/>
      <w:pPr>
        <w:ind w:left="2160" w:hanging="360"/>
      </w:pPr>
      <w:rPr>
        <w:rFonts w:ascii="Wingdings" w:hAnsi="Wingdings" w:hint="default"/>
      </w:rPr>
    </w:lvl>
    <w:lvl w:ilvl="3" w:tplc="58845C60">
      <w:start w:val="1"/>
      <w:numFmt w:val="bullet"/>
      <w:lvlText w:val=""/>
      <w:lvlJc w:val="left"/>
      <w:pPr>
        <w:ind w:left="2880" w:hanging="360"/>
      </w:pPr>
      <w:rPr>
        <w:rFonts w:ascii="Symbol" w:hAnsi="Symbol" w:hint="default"/>
      </w:rPr>
    </w:lvl>
    <w:lvl w:ilvl="4" w:tplc="33A82994">
      <w:start w:val="1"/>
      <w:numFmt w:val="bullet"/>
      <w:lvlText w:val="o"/>
      <w:lvlJc w:val="left"/>
      <w:pPr>
        <w:ind w:left="3600" w:hanging="360"/>
      </w:pPr>
      <w:rPr>
        <w:rFonts w:ascii="Courier New" w:hAnsi="Courier New" w:cs="Courier New" w:hint="default"/>
      </w:rPr>
    </w:lvl>
    <w:lvl w:ilvl="5" w:tplc="9E4A1382">
      <w:start w:val="1"/>
      <w:numFmt w:val="bullet"/>
      <w:lvlText w:val=""/>
      <w:lvlJc w:val="left"/>
      <w:pPr>
        <w:ind w:left="4320" w:hanging="360"/>
      </w:pPr>
      <w:rPr>
        <w:rFonts w:ascii="Wingdings" w:hAnsi="Wingdings" w:hint="default"/>
      </w:rPr>
    </w:lvl>
    <w:lvl w:ilvl="6" w:tplc="DE0881E6">
      <w:start w:val="1"/>
      <w:numFmt w:val="bullet"/>
      <w:lvlText w:val=""/>
      <w:lvlJc w:val="left"/>
      <w:pPr>
        <w:ind w:left="5040" w:hanging="360"/>
      </w:pPr>
      <w:rPr>
        <w:rFonts w:ascii="Symbol" w:hAnsi="Symbol" w:hint="default"/>
      </w:rPr>
    </w:lvl>
    <w:lvl w:ilvl="7" w:tplc="D362F564">
      <w:start w:val="1"/>
      <w:numFmt w:val="bullet"/>
      <w:lvlText w:val="o"/>
      <w:lvlJc w:val="left"/>
      <w:pPr>
        <w:ind w:left="5760" w:hanging="360"/>
      </w:pPr>
      <w:rPr>
        <w:rFonts w:ascii="Courier New" w:hAnsi="Courier New" w:cs="Courier New" w:hint="default"/>
      </w:rPr>
    </w:lvl>
    <w:lvl w:ilvl="8" w:tplc="7DA49120">
      <w:start w:val="1"/>
      <w:numFmt w:val="bullet"/>
      <w:lvlText w:val=""/>
      <w:lvlJc w:val="left"/>
      <w:pPr>
        <w:ind w:left="6480" w:hanging="360"/>
      </w:pPr>
      <w:rPr>
        <w:rFonts w:ascii="Wingdings" w:hAnsi="Wingdings" w:hint="default"/>
      </w:rPr>
    </w:lvl>
  </w:abstractNum>
  <w:abstractNum w:abstractNumId="4" w15:restartNumberingAfterBreak="0">
    <w:nsid w:val="647E728C"/>
    <w:multiLevelType w:val="hybridMultilevel"/>
    <w:tmpl w:val="BF8CE742"/>
    <w:lvl w:ilvl="0" w:tplc="220CABF8">
      <w:numFmt w:val="bullet"/>
      <w:lvlText w:val="-"/>
      <w:lvlJc w:val="left"/>
      <w:pPr>
        <w:ind w:left="880" w:hanging="360"/>
      </w:pPr>
      <w:rPr>
        <w:rFonts w:ascii="Book Antiqua" w:eastAsia="Calibri" w:hAnsi="Book Antiqua" w:cs="Times New Roman" w:hint="default"/>
      </w:rPr>
    </w:lvl>
    <w:lvl w:ilvl="1" w:tplc="0C090003" w:tentative="1">
      <w:start w:val="1"/>
      <w:numFmt w:val="bullet"/>
      <w:lvlText w:val="o"/>
      <w:lvlJc w:val="left"/>
      <w:pPr>
        <w:ind w:left="1600" w:hanging="360"/>
      </w:pPr>
      <w:rPr>
        <w:rFonts w:ascii="Courier New" w:hAnsi="Courier New" w:cs="Courier New" w:hint="default"/>
      </w:rPr>
    </w:lvl>
    <w:lvl w:ilvl="2" w:tplc="0C090005" w:tentative="1">
      <w:start w:val="1"/>
      <w:numFmt w:val="bullet"/>
      <w:lvlText w:val=""/>
      <w:lvlJc w:val="left"/>
      <w:pPr>
        <w:ind w:left="2320" w:hanging="360"/>
      </w:pPr>
      <w:rPr>
        <w:rFonts w:ascii="Wingdings" w:hAnsi="Wingdings" w:hint="default"/>
      </w:rPr>
    </w:lvl>
    <w:lvl w:ilvl="3" w:tplc="0C090001" w:tentative="1">
      <w:start w:val="1"/>
      <w:numFmt w:val="bullet"/>
      <w:lvlText w:val=""/>
      <w:lvlJc w:val="left"/>
      <w:pPr>
        <w:ind w:left="3040" w:hanging="360"/>
      </w:pPr>
      <w:rPr>
        <w:rFonts w:ascii="Symbol" w:hAnsi="Symbol" w:hint="default"/>
      </w:rPr>
    </w:lvl>
    <w:lvl w:ilvl="4" w:tplc="0C090003" w:tentative="1">
      <w:start w:val="1"/>
      <w:numFmt w:val="bullet"/>
      <w:lvlText w:val="o"/>
      <w:lvlJc w:val="left"/>
      <w:pPr>
        <w:ind w:left="3760" w:hanging="360"/>
      </w:pPr>
      <w:rPr>
        <w:rFonts w:ascii="Courier New" w:hAnsi="Courier New" w:cs="Courier New" w:hint="default"/>
      </w:rPr>
    </w:lvl>
    <w:lvl w:ilvl="5" w:tplc="0C090005" w:tentative="1">
      <w:start w:val="1"/>
      <w:numFmt w:val="bullet"/>
      <w:lvlText w:val=""/>
      <w:lvlJc w:val="left"/>
      <w:pPr>
        <w:ind w:left="4480" w:hanging="360"/>
      </w:pPr>
      <w:rPr>
        <w:rFonts w:ascii="Wingdings" w:hAnsi="Wingdings" w:hint="default"/>
      </w:rPr>
    </w:lvl>
    <w:lvl w:ilvl="6" w:tplc="0C090001" w:tentative="1">
      <w:start w:val="1"/>
      <w:numFmt w:val="bullet"/>
      <w:lvlText w:val=""/>
      <w:lvlJc w:val="left"/>
      <w:pPr>
        <w:ind w:left="5200" w:hanging="360"/>
      </w:pPr>
      <w:rPr>
        <w:rFonts w:ascii="Symbol" w:hAnsi="Symbol" w:hint="default"/>
      </w:rPr>
    </w:lvl>
    <w:lvl w:ilvl="7" w:tplc="0C090003" w:tentative="1">
      <w:start w:val="1"/>
      <w:numFmt w:val="bullet"/>
      <w:lvlText w:val="o"/>
      <w:lvlJc w:val="left"/>
      <w:pPr>
        <w:ind w:left="5920" w:hanging="360"/>
      </w:pPr>
      <w:rPr>
        <w:rFonts w:ascii="Courier New" w:hAnsi="Courier New" w:cs="Courier New" w:hint="default"/>
      </w:rPr>
    </w:lvl>
    <w:lvl w:ilvl="8" w:tplc="0C090005" w:tentative="1">
      <w:start w:val="1"/>
      <w:numFmt w:val="bullet"/>
      <w:lvlText w:val=""/>
      <w:lvlJc w:val="left"/>
      <w:pPr>
        <w:ind w:left="6640" w:hanging="360"/>
      </w:pPr>
      <w:rPr>
        <w:rFonts w:ascii="Wingdings" w:hAnsi="Wingdings" w:hint="default"/>
      </w:rPr>
    </w:lvl>
  </w:abstractNum>
  <w:abstractNum w:abstractNumId="5" w15:restartNumberingAfterBreak="0">
    <w:nsid w:val="794A6F8C"/>
    <w:multiLevelType w:val="hybridMultilevel"/>
    <w:tmpl w:val="2902BE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9C36ED2"/>
    <w:multiLevelType w:val="multilevel"/>
    <w:tmpl w:val="68C60426"/>
    <w:lvl w:ilvl="0">
      <w:start w:val="1"/>
      <w:numFmt w:val="bullet"/>
      <w:lvlText w:val="•"/>
      <w:lvlJc w:val="left"/>
      <w:pPr>
        <w:tabs>
          <w:tab w:val="num" w:pos="520"/>
        </w:tabs>
        <w:ind w:left="520" w:hanging="520"/>
      </w:pPr>
      <w:rPr>
        <w:rFonts w:ascii="Times New Roman" w:hAnsi="Times New Roman" w:cs="Times New Roman"/>
      </w:rPr>
    </w:lvl>
    <w:lvl w:ilvl="1">
      <w:start w:val="1"/>
      <w:numFmt w:val="lowerLetter"/>
      <w:lvlText w:val="%2)"/>
      <w:lvlJc w:val="left"/>
      <w:pPr>
        <w:ind w:left="880" w:hanging="360"/>
      </w:p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01052158">
    <w:abstractNumId w:val="1"/>
  </w:num>
  <w:num w:numId="2" w16cid:durableId="1728606208">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6796129">
    <w:abstractNumId w:val="3"/>
  </w:num>
  <w:num w:numId="4" w16cid:durableId="895969290">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3132892">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19165066">
    <w:abstractNumId w:val="5"/>
  </w:num>
  <w:num w:numId="7" w16cid:durableId="1264605397">
    <w:abstractNumId w:val="6"/>
  </w:num>
  <w:num w:numId="8" w16cid:durableId="1797261415">
    <w:abstractNumId w:val="4"/>
  </w:num>
  <w:num w:numId="9" w16cid:durableId="685909161">
    <w:abstractNumId w:val="1"/>
  </w:num>
  <w:num w:numId="10" w16cid:durableId="185604706">
    <w:abstractNumId w:val="1"/>
  </w:num>
  <w:num w:numId="11" w16cid:durableId="2051955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embedSystemFonts/>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567"/>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473"/>
    <w:rsid w:val="0000097C"/>
    <w:rsid w:val="000036AB"/>
    <w:rsid w:val="000154AB"/>
    <w:rsid w:val="00016137"/>
    <w:rsid w:val="000212C5"/>
    <w:rsid w:val="000220DC"/>
    <w:rsid w:val="00022788"/>
    <w:rsid w:val="0003798C"/>
    <w:rsid w:val="00037DE3"/>
    <w:rsid w:val="000519AC"/>
    <w:rsid w:val="00052DE8"/>
    <w:rsid w:val="00057F1D"/>
    <w:rsid w:val="000604EA"/>
    <w:rsid w:val="00062DDF"/>
    <w:rsid w:val="00062E2D"/>
    <w:rsid w:val="00064200"/>
    <w:rsid w:val="00065D0A"/>
    <w:rsid w:val="00066F73"/>
    <w:rsid w:val="00070665"/>
    <w:rsid w:val="00071DEB"/>
    <w:rsid w:val="00080F48"/>
    <w:rsid w:val="00090842"/>
    <w:rsid w:val="000948E7"/>
    <w:rsid w:val="000A385B"/>
    <w:rsid w:val="000A3B3F"/>
    <w:rsid w:val="000A7EFE"/>
    <w:rsid w:val="000B3F1E"/>
    <w:rsid w:val="000C1697"/>
    <w:rsid w:val="000C187D"/>
    <w:rsid w:val="000C31A6"/>
    <w:rsid w:val="000C75D1"/>
    <w:rsid w:val="000D0C44"/>
    <w:rsid w:val="000D1D24"/>
    <w:rsid w:val="000D51AA"/>
    <w:rsid w:val="000E1BAC"/>
    <w:rsid w:val="000E317E"/>
    <w:rsid w:val="000E34DF"/>
    <w:rsid w:val="000E3A90"/>
    <w:rsid w:val="000E68E1"/>
    <w:rsid w:val="000F0781"/>
    <w:rsid w:val="000F0ACD"/>
    <w:rsid w:val="000F71A7"/>
    <w:rsid w:val="00102CB9"/>
    <w:rsid w:val="0010418F"/>
    <w:rsid w:val="0010462B"/>
    <w:rsid w:val="001060D5"/>
    <w:rsid w:val="00120CDF"/>
    <w:rsid w:val="001230EB"/>
    <w:rsid w:val="00125C3D"/>
    <w:rsid w:val="00134B54"/>
    <w:rsid w:val="0014441D"/>
    <w:rsid w:val="001516DF"/>
    <w:rsid w:val="00156B5F"/>
    <w:rsid w:val="0016012E"/>
    <w:rsid w:val="00163E05"/>
    <w:rsid w:val="00166B76"/>
    <w:rsid w:val="00174336"/>
    <w:rsid w:val="00181662"/>
    <w:rsid w:val="00184177"/>
    <w:rsid w:val="00184592"/>
    <w:rsid w:val="00186540"/>
    <w:rsid w:val="001965C1"/>
    <w:rsid w:val="001A0832"/>
    <w:rsid w:val="001A09E7"/>
    <w:rsid w:val="001A1094"/>
    <w:rsid w:val="001A42EB"/>
    <w:rsid w:val="001B6313"/>
    <w:rsid w:val="001B7453"/>
    <w:rsid w:val="001C223F"/>
    <w:rsid w:val="001C549C"/>
    <w:rsid w:val="001C59EC"/>
    <w:rsid w:val="001C5F47"/>
    <w:rsid w:val="001D1422"/>
    <w:rsid w:val="001D1C08"/>
    <w:rsid w:val="001D3262"/>
    <w:rsid w:val="001D475D"/>
    <w:rsid w:val="001D5E78"/>
    <w:rsid w:val="001D72AA"/>
    <w:rsid w:val="001F08D6"/>
    <w:rsid w:val="001F358C"/>
    <w:rsid w:val="001F3757"/>
    <w:rsid w:val="001F4603"/>
    <w:rsid w:val="001F602C"/>
    <w:rsid w:val="002026F3"/>
    <w:rsid w:val="002038A9"/>
    <w:rsid w:val="00203D0B"/>
    <w:rsid w:val="0020421C"/>
    <w:rsid w:val="00223077"/>
    <w:rsid w:val="00225332"/>
    <w:rsid w:val="0022736D"/>
    <w:rsid w:val="0022743F"/>
    <w:rsid w:val="002320C6"/>
    <w:rsid w:val="00234C9A"/>
    <w:rsid w:val="00235F4A"/>
    <w:rsid w:val="002363CB"/>
    <w:rsid w:val="00242FE5"/>
    <w:rsid w:val="00250660"/>
    <w:rsid w:val="00254959"/>
    <w:rsid w:val="0025500C"/>
    <w:rsid w:val="00256AAC"/>
    <w:rsid w:val="0025724B"/>
    <w:rsid w:val="00257AFD"/>
    <w:rsid w:val="00260BF1"/>
    <w:rsid w:val="00260F66"/>
    <w:rsid w:val="00265C1D"/>
    <w:rsid w:val="00267C4B"/>
    <w:rsid w:val="002720D0"/>
    <w:rsid w:val="0027303C"/>
    <w:rsid w:val="0028486E"/>
    <w:rsid w:val="00286A1B"/>
    <w:rsid w:val="002877F9"/>
    <w:rsid w:val="00290B64"/>
    <w:rsid w:val="00291814"/>
    <w:rsid w:val="002918E6"/>
    <w:rsid w:val="00294BF1"/>
    <w:rsid w:val="00295D61"/>
    <w:rsid w:val="002B0380"/>
    <w:rsid w:val="002B0842"/>
    <w:rsid w:val="002B374F"/>
    <w:rsid w:val="002B4373"/>
    <w:rsid w:val="002C27C8"/>
    <w:rsid w:val="002C4CA6"/>
    <w:rsid w:val="002C5537"/>
    <w:rsid w:val="002D0CA6"/>
    <w:rsid w:val="002D3940"/>
    <w:rsid w:val="002D604E"/>
    <w:rsid w:val="002F0327"/>
    <w:rsid w:val="002F0CC3"/>
    <w:rsid w:val="002F4247"/>
    <w:rsid w:val="00301708"/>
    <w:rsid w:val="0030629D"/>
    <w:rsid w:val="00307E5B"/>
    <w:rsid w:val="00310851"/>
    <w:rsid w:val="00312643"/>
    <w:rsid w:val="00315539"/>
    <w:rsid w:val="00317D7B"/>
    <w:rsid w:val="00320CF6"/>
    <w:rsid w:val="0032164B"/>
    <w:rsid w:val="00321BEA"/>
    <w:rsid w:val="00325DC8"/>
    <w:rsid w:val="00326923"/>
    <w:rsid w:val="003509E0"/>
    <w:rsid w:val="0035321E"/>
    <w:rsid w:val="00353F08"/>
    <w:rsid w:val="00355188"/>
    <w:rsid w:val="00355D43"/>
    <w:rsid w:val="00356B20"/>
    <w:rsid w:val="003570B6"/>
    <w:rsid w:val="00357464"/>
    <w:rsid w:val="00361536"/>
    <w:rsid w:val="0036486D"/>
    <w:rsid w:val="003670AD"/>
    <w:rsid w:val="003741E4"/>
    <w:rsid w:val="0037534E"/>
    <w:rsid w:val="00375972"/>
    <w:rsid w:val="00377220"/>
    <w:rsid w:val="00380444"/>
    <w:rsid w:val="00382AF3"/>
    <w:rsid w:val="00383A2E"/>
    <w:rsid w:val="0039532D"/>
    <w:rsid w:val="00395FAF"/>
    <w:rsid w:val="003971A9"/>
    <w:rsid w:val="003A3969"/>
    <w:rsid w:val="003B059E"/>
    <w:rsid w:val="003B3538"/>
    <w:rsid w:val="003B3CB4"/>
    <w:rsid w:val="003C561B"/>
    <w:rsid w:val="003C75DB"/>
    <w:rsid w:val="003D0B18"/>
    <w:rsid w:val="003D481E"/>
    <w:rsid w:val="003D7D3B"/>
    <w:rsid w:val="003E0D93"/>
    <w:rsid w:val="003E1FC9"/>
    <w:rsid w:val="003E679F"/>
    <w:rsid w:val="003F14B1"/>
    <w:rsid w:val="003F4CF2"/>
    <w:rsid w:val="003F58A8"/>
    <w:rsid w:val="003F6854"/>
    <w:rsid w:val="00402632"/>
    <w:rsid w:val="0040325F"/>
    <w:rsid w:val="004070DA"/>
    <w:rsid w:val="004148EC"/>
    <w:rsid w:val="00426325"/>
    <w:rsid w:val="004310A6"/>
    <w:rsid w:val="00440D46"/>
    <w:rsid w:val="00441384"/>
    <w:rsid w:val="00441BA2"/>
    <w:rsid w:val="00443489"/>
    <w:rsid w:val="004506ED"/>
    <w:rsid w:val="00461F40"/>
    <w:rsid w:val="004631D5"/>
    <w:rsid w:val="00466183"/>
    <w:rsid w:val="00471315"/>
    <w:rsid w:val="00480213"/>
    <w:rsid w:val="00482921"/>
    <w:rsid w:val="0048639E"/>
    <w:rsid w:val="0049158A"/>
    <w:rsid w:val="00496E45"/>
    <w:rsid w:val="004A2189"/>
    <w:rsid w:val="004B361A"/>
    <w:rsid w:val="004B4ACC"/>
    <w:rsid w:val="004B5C77"/>
    <w:rsid w:val="004C223C"/>
    <w:rsid w:val="004C2EF0"/>
    <w:rsid w:val="004C3E82"/>
    <w:rsid w:val="004C54F7"/>
    <w:rsid w:val="004D0EC8"/>
    <w:rsid w:val="004D2454"/>
    <w:rsid w:val="004D4451"/>
    <w:rsid w:val="004D6884"/>
    <w:rsid w:val="004D7CF3"/>
    <w:rsid w:val="004E60D8"/>
    <w:rsid w:val="004F0F8E"/>
    <w:rsid w:val="004F2838"/>
    <w:rsid w:val="00502FEC"/>
    <w:rsid w:val="005131B7"/>
    <w:rsid w:val="00515A7B"/>
    <w:rsid w:val="00517811"/>
    <w:rsid w:val="00520604"/>
    <w:rsid w:val="0052442B"/>
    <w:rsid w:val="00524459"/>
    <w:rsid w:val="0052654D"/>
    <w:rsid w:val="00530F45"/>
    <w:rsid w:val="00532E8C"/>
    <w:rsid w:val="00533384"/>
    <w:rsid w:val="005401BE"/>
    <w:rsid w:val="005402E0"/>
    <w:rsid w:val="00545CF5"/>
    <w:rsid w:val="005464B9"/>
    <w:rsid w:val="00546517"/>
    <w:rsid w:val="0055365D"/>
    <w:rsid w:val="00557A85"/>
    <w:rsid w:val="00560BD0"/>
    <w:rsid w:val="00564649"/>
    <w:rsid w:val="00574AD6"/>
    <w:rsid w:val="00575854"/>
    <w:rsid w:val="005815C9"/>
    <w:rsid w:val="005818AC"/>
    <w:rsid w:val="00590FD6"/>
    <w:rsid w:val="00594D76"/>
    <w:rsid w:val="005A0460"/>
    <w:rsid w:val="005B05E4"/>
    <w:rsid w:val="005B3BA3"/>
    <w:rsid w:val="005B466B"/>
    <w:rsid w:val="005C0245"/>
    <w:rsid w:val="005C22E2"/>
    <w:rsid w:val="005C69FE"/>
    <w:rsid w:val="005D3410"/>
    <w:rsid w:val="005E3B86"/>
    <w:rsid w:val="005E3DAD"/>
    <w:rsid w:val="005E4445"/>
    <w:rsid w:val="005E5935"/>
    <w:rsid w:val="005E5A27"/>
    <w:rsid w:val="005E7518"/>
    <w:rsid w:val="005E7572"/>
    <w:rsid w:val="005F74EC"/>
    <w:rsid w:val="00601A8A"/>
    <w:rsid w:val="006020A4"/>
    <w:rsid w:val="00610287"/>
    <w:rsid w:val="006134B1"/>
    <w:rsid w:val="00617C97"/>
    <w:rsid w:val="006263B3"/>
    <w:rsid w:val="00630DC7"/>
    <w:rsid w:val="00631DD8"/>
    <w:rsid w:val="0063337F"/>
    <w:rsid w:val="0063666C"/>
    <w:rsid w:val="00636A7E"/>
    <w:rsid w:val="00641042"/>
    <w:rsid w:val="00641AF5"/>
    <w:rsid w:val="00643473"/>
    <w:rsid w:val="006545E8"/>
    <w:rsid w:val="00654A77"/>
    <w:rsid w:val="00657C41"/>
    <w:rsid w:val="00664B76"/>
    <w:rsid w:val="006719C9"/>
    <w:rsid w:val="006731E3"/>
    <w:rsid w:val="00673706"/>
    <w:rsid w:val="006739D3"/>
    <w:rsid w:val="00674AA5"/>
    <w:rsid w:val="0067569E"/>
    <w:rsid w:val="0067583F"/>
    <w:rsid w:val="00677169"/>
    <w:rsid w:val="00687DC5"/>
    <w:rsid w:val="00691095"/>
    <w:rsid w:val="00692295"/>
    <w:rsid w:val="0069618A"/>
    <w:rsid w:val="006A09F0"/>
    <w:rsid w:val="006A0EDD"/>
    <w:rsid w:val="006A35C8"/>
    <w:rsid w:val="006A470E"/>
    <w:rsid w:val="006A5188"/>
    <w:rsid w:val="006B3B81"/>
    <w:rsid w:val="006B477F"/>
    <w:rsid w:val="006B5330"/>
    <w:rsid w:val="006B6584"/>
    <w:rsid w:val="006C3595"/>
    <w:rsid w:val="006C42BF"/>
    <w:rsid w:val="006C47AA"/>
    <w:rsid w:val="006C51E4"/>
    <w:rsid w:val="006C6793"/>
    <w:rsid w:val="006C6E98"/>
    <w:rsid w:val="006D4058"/>
    <w:rsid w:val="006D5972"/>
    <w:rsid w:val="006D6112"/>
    <w:rsid w:val="006E0738"/>
    <w:rsid w:val="006E188D"/>
    <w:rsid w:val="006F0845"/>
    <w:rsid w:val="006F092F"/>
    <w:rsid w:val="006F34EF"/>
    <w:rsid w:val="006F3E6C"/>
    <w:rsid w:val="006F4706"/>
    <w:rsid w:val="006F511A"/>
    <w:rsid w:val="006F5EE9"/>
    <w:rsid w:val="00700228"/>
    <w:rsid w:val="00701073"/>
    <w:rsid w:val="007015E2"/>
    <w:rsid w:val="00702DDD"/>
    <w:rsid w:val="00703A71"/>
    <w:rsid w:val="00710146"/>
    <w:rsid w:val="00710C01"/>
    <w:rsid w:val="0071341C"/>
    <w:rsid w:val="00720F03"/>
    <w:rsid w:val="0072325E"/>
    <w:rsid w:val="00724792"/>
    <w:rsid w:val="00732050"/>
    <w:rsid w:val="007339F5"/>
    <w:rsid w:val="00734FB8"/>
    <w:rsid w:val="007351D1"/>
    <w:rsid w:val="00746EE7"/>
    <w:rsid w:val="007501F0"/>
    <w:rsid w:val="00752CF3"/>
    <w:rsid w:val="007535BE"/>
    <w:rsid w:val="007634B2"/>
    <w:rsid w:val="0076687B"/>
    <w:rsid w:val="00767821"/>
    <w:rsid w:val="007708CB"/>
    <w:rsid w:val="00773F1D"/>
    <w:rsid w:val="00782391"/>
    <w:rsid w:val="0078665F"/>
    <w:rsid w:val="007870A9"/>
    <w:rsid w:val="007947EB"/>
    <w:rsid w:val="007A250B"/>
    <w:rsid w:val="007A357F"/>
    <w:rsid w:val="007A44B8"/>
    <w:rsid w:val="007B306D"/>
    <w:rsid w:val="007B72FB"/>
    <w:rsid w:val="007C00C0"/>
    <w:rsid w:val="007E206C"/>
    <w:rsid w:val="007E7869"/>
    <w:rsid w:val="007E7D39"/>
    <w:rsid w:val="007F1855"/>
    <w:rsid w:val="007F1A68"/>
    <w:rsid w:val="007F56DE"/>
    <w:rsid w:val="00800722"/>
    <w:rsid w:val="008017EE"/>
    <w:rsid w:val="00802A8B"/>
    <w:rsid w:val="00803489"/>
    <w:rsid w:val="00804978"/>
    <w:rsid w:val="008066E6"/>
    <w:rsid w:val="00810FF6"/>
    <w:rsid w:val="00814169"/>
    <w:rsid w:val="00814A00"/>
    <w:rsid w:val="00817041"/>
    <w:rsid w:val="008238B4"/>
    <w:rsid w:val="008258BE"/>
    <w:rsid w:val="00831723"/>
    <w:rsid w:val="00834988"/>
    <w:rsid w:val="0085191D"/>
    <w:rsid w:val="00853176"/>
    <w:rsid w:val="00855764"/>
    <w:rsid w:val="008577A5"/>
    <w:rsid w:val="00863E26"/>
    <w:rsid w:val="008647CA"/>
    <w:rsid w:val="00870B67"/>
    <w:rsid w:val="00871E34"/>
    <w:rsid w:val="008727D2"/>
    <w:rsid w:val="00872D22"/>
    <w:rsid w:val="0087308C"/>
    <w:rsid w:val="00873856"/>
    <w:rsid w:val="00881A17"/>
    <w:rsid w:val="00881AF9"/>
    <w:rsid w:val="00883786"/>
    <w:rsid w:val="00884168"/>
    <w:rsid w:val="00885EED"/>
    <w:rsid w:val="008951A4"/>
    <w:rsid w:val="008A0C28"/>
    <w:rsid w:val="008A34AA"/>
    <w:rsid w:val="008A77B9"/>
    <w:rsid w:val="008B01B5"/>
    <w:rsid w:val="008B33AB"/>
    <w:rsid w:val="008B3623"/>
    <w:rsid w:val="008D203C"/>
    <w:rsid w:val="008D5333"/>
    <w:rsid w:val="008E615E"/>
    <w:rsid w:val="008E6BAD"/>
    <w:rsid w:val="008F28CD"/>
    <w:rsid w:val="00900E16"/>
    <w:rsid w:val="00906375"/>
    <w:rsid w:val="009070B1"/>
    <w:rsid w:val="00916097"/>
    <w:rsid w:val="009179D1"/>
    <w:rsid w:val="00920874"/>
    <w:rsid w:val="00923348"/>
    <w:rsid w:val="00924F53"/>
    <w:rsid w:val="00932354"/>
    <w:rsid w:val="009325D9"/>
    <w:rsid w:val="00932827"/>
    <w:rsid w:val="00932B1B"/>
    <w:rsid w:val="00936AD1"/>
    <w:rsid w:val="00937BE8"/>
    <w:rsid w:val="009454DB"/>
    <w:rsid w:val="00945E70"/>
    <w:rsid w:val="0094699C"/>
    <w:rsid w:val="009514D2"/>
    <w:rsid w:val="00951C5F"/>
    <w:rsid w:val="00953ECD"/>
    <w:rsid w:val="0095448C"/>
    <w:rsid w:val="009618D6"/>
    <w:rsid w:val="00962620"/>
    <w:rsid w:val="00965C19"/>
    <w:rsid w:val="00965ED5"/>
    <w:rsid w:val="00966D0B"/>
    <w:rsid w:val="00967868"/>
    <w:rsid w:val="00974494"/>
    <w:rsid w:val="0098042E"/>
    <w:rsid w:val="00987615"/>
    <w:rsid w:val="00993AFF"/>
    <w:rsid w:val="00996B77"/>
    <w:rsid w:val="009A75D8"/>
    <w:rsid w:val="009B4003"/>
    <w:rsid w:val="009B7102"/>
    <w:rsid w:val="009D08E4"/>
    <w:rsid w:val="009D0B6B"/>
    <w:rsid w:val="009E1C8F"/>
    <w:rsid w:val="009E3682"/>
    <w:rsid w:val="009E53EF"/>
    <w:rsid w:val="009E62BE"/>
    <w:rsid w:val="009E73F5"/>
    <w:rsid w:val="009F3C69"/>
    <w:rsid w:val="00A060CE"/>
    <w:rsid w:val="00A0711D"/>
    <w:rsid w:val="00A07DD8"/>
    <w:rsid w:val="00A151DE"/>
    <w:rsid w:val="00A240AD"/>
    <w:rsid w:val="00A24373"/>
    <w:rsid w:val="00A2601C"/>
    <w:rsid w:val="00A26788"/>
    <w:rsid w:val="00A34B88"/>
    <w:rsid w:val="00A37CC2"/>
    <w:rsid w:val="00A461BB"/>
    <w:rsid w:val="00A46251"/>
    <w:rsid w:val="00A46403"/>
    <w:rsid w:val="00A52B34"/>
    <w:rsid w:val="00A61BD0"/>
    <w:rsid w:val="00A67FBC"/>
    <w:rsid w:val="00A74D51"/>
    <w:rsid w:val="00A766A0"/>
    <w:rsid w:val="00A8063E"/>
    <w:rsid w:val="00A81146"/>
    <w:rsid w:val="00A96E5A"/>
    <w:rsid w:val="00AA0934"/>
    <w:rsid w:val="00AA0AAB"/>
    <w:rsid w:val="00AA169F"/>
    <w:rsid w:val="00AA1709"/>
    <w:rsid w:val="00AA3388"/>
    <w:rsid w:val="00AA5826"/>
    <w:rsid w:val="00AA6F08"/>
    <w:rsid w:val="00AA7623"/>
    <w:rsid w:val="00AB1B51"/>
    <w:rsid w:val="00AB4A1E"/>
    <w:rsid w:val="00AB5274"/>
    <w:rsid w:val="00AB52E1"/>
    <w:rsid w:val="00AC2259"/>
    <w:rsid w:val="00AC36F6"/>
    <w:rsid w:val="00AC72AB"/>
    <w:rsid w:val="00AD5A6A"/>
    <w:rsid w:val="00AE0108"/>
    <w:rsid w:val="00AE0E4A"/>
    <w:rsid w:val="00AE249A"/>
    <w:rsid w:val="00AE5C48"/>
    <w:rsid w:val="00AF2C49"/>
    <w:rsid w:val="00AF3D0B"/>
    <w:rsid w:val="00AF4ACF"/>
    <w:rsid w:val="00AF57D7"/>
    <w:rsid w:val="00B0287A"/>
    <w:rsid w:val="00B0769B"/>
    <w:rsid w:val="00B0780F"/>
    <w:rsid w:val="00B133CF"/>
    <w:rsid w:val="00B16AF6"/>
    <w:rsid w:val="00B177CD"/>
    <w:rsid w:val="00B2243B"/>
    <w:rsid w:val="00B2486C"/>
    <w:rsid w:val="00B26599"/>
    <w:rsid w:val="00B411FC"/>
    <w:rsid w:val="00B50B8E"/>
    <w:rsid w:val="00B51319"/>
    <w:rsid w:val="00B54CE2"/>
    <w:rsid w:val="00B56F4D"/>
    <w:rsid w:val="00B576FB"/>
    <w:rsid w:val="00B61CE0"/>
    <w:rsid w:val="00B6518A"/>
    <w:rsid w:val="00B71799"/>
    <w:rsid w:val="00B73DE8"/>
    <w:rsid w:val="00B77332"/>
    <w:rsid w:val="00B77492"/>
    <w:rsid w:val="00B80B3E"/>
    <w:rsid w:val="00B8560C"/>
    <w:rsid w:val="00B8797D"/>
    <w:rsid w:val="00B93150"/>
    <w:rsid w:val="00B96120"/>
    <w:rsid w:val="00BA07D6"/>
    <w:rsid w:val="00BA15F6"/>
    <w:rsid w:val="00BA2D37"/>
    <w:rsid w:val="00BA529F"/>
    <w:rsid w:val="00BA6808"/>
    <w:rsid w:val="00BC02B5"/>
    <w:rsid w:val="00BC0B88"/>
    <w:rsid w:val="00BC0FDF"/>
    <w:rsid w:val="00BC1CA4"/>
    <w:rsid w:val="00BC28AB"/>
    <w:rsid w:val="00BD17B9"/>
    <w:rsid w:val="00BD35BB"/>
    <w:rsid w:val="00BD596C"/>
    <w:rsid w:val="00BD7245"/>
    <w:rsid w:val="00BE0A80"/>
    <w:rsid w:val="00BE0FEF"/>
    <w:rsid w:val="00BE4816"/>
    <w:rsid w:val="00BF6B16"/>
    <w:rsid w:val="00BF74CE"/>
    <w:rsid w:val="00C02517"/>
    <w:rsid w:val="00C03A16"/>
    <w:rsid w:val="00C068D8"/>
    <w:rsid w:val="00C07CBE"/>
    <w:rsid w:val="00C10376"/>
    <w:rsid w:val="00C2155C"/>
    <w:rsid w:val="00C2422E"/>
    <w:rsid w:val="00C25574"/>
    <w:rsid w:val="00C25EEB"/>
    <w:rsid w:val="00C3497C"/>
    <w:rsid w:val="00C35746"/>
    <w:rsid w:val="00C40375"/>
    <w:rsid w:val="00C42CF1"/>
    <w:rsid w:val="00C44CC2"/>
    <w:rsid w:val="00C5151B"/>
    <w:rsid w:val="00C55A06"/>
    <w:rsid w:val="00C55AC7"/>
    <w:rsid w:val="00C57723"/>
    <w:rsid w:val="00C6016C"/>
    <w:rsid w:val="00C624E9"/>
    <w:rsid w:val="00C7046C"/>
    <w:rsid w:val="00C76251"/>
    <w:rsid w:val="00C76460"/>
    <w:rsid w:val="00C778A9"/>
    <w:rsid w:val="00C8200E"/>
    <w:rsid w:val="00C911C8"/>
    <w:rsid w:val="00C93286"/>
    <w:rsid w:val="00C947E6"/>
    <w:rsid w:val="00CA3A7B"/>
    <w:rsid w:val="00CB0A33"/>
    <w:rsid w:val="00CB3E8D"/>
    <w:rsid w:val="00CB7447"/>
    <w:rsid w:val="00CC0758"/>
    <w:rsid w:val="00CC0B6F"/>
    <w:rsid w:val="00CC2952"/>
    <w:rsid w:val="00CD26FD"/>
    <w:rsid w:val="00CD4E87"/>
    <w:rsid w:val="00CE0E0F"/>
    <w:rsid w:val="00CE6DC3"/>
    <w:rsid w:val="00CE7278"/>
    <w:rsid w:val="00CF01FE"/>
    <w:rsid w:val="00CF1486"/>
    <w:rsid w:val="00CF4F78"/>
    <w:rsid w:val="00CF7088"/>
    <w:rsid w:val="00CF71DE"/>
    <w:rsid w:val="00D00D35"/>
    <w:rsid w:val="00D05AD0"/>
    <w:rsid w:val="00D0779D"/>
    <w:rsid w:val="00D1041B"/>
    <w:rsid w:val="00D137C8"/>
    <w:rsid w:val="00D1539B"/>
    <w:rsid w:val="00D16603"/>
    <w:rsid w:val="00D17E13"/>
    <w:rsid w:val="00D21F96"/>
    <w:rsid w:val="00D268D8"/>
    <w:rsid w:val="00D377B6"/>
    <w:rsid w:val="00D40942"/>
    <w:rsid w:val="00D41431"/>
    <w:rsid w:val="00D4285A"/>
    <w:rsid w:val="00D43CB5"/>
    <w:rsid w:val="00D43FFA"/>
    <w:rsid w:val="00D44CA7"/>
    <w:rsid w:val="00D45664"/>
    <w:rsid w:val="00D46B98"/>
    <w:rsid w:val="00D51119"/>
    <w:rsid w:val="00D5449B"/>
    <w:rsid w:val="00D5606E"/>
    <w:rsid w:val="00D5615E"/>
    <w:rsid w:val="00D56A47"/>
    <w:rsid w:val="00D64473"/>
    <w:rsid w:val="00D6534C"/>
    <w:rsid w:val="00D71134"/>
    <w:rsid w:val="00D7510D"/>
    <w:rsid w:val="00D7514D"/>
    <w:rsid w:val="00D7632E"/>
    <w:rsid w:val="00D803C1"/>
    <w:rsid w:val="00D91CE8"/>
    <w:rsid w:val="00DB2DFE"/>
    <w:rsid w:val="00DB3FB3"/>
    <w:rsid w:val="00DB6407"/>
    <w:rsid w:val="00DC000C"/>
    <w:rsid w:val="00DC4544"/>
    <w:rsid w:val="00DC6F9C"/>
    <w:rsid w:val="00DD166F"/>
    <w:rsid w:val="00DD424B"/>
    <w:rsid w:val="00DF2DF0"/>
    <w:rsid w:val="00DF2F95"/>
    <w:rsid w:val="00DF39AB"/>
    <w:rsid w:val="00DF452D"/>
    <w:rsid w:val="00E00260"/>
    <w:rsid w:val="00E0128D"/>
    <w:rsid w:val="00E05642"/>
    <w:rsid w:val="00E056EA"/>
    <w:rsid w:val="00E05B9F"/>
    <w:rsid w:val="00E05C25"/>
    <w:rsid w:val="00E05C69"/>
    <w:rsid w:val="00E11DB2"/>
    <w:rsid w:val="00E14C97"/>
    <w:rsid w:val="00E166E2"/>
    <w:rsid w:val="00E22706"/>
    <w:rsid w:val="00E23EBC"/>
    <w:rsid w:val="00E24BF1"/>
    <w:rsid w:val="00E27C95"/>
    <w:rsid w:val="00E32051"/>
    <w:rsid w:val="00E40EDF"/>
    <w:rsid w:val="00E416DD"/>
    <w:rsid w:val="00E44D1F"/>
    <w:rsid w:val="00E523E0"/>
    <w:rsid w:val="00E5278D"/>
    <w:rsid w:val="00E54E88"/>
    <w:rsid w:val="00E6132E"/>
    <w:rsid w:val="00E65CDB"/>
    <w:rsid w:val="00E7473C"/>
    <w:rsid w:val="00E7481B"/>
    <w:rsid w:val="00E76792"/>
    <w:rsid w:val="00E802DF"/>
    <w:rsid w:val="00E815AD"/>
    <w:rsid w:val="00E81C8E"/>
    <w:rsid w:val="00E8280A"/>
    <w:rsid w:val="00E8336B"/>
    <w:rsid w:val="00E85D19"/>
    <w:rsid w:val="00E95DD0"/>
    <w:rsid w:val="00E960BE"/>
    <w:rsid w:val="00EA44D7"/>
    <w:rsid w:val="00EA5436"/>
    <w:rsid w:val="00EA6C16"/>
    <w:rsid w:val="00EB77EB"/>
    <w:rsid w:val="00EC2F76"/>
    <w:rsid w:val="00ED1566"/>
    <w:rsid w:val="00ED2783"/>
    <w:rsid w:val="00ED33BF"/>
    <w:rsid w:val="00ED4C13"/>
    <w:rsid w:val="00EE3CA5"/>
    <w:rsid w:val="00EE50E9"/>
    <w:rsid w:val="00EE6668"/>
    <w:rsid w:val="00EE72BB"/>
    <w:rsid w:val="00EE779E"/>
    <w:rsid w:val="00EF0427"/>
    <w:rsid w:val="00EF2086"/>
    <w:rsid w:val="00EF24C6"/>
    <w:rsid w:val="00EF51AA"/>
    <w:rsid w:val="00EF6FF1"/>
    <w:rsid w:val="00F00597"/>
    <w:rsid w:val="00F01DEA"/>
    <w:rsid w:val="00F04406"/>
    <w:rsid w:val="00F16752"/>
    <w:rsid w:val="00F200DF"/>
    <w:rsid w:val="00F243A9"/>
    <w:rsid w:val="00F256DD"/>
    <w:rsid w:val="00F31640"/>
    <w:rsid w:val="00F531D0"/>
    <w:rsid w:val="00F55F2A"/>
    <w:rsid w:val="00F575A9"/>
    <w:rsid w:val="00F60380"/>
    <w:rsid w:val="00F60C78"/>
    <w:rsid w:val="00F645E8"/>
    <w:rsid w:val="00F77908"/>
    <w:rsid w:val="00F77E3B"/>
    <w:rsid w:val="00F82048"/>
    <w:rsid w:val="00F83351"/>
    <w:rsid w:val="00F86C3A"/>
    <w:rsid w:val="00F876EE"/>
    <w:rsid w:val="00F91242"/>
    <w:rsid w:val="00F924B9"/>
    <w:rsid w:val="00F96631"/>
    <w:rsid w:val="00FA11C6"/>
    <w:rsid w:val="00FA160A"/>
    <w:rsid w:val="00FA4DD0"/>
    <w:rsid w:val="00FB0A44"/>
    <w:rsid w:val="00FB3DC9"/>
    <w:rsid w:val="00FB3F4B"/>
    <w:rsid w:val="00FC1D23"/>
    <w:rsid w:val="00FC4FB0"/>
    <w:rsid w:val="00FC5A1C"/>
    <w:rsid w:val="00FC66DB"/>
    <w:rsid w:val="00FD7424"/>
    <w:rsid w:val="00FD7DF8"/>
    <w:rsid w:val="00FE10B9"/>
    <w:rsid w:val="00FE435A"/>
    <w:rsid w:val="00FE4710"/>
    <w:rsid w:val="00FE5DC7"/>
    <w:rsid w:val="00FF066B"/>
    <w:rsid w:val="00FF2F9E"/>
    <w:rsid w:val="09418376"/>
    <w:rsid w:val="44B9E0CC"/>
    <w:rsid w:val="48745C0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41C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20EC"/>
    <w:pPr>
      <w:spacing w:after="240"/>
    </w:pPr>
    <w:rPr>
      <w:rFonts w:ascii="Book Antiqua" w:hAnsi="Book Antiqua"/>
      <w:sz w:val="22"/>
      <w:szCs w:val="24"/>
    </w:rPr>
  </w:style>
  <w:style w:type="paragraph" w:styleId="Heading1">
    <w:name w:val="heading 1"/>
    <w:basedOn w:val="Normal"/>
    <w:next w:val="Normal"/>
    <w:qFormat/>
    <w:rsid w:val="00843B35"/>
    <w:pPr>
      <w:keepNext/>
      <w:spacing w:before="240"/>
      <w:outlineLvl w:val="0"/>
    </w:pPr>
    <w:rPr>
      <w:b/>
      <w:caps/>
      <w:sz w:val="32"/>
    </w:rPr>
  </w:style>
  <w:style w:type="paragraph" w:styleId="Heading2">
    <w:name w:val="heading 2"/>
    <w:basedOn w:val="Normal"/>
    <w:next w:val="Normal"/>
    <w:link w:val="Heading2Char"/>
    <w:qFormat/>
    <w:rsid w:val="00843B35"/>
    <w:pPr>
      <w:keepNext/>
      <w:spacing w:before="120"/>
      <w:outlineLvl w:val="1"/>
    </w:pPr>
    <w:rPr>
      <w:b/>
      <w:caps/>
    </w:rPr>
  </w:style>
  <w:style w:type="paragraph" w:styleId="Heading3">
    <w:name w:val="heading 3"/>
    <w:basedOn w:val="Normal"/>
    <w:next w:val="Normal"/>
    <w:qFormat/>
    <w:rsid w:val="00843B35"/>
    <w:pPr>
      <w:keepNext/>
      <w:spacing w:before="6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520EC"/>
    <w:pPr>
      <w:tabs>
        <w:tab w:val="center" w:pos="4819"/>
        <w:tab w:val="right" w:pos="9639"/>
      </w:tabs>
      <w:jc w:val="center"/>
    </w:pPr>
    <w:rPr>
      <w:sz w:val="16"/>
    </w:rPr>
  </w:style>
  <w:style w:type="paragraph" w:styleId="Header">
    <w:name w:val="header"/>
    <w:basedOn w:val="Normal"/>
    <w:rsid w:val="00DE50F3"/>
    <w:pPr>
      <w:tabs>
        <w:tab w:val="center" w:pos="4819"/>
        <w:tab w:val="right" w:pos="9639"/>
      </w:tabs>
      <w:jc w:val="center"/>
    </w:pPr>
  </w:style>
  <w:style w:type="paragraph" w:styleId="NormalIndent">
    <w:name w:val="Normal Indent"/>
    <w:basedOn w:val="Normal"/>
    <w:rsid w:val="002A2DB5"/>
    <w:pPr>
      <w:ind w:left="720"/>
    </w:pPr>
  </w:style>
  <w:style w:type="paragraph" w:customStyle="1" w:styleId="ChartMainHeading">
    <w:name w:val="Chart Main Heading"/>
    <w:basedOn w:val="Normal"/>
    <w:next w:val="Normal"/>
    <w:rsid w:val="00843B35"/>
    <w:pPr>
      <w:spacing w:after="0"/>
      <w:jc w:val="center"/>
    </w:pPr>
    <w:rPr>
      <w:b/>
      <w:caps/>
    </w:rPr>
  </w:style>
  <w:style w:type="paragraph" w:customStyle="1" w:styleId="ChartSecondHeading">
    <w:name w:val="Chart Second Heading"/>
    <w:basedOn w:val="Normal"/>
    <w:next w:val="Normal"/>
    <w:rsid w:val="00843B35"/>
    <w:pPr>
      <w:spacing w:after="0"/>
      <w:jc w:val="center"/>
    </w:pPr>
    <w:rPr>
      <w:b/>
    </w:rPr>
  </w:style>
  <w:style w:type="paragraph" w:styleId="EnvelopeAddress">
    <w:name w:val="envelope address"/>
    <w:basedOn w:val="Normal"/>
    <w:rsid w:val="00843B35"/>
    <w:pPr>
      <w:framePr w:w="7920" w:h="1980" w:hRule="exact" w:hSpace="180" w:wrap="auto" w:hAnchor="page" w:xAlign="center" w:yAlign="bottom"/>
      <w:spacing w:after="0"/>
      <w:ind w:left="2880"/>
    </w:pPr>
  </w:style>
  <w:style w:type="paragraph" w:customStyle="1" w:styleId="AreaSCL">
    <w:name w:val="Area SCL"/>
    <w:basedOn w:val="Normal"/>
    <w:rsid w:val="00CD645D"/>
    <w:pPr>
      <w:spacing w:after="0"/>
      <w:jc w:val="center"/>
    </w:pPr>
    <w:rPr>
      <w:b/>
      <w:caps/>
      <w:sz w:val="28"/>
      <w:szCs w:val="28"/>
    </w:rPr>
  </w:style>
  <w:style w:type="paragraph" w:styleId="MacroText">
    <w:name w:val="macro"/>
    <w:semiHidden/>
    <w:rsid w:val="00843B35"/>
    <w:pPr>
      <w:tabs>
        <w:tab w:val="left" w:pos="567"/>
        <w:tab w:val="left" w:pos="1134"/>
        <w:tab w:val="left" w:pos="1701"/>
        <w:tab w:val="left" w:pos="2268"/>
        <w:tab w:val="left" w:pos="2835"/>
        <w:tab w:val="left" w:pos="3402"/>
        <w:tab w:val="left" w:pos="3969"/>
        <w:tab w:val="left" w:pos="4536"/>
        <w:tab w:val="left" w:pos="5103"/>
        <w:tab w:val="left" w:pos="5670"/>
      </w:tabs>
      <w:spacing w:after="60"/>
    </w:pPr>
    <w:rPr>
      <w:rFonts w:ascii="Arial" w:hAnsi="Arial"/>
      <w:kern w:val="16"/>
    </w:rPr>
  </w:style>
  <w:style w:type="paragraph" w:customStyle="1" w:styleId="Crest">
    <w:name w:val="Crest"/>
    <w:basedOn w:val="Normal"/>
    <w:rsid w:val="00B133CF"/>
    <w:pPr>
      <w:spacing w:before="480"/>
      <w:jc w:val="center"/>
    </w:pPr>
  </w:style>
  <w:style w:type="paragraph" w:customStyle="1" w:styleId="Address">
    <w:name w:val="Address"/>
    <w:basedOn w:val="Normal"/>
    <w:rsid w:val="00843B35"/>
    <w:pPr>
      <w:spacing w:after="0"/>
    </w:pPr>
  </w:style>
  <w:style w:type="paragraph" w:customStyle="1" w:styleId="Addressee">
    <w:name w:val="Addressee"/>
    <w:basedOn w:val="Normal"/>
    <w:rsid w:val="00B133CF"/>
    <w:pPr>
      <w:spacing w:after="0"/>
    </w:pPr>
  </w:style>
  <w:style w:type="paragraph" w:customStyle="1" w:styleId="Area">
    <w:name w:val="Area"/>
    <w:basedOn w:val="Normal"/>
    <w:rsid w:val="00ED6500"/>
    <w:pPr>
      <w:jc w:val="center"/>
    </w:pPr>
    <w:rPr>
      <w:b/>
      <w:sz w:val="36"/>
      <w:szCs w:val="28"/>
    </w:rPr>
  </w:style>
  <w:style w:type="paragraph" w:customStyle="1" w:styleId="Contact">
    <w:name w:val="Contact"/>
    <w:basedOn w:val="Normal"/>
    <w:rsid w:val="0078159B"/>
    <w:pPr>
      <w:spacing w:before="60" w:after="120"/>
      <w:contextualSpacing/>
      <w:jc w:val="right"/>
    </w:pPr>
    <w:rPr>
      <w:b/>
      <w:sz w:val="16"/>
      <w:szCs w:val="16"/>
    </w:rPr>
  </w:style>
  <w:style w:type="paragraph" w:customStyle="1" w:styleId="Header1">
    <w:name w:val="Header 1"/>
    <w:basedOn w:val="Normal"/>
    <w:rsid w:val="00843B35"/>
    <w:pPr>
      <w:spacing w:after="0"/>
      <w:jc w:val="center"/>
    </w:pPr>
    <w:rPr>
      <w:b/>
      <w:smallCaps/>
      <w:sz w:val="44"/>
      <w:szCs w:val="44"/>
    </w:rPr>
  </w:style>
  <w:style w:type="paragraph" w:customStyle="1" w:styleId="Header2">
    <w:name w:val="Header 2"/>
    <w:basedOn w:val="Normal"/>
    <w:rsid w:val="00843B35"/>
    <w:pPr>
      <w:spacing w:after="960"/>
      <w:contextualSpacing/>
      <w:jc w:val="center"/>
    </w:pPr>
    <w:rPr>
      <w:b/>
      <w:sz w:val="28"/>
      <w:szCs w:val="28"/>
    </w:rPr>
  </w:style>
  <w:style w:type="paragraph" w:customStyle="1" w:styleId="ParliamentHouse">
    <w:name w:val="Parliament House"/>
    <w:basedOn w:val="Normal"/>
    <w:rsid w:val="000520EC"/>
    <w:pPr>
      <w:spacing w:before="60" w:after="0"/>
      <w:contextualSpacing/>
      <w:jc w:val="center"/>
    </w:pPr>
    <w:rPr>
      <w:sz w:val="16"/>
      <w:szCs w:val="16"/>
    </w:rPr>
  </w:style>
  <w:style w:type="paragraph" w:styleId="Salutation">
    <w:name w:val="Salutation"/>
    <w:basedOn w:val="Normal"/>
    <w:next w:val="Normal"/>
    <w:link w:val="SalutationChar"/>
    <w:rsid w:val="00B133CF"/>
    <w:pPr>
      <w:spacing w:before="480"/>
    </w:pPr>
  </w:style>
  <w:style w:type="paragraph" w:customStyle="1" w:styleId="Signaturename">
    <w:name w:val="Signature name"/>
    <w:basedOn w:val="Normal"/>
    <w:rsid w:val="00E5628D"/>
    <w:pPr>
      <w:spacing w:before="1440" w:after="0"/>
    </w:pPr>
  </w:style>
  <w:style w:type="paragraph" w:customStyle="1" w:styleId="SingleParagraph">
    <w:name w:val="Single Paragraph"/>
    <w:basedOn w:val="Normal"/>
    <w:rsid w:val="002A2DB5"/>
    <w:pPr>
      <w:spacing w:after="0"/>
    </w:pPr>
  </w:style>
  <w:style w:type="paragraph" w:customStyle="1" w:styleId="SmallName">
    <w:name w:val="Small Name"/>
    <w:basedOn w:val="Normal"/>
    <w:rsid w:val="002A2DB5"/>
    <w:pPr>
      <w:spacing w:after="0"/>
      <w:jc w:val="center"/>
    </w:pPr>
    <w:rPr>
      <w:b/>
      <w:sz w:val="32"/>
    </w:rPr>
  </w:style>
  <w:style w:type="paragraph" w:customStyle="1" w:styleId="URL">
    <w:name w:val="URL"/>
    <w:basedOn w:val="Normal"/>
    <w:rsid w:val="002A2DB5"/>
    <w:pPr>
      <w:spacing w:after="120"/>
      <w:jc w:val="right"/>
    </w:pPr>
    <w:rPr>
      <w:b/>
      <w:sz w:val="16"/>
      <w:szCs w:val="16"/>
    </w:rPr>
  </w:style>
  <w:style w:type="paragraph" w:styleId="Closing">
    <w:name w:val="Closing"/>
    <w:basedOn w:val="Normal"/>
    <w:rsid w:val="00E5628D"/>
    <w:pPr>
      <w:spacing w:before="840" w:after="0"/>
    </w:pPr>
  </w:style>
  <w:style w:type="paragraph" w:customStyle="1" w:styleId="PARLIAMENT">
    <w:name w:val="PARLIAMENT"/>
    <w:rsid w:val="006B330A"/>
    <w:pPr>
      <w:spacing w:after="240"/>
    </w:pPr>
    <w:rPr>
      <w:sz w:val="24"/>
    </w:rPr>
  </w:style>
  <w:style w:type="table" w:styleId="TableGrid">
    <w:name w:val="Table Grid"/>
    <w:basedOn w:val="TableNormal"/>
    <w:rsid w:val="002430B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reaFinalPara">
    <w:name w:val="AreaFinalPara"/>
    <w:basedOn w:val="Area"/>
    <w:next w:val="Normal"/>
    <w:qFormat/>
    <w:rsid w:val="000520EC"/>
    <w:pPr>
      <w:spacing w:after="1200"/>
    </w:pPr>
    <w:rPr>
      <w:b w:val="0"/>
      <w:caps/>
      <w:sz w:val="24"/>
    </w:rPr>
  </w:style>
  <w:style w:type="paragraph" w:styleId="BalloonText">
    <w:name w:val="Balloon Text"/>
    <w:basedOn w:val="Normal"/>
    <w:link w:val="BalloonTextChar"/>
    <w:rsid w:val="00EE5AC8"/>
    <w:pPr>
      <w:spacing w:after="0"/>
    </w:pPr>
    <w:rPr>
      <w:rFonts w:ascii="Tahoma" w:hAnsi="Tahoma" w:cs="Tahoma"/>
      <w:sz w:val="16"/>
      <w:szCs w:val="16"/>
    </w:rPr>
  </w:style>
  <w:style w:type="character" w:customStyle="1" w:styleId="BalloonTextChar">
    <w:name w:val="Balloon Text Char"/>
    <w:basedOn w:val="DefaultParagraphFont"/>
    <w:link w:val="BalloonText"/>
    <w:rsid w:val="00EE5AC8"/>
    <w:rPr>
      <w:rFonts w:ascii="Tahoma" w:hAnsi="Tahoma" w:cs="Tahoma"/>
      <w:sz w:val="16"/>
      <w:szCs w:val="16"/>
    </w:rPr>
  </w:style>
  <w:style w:type="character" w:customStyle="1" w:styleId="FooterChar">
    <w:name w:val="Footer Char"/>
    <w:basedOn w:val="DefaultParagraphFont"/>
    <w:link w:val="Footer"/>
    <w:rsid w:val="000520EC"/>
    <w:rPr>
      <w:rFonts w:ascii="Book Antiqua" w:hAnsi="Book Antiqua"/>
      <w:sz w:val="16"/>
      <w:szCs w:val="24"/>
    </w:rPr>
  </w:style>
  <w:style w:type="paragraph" w:customStyle="1" w:styleId="Enc">
    <w:name w:val="Enc"/>
    <w:basedOn w:val="Signaturename"/>
    <w:qFormat/>
    <w:rsid w:val="00D57D44"/>
    <w:pPr>
      <w:spacing w:before="240"/>
    </w:pPr>
  </w:style>
  <w:style w:type="paragraph" w:customStyle="1" w:styleId="Bullet">
    <w:name w:val="Bullet"/>
    <w:aliases w:val="Body,BodyNum,Bullet + line,Bullet Char1,Bullet Char1 Char Char Char,Bullet Char1 Char Char Char Char,Bullet Char1 Char Char Char Char Char,b,b + line,b1,b1 Char Char Char,bulleted,level 1,CG-Bullet"/>
    <w:basedOn w:val="Normal"/>
    <w:link w:val="BulletChar"/>
    <w:uiPriority w:val="99"/>
    <w:qFormat/>
    <w:rsid w:val="00EA67ED"/>
    <w:pPr>
      <w:numPr>
        <w:numId w:val="1"/>
      </w:numPr>
    </w:pPr>
    <w:rPr>
      <w:color w:val="FF0000"/>
    </w:rPr>
  </w:style>
  <w:style w:type="character" w:customStyle="1" w:styleId="BulletChar">
    <w:name w:val="Bullet Char"/>
    <w:aliases w:val="Body Char,Bullet + line Char,Bullets Char,L Char,List Paragraph Char,List Paragraph1 Char,List Paragraph11 Char,List Paragraph2 Char,Number Char,Recommendation Char,b + line Char,b + line Char Char,b Char,b Char Char,b1 Char,level 1 Char,L C"/>
    <w:basedOn w:val="DefaultParagraphFont"/>
    <w:link w:val="Bullet"/>
    <w:uiPriority w:val="99"/>
    <w:qFormat/>
    <w:rsid w:val="00EA67ED"/>
    <w:rPr>
      <w:rFonts w:ascii="Book Antiqua" w:hAnsi="Book Antiqua"/>
      <w:color w:val="FF0000"/>
      <w:sz w:val="22"/>
      <w:szCs w:val="24"/>
    </w:rPr>
  </w:style>
  <w:style w:type="paragraph" w:customStyle="1" w:styleId="Dash">
    <w:name w:val="Dash"/>
    <w:basedOn w:val="Normal"/>
    <w:link w:val="DashChar"/>
    <w:uiPriority w:val="99"/>
    <w:qFormat/>
    <w:rsid w:val="00EA67ED"/>
    <w:pPr>
      <w:numPr>
        <w:ilvl w:val="1"/>
        <w:numId w:val="1"/>
      </w:numPr>
    </w:pPr>
    <w:rPr>
      <w:color w:val="FF0000"/>
    </w:rPr>
  </w:style>
  <w:style w:type="paragraph" w:customStyle="1" w:styleId="DoubleDot">
    <w:name w:val="Double Dot"/>
    <w:basedOn w:val="Normal"/>
    <w:uiPriority w:val="99"/>
    <w:qFormat/>
    <w:rsid w:val="00EA67ED"/>
    <w:pPr>
      <w:numPr>
        <w:ilvl w:val="2"/>
        <w:numId w:val="1"/>
      </w:numPr>
    </w:pPr>
    <w:rPr>
      <w:color w:val="FF0000"/>
    </w:rPr>
  </w:style>
  <w:style w:type="character" w:styleId="Hyperlink">
    <w:name w:val="Hyperlink"/>
    <w:basedOn w:val="DefaultParagraphFont"/>
    <w:rsid w:val="00EA67ED"/>
    <w:rPr>
      <w:color w:val="0000FF" w:themeColor="hyperlink"/>
      <w:u w:val="single"/>
    </w:rPr>
  </w:style>
  <w:style w:type="character" w:styleId="CommentReference">
    <w:name w:val="annotation reference"/>
    <w:basedOn w:val="DefaultParagraphFont"/>
    <w:rsid w:val="00140ED2"/>
    <w:rPr>
      <w:sz w:val="16"/>
      <w:szCs w:val="16"/>
    </w:rPr>
  </w:style>
  <w:style w:type="paragraph" w:styleId="CommentText">
    <w:name w:val="annotation text"/>
    <w:basedOn w:val="Normal"/>
    <w:link w:val="CommentTextChar"/>
    <w:rsid w:val="00140ED2"/>
    <w:rPr>
      <w:sz w:val="20"/>
      <w:szCs w:val="20"/>
    </w:rPr>
  </w:style>
  <w:style w:type="character" w:customStyle="1" w:styleId="CommentTextChar">
    <w:name w:val="Comment Text Char"/>
    <w:basedOn w:val="DefaultParagraphFont"/>
    <w:link w:val="CommentText"/>
    <w:rsid w:val="00140ED2"/>
    <w:rPr>
      <w:rFonts w:ascii="Book Antiqua" w:hAnsi="Book Antiqua"/>
    </w:rPr>
  </w:style>
  <w:style w:type="paragraph" w:styleId="CommentSubject">
    <w:name w:val="annotation subject"/>
    <w:basedOn w:val="CommentText"/>
    <w:next w:val="CommentText"/>
    <w:link w:val="CommentSubjectChar"/>
    <w:rsid w:val="00140ED2"/>
    <w:rPr>
      <w:b/>
      <w:bCs/>
    </w:rPr>
  </w:style>
  <w:style w:type="character" w:customStyle="1" w:styleId="CommentSubjectChar">
    <w:name w:val="Comment Subject Char"/>
    <w:basedOn w:val="CommentTextChar"/>
    <w:link w:val="CommentSubject"/>
    <w:rsid w:val="00140ED2"/>
    <w:rPr>
      <w:rFonts w:ascii="Book Antiqua" w:hAnsi="Book Antiqua"/>
      <w:b/>
      <w:bCs/>
    </w:rPr>
  </w:style>
  <w:style w:type="character" w:styleId="PlaceholderText">
    <w:name w:val="Placeholder Text"/>
    <w:basedOn w:val="DefaultParagraphFont"/>
    <w:uiPriority w:val="99"/>
    <w:semiHidden/>
    <w:rsid w:val="002B5E6A"/>
    <w:rPr>
      <w:color w:val="808080"/>
    </w:rPr>
  </w:style>
  <w:style w:type="character" w:styleId="UnresolvedMention">
    <w:name w:val="Unresolved Mention"/>
    <w:basedOn w:val="DefaultParagraphFont"/>
    <w:uiPriority w:val="99"/>
    <w:semiHidden/>
    <w:unhideWhenUsed/>
    <w:rsid w:val="000519AC"/>
    <w:rPr>
      <w:color w:val="605E5C"/>
      <w:shd w:val="clear" w:color="auto" w:fill="E1DFDD"/>
    </w:rPr>
  </w:style>
  <w:style w:type="paragraph" w:customStyle="1" w:styleId="Default">
    <w:name w:val="Default"/>
    <w:rsid w:val="00C76251"/>
    <w:pPr>
      <w:autoSpaceDE w:val="0"/>
      <w:autoSpaceDN w:val="0"/>
      <w:adjustRightInd w:val="0"/>
    </w:pPr>
    <w:rPr>
      <w:rFonts w:ascii="Calibri" w:hAnsi="Calibri" w:cs="Calibri"/>
      <w:color w:val="000000"/>
      <w:sz w:val="24"/>
      <w:szCs w:val="24"/>
    </w:rPr>
  </w:style>
  <w:style w:type="paragraph" w:customStyle="1" w:styleId="MinisterName">
    <w:name w:val="Minister Name"/>
    <w:basedOn w:val="Normal"/>
    <w:qFormat/>
    <w:rsid w:val="00EE6668"/>
    <w:pPr>
      <w:spacing w:after="0"/>
      <w:jc w:val="center"/>
    </w:pPr>
    <w:rPr>
      <w:rFonts w:ascii="Garamond" w:hAnsi="Garamond"/>
      <w:b/>
      <w:caps/>
      <w:sz w:val="28"/>
      <w:szCs w:val="36"/>
    </w:rPr>
  </w:style>
  <w:style w:type="paragraph" w:customStyle="1" w:styleId="Ministertitle">
    <w:name w:val="Minister title"/>
    <w:basedOn w:val="Normal"/>
    <w:qFormat/>
    <w:rsid w:val="00EE6668"/>
    <w:pPr>
      <w:spacing w:after="360"/>
      <w:jc w:val="center"/>
    </w:pPr>
    <w:rPr>
      <w:rFonts w:ascii="Garamond" w:hAnsi="Garamond"/>
      <w:b/>
      <w:sz w:val="24"/>
      <w:szCs w:val="30"/>
    </w:rPr>
  </w:style>
  <w:style w:type="character" w:styleId="FollowedHyperlink">
    <w:name w:val="FollowedHyperlink"/>
    <w:basedOn w:val="DefaultParagraphFont"/>
    <w:uiPriority w:val="99"/>
    <w:semiHidden/>
    <w:unhideWhenUsed/>
    <w:rsid w:val="00E6132E"/>
    <w:rPr>
      <w:color w:val="954F72"/>
      <w:u w:val="single"/>
    </w:rPr>
  </w:style>
  <w:style w:type="character" w:customStyle="1" w:styleId="DashChar">
    <w:name w:val="Dash Char"/>
    <w:basedOn w:val="DefaultParagraphFont"/>
    <w:link w:val="Dash"/>
    <w:locked/>
    <w:rsid w:val="00E6132E"/>
    <w:rPr>
      <w:rFonts w:ascii="Book Antiqua" w:hAnsi="Book Antiqua"/>
      <w:color w:val="FF0000"/>
      <w:sz w:val="22"/>
      <w:szCs w:val="24"/>
    </w:rPr>
  </w:style>
  <w:style w:type="character" w:customStyle="1" w:styleId="SalutationChar">
    <w:name w:val="Salutation Char"/>
    <w:basedOn w:val="DefaultParagraphFont"/>
    <w:link w:val="Salutation"/>
    <w:rsid w:val="002038A9"/>
    <w:rPr>
      <w:rFonts w:ascii="Book Antiqua" w:hAnsi="Book Antiqua"/>
      <w:sz w:val="22"/>
      <w:szCs w:val="24"/>
    </w:rPr>
  </w:style>
  <w:style w:type="character" w:customStyle="1" w:styleId="Heading2Char">
    <w:name w:val="Heading 2 Char"/>
    <w:basedOn w:val="DefaultParagraphFont"/>
    <w:link w:val="Heading2"/>
    <w:rsid w:val="00732050"/>
    <w:rPr>
      <w:rFonts w:ascii="Book Antiqua" w:hAnsi="Book Antiqua"/>
      <w:b/>
      <w:caps/>
      <w:sz w:val="22"/>
      <w:szCs w:val="24"/>
    </w:rPr>
  </w:style>
  <w:style w:type="character" w:customStyle="1" w:styleId="normaltextrun">
    <w:name w:val="normaltextrun"/>
    <w:basedOn w:val="DefaultParagraphFont"/>
    <w:rsid w:val="00732050"/>
  </w:style>
  <w:style w:type="paragraph" w:customStyle="1" w:styleId="paragraph">
    <w:name w:val="paragraph"/>
    <w:basedOn w:val="Normal"/>
    <w:link w:val="paragraphChar"/>
    <w:rsid w:val="00732050"/>
    <w:pPr>
      <w:spacing w:before="120" w:beforeAutospacing="1" w:after="120" w:afterAutospacing="1" w:line="276" w:lineRule="auto"/>
    </w:pPr>
    <w:rPr>
      <w:rFonts w:ascii="Calibri" w:hAnsi="Calibri"/>
      <w:sz w:val="24"/>
    </w:rPr>
  </w:style>
  <w:style w:type="character" w:customStyle="1" w:styleId="paragraphChar">
    <w:name w:val="paragraph Char"/>
    <w:basedOn w:val="DefaultParagraphFont"/>
    <w:link w:val="paragraph"/>
    <w:rsid w:val="00732050"/>
    <w:rPr>
      <w:rFonts w:ascii="Calibri" w:hAnsi="Calibri"/>
      <w:sz w:val="24"/>
      <w:szCs w:val="24"/>
    </w:rPr>
  </w:style>
  <w:style w:type="paragraph" w:styleId="Revision">
    <w:name w:val="Revision"/>
    <w:hidden/>
    <w:uiPriority w:val="99"/>
    <w:semiHidden/>
    <w:rsid w:val="00443489"/>
    <w:rPr>
      <w:rFonts w:ascii="Book Antiqua" w:hAnsi="Book Antiqua"/>
      <w:sz w:val="22"/>
      <w:szCs w:val="24"/>
    </w:rPr>
  </w:style>
  <w:style w:type="paragraph" w:styleId="ListParagraph">
    <w:name w:val="List Paragraph"/>
    <w:basedOn w:val="Normal"/>
    <w:uiPriority w:val="34"/>
    <w:qFormat/>
    <w:rsid w:val="00CA3A7B"/>
    <w:pPr>
      <w:ind w:left="720"/>
      <w:contextualSpacing/>
    </w:pPr>
  </w:style>
  <w:style w:type="paragraph" w:styleId="BodyText">
    <w:name w:val="Body Text"/>
    <w:basedOn w:val="Normal"/>
    <w:link w:val="BodyTextChar"/>
    <w:uiPriority w:val="1"/>
    <w:qFormat/>
    <w:rsid w:val="005131B7"/>
    <w:pPr>
      <w:widowControl w:val="0"/>
      <w:spacing w:after="0"/>
      <w:ind w:left="100"/>
    </w:pPr>
    <w:rPr>
      <w:rFonts w:ascii="Times New Roman" w:hAnsi="Times New Roman" w:cstheme="minorBidi"/>
      <w:sz w:val="24"/>
      <w:lang w:val="en-US" w:eastAsia="en-US"/>
    </w:rPr>
  </w:style>
  <w:style w:type="character" w:customStyle="1" w:styleId="BodyTextChar">
    <w:name w:val="Body Text Char"/>
    <w:basedOn w:val="DefaultParagraphFont"/>
    <w:link w:val="BodyText"/>
    <w:uiPriority w:val="1"/>
    <w:rsid w:val="005131B7"/>
    <w:rPr>
      <w:rFonts w:cstheme="minorBid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1397</Words>
  <Characters>8540</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Statement of Expectations for Housing Australia</vt:lpstr>
    </vt:vector>
  </TitlesOfParts>
  <Company/>
  <LinksUpToDate>false</LinksUpToDate>
  <CharactersWithSpaces>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Expectations for Housing Australia</dc:title>
  <dc:subject/>
  <dc:creator>Treasury</dc:creator>
  <cp:keywords/>
  <cp:lastModifiedBy/>
  <cp:revision>1</cp:revision>
  <dcterms:created xsi:type="dcterms:W3CDTF">2025-09-10T07:31:00Z</dcterms:created>
  <dcterms:modified xsi:type="dcterms:W3CDTF">2025-09-10T07:37:00Z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2025-09-10T07:32:01Z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22c2c04b-b693-4451-829b-3238d0e74f09</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