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04F7" w14:textId="77777777" w:rsidR="00E11E4F" w:rsidRDefault="00E11E4F" w:rsidP="00E11E4F">
      <w:pPr>
        <w:pStyle w:val="Heading2"/>
      </w:pPr>
      <w:bookmarkStart w:id="0" w:name="_Hlk202442593"/>
      <w:r>
        <w:t xml:space="preserve">Terms </w:t>
      </w:r>
      <w:bookmarkStart w:id="1" w:name="_Hlk202442587"/>
      <w:r>
        <w:t xml:space="preserve">of reference </w:t>
      </w:r>
      <w:bookmarkEnd w:id="1"/>
    </w:p>
    <w:bookmarkEnd w:id="0"/>
    <w:p w14:paraId="6AAF4C52" w14:textId="77777777" w:rsidR="00E11E4F" w:rsidRPr="00C04193" w:rsidRDefault="00E11E4F" w:rsidP="00E11E4F">
      <w:pPr>
        <w:pStyle w:val="Bullet"/>
        <w:numPr>
          <w:ilvl w:val="0"/>
          <w:numId w:val="0"/>
        </w:numPr>
        <w:ind w:left="520" w:hanging="520"/>
        <w:rPr>
          <w:szCs w:val="22"/>
        </w:rPr>
      </w:pPr>
      <w:r w:rsidRPr="00C04193">
        <w:rPr>
          <w:szCs w:val="22"/>
        </w:rPr>
        <w:t>The review of the Act will consider:</w:t>
      </w:r>
    </w:p>
    <w:p w14:paraId="620FE8C3" w14:textId="77777777" w:rsidR="00E11E4F" w:rsidRPr="00C04193" w:rsidRDefault="00E11E4F" w:rsidP="00E11E4F">
      <w:pPr>
        <w:pStyle w:val="Bullet"/>
        <w:rPr>
          <w:szCs w:val="22"/>
        </w:rPr>
      </w:pPr>
      <w:r w:rsidRPr="00C04193">
        <w:rPr>
          <w:szCs w:val="22"/>
        </w:rPr>
        <w:t xml:space="preserve">whether there is a need for the terrorism reinsurance pool to continue </w:t>
      </w:r>
    </w:p>
    <w:p w14:paraId="17616E2A" w14:textId="689C253E" w:rsidR="00E11E4F" w:rsidRPr="00C04193" w:rsidRDefault="00E11E4F" w:rsidP="00E11E4F">
      <w:pPr>
        <w:pStyle w:val="Bullet"/>
        <w:rPr>
          <w:szCs w:val="22"/>
        </w:rPr>
      </w:pPr>
      <w:r w:rsidRPr="00C04193">
        <w:rPr>
          <w:szCs w:val="22"/>
        </w:rPr>
        <w:t>whether the cyclone reinsurance pool is meeting its purpose of improving insurance access and affordability for households</w:t>
      </w:r>
      <w:r>
        <w:rPr>
          <w:szCs w:val="22"/>
        </w:rPr>
        <w:t xml:space="preserve">, small businesses, and residential and commercial strata with medium </w:t>
      </w:r>
      <w:r w:rsidR="00E43F81">
        <w:rPr>
          <w:szCs w:val="22"/>
        </w:rPr>
        <w:t>to</w:t>
      </w:r>
      <w:r>
        <w:rPr>
          <w:szCs w:val="22"/>
        </w:rPr>
        <w:t xml:space="preserve"> high cyclone and related flood damage risk</w:t>
      </w:r>
    </w:p>
    <w:p w14:paraId="0FCBF543" w14:textId="77777777" w:rsidR="00E11E4F" w:rsidRPr="00C04193" w:rsidRDefault="00E11E4F" w:rsidP="00E11E4F">
      <w:pPr>
        <w:pStyle w:val="Bullet"/>
        <w:rPr>
          <w:szCs w:val="22"/>
        </w:rPr>
      </w:pPr>
      <w:r w:rsidRPr="00C04193">
        <w:rPr>
          <w:szCs w:val="22"/>
        </w:rPr>
        <w:t xml:space="preserve">whether the cyclone reinsurance pool is maintaining incentives to reduce and mitigate the risk of eligible cyclone losses </w:t>
      </w:r>
    </w:p>
    <w:p w14:paraId="1E8CC111" w14:textId="77777777" w:rsidR="00E11E4F" w:rsidRPr="00C04193" w:rsidRDefault="00E11E4F" w:rsidP="00E11E4F">
      <w:pPr>
        <w:pStyle w:val="Bullet"/>
        <w:rPr>
          <w:szCs w:val="22"/>
        </w:rPr>
      </w:pPr>
      <w:r w:rsidRPr="00C04193">
        <w:rPr>
          <w:szCs w:val="22"/>
        </w:rPr>
        <w:t xml:space="preserve">whether the governance, administration and resourcing of both reinsurance pools remain appropriate including, but not limited to, the level of payments to the Australian Government for fees for the </w:t>
      </w:r>
      <w:r>
        <w:rPr>
          <w:szCs w:val="22"/>
        </w:rPr>
        <w:t>Commonwealth</w:t>
      </w:r>
      <w:r w:rsidRPr="00C04193">
        <w:rPr>
          <w:szCs w:val="22"/>
        </w:rPr>
        <w:t xml:space="preserve"> guarantee and dividends</w:t>
      </w:r>
    </w:p>
    <w:p w14:paraId="756A4508" w14:textId="63A3D18C" w:rsidR="00A349BB" w:rsidRPr="00E11E4F" w:rsidRDefault="00E11E4F" w:rsidP="00E11E4F">
      <w:pPr>
        <w:pStyle w:val="Bullet"/>
        <w:rPr>
          <w:szCs w:val="22"/>
        </w:rPr>
      </w:pPr>
      <w:r w:rsidRPr="00C04193">
        <w:rPr>
          <w:szCs w:val="22"/>
        </w:rPr>
        <w:t>with regard to the findings of the above and any other issues raised, whether there is a need for the Act to continue in operation</w:t>
      </w:r>
      <w:r w:rsidR="003D1D6C">
        <w:rPr>
          <w:szCs w:val="22"/>
        </w:rPr>
        <w:t>.</w:t>
      </w:r>
    </w:p>
    <w:sectPr w:rsidR="00A349BB" w:rsidRPr="00E11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7A77" w14:textId="77777777" w:rsidR="00F57944" w:rsidRDefault="00F57944" w:rsidP="00A349BB">
      <w:pPr>
        <w:spacing w:after="0"/>
      </w:pPr>
      <w:r>
        <w:separator/>
      </w:r>
    </w:p>
  </w:endnote>
  <w:endnote w:type="continuationSeparator" w:id="0">
    <w:p w14:paraId="31285B94" w14:textId="77777777" w:rsidR="00F57944" w:rsidRDefault="00F57944" w:rsidP="00A349BB">
      <w:pPr>
        <w:spacing w:after="0"/>
      </w:pPr>
      <w:r>
        <w:continuationSeparator/>
      </w:r>
    </w:p>
  </w:endnote>
  <w:endnote w:type="continuationNotice" w:id="1">
    <w:p w14:paraId="71367BF4" w14:textId="77777777" w:rsidR="00F57944" w:rsidRDefault="00F5794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9086" w14:textId="6129FEF2" w:rsidR="00A349BB" w:rsidRDefault="00A349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32662B5" wp14:editId="3E515A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9085423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29389" w14:textId="58A29F3F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662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19C29389" w14:textId="58A29F3F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5FEA" w14:textId="68015109" w:rsidR="00A349BB" w:rsidRDefault="00A349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8EC294" wp14:editId="1B017926">
              <wp:simplePos x="914400" y="10070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8317546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0596B" w14:textId="36B3474C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EC2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340596B" w14:textId="36B3474C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60C2" w14:textId="7650F598" w:rsidR="00A349BB" w:rsidRDefault="00A349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AEAD084" wp14:editId="23346C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132789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3C57F" w14:textId="434C8F00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D0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CD3C57F" w14:textId="434C8F00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1121" w14:textId="77777777" w:rsidR="00F57944" w:rsidRDefault="00F57944" w:rsidP="00A349BB">
      <w:pPr>
        <w:spacing w:after="0"/>
      </w:pPr>
      <w:r>
        <w:separator/>
      </w:r>
    </w:p>
  </w:footnote>
  <w:footnote w:type="continuationSeparator" w:id="0">
    <w:p w14:paraId="58C579FF" w14:textId="77777777" w:rsidR="00F57944" w:rsidRDefault="00F57944" w:rsidP="00A349BB">
      <w:pPr>
        <w:spacing w:after="0"/>
      </w:pPr>
      <w:r>
        <w:continuationSeparator/>
      </w:r>
    </w:p>
  </w:footnote>
  <w:footnote w:type="continuationNotice" w:id="1">
    <w:p w14:paraId="5763F45C" w14:textId="77777777" w:rsidR="00F57944" w:rsidRDefault="00F5794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2C63" w14:textId="7EEF75FC" w:rsidR="00A349BB" w:rsidRDefault="00A349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8E3F34" wp14:editId="15A8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44016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1CE3C" w14:textId="15F1BE59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E3F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7221CE3C" w14:textId="15F1BE59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9592" w14:textId="200D8C83" w:rsidR="00A349BB" w:rsidRDefault="00A349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2D44F30" wp14:editId="798DEC3D">
              <wp:simplePos x="914400" y="44846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509986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06A71" w14:textId="3A8066EA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44F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5806A71" w14:textId="3A8066EA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4E005" w14:textId="37B35930" w:rsidR="00A349BB" w:rsidRDefault="00A349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7160CC" wp14:editId="70832E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7094131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A659" w14:textId="61AFA701" w:rsidR="00A349BB" w:rsidRPr="00A349BB" w:rsidRDefault="00A349BB" w:rsidP="00A349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49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16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7F39A659" w14:textId="61AFA701" w:rsidR="00A349BB" w:rsidRPr="00A349BB" w:rsidRDefault="00A349BB" w:rsidP="00A349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49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39D9"/>
    <w:multiLevelType w:val="multilevel"/>
    <w:tmpl w:val="F02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3B43C7"/>
    <w:multiLevelType w:val="multilevel"/>
    <w:tmpl w:val="DCD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CA0230"/>
    <w:multiLevelType w:val="multilevel"/>
    <w:tmpl w:val="327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2D673E"/>
    <w:multiLevelType w:val="multilevel"/>
    <w:tmpl w:val="2AE8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7469C7"/>
    <w:multiLevelType w:val="multilevel"/>
    <w:tmpl w:val="860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6B5224"/>
    <w:multiLevelType w:val="multilevel"/>
    <w:tmpl w:val="57000EF8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6131528">
    <w:abstractNumId w:val="1"/>
  </w:num>
  <w:num w:numId="2" w16cid:durableId="551230787">
    <w:abstractNumId w:val="0"/>
  </w:num>
  <w:num w:numId="3" w16cid:durableId="1231846482">
    <w:abstractNumId w:val="3"/>
  </w:num>
  <w:num w:numId="4" w16cid:durableId="788670657">
    <w:abstractNumId w:val="4"/>
  </w:num>
  <w:num w:numId="5" w16cid:durableId="1976636326">
    <w:abstractNumId w:val="2"/>
  </w:num>
  <w:num w:numId="6" w16cid:durableId="200030280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263530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4B"/>
    <w:rsid w:val="000006D4"/>
    <w:rsid w:val="0012694D"/>
    <w:rsid w:val="001C4E51"/>
    <w:rsid w:val="00230F90"/>
    <w:rsid w:val="00245FB4"/>
    <w:rsid w:val="00272F4B"/>
    <w:rsid w:val="0030506B"/>
    <w:rsid w:val="00305370"/>
    <w:rsid w:val="003D1D6C"/>
    <w:rsid w:val="004D745C"/>
    <w:rsid w:val="00674498"/>
    <w:rsid w:val="00746942"/>
    <w:rsid w:val="007C4C52"/>
    <w:rsid w:val="008A23F1"/>
    <w:rsid w:val="00A10A14"/>
    <w:rsid w:val="00A349BB"/>
    <w:rsid w:val="00B64250"/>
    <w:rsid w:val="00BB449F"/>
    <w:rsid w:val="00C11A45"/>
    <w:rsid w:val="00D062E2"/>
    <w:rsid w:val="00D40547"/>
    <w:rsid w:val="00E11E4F"/>
    <w:rsid w:val="00E43F81"/>
    <w:rsid w:val="00E504B1"/>
    <w:rsid w:val="00F22AF8"/>
    <w:rsid w:val="00F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20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4F"/>
    <w:pPr>
      <w:spacing w:before="120" w:after="120" w:line="240" w:lineRule="auto"/>
    </w:pPr>
    <w:rPr>
      <w:rFonts w:ascii="Calibri Light" w:eastAsia="Times New Roman" w:hAnsi="Calibri Light" w:cs="Times New Roman"/>
      <w:kern w:val="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F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72F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F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F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F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F4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F4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F4B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F4B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7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F4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F4B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F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2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F4B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2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F4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72F4B"/>
  </w:style>
  <w:style w:type="character" w:customStyle="1" w:styleId="eop">
    <w:name w:val="eop"/>
    <w:basedOn w:val="DefaultParagraphFont"/>
    <w:rsid w:val="00272F4B"/>
  </w:style>
  <w:style w:type="paragraph" w:customStyle="1" w:styleId="Bullet">
    <w:name w:val="Bullet"/>
    <w:basedOn w:val="Normal"/>
    <w:link w:val="BulletChar"/>
    <w:qFormat/>
    <w:rsid w:val="00272F4B"/>
    <w:pPr>
      <w:numPr>
        <w:numId w:val="6"/>
      </w:numPr>
      <w:spacing w:after="0" w:line="276" w:lineRule="auto"/>
    </w:pPr>
  </w:style>
  <w:style w:type="character" w:customStyle="1" w:styleId="BulletChar">
    <w:name w:val="Bullet Char"/>
    <w:basedOn w:val="DefaultParagraphFont"/>
    <w:link w:val="Bullet"/>
    <w:locked/>
    <w:rsid w:val="00272F4B"/>
    <w:rPr>
      <w:rFonts w:ascii="Calibri Light" w:eastAsia="Times New Roman" w:hAnsi="Calibri Light" w:cs="Times New Roman"/>
      <w:kern w:val="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A34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49BB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349BB"/>
  </w:style>
  <w:style w:type="paragraph" w:styleId="Footer">
    <w:name w:val="footer"/>
    <w:basedOn w:val="Normal"/>
    <w:link w:val="FooterChar"/>
    <w:uiPriority w:val="99"/>
    <w:unhideWhenUsed/>
    <w:rsid w:val="00A349BB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349BB"/>
  </w:style>
  <w:style w:type="character" w:styleId="CommentReference">
    <w:name w:val="annotation reference"/>
    <w:basedOn w:val="DefaultParagraphFont"/>
    <w:uiPriority w:val="99"/>
    <w:semiHidden/>
    <w:unhideWhenUsed/>
    <w:rsid w:val="00D0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2E2"/>
    <w:pPr>
      <w:spacing w:before="0" w:after="160"/>
    </w:pPr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reference: 2025 review of the Terrorism and Cyclone Insurance Act 2003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reference: 2025 review of the Terrorism and Cyclone Insurance Act 2003</dc:title>
  <dc:subject/>
  <dc:creator>Treasury</dc:creator>
  <cp:keywords/>
  <dc:description/>
  <cp:lastModifiedBy/>
  <cp:revision>1</cp:revision>
  <dcterms:created xsi:type="dcterms:W3CDTF">2025-09-04T22:29:00Z</dcterms:created>
  <dcterms:modified xsi:type="dcterms:W3CDTF">2025-09-04T23:26:00Z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2025-09-04T23:26:44Z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bc38cc91-1ca5-4471-9af4-2fe63d76864e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