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H1.png" ContentType="image/.png"/>
</Types>
</file>

<file path=_rels/.rels><?xml version="1.0" encoding="UTF-8" standalone="yes"?>
<Relationships xmlns="http://schemas.openxmlformats.org/package/2006/relationships"><Relationship Id="Ra05fd3ee58514e57"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eastAsia="Times New Roman" w:hAnsi="Calibri Light" w:cs="Times New Roman"/>
          <w:b w:val="0"/>
          <w:noProof w:val="0"/>
          <w:color w:val="auto"/>
          <w:spacing w:val="0"/>
          <w:kern w:val="0"/>
          <w:sz w:val="22"/>
          <w:szCs w:val="20"/>
        </w:rPr>
        <w:id w:val="-1442289537"/>
        <w:docPartObj>
          <w:docPartGallery w:val="Cover Pages"/>
          <w:docPartUnique/>
        </w:docPartObj>
      </w:sdtPr>
      <w:sdtEndPr/>
      <w:sdtContent>
        <w:p w14:paraId="147123FC" w14:textId="058D21E2" w:rsidR="00A97160" w:rsidRPr="00942B84" w:rsidRDefault="00670928" w:rsidP="00942B84">
          <w:pPr>
            <w:pStyle w:val="Title"/>
          </w:pPr>
          <w:r w:rsidRPr="00942B84">
            <w:drawing>
              <wp:anchor distT="0" distB="0" distL="114300" distR="114300" simplePos="0" relativeHeight="251659264" behindDoc="1" locked="0" layoutInCell="1" allowOverlap="1" wp14:anchorId="12598B82" wp14:editId="3CFBB44F">
                <wp:simplePos x="0" y="0"/>
                <wp:positionH relativeFrom="margin">
                  <wp:posOffset>-904240</wp:posOffset>
                </wp:positionH>
                <wp:positionV relativeFrom="page">
                  <wp:posOffset>-8890</wp:posOffset>
                </wp:positionV>
                <wp:extent cx="7570799" cy="107090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B84" w:rsidRPr="00942B84">
            <w:t>Economic Reform Roundtable</w:t>
          </w:r>
        </w:p>
        <w:p w14:paraId="537E28B4" w14:textId="3493E25A" w:rsidR="00A97160" w:rsidRPr="007E0796" w:rsidRDefault="00C23CA2" w:rsidP="007E0796">
          <w:pPr>
            <w:pStyle w:val="Subtitle"/>
          </w:pPr>
          <w:r>
            <w:t>Productivity</w:t>
          </w:r>
        </w:p>
        <w:p w14:paraId="29EC5709" w14:textId="141116B4" w:rsidR="00A97160" w:rsidRPr="00942B84" w:rsidRDefault="00A97160" w:rsidP="00942B84">
          <w:pPr>
            <w:pStyle w:val="ReportDate"/>
          </w:pPr>
        </w:p>
        <w:p w14:paraId="552D85C1" w14:textId="77777777" w:rsidR="00A97160" w:rsidRDefault="00A97160">
          <w:pPr>
            <w:spacing w:before="0" w:after="160" w:line="259" w:lineRule="auto"/>
          </w:pPr>
          <w:r>
            <w:br w:type="page"/>
          </w:r>
        </w:p>
      </w:sdtContent>
    </w:sdt>
    <w:p w14:paraId="5FA46500" w14:textId="48F6496A" w:rsidR="000E0B74" w:rsidRDefault="000E0B74" w:rsidP="005877AC">
      <w:pPr>
        <w:spacing w:before="0" w:after="160" w:line="259" w:lineRule="auto"/>
      </w:pPr>
      <w:r w:rsidRPr="00661BF0">
        <w:lastRenderedPageBreak/>
        <w:t xml:space="preserve">© Commonwealth of Australia </w:t>
      </w:r>
      <w:r w:rsidR="00D42477">
        <w:t>2025</w:t>
      </w:r>
    </w:p>
    <w:p w14:paraId="40C39B40" w14:textId="46CDD0BC" w:rsidR="006469CC" w:rsidRPr="00444CDB" w:rsidRDefault="006469CC" w:rsidP="005877AC">
      <w:pPr>
        <w:spacing w:before="0" w:after="160" w:line="259" w:lineRule="auto"/>
        <w:rPr>
          <w:noProof/>
        </w:rPr>
      </w:pPr>
      <w:r>
        <w:t xml:space="preserve">ISBN: </w:t>
      </w:r>
      <w:r w:rsidR="002A3BBE" w:rsidRPr="002A3BBE">
        <w:t>978</w:t>
      </w:r>
      <w:r w:rsidR="00C6244C">
        <w:noBreakHyphen/>
      </w:r>
      <w:r w:rsidR="002A3BBE" w:rsidRPr="002A3BBE">
        <w:t>1</w:t>
      </w:r>
      <w:r w:rsidR="00C6244C">
        <w:noBreakHyphen/>
      </w:r>
      <w:r w:rsidR="002A3BBE" w:rsidRPr="002A3BBE">
        <w:t>923278</w:t>
      </w:r>
      <w:r w:rsidR="00C6244C">
        <w:noBreakHyphen/>
      </w:r>
      <w:r w:rsidR="002A3BBE" w:rsidRPr="002A3BBE">
        <w:t>24</w:t>
      </w:r>
      <w:r w:rsidR="00C6244C">
        <w:noBreakHyphen/>
      </w:r>
      <w:r w:rsidR="002A3BBE" w:rsidRPr="002A3BBE">
        <w:t>0</w:t>
      </w:r>
    </w:p>
    <w:p w14:paraId="2B27AF75" w14:textId="27B93F65"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00444CDB">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logo</w:t>
      </w:r>
      <w:r w:rsidR="000D62DC">
        <w:t>s</w:t>
      </w:r>
      <w:r>
        <w:t xml:space="preserve">, photographs, images, </w:t>
      </w:r>
      <w:r w:rsidR="00444CDB" w:rsidRPr="004F5ACF">
        <w:t>third party materials, materials protected by a trademark,</w:t>
      </w:r>
      <w:r w:rsidR="00444CDB">
        <w:t xml:space="preserve"> </w:t>
      </w:r>
      <w:r>
        <w:t xml:space="preserve">signatures </w:t>
      </w:r>
      <w:r w:rsidRPr="002F1BC2">
        <w:t>and where otherwise stated</w:t>
      </w:r>
      <w:r w:rsidR="00444CDB">
        <w:t xml:space="preserve">. </w:t>
      </w:r>
      <w:r w:rsidRPr="002F1BC2">
        <w:t>The full licence terms are available from</w:t>
      </w:r>
      <w:r w:rsidRPr="00476F09">
        <w:rPr>
          <w:rFonts w:cstheme="minorHAnsi"/>
          <w:sz w:val="24"/>
          <w:szCs w:val="24"/>
        </w:rPr>
        <w:t xml:space="preserve"> </w:t>
      </w:r>
      <w:hyperlink r:id="rId9" w:history="1">
        <w:r w:rsidR="00444CDB">
          <w:rPr>
            <w:rStyle w:val="Hyperlink"/>
          </w:rPr>
          <w:t>creativecommons.org/licenses/by/4.0/legalcode</w:t>
        </w:r>
      </w:hyperlink>
      <w:r w:rsidRPr="00444CDB">
        <w:t>.</w:t>
      </w:r>
      <w:r w:rsidRPr="00D06A21">
        <w:rPr>
          <w:sz w:val="24"/>
          <w:szCs w:val="24"/>
        </w:rPr>
        <w:t xml:space="preserve"> </w:t>
      </w:r>
    </w:p>
    <w:p w14:paraId="2C82E0BD" w14:textId="77777777" w:rsidR="000E0B74" w:rsidRDefault="000E0B74" w:rsidP="000E0B74">
      <w:pPr>
        <w:pStyle w:val="ChartGraphic"/>
        <w:jc w:val="left"/>
      </w:pPr>
      <w:r w:rsidRPr="00E56DFB">
        <w:rPr>
          <w:noProof/>
        </w:rPr>
        <w:drawing>
          <wp:inline distT="0" distB="0" distL="0" distR="0" wp14:anchorId="2874F509" wp14:editId="29E9176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3F48635" w14:textId="6A6B0624" w:rsidR="000E0B74" w:rsidRPr="006627B4" w:rsidRDefault="000E0B74" w:rsidP="000E0B74">
      <w:pPr>
        <w:tabs>
          <w:tab w:val="left" w:pos="1650"/>
        </w:tabs>
        <w:spacing w:before="240"/>
      </w:pPr>
      <w:r w:rsidRPr="006627B4">
        <w:t xml:space="preserve">Use of </w:t>
      </w:r>
      <w:r w:rsidR="00B6603F" w:rsidRPr="00B6603F">
        <w:t>Australian Government</w:t>
      </w:r>
      <w:r w:rsidRPr="006627B4">
        <w:t xml:space="preserve"> material under a</w:t>
      </w:r>
      <w:r w:rsidRPr="00476F09">
        <w:rPr>
          <w:rFonts w:cstheme="minorHAnsi"/>
          <w:sz w:val="24"/>
          <w:szCs w:val="24"/>
        </w:rPr>
        <w:t xml:space="preserve"> </w:t>
      </w:r>
      <w:hyperlink r:id="rId11" w:history="1">
        <w:r w:rsidR="00444CDB">
          <w:rPr>
            <w:rStyle w:val="Hyperlink"/>
          </w:rPr>
          <w:t>Creative Commons Attribution 4.0 International</w:t>
        </w:r>
      </w:hyperlink>
      <w:r w:rsidR="00A155F0">
        <w:t xml:space="preserve"> l</w:t>
      </w:r>
      <w:r w:rsidRPr="006627B4">
        <w:t xml:space="preserve">icence requires you to attribute the work (but not in any way that suggests that the </w:t>
      </w:r>
      <w:r w:rsidR="00B6603F" w:rsidRPr="00B6603F">
        <w:t>Australian Government</w:t>
      </w:r>
      <w:r w:rsidRPr="006627B4">
        <w:t xml:space="preserve"> endorse</w:t>
      </w:r>
      <w:r>
        <w:t>s you or your use of the work).</w:t>
      </w:r>
    </w:p>
    <w:p w14:paraId="46CD6709" w14:textId="78E1997F" w:rsidR="000E0B74" w:rsidRPr="00444CDB" w:rsidRDefault="00B6603F" w:rsidP="006469CC">
      <w:pPr>
        <w:spacing w:before="240"/>
        <w:rPr>
          <w:rStyle w:val="Strong"/>
        </w:rPr>
      </w:pPr>
      <w:r w:rsidRPr="00B6603F">
        <w:rPr>
          <w:rStyle w:val="Strong"/>
        </w:rPr>
        <w:t>Australian Government</w:t>
      </w:r>
      <w:r w:rsidR="000E0B74" w:rsidRPr="00444CDB">
        <w:rPr>
          <w:rStyle w:val="Strong"/>
        </w:rPr>
        <w:t xml:space="preserve"> material used </w:t>
      </w:r>
      <w:r w:rsidR="00C6244C">
        <w:rPr>
          <w:rStyle w:val="Strong"/>
        </w:rPr>
        <w:t>‘</w:t>
      </w:r>
      <w:r w:rsidR="000E0B74" w:rsidRPr="00444CDB">
        <w:rPr>
          <w:rStyle w:val="Strong"/>
        </w:rPr>
        <w:t>as supplied</w:t>
      </w:r>
      <w:r w:rsidR="00C6244C">
        <w:rPr>
          <w:rStyle w:val="Strong"/>
        </w:rPr>
        <w:t>’</w:t>
      </w:r>
    </w:p>
    <w:p w14:paraId="50F69E8F" w14:textId="2661F62B" w:rsidR="000E0B74" w:rsidRPr="00476F09" w:rsidRDefault="000E0B74" w:rsidP="00386297">
      <w:r w:rsidRPr="00476F09">
        <w:t xml:space="preserve">Provided you have not modified or transformed </w:t>
      </w:r>
      <w:r w:rsidR="004E15FD" w:rsidRPr="004E15FD">
        <w:t>Australian Government</w:t>
      </w:r>
      <w:r w:rsidRPr="00476F09">
        <w:t xml:space="preserve"> material in any way including, for example, by</w:t>
      </w:r>
      <w:r>
        <w:t xml:space="preserve"> </w:t>
      </w:r>
      <w:r w:rsidRPr="0096692D">
        <w:t xml:space="preserve">changing the </w:t>
      </w:r>
      <w:r w:rsidR="000D62DC" w:rsidRPr="00B6603F">
        <w:t>Australian Government</w:t>
      </w:r>
      <w:r w:rsidRPr="0096692D">
        <w:t xml:space="preserve"> text; calculating percentage changes; graphing or charting data</w:t>
      </w:r>
      <w:r>
        <w:t>;</w:t>
      </w:r>
      <w:r w:rsidRPr="0096692D">
        <w:t xml:space="preserve"> or deriving new statistics from published </w:t>
      </w:r>
      <w:r w:rsidR="000D62DC" w:rsidRPr="00B6603F">
        <w:t>Australian Government</w:t>
      </w:r>
      <w:r w:rsidRPr="0096692D">
        <w:t xml:space="preserve"> statistics</w:t>
      </w:r>
      <w:r>
        <w:t xml:space="preserve"> </w:t>
      </w:r>
      <w:r w:rsidR="00444CDB">
        <w:rPr>
          <w:rFonts w:cs="Calibri Light"/>
        </w:rPr>
        <w:t>–</w:t>
      </w:r>
      <w:r>
        <w:t xml:space="preserve"> then </w:t>
      </w:r>
      <w:r w:rsidR="000D62DC" w:rsidRPr="00B6603F">
        <w:t>Australian Government</w:t>
      </w:r>
      <w:r>
        <w:t xml:space="preserve"> prefers t</w:t>
      </w:r>
      <w:r w:rsidRPr="00476F09">
        <w:t xml:space="preserve">he following attribution: </w:t>
      </w:r>
    </w:p>
    <w:p w14:paraId="202DA912" w14:textId="77777777" w:rsidR="00444CDB" w:rsidRPr="00A13A11" w:rsidRDefault="00444CDB" w:rsidP="00444CDB">
      <w:pPr>
        <w:ind w:firstLine="720"/>
      </w:pPr>
      <w:r w:rsidRPr="00E17231">
        <w:rPr>
          <w:iCs/>
        </w:rPr>
        <w:t>Source:</w:t>
      </w:r>
      <w:r w:rsidRPr="002F1BC2">
        <w:rPr>
          <w:i/>
        </w:rPr>
        <w:t xml:space="preserve"> </w:t>
      </w:r>
      <w:r w:rsidRPr="00AC2B70">
        <w:rPr>
          <w:rStyle w:val="Emphasis"/>
        </w:rPr>
        <w:t>The Commonwealth of Australia.</w:t>
      </w:r>
    </w:p>
    <w:p w14:paraId="12BBD835" w14:textId="77777777" w:rsidR="000E0B74" w:rsidRPr="00444CDB" w:rsidRDefault="000E0B74" w:rsidP="000E0B74">
      <w:pPr>
        <w:spacing w:before="240"/>
        <w:rPr>
          <w:rStyle w:val="Strong"/>
        </w:rPr>
      </w:pPr>
      <w:r w:rsidRPr="00444CDB">
        <w:rPr>
          <w:rStyle w:val="Strong"/>
        </w:rPr>
        <w:t>Derivative material</w:t>
      </w:r>
    </w:p>
    <w:p w14:paraId="4B62135D" w14:textId="0BE43868" w:rsidR="000E0B74" w:rsidRPr="006627B4" w:rsidRDefault="000E0B74" w:rsidP="000E0B74">
      <w:r w:rsidRPr="006627B4">
        <w:t xml:space="preserve">If you have modified or transformed </w:t>
      </w:r>
      <w:r w:rsidR="000D62DC" w:rsidRPr="00B6603F">
        <w:t>Australian Government</w:t>
      </w:r>
      <w:r w:rsidRPr="006627B4">
        <w:t xml:space="preserve"> material, or derived new material from those of the </w:t>
      </w:r>
      <w:r w:rsidR="00B6603F" w:rsidRPr="00B6603F">
        <w:t>Australian Government</w:t>
      </w:r>
      <w:r w:rsidRPr="006627B4">
        <w:t xml:space="preserve"> in any way, then </w:t>
      </w:r>
      <w:r w:rsidR="00B6603F" w:rsidRPr="00B6603F">
        <w:t>Australian Government</w:t>
      </w:r>
      <w:r w:rsidRPr="006627B4">
        <w:t xml:space="preserve"> prefers the following attribution: </w:t>
      </w:r>
    </w:p>
    <w:p w14:paraId="0C8DB3C6" w14:textId="77777777" w:rsidR="00444CDB" w:rsidRPr="00AC2B70" w:rsidRDefault="00444CDB" w:rsidP="00444CD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336765E" w14:textId="77777777" w:rsidR="000E0B74" w:rsidRPr="00444CDB" w:rsidRDefault="000E0B74" w:rsidP="000E0B74">
      <w:pPr>
        <w:spacing w:before="240"/>
        <w:rPr>
          <w:rStyle w:val="Strong"/>
        </w:rPr>
      </w:pPr>
      <w:r w:rsidRPr="00444CDB">
        <w:rPr>
          <w:rStyle w:val="Strong"/>
        </w:rPr>
        <w:t>Use of the Coat of Arms</w:t>
      </w:r>
    </w:p>
    <w:p w14:paraId="4B67B9E8" w14:textId="0F4A36FD"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444CDB">
          <w:rPr>
            <w:rStyle w:val="Hyperlink"/>
          </w:rPr>
          <w:t>www.pmc.gov.au/government/commonwealth</w:t>
        </w:r>
        <w:r w:rsidR="00C6244C">
          <w:rPr>
            <w:rStyle w:val="Hyperlink"/>
          </w:rPr>
          <w:noBreakHyphen/>
        </w:r>
        <w:r w:rsidR="00444CDB">
          <w:rPr>
            <w:rStyle w:val="Hyperlink"/>
          </w:rPr>
          <w:t>coat</w:t>
        </w:r>
        <w:r w:rsidR="00C6244C">
          <w:rPr>
            <w:rStyle w:val="Hyperlink"/>
          </w:rPr>
          <w:noBreakHyphen/>
        </w:r>
        <w:r w:rsidR="00444CDB">
          <w:rPr>
            <w:rStyle w:val="Hyperlink"/>
          </w:rPr>
          <w:t>arms</w:t>
        </w:r>
      </w:hyperlink>
      <w:r w:rsidRPr="005C503A">
        <w:t>).</w:t>
      </w:r>
    </w:p>
    <w:p w14:paraId="6553D73D" w14:textId="77777777" w:rsidR="000E0B74" w:rsidRPr="00444CDB" w:rsidRDefault="000E0B74" w:rsidP="000E0B74">
      <w:pPr>
        <w:spacing w:before="240"/>
        <w:rPr>
          <w:rStyle w:val="Strong"/>
        </w:rPr>
      </w:pPr>
      <w:r w:rsidRPr="00444CDB">
        <w:rPr>
          <w:rStyle w:val="Strong"/>
        </w:rPr>
        <w:t>Other uses</w:t>
      </w:r>
    </w:p>
    <w:p w14:paraId="5C7536D2" w14:textId="77777777" w:rsidR="000E0B74" w:rsidRPr="006627B4" w:rsidRDefault="000E0B74" w:rsidP="000E0B74">
      <w:r>
        <w:t>E</w:t>
      </w:r>
      <w:r w:rsidRPr="006627B4">
        <w:t>nquiries regarding this licence and any other use of this document are welcome at:</w:t>
      </w:r>
    </w:p>
    <w:p w14:paraId="17C4F334"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79B2CE5B" w14:textId="01E7B2FA" w:rsidR="00F836F9" w:rsidRPr="003F1597" w:rsidRDefault="00D32709" w:rsidP="00DF7CBD">
      <w:pPr>
        <w:rPr>
          <w:rStyle w:val="Emphasis"/>
        </w:rPr>
      </w:pPr>
      <w:r w:rsidRPr="003F1597">
        <w:rPr>
          <w:rStyle w:val="Emphasis"/>
        </w:rPr>
        <w:t xml:space="preserve">In the spirit of reconciliation, the </w:t>
      </w:r>
      <w:r w:rsidR="00B6603F" w:rsidRPr="00B6603F">
        <w:rPr>
          <w:rStyle w:val="Emphasis"/>
        </w:rPr>
        <w:t xml:space="preserve">Australian Government </w:t>
      </w:r>
      <w:r w:rsidRPr="003F1597">
        <w:rPr>
          <w:rStyle w:val="Emphasis"/>
        </w:rPr>
        <w:t>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3F1597">
        <w:rPr>
          <w:rStyle w:val="Emphasis"/>
        </w:rPr>
        <w:t>.</w:t>
      </w:r>
    </w:p>
    <w:p w14:paraId="5BA3694D" w14:textId="77777777" w:rsidR="00D32709" w:rsidRDefault="00D32709" w:rsidP="00D32709"/>
    <w:p w14:paraId="270B8CB6" w14:textId="77777777" w:rsidR="00D32709" w:rsidRPr="00D32709" w:rsidRDefault="00D32709" w:rsidP="00D32709">
      <w:pPr>
        <w:sectPr w:rsidR="00D32709" w:rsidRPr="00D32709" w:rsidSect="00C6244C">
          <w:pgSz w:w="11906" w:h="16838" w:code="9"/>
          <w:pgMar w:top="1843" w:right="1418" w:bottom="1418" w:left="1418" w:header="709" w:footer="709" w:gutter="0"/>
          <w:pgNumType w:fmt="lowerRoman" w:start="0"/>
          <w:cols w:space="708"/>
          <w:titlePg/>
          <w:docGrid w:linePitch="360"/>
        </w:sectPr>
      </w:pPr>
    </w:p>
    <w:p w14:paraId="5DB6B429" w14:textId="3A57AA34" w:rsidR="00DE2A3C" w:rsidRDefault="007742EB" w:rsidP="00DE2A3C">
      <w:pPr>
        <w:pStyle w:val="Heading1"/>
      </w:pPr>
      <w:r>
        <w:lastRenderedPageBreak/>
        <w:t>Productivity</w:t>
      </w:r>
    </w:p>
    <w:p w14:paraId="35799D57" w14:textId="25483219" w:rsidR="00103F3C" w:rsidRDefault="007742EB" w:rsidP="006C5B73">
      <w:r w:rsidRPr="007742EB">
        <w:t>Lifting productivity is critical to growth in real wages, incomes, jobs and overall living standards. It needs to be done in a sustainable and inclusive way to ensure all Australians can benefit.</w:t>
      </w:r>
    </w:p>
    <w:p w14:paraId="30E8D698" w14:textId="77777777" w:rsidR="00C23CA2" w:rsidRDefault="00C23CA2" w:rsidP="006C5B73">
      <w:pPr>
        <w:pBdr>
          <w:bottom w:val="single" w:sz="6" w:space="1" w:color="auto"/>
        </w:pBdr>
      </w:pPr>
    </w:p>
    <w:p w14:paraId="310360D7" w14:textId="04B9FCFD" w:rsidR="00C23CA2" w:rsidRPr="00C23CA2" w:rsidRDefault="00C23CA2" w:rsidP="002A3BBE">
      <w:pPr>
        <w:pStyle w:val="Heading1"/>
      </w:pPr>
      <w:r w:rsidRPr="00C23CA2">
        <w:t xml:space="preserve">Recent </w:t>
      </w:r>
      <w:r w:rsidRPr="002A3BBE">
        <w:t>trends</w:t>
      </w:r>
    </w:p>
    <w:p w14:paraId="02710592" w14:textId="6BDD014B" w:rsidR="00C23CA2" w:rsidRPr="00C23CA2" w:rsidRDefault="00C23CA2" w:rsidP="002A3BBE">
      <w:pPr>
        <w:pStyle w:val="Bullet"/>
      </w:pPr>
      <w:r w:rsidRPr="00C23CA2">
        <w:t xml:space="preserve">Lower growth in labour productivity has been a longstanding challenge </w:t>
      </w:r>
      <w:r w:rsidRPr="002A3BBE">
        <w:t>for</w:t>
      </w:r>
      <w:r w:rsidRPr="00C23CA2">
        <w:t xml:space="preserve"> Australia. Australia</w:t>
      </w:r>
      <w:r w:rsidR="00C6244C">
        <w:t>’</w:t>
      </w:r>
      <w:r w:rsidRPr="00C23CA2">
        <w:t>s average productivity growth in the 2010s was at the lowest rate in 60</w:t>
      </w:r>
      <w:r w:rsidR="008F7D60">
        <w:t> </w:t>
      </w:r>
      <w:r w:rsidRPr="00C23CA2">
        <w:t>years (</w:t>
      </w:r>
      <w:r w:rsidR="00506DFA">
        <w:t xml:space="preserve">Chart </w:t>
      </w:r>
      <w:r w:rsidRPr="00C23CA2">
        <w:t>1).</w:t>
      </w:r>
    </w:p>
    <w:p w14:paraId="5C1E8A99" w14:textId="1508F57A" w:rsidR="00C23CA2" w:rsidRDefault="00C23CA2" w:rsidP="00C23CA2">
      <w:pPr>
        <w:pStyle w:val="Dash"/>
      </w:pPr>
      <w:r>
        <w:t>Reflecting this slowdown, Treasury downgraded its long</w:t>
      </w:r>
      <w:r w:rsidR="00C6244C">
        <w:noBreakHyphen/>
      </w:r>
      <w:r>
        <w:t>run annual labour productivity growth assumption from 1.5 to 1.2</w:t>
      </w:r>
      <w:r w:rsidR="008F7D60">
        <w:t> </w:t>
      </w:r>
      <w:r>
        <w:t>per</w:t>
      </w:r>
      <w:r w:rsidR="008F7D60">
        <w:t> </w:t>
      </w:r>
      <w:r>
        <w:t>cent in 2022.</w:t>
      </w:r>
    </w:p>
    <w:p w14:paraId="4D8B4411" w14:textId="50E3BDF9" w:rsidR="008F7D60" w:rsidRDefault="00C23CA2" w:rsidP="008F7D60">
      <w:pPr>
        <w:pStyle w:val="Dash"/>
      </w:pPr>
      <w:r>
        <w:t>Even small movements in productivity growth will have large impacts on wages and living standards over time. The 2023 Intergenerational Report found that a decline from 1.2</w:t>
      </w:r>
      <w:r w:rsidR="003779BE">
        <w:t> </w:t>
      </w:r>
      <w:r>
        <w:t>per</w:t>
      </w:r>
      <w:r w:rsidR="003779BE">
        <w:t> </w:t>
      </w:r>
      <w:r>
        <w:t>cent to 0.9</w:t>
      </w:r>
      <w:r w:rsidR="003779BE">
        <w:t> </w:t>
      </w:r>
      <w:r>
        <w:t>per</w:t>
      </w:r>
      <w:r w:rsidR="003779BE">
        <w:t> </w:t>
      </w:r>
      <w:r>
        <w:t>cent growth per year would reduce per capita real income by more than $10,000 per</w:t>
      </w:r>
      <w:r w:rsidR="006671FF">
        <w:t> </w:t>
      </w:r>
      <w:r>
        <w:t>person in 40</w:t>
      </w:r>
      <w:r w:rsidR="003779BE">
        <w:t> </w:t>
      </w:r>
      <w:r>
        <w:t>years</w:t>
      </w:r>
      <w:r w:rsidR="00C6244C">
        <w:t>’</w:t>
      </w:r>
      <w:r>
        <w:t xml:space="preserve"> time.</w:t>
      </w:r>
    </w:p>
    <w:p w14:paraId="663A2ACB" w14:textId="77777777" w:rsidR="008A4CDF" w:rsidRPr="008A4CDF" w:rsidRDefault="008A4CDF" w:rsidP="008A4CDF">
      <w:pPr>
        <w:pStyle w:val="NoSpacing"/>
      </w:pPr>
    </w:p>
    <w:p w14:paraId="1F284003" w14:textId="70257A99" w:rsidR="00CE031B" w:rsidRPr="008A4CDF" w:rsidRDefault="00506DFA" w:rsidP="00B4395A">
      <w:pPr>
        <w:pStyle w:val="ChartSecondHeading"/>
        <w:rPr>
          <w:b/>
          <w:bCs w:val="0"/>
        </w:rPr>
      </w:pPr>
      <w:r w:rsidRPr="008A4CDF">
        <w:rPr>
          <w:b/>
          <w:bCs w:val="0"/>
        </w:rPr>
        <w:t>Chart</w:t>
      </w:r>
      <w:r w:rsidR="00CE031B" w:rsidRPr="008A4CDF">
        <w:rPr>
          <w:b/>
          <w:bCs w:val="0"/>
        </w:rPr>
        <w:t xml:space="preserve"> 1: Average </w:t>
      </w:r>
      <w:bookmarkStart w:id="0" w:name="_Hlk205361917"/>
      <w:r w:rsidR="00CE031B" w:rsidRPr="008A4CDF">
        <w:rPr>
          <w:b/>
          <w:bCs w:val="0"/>
        </w:rPr>
        <w:t>productivity growth by decade, 1960s</w:t>
      </w:r>
      <w:r w:rsidR="003779BE">
        <w:rPr>
          <w:b/>
          <w:bCs w:val="0"/>
        </w:rPr>
        <w:t>–</w:t>
      </w:r>
      <w:r w:rsidR="00CE031B" w:rsidRPr="008A4CDF">
        <w:rPr>
          <w:b/>
          <w:bCs w:val="0"/>
        </w:rPr>
        <w:t>2010s</w:t>
      </w:r>
      <w:bookmarkEnd w:id="0"/>
    </w:p>
    <w:p w14:paraId="2A89BAC0" w14:textId="5B2931F1" w:rsidR="00CE031B" w:rsidRDefault="00526AF8" w:rsidP="008A4CDF">
      <w:pPr>
        <w:pStyle w:val="ChartGraphic"/>
      </w:pPr>
      <w:r>
        <w:rPr>
          <w:noProof/>
        </w:rPr>
        <w:drawing>
          <wp:inline distT="0" distB="0" distL="0" distR="0" wp14:anchorId="566DDF5D" wp14:editId="275E0EF1">
            <wp:extent cx="4680000" cy="2880000"/>
            <wp:effectExtent l="0" t="0" r="6350" b="0"/>
            <wp:docPr id="1335691728" name="Chart 1" descr="This chart shows Australia's average productivity growth by decade from the 1960s to the 2010s. It shows that after productivity growth being 2.3 percentage points or higher in three of the four decades before 2000, it has since dropped to 1.4 percentage points in the 2000s and 1.1 percentage points in the 2010s.">
              <a:extLst xmlns:a="http://schemas.openxmlformats.org/drawingml/2006/main">
                <a:ext uri="{FF2B5EF4-FFF2-40B4-BE49-F238E27FC236}">
                  <a16:creationId xmlns:a16="http://schemas.microsoft.com/office/drawing/2014/main" id="{550A4FE1-AA94-4FAC-B0D6-D59703E74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CAF5B7" w14:textId="01E70895" w:rsidR="003475C0" w:rsidRDefault="003475C0" w:rsidP="008F7D60">
      <w:pPr>
        <w:pStyle w:val="ChartorTableNote"/>
      </w:pPr>
      <w:r w:rsidRPr="008F7D60">
        <w:t>Source: Treasury estimates using ABS System of National Accounts 2023</w:t>
      </w:r>
      <w:r w:rsidR="003779BE">
        <w:t>–</w:t>
      </w:r>
      <w:r w:rsidRPr="008F7D60">
        <w:t>24; Penn World Table 2023</w:t>
      </w:r>
      <w:r w:rsidR="00882D59" w:rsidRPr="008F7D60">
        <w:t>.</w:t>
      </w:r>
    </w:p>
    <w:p w14:paraId="78EC352B" w14:textId="77777777" w:rsidR="008F7D60" w:rsidRPr="008F7D60" w:rsidRDefault="008F7D60" w:rsidP="002A3BBE">
      <w:pPr>
        <w:pStyle w:val="NoSpacing"/>
      </w:pPr>
    </w:p>
    <w:p w14:paraId="222BE360" w14:textId="6A12DCBA" w:rsidR="00C23CA2" w:rsidRPr="00C23CA2" w:rsidRDefault="00C23CA2" w:rsidP="00C23CA2">
      <w:pPr>
        <w:pStyle w:val="Bullet"/>
      </w:pPr>
      <w:r w:rsidRPr="00C23CA2">
        <w:t>This challenge is not unique to Australia, with labour productivity over the past decade slowing in most major advanced economies (</w:t>
      </w:r>
      <w:r w:rsidR="00506DFA">
        <w:t>Chart</w:t>
      </w:r>
      <w:r w:rsidRPr="00C23CA2">
        <w:t xml:space="preserve"> 2). A number of countries, including the United States, Canada and New Zealand have also downgraded productivity growth assumptions in official forecasts.</w:t>
      </w:r>
    </w:p>
    <w:p w14:paraId="1CCE79C7" w14:textId="6DB957D3" w:rsidR="00C23CA2" w:rsidRPr="008A4CDF" w:rsidRDefault="00C23CA2" w:rsidP="00C23CA2">
      <w:pPr>
        <w:pStyle w:val="Bullet"/>
        <w:rPr>
          <w:b/>
        </w:rPr>
      </w:pPr>
      <w:r>
        <w:lastRenderedPageBreak/>
        <w:t>Australia</w:t>
      </w:r>
      <w:r w:rsidR="00C6244C">
        <w:t>’</w:t>
      </w:r>
      <w:r>
        <w:t>s productivity slowdown has been broad based. Productivity growth in the market sector, excluding mining, has slowed over time. This has been compounded by weaker productivity growth in the non</w:t>
      </w:r>
      <w:r w:rsidR="00C6244C">
        <w:noBreakHyphen/>
      </w:r>
      <w:r>
        <w:t xml:space="preserve">market sector and mining industry in more recent years. </w:t>
      </w:r>
    </w:p>
    <w:p w14:paraId="59B1B7DE" w14:textId="77777777" w:rsidR="008A4CDF" w:rsidRPr="008A4CDF" w:rsidRDefault="008A4CDF" w:rsidP="008A4CDF">
      <w:pPr>
        <w:pStyle w:val="NoSpacing"/>
      </w:pPr>
    </w:p>
    <w:p w14:paraId="73BB87CB" w14:textId="36CDFDD1" w:rsidR="00CE031B" w:rsidRPr="008A4CDF" w:rsidRDefault="00506DFA" w:rsidP="00B4395A">
      <w:pPr>
        <w:pStyle w:val="ChartSecondHeading"/>
        <w:rPr>
          <w:b/>
          <w:bCs w:val="0"/>
        </w:rPr>
      </w:pPr>
      <w:r w:rsidRPr="008A4CDF">
        <w:rPr>
          <w:b/>
          <w:bCs w:val="0"/>
        </w:rPr>
        <w:t>Chart</w:t>
      </w:r>
      <w:r w:rsidR="00CE031B" w:rsidRPr="008A4CDF">
        <w:rPr>
          <w:b/>
          <w:bCs w:val="0"/>
        </w:rPr>
        <w:t xml:space="preserve"> 2: </w:t>
      </w:r>
      <w:r w:rsidR="00705107" w:rsidRPr="008A4CDF">
        <w:rPr>
          <w:b/>
          <w:bCs w:val="0"/>
        </w:rPr>
        <w:t>20</w:t>
      </w:r>
      <w:r w:rsidR="00C6244C">
        <w:rPr>
          <w:b/>
          <w:bCs w:val="0"/>
        </w:rPr>
        <w:noBreakHyphen/>
      </w:r>
      <w:r w:rsidR="00705107" w:rsidRPr="008A4CDF">
        <w:rPr>
          <w:b/>
          <w:bCs w:val="0"/>
        </w:rPr>
        <w:t>year average p</w:t>
      </w:r>
      <w:r w:rsidR="002524A6" w:rsidRPr="008A4CDF">
        <w:rPr>
          <w:b/>
          <w:bCs w:val="0"/>
        </w:rPr>
        <w:t xml:space="preserve">roductivity growth </w:t>
      </w:r>
      <w:r w:rsidR="00705107" w:rsidRPr="008A4CDF">
        <w:rPr>
          <w:b/>
          <w:bCs w:val="0"/>
        </w:rPr>
        <w:t>rates</w:t>
      </w:r>
      <w:r w:rsidR="002524A6" w:rsidRPr="008A4CDF">
        <w:rPr>
          <w:b/>
          <w:bCs w:val="0"/>
        </w:rPr>
        <w:t xml:space="preserve"> across advanced economies</w:t>
      </w:r>
    </w:p>
    <w:p w14:paraId="32A8AAAA" w14:textId="567B5338" w:rsidR="003475C0" w:rsidRDefault="002524A6" w:rsidP="008A4CDF">
      <w:pPr>
        <w:pStyle w:val="ChartGraphic"/>
      </w:pPr>
      <w:r w:rsidRPr="002524A6">
        <w:rPr>
          <w:noProof/>
        </w:rPr>
        <w:t xml:space="preserve"> </w:t>
      </w:r>
      <w:r w:rsidR="00594B83">
        <w:rPr>
          <w:noProof/>
        </w:rPr>
        <w:drawing>
          <wp:inline distT="0" distB="0" distL="0" distR="0" wp14:anchorId="54346495" wp14:editId="4DE49DC6">
            <wp:extent cx="4680000" cy="2880000"/>
            <wp:effectExtent l="0" t="0" r="6350" b="0"/>
            <wp:docPr id="1229807963" name="Chart 1" descr="This chart shows the 20-year average productivity growth rate across Australia and comparable advanced economies. It shows across every country, the 20-year average to 2015 is highest, which declines in the 20-year average to 2019 and declines further to the 20-year average to 2023.">
              <a:extLst xmlns:a="http://schemas.openxmlformats.org/drawingml/2006/main">
                <a:ext uri="{FF2B5EF4-FFF2-40B4-BE49-F238E27FC236}">
                  <a16:creationId xmlns:a16="http://schemas.microsoft.com/office/drawing/2014/main" id="{6C2DC0CC-7B24-484D-8143-6DFFA8863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C6DBD7" w14:textId="4C8F1293" w:rsidR="008F7D60" w:rsidRDefault="003475C0" w:rsidP="002A3BBE">
      <w:pPr>
        <w:pStyle w:val="ChartorTableNote"/>
      </w:pPr>
      <w:r w:rsidRPr="008F7D60">
        <w:t>Source: Treasury estimates using OECD GDP per hour worked index, 199</w:t>
      </w:r>
      <w:r w:rsidR="006914D2" w:rsidRPr="008F7D60">
        <w:t>5</w:t>
      </w:r>
      <w:r w:rsidR="00297B48">
        <w:t>–</w:t>
      </w:r>
      <w:r w:rsidRPr="008F7D60">
        <w:t>2023</w:t>
      </w:r>
      <w:r w:rsidR="00882D59" w:rsidRPr="008F7D60">
        <w:t>.</w:t>
      </w:r>
    </w:p>
    <w:p w14:paraId="5735B805" w14:textId="77777777" w:rsidR="002A3BBE" w:rsidRPr="002A3BBE" w:rsidRDefault="002A3BBE" w:rsidP="002A3BBE">
      <w:pPr>
        <w:pStyle w:val="NoSpacing"/>
      </w:pPr>
    </w:p>
    <w:p w14:paraId="38228B41" w14:textId="64F48DB4" w:rsidR="00C23CA2" w:rsidRDefault="00C23CA2" w:rsidP="00C23CA2">
      <w:pPr>
        <w:pStyle w:val="Bullet"/>
      </w:pPr>
      <w:r>
        <w:t>Productivity growth accelerated temporarily during the COVID</w:t>
      </w:r>
      <w:r w:rsidR="00C6244C">
        <w:noBreakHyphen/>
      </w:r>
      <w:r>
        <w:t xml:space="preserve">19 pandemic before reversing. Productivity returned back to levels observed in 2019 as employment and consumption trends normalised and the labour market recovered strongly. </w:t>
      </w:r>
    </w:p>
    <w:p w14:paraId="20450CCA" w14:textId="5654B204" w:rsidR="00C23CA2" w:rsidRPr="002A3BBE" w:rsidRDefault="00C23CA2" w:rsidP="002A3BBE">
      <w:pPr>
        <w:pStyle w:val="Dash"/>
      </w:pPr>
      <w:r w:rsidRPr="002A3BBE">
        <w:t xml:space="preserve">During this recovery, strong capital growth still did not keep pace with growth in hours worked, resulting in a decline in the capital to labour ratio which has weighed on recent productivity growth. </w:t>
      </w:r>
    </w:p>
    <w:p w14:paraId="53E9785E" w14:textId="3065D8DC" w:rsidR="00C23CA2" w:rsidRPr="002A3BBE" w:rsidRDefault="00C23CA2" w:rsidP="002A3BBE">
      <w:pPr>
        <w:pStyle w:val="Dash"/>
      </w:pPr>
      <w:r w:rsidRPr="002A3BBE">
        <w:t>Treasury and the Reserve Bank of Australia (RBA) are monitoring the implications of recent trends for long run productivity assumptions, after accounting for volatility associated with the COVID</w:t>
      </w:r>
      <w:r w:rsidR="00C6244C">
        <w:noBreakHyphen/>
      </w:r>
      <w:r w:rsidRPr="002A3BBE">
        <w:t>19 recovery. The unique dynamics that resulted in the COVID</w:t>
      </w:r>
      <w:r w:rsidR="00C6244C">
        <w:noBreakHyphen/>
      </w:r>
      <w:r w:rsidRPr="002A3BBE">
        <w:t xml:space="preserve">19 </w:t>
      </w:r>
      <w:r w:rsidR="00C6244C">
        <w:t>‘</w:t>
      </w:r>
      <w:r w:rsidRPr="002A3BBE">
        <w:t>productivity bubble</w:t>
      </w:r>
      <w:r w:rsidR="00C6244C">
        <w:t>’</w:t>
      </w:r>
      <w:r w:rsidRPr="002A3BBE">
        <w:t xml:space="preserve"> complicate assessments of how slow productivity growth during this period should be incorporated in long</w:t>
      </w:r>
      <w:r w:rsidR="00C6244C">
        <w:noBreakHyphen/>
      </w:r>
      <w:r w:rsidRPr="002A3BBE">
        <w:t>term averages.</w:t>
      </w:r>
    </w:p>
    <w:p w14:paraId="519B6D1E" w14:textId="36E77664" w:rsidR="00657166" w:rsidRDefault="00657166" w:rsidP="002A3BBE">
      <w:pPr>
        <w:pStyle w:val="Heading1"/>
      </w:pPr>
      <w:r>
        <w:t>Structural challenges</w:t>
      </w:r>
    </w:p>
    <w:p w14:paraId="501350E7" w14:textId="779FBAAA" w:rsidR="00657166" w:rsidRDefault="00657166" w:rsidP="00657166">
      <w:pPr>
        <w:pStyle w:val="Bullet"/>
      </w:pPr>
      <w:r>
        <w:t xml:space="preserve">Like many comparable countries shown in </w:t>
      </w:r>
      <w:r w:rsidR="00506DFA">
        <w:t>Chart</w:t>
      </w:r>
      <w:r>
        <w:t xml:space="preserve"> 2, Australia faces structural challenges when it comes to productivity. These include trends in capital deepening, competition and dynamism, skills development and matching in the labour market, and our changing industry composition. </w:t>
      </w:r>
    </w:p>
    <w:p w14:paraId="1013830A" w14:textId="7681F4A8" w:rsidR="00657166" w:rsidRDefault="00657166" w:rsidP="00657166">
      <w:pPr>
        <w:pStyle w:val="Bullet"/>
      </w:pPr>
      <w:r>
        <w:t xml:space="preserve">These challenges are longstanding and global in nature, but require local attention </w:t>
      </w:r>
      <w:r w:rsidR="00041403">
        <w:t xml:space="preserve">and </w:t>
      </w:r>
      <w:r>
        <w:t>sustained effort to address.</w:t>
      </w:r>
    </w:p>
    <w:p w14:paraId="59DCB8E2" w14:textId="7B93108E" w:rsidR="00CE031B" w:rsidRDefault="00CE031B" w:rsidP="002A3BBE">
      <w:pPr>
        <w:pStyle w:val="Heading2"/>
      </w:pPr>
      <w:r>
        <w:lastRenderedPageBreak/>
        <w:t>Capital deepening</w:t>
      </w:r>
    </w:p>
    <w:p w14:paraId="4699C080" w14:textId="20F8A75E" w:rsidR="00657166" w:rsidRPr="002A3BBE" w:rsidRDefault="00657166" w:rsidP="002A3BBE">
      <w:pPr>
        <w:pStyle w:val="Bullet"/>
      </w:pPr>
      <w:r w:rsidRPr="002A3BBE">
        <w:t>Capital deepening, which refers to growth in the capital stock per worker, has been responsible for almost half of Australia</w:t>
      </w:r>
      <w:r w:rsidR="00C6244C">
        <w:t>’</w:t>
      </w:r>
      <w:r w:rsidRPr="002A3BBE">
        <w:t xml:space="preserve">s productivity growth since Federation. </w:t>
      </w:r>
    </w:p>
    <w:p w14:paraId="137AD8AD" w14:textId="77777777" w:rsidR="00657166" w:rsidRPr="002A3BBE" w:rsidRDefault="00657166" w:rsidP="002A3BBE">
      <w:pPr>
        <w:pStyle w:val="Dash"/>
      </w:pPr>
      <w:r w:rsidRPr="002A3BBE">
        <w:t>As a share of GDP, business investment is lower now than it was in the early 2000s and the decline has been larger among more productive firms, indicating that capital has also been allocated less productively (Hambur &amp; Andrews, 2023).</w:t>
      </w:r>
    </w:p>
    <w:p w14:paraId="5A259417" w14:textId="16E40BBA" w:rsidR="003C6B08" w:rsidRPr="002A3BBE" w:rsidRDefault="00657166" w:rsidP="002A3BBE">
      <w:pPr>
        <w:pStyle w:val="Dash"/>
      </w:pPr>
      <w:r w:rsidRPr="002A3BBE">
        <w:t>The level of business investment in Australia is now at a 12</w:t>
      </w:r>
      <w:r w:rsidR="00297B48">
        <w:t>–</w:t>
      </w:r>
      <w:r w:rsidRPr="002A3BBE">
        <w:t>year high and has grown strongly in recent years. However, this has not been enough to keep pace with strong employment growth in recent years, which has resulted in some capital shallowing across the economy, particularly in 2022</w:t>
      </w:r>
      <w:r w:rsidR="00297B48">
        <w:t>–</w:t>
      </w:r>
      <w:r w:rsidRPr="002A3BBE">
        <w:t>23 as pandemic effects unwound</w:t>
      </w:r>
      <w:r w:rsidR="006B0433" w:rsidRPr="002A3BBE">
        <w:t xml:space="preserve"> (</w:t>
      </w:r>
      <w:r w:rsidR="00506DFA" w:rsidRPr="002A3BBE">
        <w:t>Chart</w:t>
      </w:r>
      <w:r w:rsidR="006B0433" w:rsidRPr="002A3BBE">
        <w:t xml:space="preserve"> 3)</w:t>
      </w:r>
      <w:r w:rsidRPr="002A3BBE">
        <w:t>.</w:t>
      </w:r>
    </w:p>
    <w:p w14:paraId="052717D5" w14:textId="2BCC8F05" w:rsidR="003C6B08" w:rsidRPr="002A3BBE" w:rsidRDefault="00506DFA" w:rsidP="002A3BBE">
      <w:pPr>
        <w:pStyle w:val="ChartSecondHeading"/>
        <w:rPr>
          <w:b/>
          <w:bCs w:val="0"/>
        </w:rPr>
      </w:pPr>
      <w:r w:rsidRPr="002A3BBE">
        <w:rPr>
          <w:b/>
          <w:bCs w:val="0"/>
        </w:rPr>
        <w:t>Chart</w:t>
      </w:r>
      <w:r w:rsidR="003C6B08" w:rsidRPr="002A3BBE">
        <w:rPr>
          <w:b/>
          <w:bCs w:val="0"/>
        </w:rPr>
        <w:t xml:space="preserve"> 3: </w:t>
      </w:r>
      <w:r w:rsidR="00EF1B44" w:rsidRPr="002A3BBE">
        <w:rPr>
          <w:b/>
          <w:bCs w:val="0"/>
        </w:rPr>
        <w:t>Decomposition of annual productivity growth</w:t>
      </w:r>
    </w:p>
    <w:p w14:paraId="5A4776B8" w14:textId="17E8BE41" w:rsidR="008C1BAB" w:rsidRDefault="008C1BAB" w:rsidP="002A3BBE">
      <w:pPr>
        <w:pStyle w:val="ChartGraphic"/>
      </w:pPr>
      <w:r>
        <w:rPr>
          <w:noProof/>
        </w:rPr>
        <w:drawing>
          <wp:inline distT="0" distB="0" distL="0" distR="0" wp14:anchorId="56D79416" wp14:editId="0E9B7A8E">
            <wp:extent cx="4680000" cy="2880000"/>
            <wp:effectExtent l="0" t="0" r="0" b="0"/>
            <wp:docPr id="1063995964" name="Chart 1" descr="This chart shows a decomposition of annual productivity growth into capital deepening and multifactor productivity from 1996 to 2024.">
              <a:extLst xmlns:a="http://schemas.openxmlformats.org/drawingml/2006/main">
                <a:ext uri="{FF2B5EF4-FFF2-40B4-BE49-F238E27FC236}">
                  <a16:creationId xmlns:a16="http://schemas.microsoft.com/office/drawing/2014/main" id="{317037DD-920B-4F08-ABA2-1D0ABB808F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978D75" w14:textId="5D402820" w:rsidR="002A3BBE" w:rsidRDefault="003C6B08" w:rsidP="002A3BBE">
      <w:pPr>
        <w:pStyle w:val="ChartorTableNote"/>
      </w:pPr>
      <w:r w:rsidRPr="002A3BBE">
        <w:t>Source: Treasury estimates using ABS System of National Accounts 2023</w:t>
      </w:r>
      <w:r w:rsidR="00297B48">
        <w:t>–</w:t>
      </w:r>
      <w:r w:rsidRPr="002A3BBE">
        <w:t>24</w:t>
      </w:r>
      <w:r w:rsidR="00882D59" w:rsidRPr="002A3BBE">
        <w:t>.</w:t>
      </w:r>
    </w:p>
    <w:p w14:paraId="294527F1" w14:textId="4D523A68" w:rsidR="003C6B08" w:rsidRDefault="008C1BAB" w:rsidP="002A3BBE">
      <w:pPr>
        <w:pStyle w:val="ChartorTableNote"/>
      </w:pPr>
      <w:r w:rsidRPr="002A3BBE">
        <w:t>Note: Contribution from capital deepening is a Treasury estimate base</w:t>
      </w:r>
      <w:r w:rsidR="00CC7971" w:rsidRPr="002A3BBE">
        <w:t>d</w:t>
      </w:r>
      <w:r w:rsidRPr="002A3BBE">
        <w:t xml:space="preserve"> on ABS data.</w:t>
      </w:r>
    </w:p>
    <w:p w14:paraId="5F232CC4" w14:textId="77777777" w:rsidR="002A3BBE" w:rsidRPr="002A3BBE" w:rsidRDefault="002A3BBE" w:rsidP="002A3BBE">
      <w:pPr>
        <w:pStyle w:val="NoSpacing"/>
      </w:pPr>
    </w:p>
    <w:p w14:paraId="7FADCAF7" w14:textId="768222C3" w:rsidR="00657166" w:rsidRPr="002A3BBE" w:rsidRDefault="00657166" w:rsidP="002A3BBE">
      <w:pPr>
        <w:pStyle w:val="Bullet"/>
      </w:pPr>
      <w:r w:rsidRPr="002A3BBE">
        <w:t>The long</w:t>
      </w:r>
      <w:r w:rsidR="00C6244C">
        <w:noBreakHyphen/>
      </w:r>
      <w:r w:rsidRPr="002A3BBE">
        <w:t>term transition towards a more services</w:t>
      </w:r>
      <w:r w:rsidR="00C6244C">
        <w:noBreakHyphen/>
      </w:r>
      <w:r w:rsidRPr="002A3BBE">
        <w:t>based economy explains some of this change, and is expected to continue as consumption of services increases alongside income per capita and an ageing population.</w:t>
      </w:r>
    </w:p>
    <w:p w14:paraId="4950567F" w14:textId="77777777" w:rsidR="00657166" w:rsidRPr="002A3BBE" w:rsidRDefault="00657166" w:rsidP="002A3BBE">
      <w:pPr>
        <w:pStyle w:val="Bullet"/>
      </w:pPr>
      <w:r w:rsidRPr="002A3BBE">
        <w:t>However, several other forces have also contributed to slowing business investment.</w:t>
      </w:r>
    </w:p>
    <w:p w14:paraId="2A132E37" w14:textId="3BB14AA9" w:rsidR="00657166" w:rsidRPr="002A3BBE" w:rsidRDefault="00657166" w:rsidP="002A3BBE">
      <w:pPr>
        <w:pStyle w:val="Dash"/>
      </w:pPr>
      <w:r w:rsidRPr="002A3BBE">
        <w:t>There may have been fewer innovative projects to invest in, due to global trends in technology development or a lack of adoption of new technologies by Australian firms. The share of Australian job ads referencing emerging technologies increased from 4%</w:t>
      </w:r>
      <w:r w:rsidR="00E226C2">
        <w:t> </w:t>
      </w:r>
      <w:r w:rsidRPr="002A3BBE">
        <w:t>to</w:t>
      </w:r>
      <w:r w:rsidR="00E226C2">
        <w:t> </w:t>
      </w:r>
      <w:r w:rsidRPr="002A3BBE">
        <w:t>7%</w:t>
      </w:r>
      <w:r w:rsidR="00E226C2">
        <w:t> </w:t>
      </w:r>
      <w:r w:rsidRPr="002A3BBE">
        <w:t>between 2012</w:t>
      </w:r>
      <w:r w:rsidR="00E226C2">
        <w:t> </w:t>
      </w:r>
      <w:r w:rsidRPr="002A3BBE">
        <w:t>to</w:t>
      </w:r>
      <w:r w:rsidR="00E226C2">
        <w:t> </w:t>
      </w:r>
      <w:r w:rsidRPr="002A3BBE">
        <w:t>2020, but there remains a sizeable gap in technology adoption between Australia and the United States (Treasury, 2022</w:t>
      </w:r>
      <w:r w:rsidR="00B5615C" w:rsidRPr="002A3BBE">
        <w:t>a</w:t>
      </w:r>
      <w:r w:rsidRPr="002A3BBE">
        <w:t xml:space="preserve">). </w:t>
      </w:r>
    </w:p>
    <w:p w14:paraId="3A6BF5FA" w14:textId="1B01D38D" w:rsidR="00CE031B" w:rsidRPr="002A3BBE" w:rsidRDefault="00657166" w:rsidP="002A3BBE">
      <w:pPr>
        <w:pStyle w:val="Dash"/>
      </w:pPr>
      <w:r w:rsidRPr="002A3BBE">
        <w:t xml:space="preserve">There is also evidence that investors increased their assessment of the risk premium of investing in Australia by around 2 percentage points following the Global Financial Crisis, requiring a high hurdle rate. There are a range of potential reasons for this, including uncertainty about climate change (Evans et al, 2024). </w:t>
      </w:r>
    </w:p>
    <w:p w14:paraId="44ADDA61" w14:textId="7528ADB9" w:rsidR="00CE031B" w:rsidRDefault="00CE031B" w:rsidP="00DD6217">
      <w:pPr>
        <w:pStyle w:val="Heading2"/>
      </w:pPr>
      <w:r>
        <w:lastRenderedPageBreak/>
        <w:t>Competition and dynamism</w:t>
      </w:r>
    </w:p>
    <w:p w14:paraId="2459458E" w14:textId="7E80C12E" w:rsidR="00657166" w:rsidRDefault="00657166" w:rsidP="00DD6217">
      <w:pPr>
        <w:pStyle w:val="Bullet"/>
        <w:spacing w:after="100"/>
      </w:pPr>
      <w:r>
        <w:t>Competition and dynamism play a critical role ensuring resources are used efficiently, enabling the most productive industries and firms to grow, and improving workers</w:t>
      </w:r>
      <w:r w:rsidR="00C6244C">
        <w:t>’</w:t>
      </w:r>
      <w:r>
        <w:t xml:space="preserve"> access to the latest technologies and effective management practices.</w:t>
      </w:r>
    </w:p>
    <w:p w14:paraId="0FCE2B89" w14:textId="77777777" w:rsidR="00657166" w:rsidRDefault="00657166" w:rsidP="00DD6217">
      <w:pPr>
        <w:pStyle w:val="Bullet"/>
        <w:spacing w:after="100"/>
      </w:pPr>
      <w:r>
        <w:t xml:space="preserve">Many measures of dynamism have been falling in Australia since at least the early 2000s. </w:t>
      </w:r>
    </w:p>
    <w:p w14:paraId="7368DD2A" w14:textId="3F359F5A" w:rsidR="00657166" w:rsidRDefault="00657166" w:rsidP="00DD6217">
      <w:pPr>
        <w:pStyle w:val="Dash"/>
        <w:spacing w:after="100"/>
      </w:pPr>
      <w:r>
        <w:t>Since the Global Financial Crisis, firm entry and exit rates have been lower than they were in previous decades (</w:t>
      </w:r>
      <w:r w:rsidR="001D1E38">
        <w:t>Ellis</w:t>
      </w:r>
      <w:r>
        <w:t xml:space="preserve">, 2021). </w:t>
      </w:r>
    </w:p>
    <w:p w14:paraId="18F98F84" w14:textId="35067E20" w:rsidR="00657166" w:rsidRDefault="00657166" w:rsidP="00DD6217">
      <w:pPr>
        <w:pStyle w:val="Dash"/>
        <w:spacing w:after="100"/>
      </w:pPr>
      <w:r>
        <w:t>There is evidence of increasing industry concentration and firm mark</w:t>
      </w:r>
      <w:r w:rsidR="00C6244C">
        <w:noBreakHyphen/>
      </w:r>
      <w:r>
        <w:t>ups. In 2018–19, the largest four firms in each industry made up around 43 per cent of total industry sales on average, compared to around 40 per cent in 2002</w:t>
      </w:r>
      <w:r w:rsidR="00E226C2">
        <w:t>–</w:t>
      </w:r>
      <w:r>
        <w:t>03 (Treasury, 2022</w:t>
      </w:r>
      <w:r w:rsidR="00B5615C">
        <w:t>b</w:t>
      </w:r>
      <w:r>
        <w:t>). Firm mark</w:t>
      </w:r>
      <w:r w:rsidR="00C6244C">
        <w:noBreakHyphen/>
      </w:r>
      <w:r>
        <w:t>ups have also increased by around five per cent on average since the mid</w:t>
      </w:r>
      <w:r w:rsidR="00E226C2">
        <w:t>–</w:t>
      </w:r>
      <w:r>
        <w:t>2000s (Hambur, 2021).</w:t>
      </w:r>
    </w:p>
    <w:p w14:paraId="39038D26" w14:textId="44FBC995" w:rsidR="00657166" w:rsidRDefault="00657166" w:rsidP="00DD6217">
      <w:pPr>
        <w:pStyle w:val="Dash"/>
        <w:spacing w:after="100"/>
      </w:pPr>
      <w:r>
        <w:t>Additionally, there has been persistent growth in government regulation over time, which may have contributed to a decline in Australia</w:t>
      </w:r>
      <w:r w:rsidR="00C6244C">
        <w:t>’</w:t>
      </w:r>
      <w:r>
        <w:t xml:space="preserve">s ranking amongst advanced economies in terms of ease of doing business (World Bank, 2020). </w:t>
      </w:r>
    </w:p>
    <w:p w14:paraId="584ACE9C" w14:textId="35A8AFA7" w:rsidR="00657166" w:rsidRDefault="00657166" w:rsidP="00DD6217">
      <w:pPr>
        <w:pStyle w:val="Bullet"/>
        <w:spacing w:after="100"/>
      </w:pPr>
      <w:r>
        <w:t>Less competition has also contributed to a widening productivity gap between Australian firms and the global productivity frontier. The gap in productivity between Australia</w:t>
      </w:r>
      <w:r w:rsidR="00C6244C">
        <w:t>’</w:t>
      </w:r>
      <w:r>
        <w:t>s frontier firms and the rest of the economy also widened in the early 2000s, and has persisted since that time (Andrews</w:t>
      </w:r>
      <w:r w:rsidR="002A3BBE">
        <w:t> </w:t>
      </w:r>
      <w:r>
        <w:t>et</w:t>
      </w:r>
      <w:r w:rsidR="002A3BBE">
        <w:t> </w:t>
      </w:r>
      <w:r>
        <w:t>al, 2022).</w:t>
      </w:r>
    </w:p>
    <w:p w14:paraId="48E50E6A" w14:textId="0F5A1E20" w:rsidR="00657166" w:rsidRDefault="00657166" w:rsidP="00DD6217">
      <w:pPr>
        <w:pStyle w:val="Bullet"/>
        <w:spacing w:after="100"/>
      </w:pPr>
      <w:r>
        <w:t>One way of assessing the impact of these factors is to consider what productivity could be given available technology and knowledge compared to what is observed (</w:t>
      </w:r>
      <w:r w:rsidR="00506DFA">
        <w:t>Chart</w:t>
      </w:r>
      <w:r>
        <w:t xml:space="preserve"> 4). Since the early 2000s, this gap has widened alongside declining dynamism. Growth in the productivity frontier has also slowed, consistent with slower diffusion of technology. </w:t>
      </w:r>
    </w:p>
    <w:p w14:paraId="2E5E9D54" w14:textId="1DEC18A7" w:rsidR="003C6B08" w:rsidRDefault="00506DFA" w:rsidP="003C6B08">
      <w:pPr>
        <w:pStyle w:val="Bullet"/>
        <w:numPr>
          <w:ilvl w:val="0"/>
          <w:numId w:val="0"/>
        </w:numPr>
        <w:jc w:val="center"/>
        <w:rPr>
          <w:b/>
          <w:bCs/>
          <w:color w:val="004A7F"/>
        </w:rPr>
      </w:pPr>
      <w:r>
        <w:rPr>
          <w:b/>
          <w:bCs/>
          <w:color w:val="004A7F"/>
        </w:rPr>
        <w:t>Chart</w:t>
      </w:r>
      <w:r w:rsidR="003C6B08" w:rsidRPr="003475C0">
        <w:rPr>
          <w:b/>
          <w:bCs/>
          <w:color w:val="004A7F"/>
        </w:rPr>
        <w:t xml:space="preserve"> 4: Decomposition of multifactor productivity – market sector excluding mining</w:t>
      </w:r>
    </w:p>
    <w:p w14:paraId="3B37B9AB" w14:textId="7AC0365D" w:rsidR="00A04609" w:rsidRPr="003475C0" w:rsidRDefault="00A04609" w:rsidP="004A62D1">
      <w:pPr>
        <w:pStyle w:val="ChartGraphic"/>
        <w:rPr>
          <w:b/>
          <w:bCs/>
        </w:rPr>
      </w:pPr>
      <w:r>
        <w:rPr>
          <w:noProof/>
        </w:rPr>
        <w:drawing>
          <wp:inline distT="0" distB="0" distL="0" distR="0" wp14:anchorId="3AF27E2E" wp14:editId="1887D3D2">
            <wp:extent cx="4680000" cy="2880000"/>
            <wp:effectExtent l="0" t="0" r="0" b="0"/>
            <wp:docPr id="236156933" name="Chart 1" descr="This chart shows a decomposition of multifactor productivity for the market sector excluding mining across the period from 1994-95 to 2023-24. It shows that over time, Australia's multifactor productivity has fallen further behind a multifactor productivity frontier, with this gap referred to as &quot;Inefficiency&quot;.">
              <a:extLst xmlns:a="http://schemas.openxmlformats.org/drawingml/2006/main">
                <a:ext uri="{FF2B5EF4-FFF2-40B4-BE49-F238E27FC236}">
                  <a16:creationId xmlns:a16="http://schemas.microsoft.com/office/drawing/2014/main" id="{8B7976C6-1A7B-4ED5-8D91-20268C21B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774BFE" w14:textId="50968D1E" w:rsidR="004A62D1" w:rsidRPr="004A62D1" w:rsidRDefault="003C6B08" w:rsidP="00DD6217">
      <w:pPr>
        <w:pStyle w:val="ChartorTableNote"/>
      </w:pPr>
      <w:r w:rsidRPr="003475C0">
        <w:t>Source: Productivity Commission estimates based on ABS (Australian System of National Accounts, 2023</w:t>
      </w:r>
      <w:r w:rsidR="00E226C2">
        <w:t>–</w:t>
      </w:r>
      <w:r w:rsidRPr="003475C0">
        <w:t>24; Estimates of Industry Multifactor Productivity, 2023</w:t>
      </w:r>
      <w:r w:rsidR="00E226C2">
        <w:t>–</w:t>
      </w:r>
      <w:r w:rsidRPr="003475C0">
        <w:t>24), published in PC</w:t>
      </w:r>
      <w:r w:rsidR="00C6244C">
        <w:t>’</w:t>
      </w:r>
      <w:r w:rsidRPr="003475C0">
        <w:t>s Annual Productivity Bulletin 2025.</w:t>
      </w:r>
    </w:p>
    <w:p w14:paraId="5160E44B" w14:textId="0426C3CE" w:rsidR="00657166" w:rsidRPr="00657166" w:rsidRDefault="00657166" w:rsidP="00DD6217">
      <w:pPr>
        <w:pStyle w:val="Bullet"/>
        <w:spacing w:before="120"/>
      </w:pPr>
      <w:r w:rsidRPr="00657166">
        <w:t xml:space="preserve">Treasury </w:t>
      </w:r>
      <w:r w:rsidRPr="004A62D1">
        <w:t>and</w:t>
      </w:r>
      <w:r w:rsidRPr="00657166">
        <w:t xml:space="preserve"> RBA research has found that lifting competition back to a level similar to the early 2000s could lift GDP by 1 to 3</w:t>
      </w:r>
      <w:r w:rsidR="00526AF8">
        <w:t> </w:t>
      </w:r>
      <w:r w:rsidRPr="00657166">
        <w:t>per</w:t>
      </w:r>
      <w:r w:rsidR="00526AF8">
        <w:t> </w:t>
      </w:r>
      <w:r w:rsidRPr="00657166">
        <w:t>cent, or $2,000</w:t>
      </w:r>
      <w:r w:rsidR="00526AF8">
        <w:t>–</w:t>
      </w:r>
      <w:r w:rsidRPr="00657166">
        <w:t>$6,000 per household (Treasury, 2024</w:t>
      </w:r>
      <w:r w:rsidR="00B5615C">
        <w:t>a</w:t>
      </w:r>
      <w:r w:rsidRPr="00657166">
        <w:t xml:space="preserve">). </w:t>
      </w:r>
    </w:p>
    <w:p w14:paraId="533AAF32" w14:textId="27E29E73" w:rsidR="003C6B08" w:rsidRDefault="003C6B08" w:rsidP="004A62D1">
      <w:pPr>
        <w:pStyle w:val="Heading2"/>
      </w:pPr>
      <w:r>
        <w:t>Human capital</w:t>
      </w:r>
    </w:p>
    <w:p w14:paraId="52EF6668" w14:textId="2274F59A" w:rsidR="00657166" w:rsidRPr="004A62D1" w:rsidRDefault="00657166" w:rsidP="004A62D1">
      <w:pPr>
        <w:pStyle w:val="Bullet"/>
      </w:pPr>
      <w:r w:rsidRPr="004A62D1">
        <w:t>Around one third of labour productivity growth and 40 per cent of multifactor productivity growth in the market sector over the past three decades was driven by improvements in the workforce</w:t>
      </w:r>
      <w:r w:rsidR="00C6244C">
        <w:t>’</w:t>
      </w:r>
      <w:r w:rsidRPr="004A62D1">
        <w:t xml:space="preserve">s human capital (RBA, 2025). </w:t>
      </w:r>
    </w:p>
    <w:p w14:paraId="45388184" w14:textId="36DC49D5" w:rsidR="00657166" w:rsidRPr="004A62D1" w:rsidRDefault="00657166" w:rsidP="004A62D1">
      <w:pPr>
        <w:pStyle w:val="Bullet"/>
      </w:pPr>
      <w:r w:rsidRPr="004A62D1">
        <w:t>However, around one in five adult Australians have low literacy or numeracy skills, and the most common barrier to work for job seekers accessing employment services through Workforce Australia is now an education level below year 12 attainment</w:t>
      </w:r>
      <w:r w:rsidR="00963019" w:rsidRPr="004A62D1">
        <w:t xml:space="preserve"> (Treasury, 2023)</w:t>
      </w:r>
      <w:r w:rsidRPr="004A62D1">
        <w:t xml:space="preserve">. </w:t>
      </w:r>
    </w:p>
    <w:p w14:paraId="23CD87B6" w14:textId="7D109250" w:rsidR="00657166" w:rsidRPr="004A62D1" w:rsidRDefault="00657166" w:rsidP="004A62D1">
      <w:pPr>
        <w:pStyle w:val="Bullet"/>
      </w:pPr>
      <w:r w:rsidRPr="004A62D1">
        <w:t>Analysis of comparable OECD countries suggests increasing the skills of workers in median</w:t>
      </w:r>
      <w:r w:rsidR="00C6244C">
        <w:noBreakHyphen/>
      </w:r>
      <w:r w:rsidRPr="004A62D1">
        <w:t>productivity firms up to the skills of workers in firms on the productivity frontier could close the productivity gap between these firms by 19</w:t>
      </w:r>
      <w:r w:rsidR="00526AF8">
        <w:t> </w:t>
      </w:r>
      <w:r w:rsidRPr="004A62D1">
        <w:t>per</w:t>
      </w:r>
      <w:r w:rsidR="00526AF8">
        <w:t> </w:t>
      </w:r>
      <w:r w:rsidRPr="004A62D1">
        <w:t xml:space="preserve">cent (Criscuolo et al, 2021). </w:t>
      </w:r>
    </w:p>
    <w:p w14:paraId="6D843E16" w14:textId="0640398A" w:rsidR="00657166" w:rsidRPr="004A62D1" w:rsidRDefault="00657166" w:rsidP="004A62D1">
      <w:pPr>
        <w:pStyle w:val="Bullet"/>
      </w:pPr>
      <w:r w:rsidRPr="004A62D1">
        <w:t>There is also scope to improve the quality of labour market matching to ensure businesses can access the skills that they need. For example, measures of the efficiency with which workers are matched to jobs declined over the 2010s, though partially recovered after the COVID</w:t>
      </w:r>
      <w:r w:rsidR="00C6244C">
        <w:noBreakHyphen/>
      </w:r>
      <w:r w:rsidRPr="004A62D1">
        <w:t>19 pandemic (Treasury, 2024</w:t>
      </w:r>
      <w:r w:rsidR="00B5615C" w:rsidRPr="004A62D1">
        <w:t>b</w:t>
      </w:r>
      <w:r w:rsidRPr="004A62D1">
        <w:t>)</w:t>
      </w:r>
      <w:r w:rsidR="00041403" w:rsidRPr="004A62D1">
        <w:t>.</w:t>
      </w:r>
    </w:p>
    <w:p w14:paraId="1BCCC3C4" w14:textId="6B67AD20" w:rsidR="00657166" w:rsidRDefault="003C6B08" w:rsidP="004A62D1">
      <w:pPr>
        <w:pStyle w:val="Heading2"/>
      </w:pPr>
      <w:r>
        <w:t>Industry composition of our economy</w:t>
      </w:r>
    </w:p>
    <w:p w14:paraId="6BB51C4D" w14:textId="7B6C6599" w:rsidR="00657166" w:rsidRDefault="00657166" w:rsidP="00657166">
      <w:pPr>
        <w:pStyle w:val="Bullet"/>
      </w:pPr>
      <w:r>
        <w:t>Australia</w:t>
      </w:r>
      <w:r w:rsidR="00C6244C">
        <w:t>’</w:t>
      </w:r>
      <w:r>
        <w:t>s services and non</w:t>
      </w:r>
      <w:r w:rsidR="00C6244C">
        <w:noBreakHyphen/>
      </w:r>
      <w:r>
        <w:t>market sectors are anticipated to continue growing, as Australians become wealthier and older on average. This poses a headwind to measured productivity growth because the measured level and rates of productivity growth in these parts of the economy are typically lower.</w:t>
      </w:r>
    </w:p>
    <w:p w14:paraId="1E0B97D5" w14:textId="1423ED03" w:rsidR="00657166" w:rsidRPr="004A62D1" w:rsidRDefault="00657166" w:rsidP="004A62D1">
      <w:pPr>
        <w:pStyle w:val="Dash"/>
      </w:pPr>
      <w:r w:rsidRPr="004A62D1">
        <w:t>The reallocation of labour towards the services sector over the past three decades detracted around 0.14</w:t>
      </w:r>
      <w:r w:rsidR="00526AF8">
        <w:t> </w:t>
      </w:r>
      <w:r w:rsidRPr="004A62D1">
        <w:t xml:space="preserve">percentage points from annual productivity growth over that period. This </w:t>
      </w:r>
      <w:r w:rsidR="005B15C7" w:rsidRPr="004A62D1">
        <w:t>accounts for</w:t>
      </w:r>
      <w:r w:rsidRPr="004A62D1">
        <w:t xml:space="preserve"> around half the 2022 downgrade in Treasury</w:t>
      </w:r>
      <w:r w:rsidR="00C6244C">
        <w:t>’</w:t>
      </w:r>
      <w:r w:rsidRPr="004A62D1">
        <w:t>s long</w:t>
      </w:r>
      <w:r w:rsidR="00C6244C">
        <w:noBreakHyphen/>
      </w:r>
      <w:r w:rsidRPr="004A62D1">
        <w:t>run annual labour productivity growth assumption.</w:t>
      </w:r>
    </w:p>
    <w:p w14:paraId="3DCC828C" w14:textId="0F72E48B" w:rsidR="00657166" w:rsidRPr="004A62D1" w:rsidRDefault="00657166" w:rsidP="004A62D1">
      <w:pPr>
        <w:pStyle w:val="Dash"/>
      </w:pPr>
      <w:r w:rsidRPr="004A62D1">
        <w:t>Similar RBA analysis has also found that the growth of the non</w:t>
      </w:r>
      <w:r w:rsidR="00C6244C">
        <w:noBreakHyphen/>
      </w:r>
      <w:r w:rsidRPr="004A62D1">
        <w:t>market sector which is occurring as Australia</w:t>
      </w:r>
      <w:r w:rsidR="00C6244C">
        <w:t>’</w:t>
      </w:r>
      <w:r w:rsidRPr="004A62D1">
        <w:t>s population ages has subtracted 0.3</w:t>
      </w:r>
      <w:r w:rsidR="00526AF8">
        <w:t> </w:t>
      </w:r>
      <w:r w:rsidRPr="004A62D1">
        <w:t>percentage points from productivity growth per year from 2017</w:t>
      </w:r>
      <w:r w:rsidR="00526AF8">
        <w:t>–</w:t>
      </w:r>
      <w:r w:rsidRPr="004A62D1">
        <w:t>18 to 2023</w:t>
      </w:r>
      <w:r w:rsidR="00526AF8">
        <w:t>–</w:t>
      </w:r>
      <w:r w:rsidRPr="004A62D1">
        <w:t>24, twice the impact from this source in the preceding decade (Plumb, 2025).</w:t>
      </w:r>
    </w:p>
    <w:p w14:paraId="69B9093A" w14:textId="64A5D4D0" w:rsidR="00657166" w:rsidRPr="004A62D1" w:rsidRDefault="00657166" w:rsidP="004A62D1">
      <w:pPr>
        <w:pStyle w:val="Dash"/>
      </w:pPr>
      <w:r w:rsidRPr="004A62D1">
        <w:t>Some of the decline in non</w:t>
      </w:r>
      <w:r w:rsidR="00C6244C">
        <w:noBreakHyphen/>
      </w:r>
      <w:r w:rsidRPr="004A62D1">
        <w:t xml:space="preserve">market sector productivity can be attributed to standard productivity measures not adequately capturing improvements in the quality of services provided. </w:t>
      </w:r>
    </w:p>
    <w:p w14:paraId="124CF685" w14:textId="318A6DF2" w:rsidR="00DD6217" w:rsidRDefault="00657166" w:rsidP="00DD6217">
      <w:pPr>
        <w:pStyle w:val="DoubleDot"/>
      </w:pPr>
      <w:r>
        <w:t>For example, after adjusting for the quality of care and health outcomes achieved, multifactor productivity of the health care delivered for certain common health conditions grew by 3</w:t>
      </w:r>
      <w:r w:rsidR="00526AF8">
        <w:t> </w:t>
      </w:r>
      <w:r>
        <w:t>per</w:t>
      </w:r>
      <w:r w:rsidR="00526AF8">
        <w:t> </w:t>
      </w:r>
      <w:r>
        <w:t>cent annually between 2011</w:t>
      </w:r>
      <w:r w:rsidR="00526AF8">
        <w:t>–</w:t>
      </w:r>
      <w:r>
        <w:t>12 and 2017</w:t>
      </w:r>
      <w:r w:rsidR="00526AF8">
        <w:t>–</w:t>
      </w:r>
      <w:r>
        <w:t>18 (PC, 2024). This was around triple the average rate of multifactor productivity growth measured in the market sector over this period.</w:t>
      </w:r>
      <w:bookmarkStart w:id="1" w:name="_Hlk205292137"/>
    </w:p>
    <w:p w14:paraId="384548D2" w14:textId="77777777" w:rsidR="00DD6217" w:rsidRDefault="00DD6217">
      <w:pPr>
        <w:spacing w:before="0" w:after="160" w:line="259" w:lineRule="auto"/>
        <w:sectPr w:rsidR="00DD6217" w:rsidSect="006A0AEA">
          <w:headerReference w:type="even" r:id="rId18"/>
          <w:footerReference w:type="even" r:id="rId19"/>
          <w:footerReference w:type="default" r:id="rId20"/>
          <w:headerReference w:type="first" r:id="rId21"/>
          <w:footerReference w:type="first" r:id="rId22"/>
          <w:pgSz w:w="11906" w:h="16838" w:code="9"/>
          <w:pgMar w:top="1843" w:right="1417" w:bottom="1417" w:left="1417" w:header="709" w:footer="709" w:gutter="0"/>
          <w:cols w:space="708"/>
          <w:docGrid w:linePitch="360"/>
        </w:sectPr>
      </w:pPr>
    </w:p>
    <w:p w14:paraId="0E4649BC" w14:textId="2ADB8658" w:rsidR="00DD6217" w:rsidRPr="00DD6217" w:rsidRDefault="00DD6217" w:rsidP="00DD6217">
      <w:pPr>
        <w:pStyle w:val="Heading1"/>
      </w:pPr>
      <w:r w:rsidRPr="00DD6217">
        <w:t xml:space="preserve">Work </w:t>
      </w:r>
      <w:r w:rsidR="000900A7">
        <w:t xml:space="preserve">done or </w:t>
      </w:r>
      <w:r w:rsidRPr="00DD6217">
        <w:t>underway</w:t>
      </w:r>
    </w:p>
    <w:bookmarkEnd w:id="1"/>
    <w:p w14:paraId="06450CC9" w14:textId="026E748D" w:rsidR="00657166" w:rsidRDefault="00657166" w:rsidP="00657166">
      <w:pPr>
        <w:pStyle w:val="Bullet"/>
      </w:pPr>
      <w:r>
        <w:t>Addressing Australia</w:t>
      </w:r>
      <w:r w:rsidR="00C6244C">
        <w:t>’</w:t>
      </w:r>
      <w:r>
        <w:t xml:space="preserve">s longstanding productivity challenge requires sustained effort across governments at all levels, industry and the broader community. The potential benefits are significant. </w:t>
      </w:r>
    </w:p>
    <w:p w14:paraId="22083AA3" w14:textId="7DB3CC46" w:rsidR="00657166" w:rsidRDefault="00657166" w:rsidP="00657166">
      <w:pPr>
        <w:pStyle w:val="Dash"/>
      </w:pPr>
      <w:r>
        <w:t>For example, the Hilmer Review and National Competition Policy reforms of the 1990s, which included over 1,800 changes to laws and regulations, boosted Australia</w:t>
      </w:r>
      <w:r w:rsidR="00C6244C">
        <w:t>’</w:t>
      </w:r>
      <w:r>
        <w:t xml:space="preserve">s GDP by 2.5 per cent (PC, 2005). </w:t>
      </w:r>
    </w:p>
    <w:p w14:paraId="30BE3ADC" w14:textId="12B23139" w:rsidR="00657166" w:rsidRDefault="00657166" w:rsidP="00657166">
      <w:pPr>
        <w:pStyle w:val="Bullet"/>
      </w:pPr>
      <w:r>
        <w:t>In its first term, the Government established a 5 pillar productivity agenda and responded to about two thirds of the directives in the Productivity Commission</w:t>
      </w:r>
      <w:r w:rsidR="00C6244C">
        <w:t>’</w:t>
      </w:r>
      <w:r>
        <w:t>s 2023 5</w:t>
      </w:r>
      <w:r w:rsidR="00C6244C">
        <w:noBreakHyphen/>
      </w:r>
      <w:r>
        <w:t xml:space="preserve">year review, including delivering on significant reforms across each of the pillars. This work has included: </w:t>
      </w:r>
    </w:p>
    <w:p w14:paraId="7DC9D496" w14:textId="77777777" w:rsidR="00657166" w:rsidRPr="004A62D1" w:rsidRDefault="00657166" w:rsidP="004A62D1">
      <w:pPr>
        <w:rPr>
          <w:rStyle w:val="Emphasis"/>
        </w:rPr>
      </w:pPr>
      <w:r w:rsidRPr="004A62D1">
        <w:rPr>
          <w:rStyle w:val="Emphasis"/>
        </w:rPr>
        <w:t>Creating a dynamic and resilient economy</w:t>
      </w:r>
    </w:p>
    <w:p w14:paraId="42ED72DB" w14:textId="77777777" w:rsidR="00657166" w:rsidRDefault="00657166" w:rsidP="00657166">
      <w:pPr>
        <w:pStyle w:val="Dash"/>
      </w:pPr>
      <w:r>
        <w:t>Improving regulation of mergers to enhance competition and streamlining approvals processes, including reforms to the foreign investment regime.</w:t>
      </w:r>
    </w:p>
    <w:p w14:paraId="2A5C18D9" w14:textId="687CB205" w:rsidR="00657166" w:rsidRDefault="00657166" w:rsidP="00657166">
      <w:pPr>
        <w:pStyle w:val="Dash"/>
      </w:pPr>
      <w:r>
        <w:t>Improving dynamism and competition across the Australian economy through a 10</w:t>
      </w:r>
      <w:r w:rsidR="00C6244C">
        <w:noBreakHyphen/>
      </w:r>
      <w:r>
        <w:t>year National Competition Policy reform agenda, supported by a $900 million National Productivity Fund. Initial reforms include improving commercial planning and zoning processes, reforms to support uptake of modern methods of construction, greater adoption of international and overseas standards, and work on a national screening check for workers in the care and support economy.</w:t>
      </w:r>
    </w:p>
    <w:p w14:paraId="59AEAEEE" w14:textId="4FD18A3D" w:rsidR="00657166" w:rsidRDefault="00657166" w:rsidP="00657166">
      <w:pPr>
        <w:pStyle w:val="Dash"/>
      </w:pPr>
      <w:r>
        <w:t>Cutting around 500 nuisance tariffs.</w:t>
      </w:r>
    </w:p>
    <w:p w14:paraId="1D79BFEC" w14:textId="48169F70" w:rsidR="00657166" w:rsidRDefault="00657166" w:rsidP="00657166">
      <w:pPr>
        <w:pStyle w:val="Dash"/>
      </w:pPr>
      <w:r>
        <w:t>Reforming the payment system to support innovation, investment and resilience, and working with industry to support and pilot digital asset technologies, including by exploring the benefits of tokenised asset markets</w:t>
      </w:r>
      <w:r w:rsidR="00C6244C">
        <w:t xml:space="preserve">. </w:t>
      </w:r>
    </w:p>
    <w:p w14:paraId="62C483F1" w14:textId="77777777" w:rsidR="00657166" w:rsidRPr="004A62D1" w:rsidRDefault="00657166" w:rsidP="004A62D1">
      <w:pPr>
        <w:rPr>
          <w:rStyle w:val="Emphasis"/>
        </w:rPr>
      </w:pPr>
      <w:r w:rsidRPr="004A62D1">
        <w:rPr>
          <w:rStyle w:val="Emphasis"/>
        </w:rPr>
        <w:t>Building a skilled and adaptable workforce</w:t>
      </w:r>
    </w:p>
    <w:p w14:paraId="2806B222" w14:textId="75F937B4" w:rsidR="00657166" w:rsidRDefault="00657166" w:rsidP="00657166">
      <w:pPr>
        <w:pStyle w:val="Dash"/>
      </w:pPr>
      <w:r>
        <w:t>Strengthening Australia</w:t>
      </w:r>
      <w:r w:rsidR="00C6244C">
        <w:t>’</w:t>
      </w:r>
      <w:r>
        <w:t xml:space="preserve">s human capital through key initiatives including the National Skills Agreement, the Universities Accord response and Free TAFE, each enhancing the capabilities of our workforce. </w:t>
      </w:r>
    </w:p>
    <w:p w14:paraId="23EC8650" w14:textId="77777777" w:rsidR="00657166" w:rsidRDefault="00657166" w:rsidP="00657166">
      <w:pPr>
        <w:pStyle w:val="Dash"/>
      </w:pPr>
      <w:r>
        <w:t>Better attracting skilled talent from overseas through the Migration Strategy reforms.</w:t>
      </w:r>
    </w:p>
    <w:p w14:paraId="43E97B3C" w14:textId="77777777" w:rsidR="00657166" w:rsidRPr="004A62D1" w:rsidRDefault="00657166" w:rsidP="004A62D1">
      <w:pPr>
        <w:rPr>
          <w:rStyle w:val="Emphasis"/>
        </w:rPr>
      </w:pPr>
      <w:r w:rsidRPr="004A62D1">
        <w:rPr>
          <w:rStyle w:val="Emphasis"/>
        </w:rPr>
        <w:t>Harnessing data and digital technology</w:t>
      </w:r>
    </w:p>
    <w:p w14:paraId="6F299445" w14:textId="77777777" w:rsidR="00657166" w:rsidRDefault="00657166" w:rsidP="00657166">
      <w:pPr>
        <w:pStyle w:val="Dash"/>
      </w:pPr>
      <w:r>
        <w:t>Harnessing data and digital technology, including investments in digital ID and enabling infrastructure such as the NBN, ongoing efforts to harmonise legacy and emerging communications platforms, and initiatives to expand the digital workforce.</w:t>
      </w:r>
    </w:p>
    <w:p w14:paraId="292A155A" w14:textId="487E7008" w:rsidR="00657166" w:rsidRPr="00D07AFB" w:rsidRDefault="00657166" w:rsidP="00657166">
      <w:pPr>
        <w:pStyle w:val="Dash"/>
      </w:pPr>
      <w:r w:rsidRPr="00D07AFB">
        <w:t>Investing in new technology and capabilities that will underpin future innovation including signature investments in quantum computing</w:t>
      </w:r>
      <w:r w:rsidR="00C6244C">
        <w:t xml:space="preserve">. </w:t>
      </w:r>
    </w:p>
    <w:p w14:paraId="4E81E1F4" w14:textId="77777777" w:rsidR="00657166" w:rsidRDefault="00657166" w:rsidP="00657166">
      <w:pPr>
        <w:pStyle w:val="Dash"/>
      </w:pPr>
      <w:r>
        <w:t xml:space="preserve">Supporting the adoption of AI through analysis of the application of existing laws to AI and the implementation of AI Adopt Centres. </w:t>
      </w:r>
    </w:p>
    <w:p w14:paraId="0F81D132" w14:textId="77777777" w:rsidR="004A62D1" w:rsidRDefault="004A62D1">
      <w:pPr>
        <w:spacing w:before="0" w:after="160" w:line="259" w:lineRule="auto"/>
        <w:rPr>
          <w:rStyle w:val="Emphasis"/>
        </w:rPr>
      </w:pPr>
      <w:r>
        <w:rPr>
          <w:rStyle w:val="Emphasis"/>
        </w:rPr>
        <w:br w:type="page"/>
      </w:r>
    </w:p>
    <w:p w14:paraId="67C639AF" w14:textId="24774AEB" w:rsidR="00657166" w:rsidRPr="004A62D1" w:rsidRDefault="00657166" w:rsidP="004A62D1">
      <w:pPr>
        <w:rPr>
          <w:rStyle w:val="Emphasis"/>
        </w:rPr>
      </w:pPr>
      <w:r w:rsidRPr="004A62D1">
        <w:rPr>
          <w:rStyle w:val="Emphasis"/>
        </w:rPr>
        <w:t>Delivering quality care more efficiently</w:t>
      </w:r>
    </w:p>
    <w:p w14:paraId="3A9FEBEE" w14:textId="32945327" w:rsidR="00657166" w:rsidRDefault="00657166" w:rsidP="00657166">
      <w:pPr>
        <w:pStyle w:val="Dash"/>
      </w:pPr>
      <w:r>
        <w:t>Reforms to the National Disability Insurance Scheme (NDIS) have it on track to reach the growth target of 8 per cent a year. Aged care reforms will save around $11 billion over the next 11</w:t>
      </w:r>
      <w:r w:rsidR="006D4A87">
        <w:t> </w:t>
      </w:r>
      <w:r>
        <w:t>years, while delivering much better care and choice.</w:t>
      </w:r>
    </w:p>
    <w:p w14:paraId="242ADEE2" w14:textId="77777777" w:rsidR="00657166" w:rsidRDefault="00657166" w:rsidP="00657166">
      <w:pPr>
        <w:pStyle w:val="Dash"/>
      </w:pPr>
      <w:r>
        <w:t>Investing in a sustainable care workforce and better access to primary health care.</w:t>
      </w:r>
    </w:p>
    <w:p w14:paraId="1BB53A47" w14:textId="77777777" w:rsidR="00657166" w:rsidRPr="004A62D1" w:rsidRDefault="00657166" w:rsidP="004A62D1">
      <w:pPr>
        <w:rPr>
          <w:rStyle w:val="Emphasis"/>
        </w:rPr>
      </w:pPr>
      <w:r w:rsidRPr="004A62D1">
        <w:rPr>
          <w:rStyle w:val="Emphasis"/>
        </w:rPr>
        <w:t>Investing in cheaper, cleaner energy and the net zero transformation</w:t>
      </w:r>
    </w:p>
    <w:p w14:paraId="128975C9" w14:textId="77777777" w:rsidR="00657166" w:rsidRDefault="00657166" w:rsidP="00657166">
      <w:pPr>
        <w:pStyle w:val="Dash"/>
      </w:pPr>
      <w:r>
        <w:t xml:space="preserve">Unlocking over $70 billion in private sector investment in renewable generation and storage through the Capacity Investment Scheme, supported by over $20 billion in financing through Rewiring the Nation. </w:t>
      </w:r>
    </w:p>
    <w:p w14:paraId="39638480" w14:textId="46231737" w:rsidR="00A967D9" w:rsidRDefault="00657166" w:rsidP="00657166">
      <w:pPr>
        <w:pStyle w:val="Dash"/>
      </w:pPr>
      <w:r>
        <w:t>Reviewing the National Electricity Market and the gas market to ensure they remain fit for purpose as the energy market transforms.</w:t>
      </w:r>
    </w:p>
    <w:p w14:paraId="7A54D044" w14:textId="77777777" w:rsidR="00657166" w:rsidRDefault="00657166" w:rsidP="00657166">
      <w:pPr>
        <w:pStyle w:val="Bullet"/>
        <w:numPr>
          <w:ilvl w:val="0"/>
          <w:numId w:val="0"/>
        </w:numPr>
        <w:ind w:left="284" w:hanging="284"/>
        <w:sectPr w:rsidR="00657166" w:rsidSect="006A0AEA">
          <w:pgSz w:w="11906" w:h="16838" w:code="9"/>
          <w:pgMar w:top="1843" w:right="1417" w:bottom="1417" w:left="1417" w:header="709" w:footer="709" w:gutter="0"/>
          <w:cols w:space="708"/>
          <w:docGrid w:linePitch="360"/>
        </w:sectPr>
      </w:pPr>
    </w:p>
    <w:p w14:paraId="52F64E52" w14:textId="779E1A71" w:rsidR="00657166" w:rsidRDefault="00657166" w:rsidP="004A62D1">
      <w:pPr>
        <w:pStyle w:val="Heading1"/>
      </w:pPr>
      <w:r w:rsidRPr="004A62D1">
        <w:t>References</w:t>
      </w:r>
    </w:p>
    <w:p w14:paraId="4C06AF9B" w14:textId="5199DEE8" w:rsidR="00657166" w:rsidRPr="00657166" w:rsidRDefault="00657166" w:rsidP="00657166">
      <w:r w:rsidRPr="00657166">
        <w:t xml:space="preserve">D Andrews, J Hambur, D Hansell and A Wheeler, </w:t>
      </w:r>
      <w:r w:rsidR="00C6244C">
        <w:t>‘</w:t>
      </w:r>
      <w:hyperlink r:id="rId23" w:history="1">
        <w:r w:rsidRPr="00657166">
          <w:rPr>
            <w:rStyle w:val="Hyperlink"/>
          </w:rPr>
          <w:t>Reaching for the stars: Australian firms and the global productivity frontier</w:t>
        </w:r>
      </w:hyperlink>
      <w:r w:rsidR="00C6244C">
        <w:t>‘</w:t>
      </w:r>
      <w:r w:rsidRPr="00657166">
        <w:t>, Working Paper, Treasury, Australian Government, 2022.</w:t>
      </w:r>
    </w:p>
    <w:p w14:paraId="378B9A09" w14:textId="15452E5E" w:rsidR="00657166" w:rsidRPr="00657166" w:rsidRDefault="00657166" w:rsidP="00657166">
      <w:r w:rsidRPr="00657166">
        <w:t xml:space="preserve">E Bahar and O Lane, </w:t>
      </w:r>
      <w:r w:rsidR="00C6244C">
        <w:t>‘</w:t>
      </w:r>
      <w:hyperlink r:id="rId24" w:history="1">
        <w:r w:rsidRPr="00657166">
          <w:rPr>
            <w:rStyle w:val="Hyperlink"/>
          </w:rPr>
          <w:t>How dispersed are new technologies in the Australian job market?</w:t>
        </w:r>
      </w:hyperlink>
      <w:r w:rsidR="00C6244C">
        <w:t>‘</w:t>
      </w:r>
      <w:r w:rsidRPr="00657166">
        <w:t>, Treasury Round Up, Treasury, Australian Government, 2022</w:t>
      </w:r>
      <w:r w:rsidR="00B5615C">
        <w:t>a</w:t>
      </w:r>
      <w:r w:rsidRPr="00657166">
        <w:t>.</w:t>
      </w:r>
    </w:p>
    <w:p w14:paraId="01A1251D" w14:textId="13680C58" w:rsidR="00657166" w:rsidRPr="00657166" w:rsidRDefault="00657166" w:rsidP="00657166">
      <w:r w:rsidRPr="00657166">
        <w:t xml:space="preserve">A Bruno, J Hambur and L Wang, </w:t>
      </w:r>
      <w:r w:rsidR="00C6244C">
        <w:t>‘</w:t>
      </w:r>
      <w:hyperlink r:id="rId25" w:history="1">
        <w:r w:rsidRPr="00657166">
          <w:rPr>
            <w:rStyle w:val="Hyperlink"/>
          </w:rPr>
          <w:t>A (Closer to) Real Time Labour Quality Index</w:t>
        </w:r>
        <w:r w:rsidR="00C6244C">
          <w:rPr>
            <w:rStyle w:val="Hyperlink"/>
          </w:rPr>
          <w:t>’</w:t>
        </w:r>
      </w:hyperlink>
      <w:r w:rsidRPr="00657166">
        <w:t>, RBA Bulletin – July 2025, Reserve Bank of Australia, 2025.</w:t>
      </w:r>
    </w:p>
    <w:p w14:paraId="1E1974D9" w14:textId="2AA2709C" w:rsidR="00657166" w:rsidRPr="00657166" w:rsidRDefault="00657166" w:rsidP="00657166">
      <w:r w:rsidRPr="00657166">
        <w:t xml:space="preserve">C Criscuolo, P Gal, T Leidecker, G Nicoletti, </w:t>
      </w:r>
      <w:r w:rsidR="00C6244C">
        <w:t>‘</w:t>
      </w:r>
      <w:hyperlink r:id="rId26" w:history="1">
        <w:r w:rsidRPr="00657166">
          <w:rPr>
            <w:rStyle w:val="Hyperlink"/>
          </w:rPr>
          <w:t>The Human Side of Productivity: Uncovering the role of skills and diversity for firm productivity</w:t>
        </w:r>
      </w:hyperlink>
      <w:r w:rsidR="00C6244C">
        <w:t>‘</w:t>
      </w:r>
      <w:r w:rsidRPr="00657166">
        <w:t>, OECD Productivity Working Papers, 2021</w:t>
      </w:r>
      <w:r w:rsidR="00526AF8">
        <w:t>–</w:t>
      </w:r>
      <w:r w:rsidRPr="00657166">
        <w:t xml:space="preserve">29, OECD Publishing, Paris. </w:t>
      </w:r>
    </w:p>
    <w:p w14:paraId="51A45BDC" w14:textId="657832ED" w:rsidR="00657166" w:rsidRPr="00657166" w:rsidRDefault="00657166" w:rsidP="00657166">
      <w:r w:rsidRPr="00657166">
        <w:t xml:space="preserve">I Day, Z Duretto, P Hartigan and J Hambur, </w:t>
      </w:r>
      <w:hyperlink r:id="rId27" w:history="1">
        <w:r w:rsidRPr="00657166">
          <w:rPr>
            <w:rStyle w:val="Hyperlink"/>
            <w:i/>
            <w:iCs/>
          </w:rPr>
          <w:t>Competition in Australia and its impact on productivity growth</w:t>
        </w:r>
      </w:hyperlink>
      <w:r w:rsidRPr="00657166">
        <w:t>, Treasury Round Up, Treasury, Australian Government, 2022</w:t>
      </w:r>
      <w:r w:rsidR="00B5615C">
        <w:t>b</w:t>
      </w:r>
      <w:r w:rsidRPr="00657166">
        <w:t>.</w:t>
      </w:r>
    </w:p>
    <w:p w14:paraId="2964E0A6" w14:textId="5EE42A3F" w:rsidR="00657166" w:rsidRPr="00657166" w:rsidRDefault="00657166" w:rsidP="00657166">
      <w:r w:rsidRPr="00657166">
        <w:t xml:space="preserve">L Ellis, </w:t>
      </w:r>
      <w:hyperlink r:id="rId28" w:history="1">
        <w:r w:rsidRPr="00657166">
          <w:rPr>
            <w:rStyle w:val="Hyperlink"/>
            <w:i/>
          </w:rPr>
          <w:t>Innovation and Dynamism in the Post</w:t>
        </w:r>
        <w:r w:rsidR="00C6244C">
          <w:rPr>
            <w:rStyle w:val="Hyperlink"/>
            <w:i/>
          </w:rPr>
          <w:noBreakHyphen/>
        </w:r>
        <w:r w:rsidRPr="00657166">
          <w:rPr>
            <w:rStyle w:val="Hyperlink"/>
            <w:i/>
          </w:rPr>
          <w:t>pandemic World</w:t>
        </w:r>
      </w:hyperlink>
      <w:r w:rsidRPr="00657166">
        <w:t xml:space="preserve">, Speech to the Committee for the Economic Development of Australia delivered, Reserve Bank of Australia, </w:t>
      </w:r>
      <w:r w:rsidR="00A66683" w:rsidRPr="00657166">
        <w:t>18 November 2021</w:t>
      </w:r>
      <w:r w:rsidRPr="00657166">
        <w:t>.</w:t>
      </w:r>
    </w:p>
    <w:p w14:paraId="1E0B1AAC" w14:textId="77777777" w:rsidR="00657166" w:rsidRPr="00657166" w:rsidRDefault="00657166" w:rsidP="00657166">
      <w:r w:rsidRPr="00657166">
        <w:t xml:space="preserve">S Evans, J Kamil, J Thiris, J Lipp and C de Fontenay, </w:t>
      </w:r>
      <w:hyperlink r:id="rId29" w:history="1">
        <w:r w:rsidRPr="00657166">
          <w:rPr>
            <w:rStyle w:val="Hyperlink"/>
            <w:i/>
            <w:iCs/>
          </w:rPr>
          <w:t>Why are investment hurdle rates so high? Risk or market power?,</w:t>
        </w:r>
      </w:hyperlink>
      <w:r w:rsidRPr="00657166">
        <w:t xml:space="preserve"> Staff working paper, Productivity Commission, Australian Government, 2024.</w:t>
      </w:r>
    </w:p>
    <w:p w14:paraId="2B0AEE36" w14:textId="017CAE8A" w:rsidR="00657166" w:rsidRPr="00657166" w:rsidRDefault="00657166" w:rsidP="00657166">
      <w:r w:rsidRPr="00657166">
        <w:t xml:space="preserve">J Hambur, </w:t>
      </w:r>
      <w:r w:rsidR="00C6244C">
        <w:t>‘</w:t>
      </w:r>
      <w:hyperlink r:id="rId30" w:history="1">
        <w:r w:rsidRPr="00657166">
          <w:rPr>
            <w:rStyle w:val="Hyperlink"/>
          </w:rPr>
          <w:t>Product Market Power and its Implications for the Australian Economy</w:t>
        </w:r>
      </w:hyperlink>
      <w:r w:rsidR="00C6244C">
        <w:t>‘</w:t>
      </w:r>
      <w:r w:rsidRPr="00657166">
        <w:t>, Working Paper, Treasury, Australian Government, 2021.</w:t>
      </w:r>
    </w:p>
    <w:p w14:paraId="5D614A28" w14:textId="35C88367" w:rsidR="00657166" w:rsidRPr="00657166" w:rsidRDefault="00657166" w:rsidP="00657166">
      <w:r w:rsidRPr="00657166">
        <w:t xml:space="preserve">J Hambur and D Andrews, </w:t>
      </w:r>
      <w:r w:rsidR="00C6244C">
        <w:t>‘</w:t>
      </w:r>
      <w:hyperlink r:id="rId31" w:history="1">
        <w:r w:rsidRPr="00657166">
          <w:rPr>
            <w:rStyle w:val="Hyperlink"/>
          </w:rPr>
          <w:t>Doing Less, with Less: Capital Misallocation, Investment and the Productivity Slowdown in Australia</w:t>
        </w:r>
        <w:r w:rsidR="00C6244C">
          <w:rPr>
            <w:rStyle w:val="Hyperlink"/>
          </w:rPr>
          <w:t>’</w:t>
        </w:r>
      </w:hyperlink>
      <w:r w:rsidRPr="00657166">
        <w:t>, Research Discussion Paper, Reserve Bank of Australia, 2023.</w:t>
      </w:r>
    </w:p>
    <w:p w14:paraId="7866D7BD" w14:textId="1AAC7C70" w:rsidR="00657166" w:rsidRPr="00657166" w:rsidRDefault="00657166" w:rsidP="00657166">
      <w:r w:rsidRPr="00657166">
        <w:t xml:space="preserve">W Mackey, </w:t>
      </w:r>
      <w:hyperlink r:id="rId32" w:history="1">
        <w:r w:rsidRPr="00657166">
          <w:rPr>
            <w:rStyle w:val="Hyperlink"/>
            <w:i/>
            <w:iCs/>
          </w:rPr>
          <w:t>Labour market matching across skills and regions in Australia</w:t>
        </w:r>
      </w:hyperlink>
      <w:r w:rsidRPr="00657166">
        <w:t>, Treasury Round Up, Treasury, Australian Government, 2024</w:t>
      </w:r>
      <w:r w:rsidR="00B5615C">
        <w:t>b</w:t>
      </w:r>
      <w:r w:rsidRPr="00657166">
        <w:t>.</w:t>
      </w:r>
    </w:p>
    <w:p w14:paraId="1C6F6D7E" w14:textId="18DBB164" w:rsidR="00657166" w:rsidRPr="00657166" w:rsidRDefault="00A66683" w:rsidP="00657166">
      <w:r>
        <w:t>M Plumb,</w:t>
      </w:r>
      <w:r w:rsidR="00657166" w:rsidRPr="00657166">
        <w:t xml:space="preserve"> </w:t>
      </w:r>
      <w:hyperlink r:id="rId33" w:history="1">
        <w:r w:rsidR="00657166" w:rsidRPr="00657166">
          <w:rPr>
            <w:rStyle w:val="Hyperlink"/>
            <w:i/>
            <w:iCs/>
          </w:rPr>
          <w:t>Why Productivity Matters</w:t>
        </w:r>
      </w:hyperlink>
      <w:r w:rsidR="00657166" w:rsidRPr="00657166">
        <w:t>. Speech to Australian Business Economists Annual Forecasting Conference, Sydney, 27 February 2025.</w:t>
      </w:r>
    </w:p>
    <w:p w14:paraId="79C829C0" w14:textId="77777777" w:rsidR="00657166" w:rsidRPr="00657166" w:rsidRDefault="00657166" w:rsidP="00657166">
      <w:r w:rsidRPr="00657166">
        <w:t xml:space="preserve">Productivity Commission (PC), </w:t>
      </w:r>
      <w:hyperlink r:id="rId34" w:history="1">
        <w:r w:rsidRPr="00657166">
          <w:rPr>
            <w:rStyle w:val="Hyperlink"/>
            <w:i/>
            <w:iCs/>
          </w:rPr>
          <w:t>Advances in measuring healthcare productivity</w:t>
        </w:r>
      </w:hyperlink>
      <w:r w:rsidRPr="00657166">
        <w:t>, Research Paper, PC, Australian Government, 2024.</w:t>
      </w:r>
    </w:p>
    <w:p w14:paraId="0EF6A6AF" w14:textId="578C86FF" w:rsidR="00657166" w:rsidRDefault="00657166" w:rsidP="00657166">
      <w:r w:rsidRPr="00657166">
        <w:t xml:space="preserve">Productivity Commission (PC), </w:t>
      </w:r>
      <w:hyperlink r:id="rId35" w:history="1">
        <w:r w:rsidRPr="008D2EE3">
          <w:rPr>
            <w:rStyle w:val="Hyperlink"/>
            <w:i/>
            <w:iCs/>
          </w:rPr>
          <w:t>Review of National Competition Policy Reforms</w:t>
        </w:r>
      </w:hyperlink>
      <w:r w:rsidRPr="00657166">
        <w:t>, Inquiry Report, PC, Australian Government, 2005.</w:t>
      </w:r>
    </w:p>
    <w:p w14:paraId="25B59341" w14:textId="0EE0295A" w:rsidR="00963019" w:rsidRPr="00657166" w:rsidRDefault="00963019" w:rsidP="00657166">
      <w:r>
        <w:t xml:space="preserve">Treasury, </w:t>
      </w:r>
      <w:hyperlink r:id="rId36" w:history="1">
        <w:r w:rsidRPr="00963019">
          <w:rPr>
            <w:rStyle w:val="Hyperlink"/>
            <w:i/>
            <w:iCs/>
          </w:rPr>
          <w:t>Working Future</w:t>
        </w:r>
      </w:hyperlink>
      <w:r>
        <w:t xml:space="preserve">, </w:t>
      </w:r>
      <w:r w:rsidR="00AB6DE1">
        <w:t xml:space="preserve">White Paper, </w:t>
      </w:r>
      <w:r>
        <w:t>Treasury, Australian Government, 2023.</w:t>
      </w:r>
    </w:p>
    <w:p w14:paraId="27654BD6" w14:textId="68572F26" w:rsidR="00657166" w:rsidRPr="00657166" w:rsidRDefault="00657166" w:rsidP="00657166">
      <w:r w:rsidRPr="00657166">
        <w:t xml:space="preserve">Treasury, </w:t>
      </w:r>
      <w:hyperlink r:id="rId37" w:anchor="page=11" w:history="1">
        <w:r w:rsidRPr="00657166">
          <w:rPr>
            <w:rStyle w:val="Hyperlink"/>
            <w:i/>
          </w:rPr>
          <w:t>Revitalising National Competition Policy</w:t>
        </w:r>
      </w:hyperlink>
      <w:r w:rsidRPr="00657166">
        <w:t>, Consultation Paper, Treasury, Australian Government, 2024</w:t>
      </w:r>
      <w:r w:rsidR="00B5615C">
        <w:t>a</w:t>
      </w:r>
      <w:r w:rsidRPr="00657166">
        <w:t>.</w:t>
      </w:r>
    </w:p>
    <w:p w14:paraId="45604DF0" w14:textId="35AA618F" w:rsidR="00657166" w:rsidRPr="00657166" w:rsidRDefault="00657166" w:rsidP="00657166">
      <w:r w:rsidRPr="00657166">
        <w:t xml:space="preserve">World Bank, </w:t>
      </w:r>
      <w:hyperlink r:id="rId38" w:history="1">
        <w:r w:rsidRPr="00657166">
          <w:rPr>
            <w:rStyle w:val="Hyperlink"/>
            <w:i/>
          </w:rPr>
          <w:t>Doing Business</w:t>
        </w:r>
      </w:hyperlink>
      <w:r w:rsidRPr="00657166">
        <w:t xml:space="preserve">, </w:t>
      </w:r>
      <w:r w:rsidR="006B1F96">
        <w:t xml:space="preserve">Reports from 2005 to 2020, World Bank website, </w:t>
      </w:r>
      <w:r w:rsidRPr="00657166">
        <w:t>Washington DC</w:t>
      </w:r>
      <w:r w:rsidR="006B1F96">
        <w:t>, accessed 5 August 2025</w:t>
      </w:r>
      <w:r w:rsidRPr="00657166">
        <w:t>.</w:t>
      </w:r>
    </w:p>
    <w:sectPr w:rsidR="00657166" w:rsidRPr="00657166" w:rsidSect="00295B3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871D" w14:textId="77777777" w:rsidR="00063654" w:rsidRDefault="00063654">
      <w:pPr>
        <w:spacing w:before="0" w:after="0"/>
      </w:pPr>
      <w:r>
        <w:separator/>
      </w:r>
    </w:p>
  </w:endnote>
  <w:endnote w:type="continuationSeparator" w:id="0">
    <w:p w14:paraId="554A5932" w14:textId="77777777" w:rsidR="00063654" w:rsidRDefault="000636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8297" w14:textId="01FF5C4B"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6A0AEA">
        <w:t>Productivity</w:t>
      </w:r>
    </w:fldSimple>
    <w:r w:rsidR="00103F3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1B9B" w14:textId="6F6F4E72" w:rsidR="00541660" w:rsidRPr="00541660" w:rsidRDefault="000474F7" w:rsidP="00541660">
    <w:pPr>
      <w:pStyle w:val="FooterOdd"/>
    </w:pPr>
    <w:fldSimple w:instr=" STYLEREF  &quot;Heading 1&quot;  \* MERGEFORMAT ">
      <w:r w:rsidR="00F02263">
        <w:rPr>
          <w:noProof/>
        </w:rPr>
        <w:t>Structural challenges</w:t>
      </w:r>
    </w:fldSimple>
    <w:r w:rsidR="00541660">
      <w:t xml:space="preserve"> | </w:t>
    </w:r>
    <w:r w:rsidR="00541660">
      <w:fldChar w:fldCharType="begin"/>
    </w:r>
    <w:r w:rsidR="00541660">
      <w:instrText xml:space="preserve"> PAGE   \* MERGEFORMAT </w:instrText>
    </w:r>
    <w:r w:rsidR="00541660">
      <w:fldChar w:fldCharType="separate"/>
    </w:r>
    <w:r w:rsidR="00541660">
      <w:t>2</w:t>
    </w:r>
    <w:r w:rsidR="0054166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10A4"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554B" w14:textId="77777777" w:rsidR="00063654" w:rsidRPr="00ED5A20" w:rsidRDefault="00063654" w:rsidP="000F6233">
      <w:pPr>
        <w:rPr>
          <w:color w:val="4D7861" w:themeColor="accent2"/>
        </w:rPr>
      </w:pPr>
      <w:r w:rsidRPr="00ED5A20">
        <w:rPr>
          <w:color w:val="4D7861" w:themeColor="accent2"/>
        </w:rPr>
        <w:separator/>
      </w:r>
    </w:p>
  </w:footnote>
  <w:footnote w:type="continuationSeparator" w:id="0">
    <w:p w14:paraId="17A3C1C5" w14:textId="77777777" w:rsidR="00063654" w:rsidRPr="00B737EB" w:rsidRDefault="00063654">
      <w:pPr>
        <w:spacing w:before="0" w:after="0"/>
        <w:rPr>
          <w:color w:val="2C384A" w:themeColor="accent1"/>
        </w:rPr>
      </w:pPr>
      <w:r w:rsidRPr="00B737EB">
        <w:rPr>
          <w:color w:val="2C384A"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DC8B" w14:textId="3DC7E066"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63E4"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598B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Logo&#10;&#10;Description automatically generated with medium confidence" style="width:105.75pt;height:18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709110180">
    <w:abstractNumId w:val="4"/>
  </w:num>
  <w:num w:numId="6" w16cid:durableId="306596971">
    <w:abstractNumId w:val="14"/>
  </w:num>
  <w:num w:numId="7"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0"/>
  </w:num>
  <w:num w:numId="12" w16cid:durableId="2019234066">
    <w:abstractNumId w:val="14"/>
  </w:num>
  <w:num w:numId="13" w16cid:durableId="1757362042">
    <w:abstractNumId w:val="21"/>
  </w:num>
  <w:num w:numId="14" w16cid:durableId="353965158">
    <w:abstractNumId w:val="13"/>
  </w:num>
  <w:num w:numId="15" w16cid:durableId="77220001">
    <w:abstractNumId w:val="7"/>
  </w:num>
  <w:num w:numId="16" w16cid:durableId="626086807">
    <w:abstractNumId w:val="16"/>
  </w:num>
  <w:num w:numId="17" w16cid:durableId="143200778">
    <w:abstractNumId w:val="11"/>
  </w:num>
  <w:num w:numId="18" w16cid:durableId="1054039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5"/>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7"/>
  </w:num>
  <w:num w:numId="25" w16cid:durableId="1198618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stylePaneSortMethod w:val="00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C1535"/>
    <w:rsid w:val="00011725"/>
    <w:rsid w:val="00012C62"/>
    <w:rsid w:val="0001396A"/>
    <w:rsid w:val="00015AC3"/>
    <w:rsid w:val="0002544D"/>
    <w:rsid w:val="00041403"/>
    <w:rsid w:val="0004274D"/>
    <w:rsid w:val="00043348"/>
    <w:rsid w:val="0004483F"/>
    <w:rsid w:val="00046CB4"/>
    <w:rsid w:val="000474F7"/>
    <w:rsid w:val="0005138B"/>
    <w:rsid w:val="000522B7"/>
    <w:rsid w:val="00053717"/>
    <w:rsid w:val="00056880"/>
    <w:rsid w:val="00063654"/>
    <w:rsid w:val="000661F9"/>
    <w:rsid w:val="000675D1"/>
    <w:rsid w:val="000711C3"/>
    <w:rsid w:val="00071627"/>
    <w:rsid w:val="00073521"/>
    <w:rsid w:val="000775DE"/>
    <w:rsid w:val="00087FAF"/>
    <w:rsid w:val="000900A7"/>
    <w:rsid w:val="00095D88"/>
    <w:rsid w:val="000A6E79"/>
    <w:rsid w:val="000B093F"/>
    <w:rsid w:val="000B302A"/>
    <w:rsid w:val="000C571D"/>
    <w:rsid w:val="000C5F40"/>
    <w:rsid w:val="000D62DC"/>
    <w:rsid w:val="000E0B74"/>
    <w:rsid w:val="000E7901"/>
    <w:rsid w:val="000F6233"/>
    <w:rsid w:val="00103F3C"/>
    <w:rsid w:val="0011068D"/>
    <w:rsid w:val="001118CB"/>
    <w:rsid w:val="00131DC3"/>
    <w:rsid w:val="00135E4C"/>
    <w:rsid w:val="001373F5"/>
    <w:rsid w:val="00141285"/>
    <w:rsid w:val="00151EBF"/>
    <w:rsid w:val="001574C0"/>
    <w:rsid w:val="001606CF"/>
    <w:rsid w:val="0016128D"/>
    <w:rsid w:val="00164599"/>
    <w:rsid w:val="0017089D"/>
    <w:rsid w:val="001805A8"/>
    <w:rsid w:val="0019101A"/>
    <w:rsid w:val="00195C8E"/>
    <w:rsid w:val="001972D2"/>
    <w:rsid w:val="001C358D"/>
    <w:rsid w:val="001C40A0"/>
    <w:rsid w:val="001C4A57"/>
    <w:rsid w:val="001D1E38"/>
    <w:rsid w:val="001F1B27"/>
    <w:rsid w:val="00215245"/>
    <w:rsid w:val="00221080"/>
    <w:rsid w:val="00221EC0"/>
    <w:rsid w:val="00231049"/>
    <w:rsid w:val="002314D2"/>
    <w:rsid w:val="0023305C"/>
    <w:rsid w:val="00241881"/>
    <w:rsid w:val="0024294C"/>
    <w:rsid w:val="002461BA"/>
    <w:rsid w:val="00251924"/>
    <w:rsid w:val="002524A6"/>
    <w:rsid w:val="002543D8"/>
    <w:rsid w:val="0025652F"/>
    <w:rsid w:val="002619FB"/>
    <w:rsid w:val="00263B6C"/>
    <w:rsid w:val="00267903"/>
    <w:rsid w:val="00272939"/>
    <w:rsid w:val="002749E9"/>
    <w:rsid w:val="0027590B"/>
    <w:rsid w:val="00285969"/>
    <w:rsid w:val="00295B30"/>
    <w:rsid w:val="00297B48"/>
    <w:rsid w:val="002A3BBE"/>
    <w:rsid w:val="002A74EF"/>
    <w:rsid w:val="002A7A31"/>
    <w:rsid w:val="002B3829"/>
    <w:rsid w:val="002C22EF"/>
    <w:rsid w:val="002E1FB6"/>
    <w:rsid w:val="002E454C"/>
    <w:rsid w:val="002F617F"/>
    <w:rsid w:val="00300109"/>
    <w:rsid w:val="00301755"/>
    <w:rsid w:val="00302AEF"/>
    <w:rsid w:val="0030665E"/>
    <w:rsid w:val="00306894"/>
    <w:rsid w:val="003122F4"/>
    <w:rsid w:val="0031359C"/>
    <w:rsid w:val="003268D5"/>
    <w:rsid w:val="0033755F"/>
    <w:rsid w:val="003448F6"/>
    <w:rsid w:val="003459E6"/>
    <w:rsid w:val="003475C0"/>
    <w:rsid w:val="00350759"/>
    <w:rsid w:val="00351D40"/>
    <w:rsid w:val="00354D27"/>
    <w:rsid w:val="003563F7"/>
    <w:rsid w:val="0035738A"/>
    <w:rsid w:val="00366869"/>
    <w:rsid w:val="00370350"/>
    <w:rsid w:val="00375655"/>
    <w:rsid w:val="003779BE"/>
    <w:rsid w:val="003858A6"/>
    <w:rsid w:val="00386297"/>
    <w:rsid w:val="00392DCC"/>
    <w:rsid w:val="00397BB5"/>
    <w:rsid w:val="003A5B36"/>
    <w:rsid w:val="003C24B4"/>
    <w:rsid w:val="003C6B08"/>
    <w:rsid w:val="003D5699"/>
    <w:rsid w:val="003E1AD5"/>
    <w:rsid w:val="003E20D6"/>
    <w:rsid w:val="003E4D87"/>
    <w:rsid w:val="003F1597"/>
    <w:rsid w:val="00401082"/>
    <w:rsid w:val="00410819"/>
    <w:rsid w:val="00416762"/>
    <w:rsid w:val="00416E55"/>
    <w:rsid w:val="00421955"/>
    <w:rsid w:val="0042518A"/>
    <w:rsid w:val="004276A0"/>
    <w:rsid w:val="00444A63"/>
    <w:rsid w:val="00444CDB"/>
    <w:rsid w:val="00445265"/>
    <w:rsid w:val="004559CE"/>
    <w:rsid w:val="00460E1A"/>
    <w:rsid w:val="00463DF8"/>
    <w:rsid w:val="00475085"/>
    <w:rsid w:val="00476CF6"/>
    <w:rsid w:val="00477AA8"/>
    <w:rsid w:val="00492FCB"/>
    <w:rsid w:val="004A0F11"/>
    <w:rsid w:val="004A3EAA"/>
    <w:rsid w:val="004A62D1"/>
    <w:rsid w:val="004A7D97"/>
    <w:rsid w:val="004B3CE4"/>
    <w:rsid w:val="004B5133"/>
    <w:rsid w:val="004C2902"/>
    <w:rsid w:val="004C41B6"/>
    <w:rsid w:val="004D6E37"/>
    <w:rsid w:val="004E00EA"/>
    <w:rsid w:val="004E15FD"/>
    <w:rsid w:val="004E6B14"/>
    <w:rsid w:val="004F4B92"/>
    <w:rsid w:val="00501B6C"/>
    <w:rsid w:val="00502A9D"/>
    <w:rsid w:val="00506DFA"/>
    <w:rsid w:val="00511F29"/>
    <w:rsid w:val="00516785"/>
    <w:rsid w:val="0052419D"/>
    <w:rsid w:val="00524340"/>
    <w:rsid w:val="00526AF8"/>
    <w:rsid w:val="005301F8"/>
    <w:rsid w:val="005312FC"/>
    <w:rsid w:val="00532C6D"/>
    <w:rsid w:val="0053569E"/>
    <w:rsid w:val="0053603D"/>
    <w:rsid w:val="0053742A"/>
    <w:rsid w:val="00537C85"/>
    <w:rsid w:val="00541660"/>
    <w:rsid w:val="00541D29"/>
    <w:rsid w:val="00543F23"/>
    <w:rsid w:val="005604D6"/>
    <w:rsid w:val="00562F17"/>
    <w:rsid w:val="0056582C"/>
    <w:rsid w:val="005776B2"/>
    <w:rsid w:val="00586605"/>
    <w:rsid w:val="005868DE"/>
    <w:rsid w:val="005877AC"/>
    <w:rsid w:val="00594B83"/>
    <w:rsid w:val="005966B7"/>
    <w:rsid w:val="005B15C7"/>
    <w:rsid w:val="005B5E2A"/>
    <w:rsid w:val="005C02A4"/>
    <w:rsid w:val="005C20D2"/>
    <w:rsid w:val="005C32FE"/>
    <w:rsid w:val="005C503A"/>
    <w:rsid w:val="005D024A"/>
    <w:rsid w:val="005D4BFA"/>
    <w:rsid w:val="005D4FD4"/>
    <w:rsid w:val="005D6D64"/>
    <w:rsid w:val="005E22CF"/>
    <w:rsid w:val="005E632B"/>
    <w:rsid w:val="00601650"/>
    <w:rsid w:val="00604EEF"/>
    <w:rsid w:val="00605AFD"/>
    <w:rsid w:val="0060678E"/>
    <w:rsid w:val="006123D4"/>
    <w:rsid w:val="0061445B"/>
    <w:rsid w:val="006243F6"/>
    <w:rsid w:val="00624C4B"/>
    <w:rsid w:val="006469CC"/>
    <w:rsid w:val="006546EA"/>
    <w:rsid w:val="00657166"/>
    <w:rsid w:val="006671FF"/>
    <w:rsid w:val="00670928"/>
    <w:rsid w:val="00672B5D"/>
    <w:rsid w:val="0067622C"/>
    <w:rsid w:val="00682249"/>
    <w:rsid w:val="00685CF7"/>
    <w:rsid w:val="00686165"/>
    <w:rsid w:val="006914D2"/>
    <w:rsid w:val="00691CB5"/>
    <w:rsid w:val="006923DF"/>
    <w:rsid w:val="006A0AEA"/>
    <w:rsid w:val="006A2545"/>
    <w:rsid w:val="006A37F5"/>
    <w:rsid w:val="006B0433"/>
    <w:rsid w:val="006B1F96"/>
    <w:rsid w:val="006B38FF"/>
    <w:rsid w:val="006C1892"/>
    <w:rsid w:val="006C5B73"/>
    <w:rsid w:val="006C645D"/>
    <w:rsid w:val="006D4A87"/>
    <w:rsid w:val="006E1A81"/>
    <w:rsid w:val="006E2D2A"/>
    <w:rsid w:val="006E3CC3"/>
    <w:rsid w:val="00705107"/>
    <w:rsid w:val="00706E8E"/>
    <w:rsid w:val="00722B53"/>
    <w:rsid w:val="00735F19"/>
    <w:rsid w:val="00742366"/>
    <w:rsid w:val="00744484"/>
    <w:rsid w:val="007509DD"/>
    <w:rsid w:val="00763474"/>
    <w:rsid w:val="00766184"/>
    <w:rsid w:val="007742EB"/>
    <w:rsid w:val="00782507"/>
    <w:rsid w:val="0078257B"/>
    <w:rsid w:val="00783D75"/>
    <w:rsid w:val="00784C0A"/>
    <w:rsid w:val="00787AF5"/>
    <w:rsid w:val="00791F31"/>
    <w:rsid w:val="00794B40"/>
    <w:rsid w:val="0079645C"/>
    <w:rsid w:val="00796E26"/>
    <w:rsid w:val="007A1079"/>
    <w:rsid w:val="007A1E98"/>
    <w:rsid w:val="007B2677"/>
    <w:rsid w:val="007B76AB"/>
    <w:rsid w:val="007D592B"/>
    <w:rsid w:val="007D5AA6"/>
    <w:rsid w:val="007D7A91"/>
    <w:rsid w:val="007E0796"/>
    <w:rsid w:val="007E6456"/>
    <w:rsid w:val="00811943"/>
    <w:rsid w:val="00815C81"/>
    <w:rsid w:val="008257EE"/>
    <w:rsid w:val="008311B8"/>
    <w:rsid w:val="00834243"/>
    <w:rsid w:val="008374C4"/>
    <w:rsid w:val="00841147"/>
    <w:rsid w:val="00857969"/>
    <w:rsid w:val="00862EE6"/>
    <w:rsid w:val="008660CB"/>
    <w:rsid w:val="00873159"/>
    <w:rsid w:val="00882CC4"/>
    <w:rsid w:val="00882D59"/>
    <w:rsid w:val="008844AC"/>
    <w:rsid w:val="00897F46"/>
    <w:rsid w:val="008A4CDF"/>
    <w:rsid w:val="008B4659"/>
    <w:rsid w:val="008C1BAB"/>
    <w:rsid w:val="008C7F71"/>
    <w:rsid w:val="008D2EE3"/>
    <w:rsid w:val="008D339F"/>
    <w:rsid w:val="008E24D2"/>
    <w:rsid w:val="008E6292"/>
    <w:rsid w:val="008F23EB"/>
    <w:rsid w:val="008F5DAD"/>
    <w:rsid w:val="008F7D60"/>
    <w:rsid w:val="00901D82"/>
    <w:rsid w:val="00906E61"/>
    <w:rsid w:val="00917E28"/>
    <w:rsid w:val="00925AA5"/>
    <w:rsid w:val="0093540D"/>
    <w:rsid w:val="0094019D"/>
    <w:rsid w:val="00942B84"/>
    <w:rsid w:val="00942C11"/>
    <w:rsid w:val="0094318B"/>
    <w:rsid w:val="0094351F"/>
    <w:rsid w:val="009547F8"/>
    <w:rsid w:val="00962ACF"/>
    <w:rsid w:val="00963019"/>
    <w:rsid w:val="009729D4"/>
    <w:rsid w:val="00975B81"/>
    <w:rsid w:val="00980759"/>
    <w:rsid w:val="009817B0"/>
    <w:rsid w:val="009821CE"/>
    <w:rsid w:val="009A277C"/>
    <w:rsid w:val="009A658F"/>
    <w:rsid w:val="009B088F"/>
    <w:rsid w:val="009B2249"/>
    <w:rsid w:val="009B3252"/>
    <w:rsid w:val="009C6F9F"/>
    <w:rsid w:val="009D2CFF"/>
    <w:rsid w:val="009E0CA5"/>
    <w:rsid w:val="009E171B"/>
    <w:rsid w:val="009E55F6"/>
    <w:rsid w:val="00A015E8"/>
    <w:rsid w:val="00A04609"/>
    <w:rsid w:val="00A055CE"/>
    <w:rsid w:val="00A07D47"/>
    <w:rsid w:val="00A10593"/>
    <w:rsid w:val="00A12F62"/>
    <w:rsid w:val="00A14AF1"/>
    <w:rsid w:val="00A14FE9"/>
    <w:rsid w:val="00A155F0"/>
    <w:rsid w:val="00A230D6"/>
    <w:rsid w:val="00A3749B"/>
    <w:rsid w:val="00A37D87"/>
    <w:rsid w:val="00A44B64"/>
    <w:rsid w:val="00A50D88"/>
    <w:rsid w:val="00A54654"/>
    <w:rsid w:val="00A56923"/>
    <w:rsid w:val="00A62E42"/>
    <w:rsid w:val="00A64337"/>
    <w:rsid w:val="00A64A71"/>
    <w:rsid w:val="00A66683"/>
    <w:rsid w:val="00A71C63"/>
    <w:rsid w:val="00A7236C"/>
    <w:rsid w:val="00A72960"/>
    <w:rsid w:val="00A72D8F"/>
    <w:rsid w:val="00A74815"/>
    <w:rsid w:val="00A829E1"/>
    <w:rsid w:val="00A93401"/>
    <w:rsid w:val="00A967D9"/>
    <w:rsid w:val="00A97160"/>
    <w:rsid w:val="00AB6DE1"/>
    <w:rsid w:val="00AC3196"/>
    <w:rsid w:val="00AC4065"/>
    <w:rsid w:val="00AC75E2"/>
    <w:rsid w:val="00AC7EBF"/>
    <w:rsid w:val="00AE2F90"/>
    <w:rsid w:val="00AF268E"/>
    <w:rsid w:val="00AF272B"/>
    <w:rsid w:val="00AF4AAF"/>
    <w:rsid w:val="00B03DD6"/>
    <w:rsid w:val="00B04D62"/>
    <w:rsid w:val="00B20527"/>
    <w:rsid w:val="00B214C6"/>
    <w:rsid w:val="00B3583B"/>
    <w:rsid w:val="00B36C2C"/>
    <w:rsid w:val="00B37A8F"/>
    <w:rsid w:val="00B4395A"/>
    <w:rsid w:val="00B54516"/>
    <w:rsid w:val="00B55B04"/>
    <w:rsid w:val="00B5615C"/>
    <w:rsid w:val="00B65347"/>
    <w:rsid w:val="00B65DE1"/>
    <w:rsid w:val="00B6603F"/>
    <w:rsid w:val="00B72AF0"/>
    <w:rsid w:val="00B737EB"/>
    <w:rsid w:val="00B775EE"/>
    <w:rsid w:val="00B87927"/>
    <w:rsid w:val="00BB00F3"/>
    <w:rsid w:val="00BB6121"/>
    <w:rsid w:val="00BC1535"/>
    <w:rsid w:val="00BC6E69"/>
    <w:rsid w:val="00BD26AA"/>
    <w:rsid w:val="00BD2B12"/>
    <w:rsid w:val="00BD454F"/>
    <w:rsid w:val="00BE7EA5"/>
    <w:rsid w:val="00C01DCC"/>
    <w:rsid w:val="00C04402"/>
    <w:rsid w:val="00C202B3"/>
    <w:rsid w:val="00C21EE0"/>
    <w:rsid w:val="00C23CA2"/>
    <w:rsid w:val="00C30297"/>
    <w:rsid w:val="00C50B48"/>
    <w:rsid w:val="00C52F8E"/>
    <w:rsid w:val="00C54DC8"/>
    <w:rsid w:val="00C555AC"/>
    <w:rsid w:val="00C6244C"/>
    <w:rsid w:val="00C713ED"/>
    <w:rsid w:val="00C72318"/>
    <w:rsid w:val="00C724E6"/>
    <w:rsid w:val="00C747A5"/>
    <w:rsid w:val="00C8331A"/>
    <w:rsid w:val="00C85314"/>
    <w:rsid w:val="00C95803"/>
    <w:rsid w:val="00C964E0"/>
    <w:rsid w:val="00CA0116"/>
    <w:rsid w:val="00CA4BC0"/>
    <w:rsid w:val="00CA5CA8"/>
    <w:rsid w:val="00CB0157"/>
    <w:rsid w:val="00CB28E9"/>
    <w:rsid w:val="00CB5205"/>
    <w:rsid w:val="00CC38AC"/>
    <w:rsid w:val="00CC559D"/>
    <w:rsid w:val="00CC7971"/>
    <w:rsid w:val="00CD0C13"/>
    <w:rsid w:val="00CD64FF"/>
    <w:rsid w:val="00CD654B"/>
    <w:rsid w:val="00CE031B"/>
    <w:rsid w:val="00CE223E"/>
    <w:rsid w:val="00CF3617"/>
    <w:rsid w:val="00CF3F0D"/>
    <w:rsid w:val="00CF7B5C"/>
    <w:rsid w:val="00D07AFB"/>
    <w:rsid w:val="00D101F7"/>
    <w:rsid w:val="00D145F5"/>
    <w:rsid w:val="00D15ED8"/>
    <w:rsid w:val="00D303F9"/>
    <w:rsid w:val="00D316A1"/>
    <w:rsid w:val="00D32709"/>
    <w:rsid w:val="00D329F1"/>
    <w:rsid w:val="00D355F0"/>
    <w:rsid w:val="00D42477"/>
    <w:rsid w:val="00D43AC8"/>
    <w:rsid w:val="00D50879"/>
    <w:rsid w:val="00D51610"/>
    <w:rsid w:val="00D56113"/>
    <w:rsid w:val="00D643F4"/>
    <w:rsid w:val="00D64CEC"/>
    <w:rsid w:val="00D765FE"/>
    <w:rsid w:val="00D8179E"/>
    <w:rsid w:val="00D833D9"/>
    <w:rsid w:val="00D83BD9"/>
    <w:rsid w:val="00D94DCF"/>
    <w:rsid w:val="00D94EAE"/>
    <w:rsid w:val="00DA586F"/>
    <w:rsid w:val="00DB08DA"/>
    <w:rsid w:val="00DB1651"/>
    <w:rsid w:val="00DB7F09"/>
    <w:rsid w:val="00DC00E8"/>
    <w:rsid w:val="00DC1C56"/>
    <w:rsid w:val="00DC4756"/>
    <w:rsid w:val="00DC6379"/>
    <w:rsid w:val="00DC6AAD"/>
    <w:rsid w:val="00DD6217"/>
    <w:rsid w:val="00DE2763"/>
    <w:rsid w:val="00DE2A3C"/>
    <w:rsid w:val="00DE3A53"/>
    <w:rsid w:val="00DE3C77"/>
    <w:rsid w:val="00DE70F1"/>
    <w:rsid w:val="00DF6F61"/>
    <w:rsid w:val="00DF7CBD"/>
    <w:rsid w:val="00E101C6"/>
    <w:rsid w:val="00E1026C"/>
    <w:rsid w:val="00E226C2"/>
    <w:rsid w:val="00E22D51"/>
    <w:rsid w:val="00E349A7"/>
    <w:rsid w:val="00E4655F"/>
    <w:rsid w:val="00E50E7C"/>
    <w:rsid w:val="00E51545"/>
    <w:rsid w:val="00E51D9E"/>
    <w:rsid w:val="00E537D1"/>
    <w:rsid w:val="00E567E6"/>
    <w:rsid w:val="00E56971"/>
    <w:rsid w:val="00E61484"/>
    <w:rsid w:val="00E659C7"/>
    <w:rsid w:val="00E70136"/>
    <w:rsid w:val="00E7017C"/>
    <w:rsid w:val="00E711D7"/>
    <w:rsid w:val="00E815E1"/>
    <w:rsid w:val="00E8312A"/>
    <w:rsid w:val="00E902B0"/>
    <w:rsid w:val="00E902E8"/>
    <w:rsid w:val="00E9296B"/>
    <w:rsid w:val="00E97C19"/>
    <w:rsid w:val="00EA1226"/>
    <w:rsid w:val="00EA23AC"/>
    <w:rsid w:val="00EA398F"/>
    <w:rsid w:val="00EA7C3D"/>
    <w:rsid w:val="00EB4B0B"/>
    <w:rsid w:val="00EB6878"/>
    <w:rsid w:val="00EC1E0E"/>
    <w:rsid w:val="00EC236D"/>
    <w:rsid w:val="00EC6B16"/>
    <w:rsid w:val="00ED5A20"/>
    <w:rsid w:val="00EE1447"/>
    <w:rsid w:val="00EE1BF1"/>
    <w:rsid w:val="00EE4864"/>
    <w:rsid w:val="00EE7744"/>
    <w:rsid w:val="00EE7CF0"/>
    <w:rsid w:val="00EF03E1"/>
    <w:rsid w:val="00EF145E"/>
    <w:rsid w:val="00EF1B44"/>
    <w:rsid w:val="00EF2BBB"/>
    <w:rsid w:val="00F0082D"/>
    <w:rsid w:val="00F015AB"/>
    <w:rsid w:val="00F02263"/>
    <w:rsid w:val="00F045E0"/>
    <w:rsid w:val="00F07C90"/>
    <w:rsid w:val="00F20F8A"/>
    <w:rsid w:val="00F21855"/>
    <w:rsid w:val="00F304A4"/>
    <w:rsid w:val="00F33DB8"/>
    <w:rsid w:val="00F3539F"/>
    <w:rsid w:val="00F51D7F"/>
    <w:rsid w:val="00F5365A"/>
    <w:rsid w:val="00F57113"/>
    <w:rsid w:val="00F57BED"/>
    <w:rsid w:val="00F60198"/>
    <w:rsid w:val="00F669CD"/>
    <w:rsid w:val="00F737DB"/>
    <w:rsid w:val="00F7613A"/>
    <w:rsid w:val="00F82746"/>
    <w:rsid w:val="00F836F9"/>
    <w:rsid w:val="00F845D7"/>
    <w:rsid w:val="00F92279"/>
    <w:rsid w:val="00FB4D21"/>
    <w:rsid w:val="00FB762B"/>
    <w:rsid w:val="00FC1B77"/>
    <w:rsid w:val="00FC6ADA"/>
    <w:rsid w:val="00FE78D9"/>
    <w:rsid w:val="00FF06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F94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BE"/>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670928"/>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670928"/>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670928"/>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670928"/>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670928"/>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670928"/>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928"/>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70928"/>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670928"/>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670928"/>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670928"/>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670928"/>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670928"/>
    <w:pPr>
      <w:keepNext/>
      <w:spacing w:before="0" w:after="0"/>
      <w:jc w:val="center"/>
    </w:pPr>
    <w:rPr>
      <w:color w:val="004A7F"/>
      <w:sz w:val="20"/>
    </w:rPr>
  </w:style>
  <w:style w:type="paragraph" w:customStyle="1" w:styleId="AlphaParagraph">
    <w:name w:val="Alpha Paragraph"/>
    <w:basedOn w:val="Normal"/>
    <w:qFormat/>
    <w:rsid w:val="00670928"/>
    <w:pPr>
      <w:numPr>
        <w:ilvl w:val="1"/>
        <w:numId w:val="10"/>
      </w:numPr>
      <w:spacing w:before="0"/>
    </w:pPr>
  </w:style>
  <w:style w:type="character" w:customStyle="1" w:styleId="DashChar">
    <w:name w:val="Dash Char"/>
    <w:basedOn w:val="DefaultParagraphFont"/>
    <w:link w:val="Dash"/>
    <w:uiPriority w:val="99"/>
    <w:locked/>
    <w:rsid w:val="00670928"/>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670928"/>
    <w:rPr>
      <w:rFonts w:ascii="Calibri Light" w:eastAsia="Times New Roman" w:hAnsi="Calibri Light" w:cs="Times New Roman"/>
      <w:szCs w:val="20"/>
      <w:lang w:eastAsia="en-AU"/>
    </w:rPr>
  </w:style>
  <w:style w:type="character" w:customStyle="1" w:styleId="BulletChar">
    <w:name w:val="Bullet Char"/>
    <w:aliases w:val="Body Char,b Char,b + line Char,b1 Char,level 1 Char,Bullet + line Char,Bullets Char,L Char,List Paragraph1 Char,List Paragraph11 Char,List Paragraph2 Char,Number Char,Recommendation Char,b + line Char Char,b Char Char,L C,CV text Char"/>
    <w:basedOn w:val="DefaultParagraphFont"/>
    <w:link w:val="Bullet"/>
    <w:locked/>
    <w:rsid w:val="00670928"/>
    <w:rPr>
      <w:rFonts w:ascii="Calibri Light" w:eastAsia="Times New Roman" w:hAnsi="Calibri Light" w:cs="Times New Roman"/>
      <w:szCs w:val="20"/>
      <w:lang w:eastAsia="en-AU"/>
    </w:rPr>
  </w:style>
  <w:style w:type="paragraph" w:customStyle="1" w:styleId="BoxHeading">
    <w:name w:val="Box Heading"/>
    <w:basedOn w:val="Normal"/>
    <w:next w:val="Normal"/>
    <w:rsid w:val="00670928"/>
    <w:pPr>
      <w:keepNext/>
      <w:spacing w:before="240"/>
    </w:pPr>
    <w:rPr>
      <w:b/>
      <w:color w:val="2C384A" w:themeColor="accent1"/>
      <w:sz w:val="26"/>
      <w:szCs w:val="26"/>
    </w:rPr>
  </w:style>
  <w:style w:type="paragraph" w:customStyle="1" w:styleId="BoxText">
    <w:name w:val="Box Text"/>
    <w:basedOn w:val="Normal"/>
    <w:link w:val="BoxTextChar"/>
    <w:rsid w:val="00670928"/>
  </w:style>
  <w:style w:type="paragraph" w:customStyle="1" w:styleId="Bullet">
    <w:name w:val="Bullet"/>
    <w:aliases w:val="Body,b,b + line,b1,level 1,Bullet + line,BodyNum,Bullet Char1,Bullet Char1 Char Char Char,Bullet Char1 Char Char Char Char,Bullet Char1 Char Char Char Char Char,b1 Char Char Char,bulleted,CG-Bullet"/>
    <w:basedOn w:val="Normal"/>
    <w:link w:val="BulletChar"/>
    <w:qFormat/>
    <w:rsid w:val="00670928"/>
    <w:pPr>
      <w:numPr>
        <w:numId w:val="24"/>
      </w:numPr>
      <w:tabs>
        <w:tab w:val="left" w:pos="720"/>
      </w:tabs>
      <w:spacing w:before="0" w:line="276" w:lineRule="auto"/>
    </w:pPr>
  </w:style>
  <w:style w:type="paragraph" w:customStyle="1" w:styleId="ChartandTableFootnoteAlpha">
    <w:name w:val="Chart and Table Footnote Alpha"/>
    <w:rsid w:val="00670928"/>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70928"/>
    <w:pPr>
      <w:jc w:val="center"/>
    </w:pPr>
  </w:style>
  <w:style w:type="paragraph" w:customStyle="1" w:styleId="ChartorTableNote">
    <w:name w:val="Chart or Table Note"/>
    <w:next w:val="Normal"/>
    <w:rsid w:val="00670928"/>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70928"/>
    <w:pPr>
      <w:jc w:val="center"/>
    </w:pPr>
    <w:rPr>
      <w:b w:val="0"/>
      <w:bCs/>
    </w:rPr>
  </w:style>
  <w:style w:type="paragraph" w:customStyle="1" w:styleId="ReportDate">
    <w:name w:val="Report Date"/>
    <w:basedOn w:val="Normal"/>
    <w:link w:val="ReportDateChar"/>
    <w:rsid w:val="00670928"/>
    <w:pPr>
      <w:keepNext/>
      <w:spacing w:before="0" w:after="360"/>
      <w:ind w:left="993"/>
    </w:pPr>
    <w:rPr>
      <w:rFonts w:asciiTheme="minorHAnsi" w:hAnsiTheme="minorHAnsi" w:cstheme="minorHAnsi"/>
      <w:color w:val="90B6F0"/>
      <w:sz w:val="32"/>
    </w:rPr>
  </w:style>
  <w:style w:type="paragraph" w:customStyle="1" w:styleId="Dash">
    <w:name w:val="Dash"/>
    <w:basedOn w:val="Normal"/>
    <w:link w:val="DashChar"/>
    <w:uiPriority w:val="99"/>
    <w:qFormat/>
    <w:rsid w:val="00670928"/>
    <w:pPr>
      <w:numPr>
        <w:ilvl w:val="1"/>
        <w:numId w:val="24"/>
      </w:numPr>
      <w:spacing w:before="0"/>
    </w:pPr>
  </w:style>
  <w:style w:type="paragraph" w:customStyle="1" w:styleId="DoubleDot">
    <w:name w:val="Double Dot"/>
    <w:basedOn w:val="Normal"/>
    <w:link w:val="DoubleDotChar"/>
    <w:uiPriority w:val="99"/>
    <w:qFormat/>
    <w:rsid w:val="00670928"/>
    <w:pPr>
      <w:numPr>
        <w:ilvl w:val="2"/>
        <w:numId w:val="24"/>
      </w:numPr>
      <w:spacing w:before="0"/>
    </w:pPr>
  </w:style>
  <w:style w:type="paragraph" w:customStyle="1" w:styleId="TableMainHeading">
    <w:name w:val="Table Main Heading"/>
    <w:basedOn w:val="Heading3"/>
    <w:next w:val="Normal"/>
    <w:rsid w:val="00670928"/>
    <w:pPr>
      <w:spacing w:before="120"/>
    </w:pPr>
    <w:rPr>
      <w:b w:val="0"/>
      <w:sz w:val="26"/>
    </w:rPr>
  </w:style>
  <w:style w:type="paragraph" w:customStyle="1" w:styleId="FooterEven">
    <w:name w:val="Footer Even"/>
    <w:basedOn w:val="Footer"/>
    <w:rsid w:val="00670928"/>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670928"/>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70928"/>
    <w:rPr>
      <w:color w:val="3A6FAF"/>
      <w:u w:val="none"/>
    </w:rPr>
  </w:style>
  <w:style w:type="paragraph" w:customStyle="1" w:styleId="OutlineNumbered1">
    <w:name w:val="Outline Numbered 1"/>
    <w:basedOn w:val="Normal"/>
    <w:rsid w:val="00670928"/>
    <w:pPr>
      <w:numPr>
        <w:numId w:val="12"/>
      </w:numPr>
      <w:spacing w:before="0"/>
    </w:pPr>
  </w:style>
  <w:style w:type="paragraph" w:customStyle="1" w:styleId="OutlineNumbered2">
    <w:name w:val="Outline Numbered 2"/>
    <w:basedOn w:val="Normal"/>
    <w:rsid w:val="00670928"/>
    <w:pPr>
      <w:numPr>
        <w:ilvl w:val="1"/>
        <w:numId w:val="12"/>
      </w:numPr>
      <w:spacing w:before="0"/>
    </w:pPr>
  </w:style>
  <w:style w:type="paragraph" w:customStyle="1" w:styleId="OutlineNumbered3">
    <w:name w:val="Outline Numbered 3"/>
    <w:basedOn w:val="Normal"/>
    <w:rsid w:val="00670928"/>
    <w:pPr>
      <w:numPr>
        <w:ilvl w:val="2"/>
        <w:numId w:val="12"/>
      </w:numPr>
      <w:spacing w:before="0"/>
    </w:pPr>
  </w:style>
  <w:style w:type="paragraph" w:customStyle="1" w:styleId="SingleParagraph">
    <w:name w:val="Single Paragraph"/>
    <w:basedOn w:val="Normal"/>
    <w:next w:val="Normal"/>
    <w:link w:val="SingleParagraphChar"/>
    <w:rsid w:val="00670928"/>
    <w:pPr>
      <w:spacing w:before="0" w:after="0"/>
    </w:pPr>
  </w:style>
  <w:style w:type="paragraph" w:customStyle="1" w:styleId="TableSecondHeading">
    <w:name w:val="Table Second Heading"/>
    <w:basedOn w:val="Normal"/>
    <w:next w:val="Normal"/>
    <w:rsid w:val="00670928"/>
    <w:pPr>
      <w:keepNext/>
      <w:spacing w:before="0" w:after="20"/>
    </w:pPr>
    <w:rPr>
      <w:b/>
      <w:color w:val="004A7F"/>
    </w:rPr>
  </w:style>
  <w:style w:type="paragraph" w:customStyle="1" w:styleId="TableColumnHeadingCentred">
    <w:name w:val="Table Column Heading Centred"/>
    <w:basedOn w:val="TableTextLeft"/>
    <w:rsid w:val="00670928"/>
    <w:pPr>
      <w:jc w:val="center"/>
    </w:pPr>
    <w:rPr>
      <w:b/>
      <w:color w:val="2C384A" w:themeColor="accent1"/>
      <w:sz w:val="20"/>
    </w:rPr>
  </w:style>
  <w:style w:type="paragraph" w:customStyle="1" w:styleId="TableColumnHeadingLeft">
    <w:name w:val="Table Column Heading Left"/>
    <w:basedOn w:val="TableTextLeft"/>
    <w:rsid w:val="00670928"/>
    <w:rPr>
      <w:b/>
      <w:color w:val="2C384A" w:themeColor="accent1"/>
      <w:sz w:val="20"/>
    </w:rPr>
  </w:style>
  <w:style w:type="paragraph" w:customStyle="1" w:styleId="TableColumnHeadingRight">
    <w:name w:val="Table Column Heading Right"/>
    <w:basedOn w:val="TableTextLeft"/>
    <w:rsid w:val="00670928"/>
    <w:pPr>
      <w:jc w:val="right"/>
    </w:pPr>
    <w:rPr>
      <w:b/>
      <w:color w:val="2C384A" w:themeColor="accent1"/>
      <w:sz w:val="20"/>
    </w:rPr>
  </w:style>
  <w:style w:type="table" w:styleId="TableGrid">
    <w:name w:val="Table Grid"/>
    <w:basedOn w:val="TableNormal"/>
    <w:rsid w:val="00670928"/>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670928"/>
    <w:pPr>
      <w:jc w:val="center"/>
    </w:pPr>
  </w:style>
  <w:style w:type="paragraph" w:customStyle="1" w:styleId="TableTextLeft">
    <w:name w:val="Table Text Left"/>
    <w:basedOn w:val="TableTextRight"/>
    <w:rsid w:val="00670928"/>
    <w:pPr>
      <w:jc w:val="left"/>
    </w:pPr>
  </w:style>
  <w:style w:type="paragraph" w:customStyle="1" w:styleId="TableTextRight">
    <w:name w:val="Table Text Right"/>
    <w:basedOn w:val="Normal"/>
    <w:rsid w:val="00670928"/>
    <w:pPr>
      <w:spacing w:before="40" w:after="40"/>
      <w:jc w:val="right"/>
    </w:pPr>
    <w:rPr>
      <w:color w:val="000000"/>
      <w:sz w:val="18"/>
    </w:rPr>
  </w:style>
  <w:style w:type="paragraph" w:styleId="TOC1">
    <w:name w:val="toc 1"/>
    <w:basedOn w:val="Normal"/>
    <w:next w:val="Normal"/>
    <w:uiPriority w:val="39"/>
    <w:rsid w:val="00670928"/>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670928"/>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670928"/>
    <w:pPr>
      <w:tabs>
        <w:tab w:val="right" w:leader="dot" w:pos="9072"/>
      </w:tabs>
      <w:spacing w:before="20" w:after="0"/>
      <w:ind w:left="284" w:right="-2"/>
    </w:pPr>
    <w:rPr>
      <w:rFonts w:cs="Calibri"/>
      <w:noProof/>
    </w:rPr>
  </w:style>
  <w:style w:type="numbering" w:customStyle="1" w:styleId="OutlineList">
    <w:name w:val="OutlineList"/>
    <w:uiPriority w:val="99"/>
    <w:rsid w:val="00670928"/>
    <w:pPr>
      <w:numPr>
        <w:numId w:val="4"/>
      </w:numPr>
    </w:pPr>
  </w:style>
  <w:style w:type="numbering" w:customStyle="1" w:styleId="BulletedList">
    <w:name w:val="Bulleted List"/>
    <w:uiPriority w:val="99"/>
    <w:rsid w:val="00670928"/>
    <w:pPr>
      <w:numPr>
        <w:numId w:val="1"/>
      </w:numPr>
    </w:pPr>
  </w:style>
  <w:style w:type="numbering" w:customStyle="1" w:styleId="BoxBulletedList">
    <w:name w:val="Box Bulleted List"/>
    <w:uiPriority w:val="99"/>
    <w:rsid w:val="00670928"/>
    <w:pPr>
      <w:numPr>
        <w:numId w:val="2"/>
      </w:numPr>
    </w:pPr>
  </w:style>
  <w:style w:type="numbering" w:customStyle="1" w:styleId="OneLevelList">
    <w:name w:val="OneLevelList"/>
    <w:uiPriority w:val="99"/>
    <w:rsid w:val="00670928"/>
    <w:pPr>
      <w:numPr>
        <w:numId w:val="3"/>
      </w:numPr>
    </w:pPr>
  </w:style>
  <w:style w:type="numbering" w:customStyle="1" w:styleId="ChartandTableFootnoteAlphaList">
    <w:name w:val="ChartandTableFootnoteAlphaList"/>
    <w:uiPriority w:val="99"/>
    <w:rsid w:val="00670928"/>
    <w:pPr>
      <w:numPr>
        <w:numId w:val="17"/>
      </w:numPr>
    </w:pPr>
  </w:style>
  <w:style w:type="paragraph" w:customStyle="1" w:styleId="Heading1Numbered">
    <w:name w:val="Heading 1 Numbered"/>
    <w:basedOn w:val="Heading1"/>
    <w:next w:val="Normal"/>
    <w:rsid w:val="00670928"/>
    <w:pPr>
      <w:numPr>
        <w:numId w:val="8"/>
      </w:numPr>
    </w:pPr>
  </w:style>
  <w:style w:type="character" w:customStyle="1" w:styleId="SingleParagraphChar">
    <w:name w:val="Single Paragraph Char"/>
    <w:basedOn w:val="DefaultParagraphFont"/>
    <w:link w:val="SingleParagraph"/>
    <w:rsid w:val="00670928"/>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670928"/>
    <w:pPr>
      <w:numPr>
        <w:ilvl w:val="1"/>
        <w:numId w:val="8"/>
      </w:numPr>
      <w:ind w:left="284" w:hanging="284"/>
    </w:pPr>
  </w:style>
  <w:style w:type="paragraph" w:customStyle="1" w:styleId="Heading3Numbered">
    <w:name w:val="Heading 3 Numbered"/>
    <w:basedOn w:val="Heading3"/>
    <w:rsid w:val="00670928"/>
    <w:pPr>
      <w:numPr>
        <w:ilvl w:val="2"/>
        <w:numId w:val="8"/>
      </w:numPr>
      <w:ind w:left="284" w:hanging="284"/>
    </w:pPr>
  </w:style>
  <w:style w:type="paragraph" w:styleId="Title">
    <w:name w:val="Title"/>
    <w:basedOn w:val="Normal"/>
    <w:next w:val="Normal"/>
    <w:link w:val="TitleChar"/>
    <w:uiPriority w:val="10"/>
    <w:rsid w:val="00670928"/>
    <w:pPr>
      <w:tabs>
        <w:tab w:val="left" w:pos="6379"/>
      </w:tabs>
      <w:spacing w:before="2400" w:line="800" w:lineRule="exact"/>
      <w:ind w:left="992" w:right="1985"/>
      <w:contextualSpacing/>
    </w:pPr>
    <w:rPr>
      <w:rFonts w:asciiTheme="minorHAnsi" w:eastAsiaTheme="majorEastAsia" w:hAnsiTheme="minorHAnsi" w:cstheme="minorHAnsi"/>
      <w:b/>
      <w:noProof/>
      <w:color w:val="FFFFFF" w:themeColor="background1"/>
      <w:spacing w:val="5"/>
      <w:kern w:val="28"/>
      <w:sz w:val="76"/>
      <w:szCs w:val="76"/>
    </w:rPr>
  </w:style>
  <w:style w:type="character" w:customStyle="1" w:styleId="TitleChar">
    <w:name w:val="Title Char"/>
    <w:basedOn w:val="DefaultParagraphFont"/>
    <w:link w:val="Title"/>
    <w:uiPriority w:val="10"/>
    <w:rsid w:val="00670928"/>
    <w:rPr>
      <w:rFonts w:eastAsiaTheme="majorEastAsia" w:cstheme="minorHAnsi"/>
      <w:b/>
      <w:noProof/>
      <w:color w:val="FFFFFF" w:themeColor="background1"/>
      <w:spacing w:val="5"/>
      <w:kern w:val="28"/>
      <w:sz w:val="76"/>
      <w:szCs w:val="76"/>
      <w:lang w:eastAsia="en-AU"/>
    </w:rPr>
  </w:style>
  <w:style w:type="paragraph" w:styleId="Subtitle">
    <w:name w:val="Subtitle"/>
    <w:basedOn w:val="Normal"/>
    <w:next w:val="Normal"/>
    <w:link w:val="SubtitleChar"/>
    <w:uiPriority w:val="11"/>
    <w:rsid w:val="00670928"/>
    <w:pPr>
      <w:numPr>
        <w:ilvl w:val="1"/>
      </w:numPr>
      <w:spacing w:before="240" w:after="360"/>
      <w:ind w:left="993"/>
    </w:pPr>
    <w:rPr>
      <w:rFonts w:asciiTheme="minorHAnsi" w:eastAsiaTheme="majorEastAsia" w:hAnsiTheme="minorHAnsi" w:cstheme="minorHAnsi"/>
      <w:iCs/>
      <w:color w:val="B1F0CF" w:themeColor="accent4"/>
      <w:sz w:val="44"/>
      <w:szCs w:val="44"/>
    </w:rPr>
  </w:style>
  <w:style w:type="character" w:customStyle="1" w:styleId="SubtitleChar">
    <w:name w:val="Subtitle Char"/>
    <w:basedOn w:val="DefaultParagraphFont"/>
    <w:link w:val="Subtitle"/>
    <w:uiPriority w:val="11"/>
    <w:rsid w:val="00670928"/>
    <w:rPr>
      <w:rFonts w:eastAsiaTheme="majorEastAsia" w:cstheme="minorHAnsi"/>
      <w:iCs/>
      <w:color w:val="B1F0CF" w:themeColor="accent4"/>
      <w:sz w:val="44"/>
      <w:szCs w:val="44"/>
      <w:lang w:eastAsia="en-AU"/>
    </w:rPr>
  </w:style>
  <w:style w:type="character" w:styleId="SubtleEmphasis">
    <w:name w:val="Subtle Emphasis"/>
    <w:basedOn w:val="DefaultParagraphFont"/>
    <w:uiPriority w:val="19"/>
    <w:rsid w:val="00670928"/>
    <w:rPr>
      <w:i/>
      <w:iCs/>
      <w:color w:val="808080" w:themeColor="text1" w:themeTint="7F"/>
    </w:rPr>
  </w:style>
  <w:style w:type="paragraph" w:styleId="Footer">
    <w:name w:val="footer"/>
    <w:basedOn w:val="Normal"/>
    <w:link w:val="FooterChar"/>
    <w:unhideWhenUsed/>
    <w:rsid w:val="0067092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670928"/>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670928"/>
    <w:pPr>
      <w:keepNext/>
      <w:spacing w:before="0" w:after="0"/>
      <w:jc w:val="right"/>
    </w:pPr>
    <w:rPr>
      <w:color w:val="004A7F"/>
      <w:sz w:val="20"/>
    </w:rPr>
  </w:style>
  <w:style w:type="character" w:customStyle="1" w:styleId="HeaderChar">
    <w:name w:val="Header Char"/>
    <w:basedOn w:val="DefaultParagraphFont"/>
    <w:link w:val="Header"/>
    <w:uiPriority w:val="99"/>
    <w:rsid w:val="00670928"/>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670928"/>
    <w:rPr>
      <w:color w:val="808080"/>
    </w:rPr>
  </w:style>
  <w:style w:type="paragraph" w:customStyle="1" w:styleId="AppendixHeading">
    <w:name w:val="Appendix Heading"/>
    <w:basedOn w:val="Heading1"/>
    <w:next w:val="Normal"/>
    <w:rsid w:val="00670928"/>
  </w:style>
  <w:style w:type="paragraph" w:customStyle="1" w:styleId="HeadingBase">
    <w:name w:val="Heading Base"/>
    <w:rsid w:val="00670928"/>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670928"/>
    <w:rPr>
      <w:rFonts w:eastAsia="Times New Roman" w:cstheme="minorHAnsi"/>
      <w:color w:val="90B6F0"/>
      <w:sz w:val="32"/>
      <w:szCs w:val="20"/>
      <w:lang w:eastAsia="en-AU"/>
    </w:rPr>
  </w:style>
  <w:style w:type="paragraph" w:customStyle="1" w:styleId="NotesHeading">
    <w:name w:val="Notes Heading"/>
    <w:basedOn w:val="Normal"/>
    <w:rsid w:val="00670928"/>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70928"/>
    <w:pPr>
      <w:ind w:left="720"/>
      <w:contextualSpacing/>
    </w:pPr>
  </w:style>
  <w:style w:type="paragraph" w:customStyle="1" w:styleId="TableTextIndented">
    <w:name w:val="Table Text Indented"/>
    <w:basedOn w:val="TableTextLeft"/>
    <w:rsid w:val="00670928"/>
    <w:pPr>
      <w:ind w:left="284"/>
    </w:pPr>
  </w:style>
  <w:style w:type="paragraph" w:customStyle="1" w:styleId="TableHeadingContinued">
    <w:name w:val="Table Heading Continued"/>
    <w:basedOn w:val="TableMainHeading"/>
    <w:next w:val="TableGraphic"/>
    <w:rsid w:val="00670928"/>
  </w:style>
  <w:style w:type="paragraph" w:customStyle="1" w:styleId="TableGraphic">
    <w:name w:val="Table Graphic"/>
    <w:basedOn w:val="HeadingBase"/>
    <w:next w:val="Normal"/>
    <w:rsid w:val="00670928"/>
    <w:pPr>
      <w:spacing w:after="0"/>
    </w:pPr>
  </w:style>
  <w:style w:type="paragraph" w:customStyle="1" w:styleId="HeaderEven">
    <w:name w:val="Header Even"/>
    <w:basedOn w:val="Header"/>
    <w:qFormat/>
    <w:rsid w:val="00670928"/>
    <w:pPr>
      <w:jc w:val="left"/>
    </w:pPr>
    <w:rPr>
      <w:color w:val="002C47"/>
    </w:rPr>
  </w:style>
  <w:style w:type="paragraph" w:customStyle="1" w:styleId="HeaderOdd">
    <w:name w:val="Header Odd"/>
    <w:basedOn w:val="Header"/>
    <w:qFormat/>
    <w:rsid w:val="00670928"/>
    <w:rPr>
      <w:color w:val="002C47"/>
    </w:rPr>
  </w:style>
  <w:style w:type="paragraph" w:styleId="FootnoteText">
    <w:name w:val="footnote text"/>
    <w:basedOn w:val="Normal"/>
    <w:link w:val="FootnoteTextChar"/>
    <w:uiPriority w:val="99"/>
    <w:rsid w:val="00670928"/>
    <w:pPr>
      <w:spacing w:before="0" w:after="0"/>
      <w:ind w:left="397" w:hanging="397"/>
    </w:pPr>
    <w:rPr>
      <w:sz w:val="20"/>
    </w:rPr>
  </w:style>
  <w:style w:type="character" w:customStyle="1" w:styleId="FootnoteTextChar">
    <w:name w:val="Footnote Text Char"/>
    <w:basedOn w:val="DefaultParagraphFont"/>
    <w:link w:val="FootnoteText"/>
    <w:uiPriority w:val="99"/>
    <w:rsid w:val="00670928"/>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670928"/>
    <w:rPr>
      <w:sz w:val="18"/>
    </w:rPr>
  </w:style>
  <w:style w:type="paragraph" w:styleId="BalloonText">
    <w:name w:val="Balloon Text"/>
    <w:basedOn w:val="Normal"/>
    <w:link w:val="BalloonTextChar"/>
    <w:uiPriority w:val="99"/>
    <w:semiHidden/>
    <w:unhideWhenUsed/>
    <w:rsid w:val="0067092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2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670928"/>
    <w:rPr>
      <w:rFonts w:ascii="Calibri Light" w:eastAsia="Times New Roman" w:hAnsi="Calibri Light" w:cs="Times New Roman"/>
      <w:szCs w:val="20"/>
      <w:lang w:eastAsia="en-AU"/>
    </w:rPr>
  </w:style>
  <w:style w:type="paragraph" w:customStyle="1" w:styleId="Boxbullet">
    <w:name w:val="Box bullet"/>
    <w:basedOn w:val="Bullet"/>
    <w:rsid w:val="00670928"/>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670928"/>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670928"/>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670928"/>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670928"/>
    <w:rPr>
      <w:sz w:val="16"/>
      <w:szCs w:val="16"/>
    </w:rPr>
  </w:style>
  <w:style w:type="paragraph" w:styleId="CommentText">
    <w:name w:val="annotation text"/>
    <w:basedOn w:val="Normal"/>
    <w:link w:val="CommentTextChar"/>
    <w:uiPriority w:val="99"/>
    <w:unhideWhenUsed/>
    <w:rsid w:val="00670928"/>
    <w:rPr>
      <w:rFonts w:ascii="Calibri" w:hAnsi="Calibri"/>
      <w:sz w:val="20"/>
    </w:rPr>
  </w:style>
  <w:style w:type="character" w:customStyle="1" w:styleId="CommentTextChar">
    <w:name w:val="Comment Text Char"/>
    <w:basedOn w:val="DefaultParagraphFont"/>
    <w:link w:val="CommentText"/>
    <w:uiPriority w:val="99"/>
    <w:rsid w:val="00670928"/>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670928"/>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670928"/>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670928"/>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670928"/>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670928"/>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670928"/>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670928"/>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670928"/>
    <w:rPr>
      <w:rFonts w:ascii="Calibri" w:eastAsia="Times New Roman" w:hAnsi="Calibri" w:cs="Calibri"/>
      <w:b/>
      <w:color w:val="FF0000"/>
      <w:sz w:val="24"/>
      <w:szCs w:val="20"/>
      <w:lang w:eastAsia="en-AU"/>
    </w:rPr>
  </w:style>
  <w:style w:type="character" w:styleId="Emphasis">
    <w:name w:val="Emphasis"/>
    <w:basedOn w:val="DefaultParagraphFont"/>
    <w:uiPriority w:val="20"/>
    <w:rsid w:val="00670928"/>
    <w:rPr>
      <w:i/>
      <w:iCs/>
    </w:rPr>
  </w:style>
  <w:style w:type="character" w:styleId="Strong">
    <w:name w:val="Strong"/>
    <w:basedOn w:val="DefaultParagraphFont"/>
    <w:qFormat/>
    <w:rsid w:val="00670928"/>
    <w:rPr>
      <w:b/>
      <w:bCs/>
    </w:rPr>
  </w:style>
  <w:style w:type="character" w:styleId="UnresolvedMention">
    <w:name w:val="Unresolved Mention"/>
    <w:basedOn w:val="DefaultParagraphFont"/>
    <w:uiPriority w:val="99"/>
    <w:semiHidden/>
    <w:unhideWhenUsed/>
    <w:rsid w:val="006571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031B"/>
    <w:rPr>
      <w:rFonts w:ascii="Calibri Light" w:hAnsi="Calibri Light"/>
      <w:b/>
      <w:bCs/>
    </w:rPr>
  </w:style>
  <w:style w:type="character" w:customStyle="1" w:styleId="CommentSubjectChar">
    <w:name w:val="Comment Subject Char"/>
    <w:basedOn w:val="CommentTextChar"/>
    <w:link w:val="CommentSubject"/>
    <w:uiPriority w:val="99"/>
    <w:semiHidden/>
    <w:rsid w:val="00CE031B"/>
    <w:rPr>
      <w:rFonts w:ascii="Calibri Light" w:eastAsia="Times New Roman" w:hAnsi="Calibri Light" w:cs="Times New Roman"/>
      <w:b/>
      <w:bCs/>
      <w:sz w:val="20"/>
      <w:szCs w:val="20"/>
      <w:lang w:eastAsia="en-AU"/>
    </w:rPr>
  </w:style>
  <w:style w:type="paragraph" w:styleId="Revision">
    <w:name w:val="Revision"/>
    <w:hidden/>
    <w:uiPriority w:val="99"/>
    <w:semiHidden/>
    <w:rsid w:val="006B0433"/>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6B1F96"/>
    <w:rPr>
      <w:color w:val="844D9E" w:themeColor="followedHyperlink"/>
      <w:u w:val="single"/>
    </w:rPr>
  </w:style>
  <w:style w:type="paragraph" w:styleId="NoSpacing">
    <w:name w:val="No Spacing"/>
    <w:uiPriority w:val="1"/>
    <w:rsid w:val="008F7D60"/>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C6244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eader" Target="header1.xml"/><Relationship Id="rId26" Type="http://schemas.openxmlformats.org/officeDocument/2006/relationships/hyperlink" Target="https://www.oecd.org/content/dam/oecd/en/publications/reports/2021/12/the-human-side-of-productivity_6f546267/5f391ba9-en.pdf" TargetMode="Externa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hyperlink" Target="https://www.pc.gov.au/research/completed/measuring-healthcare-productivity/measuring-healthcare-productivity.pdf" TargetMode="External"/><Relationship Id="rId7" Type="http://schemas.openxmlformats.org/officeDocument/2006/relationships/image" Target="media/image2.png"/><Relationship Id="rId12" Type="http://schemas.openxmlformats.org/officeDocument/2006/relationships/hyperlink" Target="http://www.pmc.gov.au/government/commonwealth-coat-arms" TargetMode="External"/><Relationship Id="rId17" Type="http://schemas.openxmlformats.org/officeDocument/2006/relationships/chart" Target="charts/chart4.xml"/><Relationship Id="rId25" Type="http://schemas.openxmlformats.org/officeDocument/2006/relationships/hyperlink" Target="https://www.rba.gov.au/publications/bulletin/2025/jul/pdf/a-closer-to-real-time-labour-quality-index.pdf" TargetMode="External"/><Relationship Id="rId33" Type="http://schemas.openxmlformats.org/officeDocument/2006/relationships/hyperlink" Target="https://www.rba.gov.au/speeches/2025/sp-so-2025-02-27.html" TargetMode="External"/><Relationship Id="rId38" Type="http://schemas.openxmlformats.org/officeDocument/2006/relationships/hyperlink" Target="https://archive.doingbusiness.org/en/reports/global-reports/doing-business-reports"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2.xml"/><Relationship Id="rId29" Type="http://schemas.openxmlformats.org/officeDocument/2006/relationships/hyperlink" Target="https://www.pc.gov.au/research/supporting/high-investment-hurdle-rates/high-investment-hurdle-rat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yperlink" Target="https://treasury.gov.au/sites/default/files/2022-11/p2022-325290-new-tech.pdf" TargetMode="External"/><Relationship Id="rId32" Type="http://schemas.openxmlformats.org/officeDocument/2006/relationships/hyperlink" Target="https://treasury.gov.au/sites/default/files/2024-03/p2024-495252-01-labour-market.pdf" TargetMode="External"/><Relationship Id="rId37" Type="http://schemas.openxmlformats.org/officeDocument/2006/relationships/hyperlink" Target="https://treasury.gov.au/sites/default/files/2024-08/c2024-557133-cp.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treasury.gov.au/sites/default/files/2022-02/p2022-243535.pdf" TargetMode="External"/><Relationship Id="rId28" Type="http://schemas.openxmlformats.org/officeDocument/2006/relationships/hyperlink" Target="https://www.rba.gov.au/speeches/2021/sp-ag-2021-11-18.html" TargetMode="External"/><Relationship Id="rId36" Type="http://schemas.openxmlformats.org/officeDocument/2006/relationships/hyperlink" Target="https://treasury.gov.au/sites/default/files/2023-10/p2023-447996-working-future.pdf" TargetMode="External"/><Relationship Id="rId10" Type="http://schemas.openxmlformats.org/officeDocument/2006/relationships/image" Target="media/image3.wmf"/><Relationship Id="rId19" Type="http://schemas.openxmlformats.org/officeDocument/2006/relationships/footer" Target="footer1.xml"/><Relationship Id="rId31" Type="http://schemas.openxmlformats.org/officeDocument/2006/relationships/hyperlink" Target="https://www.rba.gov.au/publications/rdp/2023/pdf/rdp2023-03.pdf" TargetMode="Externa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chart" Target="charts/chart1.xml"/><Relationship Id="rId22" Type="http://schemas.openxmlformats.org/officeDocument/2006/relationships/footer" Target="footer3.xml"/><Relationship Id="rId27" Type="http://schemas.openxmlformats.org/officeDocument/2006/relationships/hyperlink" Target="https://treasury.gov.au/sites/default/files/2022-10/p2022-325290-productivity-growth.pdf" TargetMode="External"/><Relationship Id="rId30" Type="http://schemas.openxmlformats.org/officeDocument/2006/relationships/hyperlink" Target="https://treasury.gov.au/sites/default/files/2021-06/p2021-177591_product_market_power_implications_0.pdf" TargetMode="External"/><Relationship Id="rId35" Type="http://schemas.openxmlformats.org/officeDocument/2006/relationships/hyperlink" Target="https://www.pc.gov.au/inquiries/completed/national-competition-policy/report/ncp.pdf" TargetMode="External"/><Relationship Id="rId8" Type="http://schemas.openxmlformats.org/officeDocument/2006/relationships/hyperlink" Target="https://creativecommons.org/licenses/by/4.0/"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1.0854700854700855E-2"/>
          <c:y val="4.6940080031874165E-2"/>
          <c:w val="0.98149946581196579"/>
          <c:h val="0.87041990749562592"/>
        </c:manualLayout>
      </c:layout>
      <c:barChart>
        <c:barDir val="col"/>
        <c:grouping val="clustered"/>
        <c:varyColors val="0"/>
        <c:ser>
          <c:idx val="0"/>
          <c:order val="0"/>
          <c:tx>
            <c:strRef>
              <c:f>'Figure 1'!$C$24</c:f>
              <c:strCache>
                <c:ptCount val="1"/>
                <c:pt idx="0">
                  <c:v>20-year CAGR</c:v>
                </c:pt>
              </c:strCache>
            </c:strRef>
          </c:tx>
          <c:spPr>
            <a:solidFill>
              <a:schemeClr val="accent1"/>
            </a:solidFill>
            <a:ln>
              <a:noFill/>
            </a:ln>
            <a:effectLst/>
          </c:spPr>
          <c:invertIfNegative val="0"/>
          <c:dLbls>
            <c:dLbl>
              <c:idx val="0"/>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BF1-44FA-893C-4F00C4097401}"/>
                </c:ext>
              </c:extLst>
            </c:dLbl>
            <c:dLbl>
              <c:idx val="1"/>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BF1-44FA-893C-4F00C4097401}"/>
                </c:ext>
              </c:extLst>
            </c:dLbl>
            <c:dLbl>
              <c:idx val="2"/>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BF1-44FA-893C-4F00C4097401}"/>
                </c:ext>
              </c:extLst>
            </c:dLbl>
            <c:dLbl>
              <c:idx val="3"/>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BF1-44FA-893C-4F00C4097401}"/>
                </c:ext>
              </c:extLst>
            </c:dLbl>
            <c:dLbl>
              <c:idx val="4"/>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BF1-44FA-893C-4F00C4097401}"/>
                </c:ext>
              </c:extLst>
            </c:dLbl>
            <c:dLbl>
              <c:idx val="5"/>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BF1-44FA-893C-4F00C4097401}"/>
                </c:ext>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1'!$B$25:$B$30</c:f>
              <c:strCache>
                <c:ptCount val="6"/>
                <c:pt idx="0">
                  <c:v>1960s</c:v>
                </c:pt>
                <c:pt idx="1">
                  <c:v>1970s</c:v>
                </c:pt>
                <c:pt idx="2">
                  <c:v>1980s</c:v>
                </c:pt>
                <c:pt idx="3">
                  <c:v>1990s</c:v>
                </c:pt>
                <c:pt idx="4">
                  <c:v>2000s</c:v>
                </c:pt>
                <c:pt idx="5">
                  <c:v>2010s</c:v>
                </c:pt>
              </c:strCache>
            </c:strRef>
          </c:cat>
          <c:val>
            <c:numRef>
              <c:f>'Figure 1'!$C$25:$C$30</c:f>
              <c:numCache>
                <c:formatCode>0.00</c:formatCode>
                <c:ptCount val="6"/>
                <c:pt idx="0">
                  <c:v>2.4129142931079706</c:v>
                </c:pt>
                <c:pt idx="1">
                  <c:v>2.4048495403762526</c:v>
                </c:pt>
                <c:pt idx="2">
                  <c:v>1.2119253461369217</c:v>
                </c:pt>
                <c:pt idx="3">
                  <c:v>2.2606502191354849</c:v>
                </c:pt>
                <c:pt idx="4">
                  <c:v>1.4243236021016736</c:v>
                </c:pt>
                <c:pt idx="5">
                  <c:v>1.1260833249640001</c:v>
                </c:pt>
              </c:numCache>
            </c:numRef>
          </c:val>
          <c:extLst>
            <c:ext xmlns:c16="http://schemas.microsoft.com/office/drawing/2014/chart" uri="{C3380CC4-5D6E-409C-BE32-E72D297353CC}">
              <c16:uniqueId val="{00000006-CBF1-44FA-893C-4F00C4097401}"/>
            </c:ext>
          </c:extLst>
        </c:ser>
        <c:dLbls>
          <c:showLegendKey val="0"/>
          <c:showVal val="1"/>
          <c:showCatName val="0"/>
          <c:showSerName val="0"/>
          <c:showPercent val="0"/>
          <c:showBubbleSize val="0"/>
        </c:dLbls>
        <c:gapWidth val="50"/>
        <c:axId val="601561808"/>
        <c:axId val="548003296"/>
      </c:barChart>
      <c:catAx>
        <c:axId val="601561808"/>
        <c:scaling>
          <c:orientation val="minMax"/>
        </c:scaling>
        <c:delete val="0"/>
        <c:axPos val="b"/>
        <c:numFmt formatCode="General" sourceLinked="1"/>
        <c:majorTickMark val="out"/>
        <c:minorTickMark val="none"/>
        <c:tickLblPos val="low"/>
        <c:spPr>
          <a:noFill/>
          <a:ln w="9525" cap="flat" cmpd="sng" algn="ctr">
            <a:solidFill>
              <a:srgbClr val="010000"/>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003296"/>
        <c:crosses val="autoZero"/>
        <c:auto val="1"/>
        <c:lblAlgn val="ctr"/>
        <c:lblOffset val="100"/>
        <c:noMultiLvlLbl val="0"/>
      </c:catAx>
      <c:valAx>
        <c:axId val="548003296"/>
        <c:scaling>
          <c:orientation val="minMax"/>
        </c:scaling>
        <c:delete val="0"/>
        <c:axPos val="l"/>
        <c:majorGridlines>
          <c:spPr>
            <a:ln w="3175" cap="flat" cmpd="sng" algn="ctr">
              <a:solidFill>
                <a:srgbClr val="808080">
                  <a:alpha val="40000"/>
                </a:srgbClr>
              </a:solidFill>
              <a:prstDash val="solid"/>
              <a:round/>
              <a:headEnd type="none" w="med" len="med"/>
              <a:tailEnd type="none" w="med" len="med"/>
            </a:ln>
            <a:effectLst/>
          </c:spPr>
        </c:majorGridlines>
        <c:title>
          <c:tx>
            <c:rich>
              <a:bodyPr rot="0" spcFirstLastPara="1" vertOverflow="ellipsis" wrap="square" anchor="ctr" anchorCtr="1"/>
              <a:lstStyle/>
              <a:p>
                <a:pPr>
                  <a:defRPr sz="1000" b="1" i="0" u="none" strike="noStrike" kern="1200" baseline="0">
                    <a:solidFill>
                      <a:sysClr val="windowText" lastClr="000000"/>
                    </a:solidFill>
                    <a:latin typeface="+mn-lt"/>
                    <a:ea typeface="+mn-ea"/>
                    <a:cs typeface="+mn-cs"/>
                  </a:defRPr>
                </a:pPr>
                <a:r>
                  <a:rPr lang="en-AU" b="1"/>
                  <a:t>Per cent</a:t>
                </a:r>
              </a:p>
            </c:rich>
          </c:tx>
          <c:layout>
            <c:manualLayout>
              <c:xMode val="edge"/>
              <c:yMode val="edge"/>
              <c:x val="2.7136752136752138E-3"/>
              <c:y val="0"/>
            </c:manualLayout>
          </c:layout>
          <c:overlay val="0"/>
          <c:spPr>
            <a:noFill/>
            <a:ln>
              <a:noFill/>
            </a:ln>
            <a:effectLst/>
          </c:spPr>
          <c:txPr>
            <a:bodyPr rot="0" spcFirstLastPara="1" vertOverflow="ellipsis"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0"/>
        <c:majorTickMark val="in"/>
        <c:minorTickMark val="none"/>
        <c:tickLblPos val="nextTo"/>
        <c:spPr>
          <a:noFill/>
          <a:ln w="9525">
            <a:noFill/>
            <a:prstDash val="solid"/>
          </a:ln>
          <a:effectLst/>
          <a:extLst>
            <a:ext uri="{91240B29-F687-4F45-9708-019B960494DF}">
              <a14:hiddenLine xmlns:a14="http://schemas.microsoft.com/office/drawing/2010/main" w="9525">
                <a:solidFill>
                  <a:srgbClr val="010000"/>
                </a:solidFill>
                <a:prstDash val="solid"/>
              </a14:hiddenLine>
            </a:ext>
          </a:ex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1561808"/>
        <c:crosses val="autoZero"/>
        <c:crossBetween val="between"/>
        <c:majorUnit val="1"/>
      </c:valAx>
      <c:spPr>
        <a:noFill/>
        <a:ln w="25400">
          <a:noFill/>
        </a:ln>
        <a:effectLst/>
        <a:extLst>
          <a:ext uri="{909E8E84-426E-40DD-AFC4-6F175D3DCCD1}">
            <a14:hiddenFill xmlns:a14="http://schemas.microsoft.com/office/drawing/2010/main">
              <a:noFill/>
            </a14:hiddenFill>
          </a:ext>
        </a:ex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1.0854700854700855E-2"/>
          <c:y val="4.6845138888888888E-2"/>
          <c:w val="0.97879935897435899"/>
          <c:h val="0.86645208333333334"/>
        </c:manualLayout>
      </c:layout>
      <c:barChart>
        <c:barDir val="col"/>
        <c:grouping val="clustered"/>
        <c:varyColors val="0"/>
        <c:ser>
          <c:idx val="0"/>
          <c:order val="0"/>
          <c:tx>
            <c:strRef>
              <c:f>'Figure 2'!$B$29</c:f>
              <c:strCache>
                <c:ptCount val="1"/>
                <c:pt idx="0">
                  <c:v>20-year average to 2015</c:v>
                </c:pt>
              </c:strCache>
            </c:strRef>
          </c:tx>
          <c:spPr>
            <a:solidFill>
              <a:schemeClr val="accent1"/>
            </a:solidFill>
            <a:ln>
              <a:noFill/>
            </a:ln>
            <a:effectLst/>
          </c:spPr>
          <c:invertIfNegative val="0"/>
          <c:cat>
            <c:strRef>
              <c:f>'Figure 2'!$A$30:$A$38</c:f>
              <c:strCache>
                <c:ptCount val="9"/>
                <c:pt idx="0">
                  <c:v>Australia</c:v>
                </c:pt>
                <c:pt idx="1">
                  <c:v>United States</c:v>
                </c:pt>
                <c:pt idx="2">
                  <c:v>Japan</c:v>
                </c:pt>
                <c:pt idx="3">
                  <c:v>United Kingdom</c:v>
                </c:pt>
                <c:pt idx="4">
                  <c:v>Canada</c:v>
                </c:pt>
                <c:pt idx="5">
                  <c:v>New Zealand</c:v>
                </c:pt>
                <c:pt idx="6">
                  <c:v>France</c:v>
                </c:pt>
                <c:pt idx="7">
                  <c:v>Germany</c:v>
                </c:pt>
                <c:pt idx="8">
                  <c:v>Italy</c:v>
                </c:pt>
              </c:strCache>
            </c:strRef>
          </c:cat>
          <c:val>
            <c:numRef>
              <c:f>'Figure 2'!$B$30:$B$38</c:f>
              <c:numCache>
                <c:formatCode>0.0</c:formatCode>
                <c:ptCount val="9"/>
                <c:pt idx="0">
                  <c:v>1.7207981607526568</c:v>
                </c:pt>
                <c:pt idx="1">
                  <c:v>1.8333311206124137</c:v>
                </c:pt>
                <c:pt idx="2">
                  <c:v>1.3984956654986336</c:v>
                </c:pt>
                <c:pt idx="3">
                  <c:v>1.3664249057964151</c:v>
                </c:pt>
                <c:pt idx="4">
                  <c:v>1.151550751935515</c:v>
                </c:pt>
                <c:pt idx="5">
                  <c:v>1.1607326070254276</c:v>
                </c:pt>
                <c:pt idx="6">
                  <c:v>1.1734519752881756</c:v>
                </c:pt>
                <c:pt idx="7">
                  <c:v>1.1645224905867169</c:v>
                </c:pt>
                <c:pt idx="8">
                  <c:v>0.33207513689468282</c:v>
                </c:pt>
              </c:numCache>
            </c:numRef>
          </c:val>
          <c:extLst>
            <c:ext xmlns:c16="http://schemas.microsoft.com/office/drawing/2014/chart" uri="{C3380CC4-5D6E-409C-BE32-E72D297353CC}">
              <c16:uniqueId val="{00000000-F4CD-4F49-B4B0-3C5618FEAAAA}"/>
            </c:ext>
          </c:extLst>
        </c:ser>
        <c:ser>
          <c:idx val="1"/>
          <c:order val="1"/>
          <c:tx>
            <c:strRef>
              <c:f>'Figure 2'!$C$29</c:f>
              <c:strCache>
                <c:ptCount val="1"/>
                <c:pt idx="0">
                  <c:v>20-year average to 2019</c:v>
                </c:pt>
              </c:strCache>
            </c:strRef>
          </c:tx>
          <c:spPr>
            <a:solidFill>
              <a:schemeClr val="accent2"/>
            </a:solidFill>
            <a:ln>
              <a:noFill/>
            </a:ln>
            <a:effectLst/>
          </c:spPr>
          <c:invertIfNegative val="0"/>
          <c:cat>
            <c:strRef>
              <c:f>'Figure 2'!$A$30:$A$38</c:f>
              <c:strCache>
                <c:ptCount val="9"/>
                <c:pt idx="0">
                  <c:v>Australia</c:v>
                </c:pt>
                <c:pt idx="1">
                  <c:v>United States</c:v>
                </c:pt>
                <c:pt idx="2">
                  <c:v>Japan</c:v>
                </c:pt>
                <c:pt idx="3">
                  <c:v>United Kingdom</c:v>
                </c:pt>
                <c:pt idx="4">
                  <c:v>Canada</c:v>
                </c:pt>
                <c:pt idx="5">
                  <c:v>New Zealand</c:v>
                </c:pt>
                <c:pt idx="6">
                  <c:v>France</c:v>
                </c:pt>
                <c:pt idx="7">
                  <c:v>Germany</c:v>
                </c:pt>
                <c:pt idx="8">
                  <c:v>Italy</c:v>
                </c:pt>
              </c:strCache>
            </c:strRef>
          </c:cat>
          <c:val>
            <c:numRef>
              <c:f>'Figure 2'!$C$30:$C$38</c:f>
              <c:numCache>
                <c:formatCode>0.0</c:formatCode>
                <c:ptCount val="9"/>
                <c:pt idx="0">
                  <c:v>1.2663618086427464</c:v>
                </c:pt>
                <c:pt idx="1">
                  <c:v>1.5854598751572135</c:v>
                </c:pt>
                <c:pt idx="2">
                  <c:v>1.1125518928592815</c:v>
                </c:pt>
                <c:pt idx="3">
                  <c:v>0.97005270761791884</c:v>
                </c:pt>
                <c:pt idx="4">
                  <c:v>0.98667596383472667</c:v>
                </c:pt>
                <c:pt idx="5">
                  <c:v>1.0094005739141432</c:v>
                </c:pt>
                <c:pt idx="6">
                  <c:v>0.98246561855213077</c:v>
                </c:pt>
                <c:pt idx="7">
                  <c:v>1.0373506365761731</c:v>
                </c:pt>
                <c:pt idx="8">
                  <c:v>0.20915502729965674</c:v>
                </c:pt>
              </c:numCache>
            </c:numRef>
          </c:val>
          <c:extLst>
            <c:ext xmlns:c16="http://schemas.microsoft.com/office/drawing/2014/chart" uri="{C3380CC4-5D6E-409C-BE32-E72D297353CC}">
              <c16:uniqueId val="{00000001-F4CD-4F49-B4B0-3C5618FEAAAA}"/>
            </c:ext>
          </c:extLst>
        </c:ser>
        <c:ser>
          <c:idx val="2"/>
          <c:order val="2"/>
          <c:tx>
            <c:strRef>
              <c:f>'Figure 2'!$D$29</c:f>
              <c:strCache>
                <c:ptCount val="1"/>
                <c:pt idx="0">
                  <c:v>20-year average to 2023</c:v>
                </c:pt>
              </c:strCache>
            </c:strRef>
          </c:tx>
          <c:spPr>
            <a:solidFill>
              <a:schemeClr val="accent3"/>
            </a:solidFill>
            <a:ln>
              <a:noFill/>
            </a:ln>
            <a:effectLst/>
          </c:spPr>
          <c:invertIfNegative val="0"/>
          <c:cat>
            <c:strRef>
              <c:f>'Figure 2'!$A$30:$A$38</c:f>
              <c:strCache>
                <c:ptCount val="9"/>
                <c:pt idx="0">
                  <c:v>Australia</c:v>
                </c:pt>
                <c:pt idx="1">
                  <c:v>United States</c:v>
                </c:pt>
                <c:pt idx="2">
                  <c:v>Japan</c:v>
                </c:pt>
                <c:pt idx="3">
                  <c:v>United Kingdom</c:v>
                </c:pt>
                <c:pt idx="4">
                  <c:v>Canada</c:v>
                </c:pt>
                <c:pt idx="5">
                  <c:v>New Zealand</c:v>
                </c:pt>
                <c:pt idx="6">
                  <c:v>France</c:v>
                </c:pt>
                <c:pt idx="7">
                  <c:v>Germany</c:v>
                </c:pt>
                <c:pt idx="8">
                  <c:v>Italy</c:v>
                </c:pt>
              </c:strCache>
            </c:strRef>
          </c:cat>
          <c:val>
            <c:numRef>
              <c:f>'Figure 2'!$D$30:$D$38</c:f>
              <c:numCache>
                <c:formatCode>0.0</c:formatCode>
                <c:ptCount val="9"/>
                <c:pt idx="0">
                  <c:v>0.80889060123419121</c:v>
                </c:pt>
                <c:pt idx="1">
                  <c:v>1.3699322952883897</c:v>
                </c:pt>
                <c:pt idx="2">
                  <c:v>0.88110878450700092</c:v>
                </c:pt>
                <c:pt idx="3">
                  <c:v>0.55328923794621954</c:v>
                </c:pt>
                <c:pt idx="4">
                  <c:v>0.69362195183328978</c:v>
                </c:pt>
                <c:pt idx="5">
                  <c:v>0.72447527168015835</c:v>
                </c:pt>
                <c:pt idx="6">
                  <c:v>0.46151807302454717</c:v>
                </c:pt>
                <c:pt idx="7">
                  <c:v>0.78740153581529082</c:v>
                </c:pt>
                <c:pt idx="8">
                  <c:v>0.13145702281356364</c:v>
                </c:pt>
              </c:numCache>
            </c:numRef>
          </c:val>
          <c:extLst>
            <c:ext xmlns:c16="http://schemas.microsoft.com/office/drawing/2014/chart" uri="{C3380CC4-5D6E-409C-BE32-E72D297353CC}">
              <c16:uniqueId val="{00000002-F4CD-4F49-B4B0-3C5618FEAAAA}"/>
            </c:ext>
          </c:extLst>
        </c:ser>
        <c:dLbls>
          <c:showLegendKey val="0"/>
          <c:showVal val="0"/>
          <c:showCatName val="0"/>
          <c:showSerName val="0"/>
          <c:showPercent val="0"/>
          <c:showBubbleSize val="0"/>
        </c:dLbls>
        <c:gapWidth val="50"/>
        <c:axId val="1180252463"/>
        <c:axId val="1180246703"/>
      </c:barChart>
      <c:catAx>
        <c:axId val="1180252463"/>
        <c:scaling>
          <c:orientation val="minMax"/>
        </c:scaling>
        <c:delete val="0"/>
        <c:axPos val="b"/>
        <c:numFmt formatCode="General" sourceLinked="1"/>
        <c:majorTickMark val="out"/>
        <c:minorTickMark val="none"/>
        <c:tickLblPos val="low"/>
        <c:spPr>
          <a:noFill/>
          <a:ln w="9525" cap="flat" cmpd="sng" algn="ctr">
            <a:solidFill>
              <a:srgbClr val="01000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180246703"/>
        <c:crosses val="autoZero"/>
        <c:auto val="1"/>
        <c:lblAlgn val="ctr"/>
        <c:lblOffset val="100"/>
        <c:tickMarkSkip val="1"/>
        <c:noMultiLvlLbl val="0"/>
      </c:catAx>
      <c:valAx>
        <c:axId val="1180246703"/>
        <c:scaling>
          <c:orientation val="minMax"/>
        </c:scaling>
        <c:delete val="0"/>
        <c:axPos val="l"/>
        <c:majorGridlines>
          <c:spPr>
            <a:ln w="3175" cap="flat" cmpd="sng" algn="ctr">
              <a:solidFill>
                <a:srgbClr val="808080">
                  <a:alpha val="40000"/>
                </a:srgbClr>
              </a:solidFill>
              <a:prstDash val="solid"/>
              <a:round/>
              <a:headEnd type="none" w="med" len="med"/>
              <a:tailEnd type="none" w="med" len="med"/>
            </a:ln>
            <a:effectLst/>
          </c:spPr>
        </c:majorGridlines>
        <c:title>
          <c:tx>
            <c:rich>
              <a:bodyPr rot="0" spcFirstLastPara="1" vertOverflow="ellipsis" wrap="square" anchor="ctr" anchorCtr="1"/>
              <a:lstStyle/>
              <a:p>
                <a:pPr>
                  <a:defRPr sz="800" b="1" i="0" u="none" strike="noStrike" kern="1200" baseline="0">
                    <a:solidFill>
                      <a:srgbClr val="000000"/>
                    </a:solidFill>
                    <a:latin typeface="Arial"/>
                    <a:ea typeface="Arial"/>
                    <a:cs typeface="Arial"/>
                  </a:defRPr>
                </a:pPr>
                <a:r>
                  <a:rPr lang="en-AU"/>
                  <a:t>Per cent</a:t>
                </a:r>
              </a:p>
            </c:rich>
          </c:tx>
          <c:layout>
            <c:manualLayout>
              <c:xMode val="edge"/>
              <c:yMode val="edge"/>
              <c:x val="2.7136752136752138E-3"/>
              <c:y val="0"/>
            </c:manualLayout>
          </c:layout>
          <c:overlay val="0"/>
          <c:spPr>
            <a:noFill/>
            <a:ln>
              <a:noFill/>
            </a:ln>
            <a:effectLst/>
          </c:spPr>
          <c:txPr>
            <a:bodyPr rot="0" spcFirstLastPara="1" vertOverflow="ellipsis" wrap="square" anchor="ctr" anchorCtr="1"/>
            <a:lstStyle/>
            <a:p>
              <a:pPr>
                <a:defRPr sz="800" b="1" i="0" u="none" strike="noStrike" kern="1200" baseline="0">
                  <a:solidFill>
                    <a:srgbClr val="000000"/>
                  </a:solidFill>
                  <a:latin typeface="Arial"/>
                  <a:ea typeface="Arial"/>
                  <a:cs typeface="Arial"/>
                </a:defRPr>
              </a:pPr>
              <a:endParaRPr lang="en-US"/>
            </a:p>
          </c:txPr>
        </c:title>
        <c:numFmt formatCode="0.0" sourceLinked="1"/>
        <c:majorTickMark val="in"/>
        <c:minorTickMark val="none"/>
        <c:tickLblPos val="nextTo"/>
        <c:spPr>
          <a:noFill/>
          <a:ln w="9525">
            <a:noFill/>
            <a:prstDash val="solid"/>
          </a:ln>
          <a:effectLst/>
          <a:extLst>
            <a:ext uri="{91240B29-F687-4F45-9708-019B960494DF}">
              <a14:hiddenLine xmlns:a14="http://schemas.microsoft.com/office/drawing/2010/main" w="9525">
                <a:solidFill>
                  <a:srgbClr val="010000"/>
                </a:solidFill>
                <a:prstDash val="solid"/>
              </a14:hiddenLine>
            </a:ext>
          </a:ex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180252463"/>
        <c:crosses val="autoZero"/>
        <c:crossBetween val="between"/>
      </c:valAx>
      <c:spPr>
        <a:noFill/>
        <a:ln w="25400">
          <a:noFill/>
        </a:ln>
        <a:effectLst/>
        <a:extLst>
          <a:ext uri="{909E8E84-426E-40DD-AFC4-6F175D3DCCD1}">
            <a14:hiddenFill xmlns:a14="http://schemas.microsoft.com/office/drawing/2010/main">
              <a:noFill/>
            </a14:hiddenFill>
          </a:ext>
        </a:extLst>
      </c:spPr>
    </c:plotArea>
    <c:legend>
      <c:legendPos val="b"/>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50992812350492E-2"/>
          <c:y val="6.2763984936665532E-2"/>
          <c:w val="0.92770369436806099"/>
          <c:h val="0.68599383772680589"/>
        </c:manualLayout>
      </c:layout>
      <c:barChart>
        <c:barDir val="col"/>
        <c:grouping val="stacked"/>
        <c:varyColors val="0"/>
        <c:ser>
          <c:idx val="1"/>
          <c:order val="1"/>
          <c:tx>
            <c:strRef>
              <c:f>'Figure 3'!$A$32</c:f>
              <c:strCache>
                <c:ptCount val="1"/>
                <c:pt idx="0">
                  <c:v>Contribution from multifactor productivity</c:v>
                </c:pt>
              </c:strCache>
            </c:strRef>
          </c:tx>
          <c:spPr>
            <a:solidFill>
              <a:schemeClr val="accent1"/>
            </a:solidFill>
            <a:ln>
              <a:noFill/>
            </a:ln>
            <a:effectLst/>
          </c:spPr>
          <c:invertIfNegative val="0"/>
          <c:cat>
            <c:strRef>
              <c:f>'Figure 3'!$B$30:$AD$30</c:f>
              <c:strCache>
                <c:ptCount val="29"/>
                <c:pt idx="0">
                  <c:v>1996</c:v>
                </c:pt>
                <c:pt idx="2">
                  <c:v>1998</c:v>
                </c:pt>
                <c:pt idx="4">
                  <c:v>2000</c:v>
                </c:pt>
                <c:pt idx="6">
                  <c:v>2002</c:v>
                </c:pt>
                <c:pt idx="8">
                  <c:v>2004</c:v>
                </c:pt>
                <c:pt idx="10">
                  <c:v>2006</c:v>
                </c:pt>
                <c:pt idx="12">
                  <c:v>2008</c:v>
                </c:pt>
                <c:pt idx="14">
                  <c:v>2010</c:v>
                </c:pt>
                <c:pt idx="16">
                  <c:v>2012</c:v>
                </c:pt>
                <c:pt idx="18">
                  <c:v>2014</c:v>
                </c:pt>
                <c:pt idx="20">
                  <c:v>2016</c:v>
                </c:pt>
                <c:pt idx="22">
                  <c:v>2018</c:v>
                </c:pt>
                <c:pt idx="24">
                  <c:v>2020</c:v>
                </c:pt>
                <c:pt idx="26">
                  <c:v>2022</c:v>
                </c:pt>
                <c:pt idx="28">
                  <c:v>2024</c:v>
                </c:pt>
              </c:strCache>
            </c:strRef>
          </c:cat>
          <c:val>
            <c:numRef>
              <c:f>'Figure 3'!$B$32:$AD$32</c:f>
              <c:numCache>
                <c:formatCode>0.0;\-0.0;0.0;@</c:formatCode>
                <c:ptCount val="29"/>
                <c:pt idx="0">
                  <c:v>1.4</c:v>
                </c:pt>
                <c:pt idx="1">
                  <c:v>2.4</c:v>
                </c:pt>
                <c:pt idx="2">
                  <c:v>2.7</c:v>
                </c:pt>
                <c:pt idx="3">
                  <c:v>2.5</c:v>
                </c:pt>
                <c:pt idx="4">
                  <c:v>0.2</c:v>
                </c:pt>
                <c:pt idx="5">
                  <c:v>0.1</c:v>
                </c:pt>
                <c:pt idx="6">
                  <c:v>3.2</c:v>
                </c:pt>
                <c:pt idx="7">
                  <c:v>0</c:v>
                </c:pt>
                <c:pt idx="8">
                  <c:v>1.7</c:v>
                </c:pt>
                <c:pt idx="9">
                  <c:v>-0.9</c:v>
                </c:pt>
                <c:pt idx="10">
                  <c:v>-0.4</c:v>
                </c:pt>
                <c:pt idx="11">
                  <c:v>0</c:v>
                </c:pt>
                <c:pt idx="12">
                  <c:v>-0.6</c:v>
                </c:pt>
                <c:pt idx="13">
                  <c:v>-0.5</c:v>
                </c:pt>
                <c:pt idx="14">
                  <c:v>1</c:v>
                </c:pt>
                <c:pt idx="15">
                  <c:v>-0.7</c:v>
                </c:pt>
                <c:pt idx="16">
                  <c:v>1.4</c:v>
                </c:pt>
                <c:pt idx="17">
                  <c:v>0.4</c:v>
                </c:pt>
                <c:pt idx="18">
                  <c:v>1.1000000000000001</c:v>
                </c:pt>
                <c:pt idx="19">
                  <c:v>1</c:v>
                </c:pt>
                <c:pt idx="20">
                  <c:v>0.8</c:v>
                </c:pt>
                <c:pt idx="21">
                  <c:v>0.7</c:v>
                </c:pt>
                <c:pt idx="22">
                  <c:v>0.7</c:v>
                </c:pt>
                <c:pt idx="23">
                  <c:v>0.1</c:v>
                </c:pt>
                <c:pt idx="24">
                  <c:v>-0.1</c:v>
                </c:pt>
                <c:pt idx="25">
                  <c:v>0.9</c:v>
                </c:pt>
                <c:pt idx="26">
                  <c:v>2.4</c:v>
                </c:pt>
                <c:pt idx="27">
                  <c:v>-0.9</c:v>
                </c:pt>
                <c:pt idx="28">
                  <c:v>0.1</c:v>
                </c:pt>
              </c:numCache>
            </c:numRef>
          </c:val>
          <c:extLst>
            <c:ext xmlns:c16="http://schemas.microsoft.com/office/drawing/2014/chart" uri="{C3380CC4-5D6E-409C-BE32-E72D297353CC}">
              <c16:uniqueId val="{00000000-BA8F-46FE-866A-7997C6BF5C16}"/>
            </c:ext>
          </c:extLst>
        </c:ser>
        <c:ser>
          <c:idx val="2"/>
          <c:order val="2"/>
          <c:tx>
            <c:strRef>
              <c:f>'Figure 3'!$A$33</c:f>
              <c:strCache>
                <c:ptCount val="1"/>
                <c:pt idx="0">
                  <c:v>Contribution from capital deepening</c:v>
                </c:pt>
              </c:strCache>
            </c:strRef>
          </c:tx>
          <c:spPr>
            <a:solidFill>
              <a:schemeClr val="accent2"/>
            </a:solidFill>
            <a:ln>
              <a:noFill/>
            </a:ln>
            <a:effectLst/>
          </c:spPr>
          <c:invertIfNegative val="0"/>
          <c:cat>
            <c:strRef>
              <c:f>'Figure 3'!$B$30:$AD$30</c:f>
              <c:strCache>
                <c:ptCount val="29"/>
                <c:pt idx="0">
                  <c:v>1996</c:v>
                </c:pt>
                <c:pt idx="2">
                  <c:v>1998</c:v>
                </c:pt>
                <c:pt idx="4">
                  <c:v>2000</c:v>
                </c:pt>
                <c:pt idx="6">
                  <c:v>2002</c:v>
                </c:pt>
                <c:pt idx="8">
                  <c:v>2004</c:v>
                </c:pt>
                <c:pt idx="10">
                  <c:v>2006</c:v>
                </c:pt>
                <c:pt idx="12">
                  <c:v>2008</c:v>
                </c:pt>
                <c:pt idx="14">
                  <c:v>2010</c:v>
                </c:pt>
                <c:pt idx="16">
                  <c:v>2012</c:v>
                </c:pt>
                <c:pt idx="18">
                  <c:v>2014</c:v>
                </c:pt>
                <c:pt idx="20">
                  <c:v>2016</c:v>
                </c:pt>
                <c:pt idx="22">
                  <c:v>2018</c:v>
                </c:pt>
                <c:pt idx="24">
                  <c:v>2020</c:v>
                </c:pt>
                <c:pt idx="26">
                  <c:v>2022</c:v>
                </c:pt>
                <c:pt idx="28">
                  <c:v>2024</c:v>
                </c:pt>
              </c:strCache>
            </c:strRef>
          </c:cat>
          <c:val>
            <c:numRef>
              <c:f>'Figure 3'!$B$33:$AD$33</c:f>
              <c:numCache>
                <c:formatCode>0.0;\-0.0;0.0;@</c:formatCode>
                <c:ptCount val="29"/>
                <c:pt idx="0">
                  <c:v>0.60000000000000009</c:v>
                </c:pt>
                <c:pt idx="1">
                  <c:v>2.0000000000000004</c:v>
                </c:pt>
                <c:pt idx="2">
                  <c:v>1.7000000000000002</c:v>
                </c:pt>
                <c:pt idx="3">
                  <c:v>1.2000000000000002</c:v>
                </c:pt>
                <c:pt idx="4">
                  <c:v>0.3</c:v>
                </c:pt>
                <c:pt idx="5">
                  <c:v>1.2999999999999998</c:v>
                </c:pt>
                <c:pt idx="6">
                  <c:v>1.5999999999999996</c:v>
                </c:pt>
                <c:pt idx="7">
                  <c:v>0.8</c:v>
                </c:pt>
                <c:pt idx="8">
                  <c:v>1.5999999999999999</c:v>
                </c:pt>
                <c:pt idx="9">
                  <c:v>1.1000000000000001</c:v>
                </c:pt>
                <c:pt idx="10">
                  <c:v>1.7999999999999998</c:v>
                </c:pt>
                <c:pt idx="11">
                  <c:v>0.9</c:v>
                </c:pt>
                <c:pt idx="12">
                  <c:v>1.2</c:v>
                </c:pt>
                <c:pt idx="13">
                  <c:v>2.1</c:v>
                </c:pt>
                <c:pt idx="14">
                  <c:v>2.1</c:v>
                </c:pt>
                <c:pt idx="15">
                  <c:v>0.7</c:v>
                </c:pt>
                <c:pt idx="16">
                  <c:v>2.2000000000000002</c:v>
                </c:pt>
                <c:pt idx="17">
                  <c:v>2.1</c:v>
                </c:pt>
                <c:pt idx="18">
                  <c:v>1.6</c:v>
                </c:pt>
                <c:pt idx="19">
                  <c:v>1.1000000000000001</c:v>
                </c:pt>
                <c:pt idx="20">
                  <c:v>0.19999999999999996</c:v>
                </c:pt>
                <c:pt idx="21">
                  <c:v>0.60000000000000009</c:v>
                </c:pt>
                <c:pt idx="22">
                  <c:v>-0.19999999999999996</c:v>
                </c:pt>
                <c:pt idx="23">
                  <c:v>0.1</c:v>
                </c:pt>
                <c:pt idx="24">
                  <c:v>1.7000000000000002</c:v>
                </c:pt>
                <c:pt idx="25">
                  <c:v>0.9</c:v>
                </c:pt>
                <c:pt idx="26">
                  <c:v>-0.10000000000000009</c:v>
                </c:pt>
                <c:pt idx="27">
                  <c:v>-2.5</c:v>
                </c:pt>
                <c:pt idx="28">
                  <c:v>1</c:v>
                </c:pt>
              </c:numCache>
            </c:numRef>
          </c:val>
          <c:extLst>
            <c:ext xmlns:c16="http://schemas.microsoft.com/office/drawing/2014/chart" uri="{C3380CC4-5D6E-409C-BE32-E72D297353CC}">
              <c16:uniqueId val="{00000001-BA8F-46FE-866A-7997C6BF5C16}"/>
            </c:ext>
          </c:extLst>
        </c:ser>
        <c:dLbls>
          <c:showLegendKey val="0"/>
          <c:showVal val="0"/>
          <c:showCatName val="0"/>
          <c:showSerName val="0"/>
          <c:showPercent val="0"/>
          <c:showBubbleSize val="0"/>
        </c:dLbls>
        <c:gapWidth val="50"/>
        <c:overlap val="100"/>
        <c:axId val="1178211903"/>
        <c:axId val="1178213343"/>
      </c:barChart>
      <c:lineChart>
        <c:grouping val="standard"/>
        <c:varyColors val="0"/>
        <c:ser>
          <c:idx val="0"/>
          <c:order val="0"/>
          <c:tx>
            <c:strRef>
              <c:f>'Figure 3'!$A$31</c:f>
              <c:strCache>
                <c:ptCount val="1"/>
                <c:pt idx="0">
                  <c:v>Total labour productivity growth</c:v>
                </c:pt>
              </c:strCache>
            </c:strRef>
          </c:tx>
          <c:spPr>
            <a:ln w="25400" cap="rnd">
              <a:solidFill>
                <a:sysClr val="windowText" lastClr="000000"/>
              </a:solidFill>
              <a:round/>
            </a:ln>
            <a:effectLst/>
          </c:spPr>
          <c:marker>
            <c:symbol val="none"/>
          </c:marker>
          <c:cat>
            <c:strRef>
              <c:f>'Figure 3'!$B$30:$AD$30</c:f>
              <c:strCache>
                <c:ptCount val="29"/>
                <c:pt idx="0">
                  <c:v>1996</c:v>
                </c:pt>
                <c:pt idx="2">
                  <c:v>1998</c:v>
                </c:pt>
                <c:pt idx="4">
                  <c:v>2000</c:v>
                </c:pt>
                <c:pt idx="6">
                  <c:v>2002</c:v>
                </c:pt>
                <c:pt idx="8">
                  <c:v>2004</c:v>
                </c:pt>
                <c:pt idx="10">
                  <c:v>2006</c:v>
                </c:pt>
                <c:pt idx="12">
                  <c:v>2008</c:v>
                </c:pt>
                <c:pt idx="14">
                  <c:v>2010</c:v>
                </c:pt>
                <c:pt idx="16">
                  <c:v>2012</c:v>
                </c:pt>
                <c:pt idx="18">
                  <c:v>2014</c:v>
                </c:pt>
                <c:pt idx="20">
                  <c:v>2016</c:v>
                </c:pt>
                <c:pt idx="22">
                  <c:v>2018</c:v>
                </c:pt>
                <c:pt idx="24">
                  <c:v>2020</c:v>
                </c:pt>
                <c:pt idx="26">
                  <c:v>2022</c:v>
                </c:pt>
                <c:pt idx="28">
                  <c:v>2024</c:v>
                </c:pt>
              </c:strCache>
            </c:strRef>
          </c:cat>
          <c:val>
            <c:numRef>
              <c:f>'Figure 3'!$B$31:$AD$31</c:f>
              <c:numCache>
                <c:formatCode>0.0;\-0.0;0.0;@</c:formatCode>
                <c:ptCount val="29"/>
                <c:pt idx="0">
                  <c:v>2</c:v>
                </c:pt>
                <c:pt idx="1">
                  <c:v>4.4000000000000004</c:v>
                </c:pt>
                <c:pt idx="2">
                  <c:v>4.4000000000000004</c:v>
                </c:pt>
                <c:pt idx="3">
                  <c:v>3.7</c:v>
                </c:pt>
                <c:pt idx="4">
                  <c:v>0.5</c:v>
                </c:pt>
                <c:pt idx="5">
                  <c:v>1.4</c:v>
                </c:pt>
                <c:pt idx="6">
                  <c:v>4.8</c:v>
                </c:pt>
                <c:pt idx="7">
                  <c:v>0.8</c:v>
                </c:pt>
                <c:pt idx="8">
                  <c:v>3.3</c:v>
                </c:pt>
                <c:pt idx="9">
                  <c:v>0.2</c:v>
                </c:pt>
                <c:pt idx="10">
                  <c:v>1.4</c:v>
                </c:pt>
                <c:pt idx="11">
                  <c:v>0.9</c:v>
                </c:pt>
                <c:pt idx="12">
                  <c:v>0.6</c:v>
                </c:pt>
                <c:pt idx="13">
                  <c:v>1.6</c:v>
                </c:pt>
                <c:pt idx="14">
                  <c:v>3.1</c:v>
                </c:pt>
                <c:pt idx="15">
                  <c:v>0</c:v>
                </c:pt>
                <c:pt idx="16">
                  <c:v>3.6</c:v>
                </c:pt>
                <c:pt idx="17">
                  <c:v>2.5</c:v>
                </c:pt>
                <c:pt idx="18">
                  <c:v>2.7</c:v>
                </c:pt>
                <c:pt idx="19">
                  <c:v>2.1</c:v>
                </c:pt>
                <c:pt idx="20">
                  <c:v>1</c:v>
                </c:pt>
                <c:pt idx="21">
                  <c:v>1.3</c:v>
                </c:pt>
                <c:pt idx="22">
                  <c:v>0.5</c:v>
                </c:pt>
                <c:pt idx="23">
                  <c:v>0.2</c:v>
                </c:pt>
                <c:pt idx="24">
                  <c:v>1.6</c:v>
                </c:pt>
                <c:pt idx="25">
                  <c:v>1.8</c:v>
                </c:pt>
                <c:pt idx="26">
                  <c:v>2.2999999999999998</c:v>
                </c:pt>
                <c:pt idx="27">
                  <c:v>-3.4</c:v>
                </c:pt>
                <c:pt idx="28">
                  <c:v>1.1000000000000001</c:v>
                </c:pt>
              </c:numCache>
            </c:numRef>
          </c:val>
          <c:smooth val="0"/>
          <c:extLst>
            <c:ext xmlns:c16="http://schemas.microsoft.com/office/drawing/2014/chart" uri="{C3380CC4-5D6E-409C-BE32-E72D297353CC}">
              <c16:uniqueId val="{00000002-BA8F-46FE-866A-7997C6BF5C16}"/>
            </c:ext>
          </c:extLst>
        </c:ser>
        <c:dLbls>
          <c:showLegendKey val="0"/>
          <c:showVal val="0"/>
          <c:showCatName val="0"/>
          <c:showSerName val="0"/>
          <c:showPercent val="0"/>
          <c:showBubbleSize val="0"/>
        </c:dLbls>
        <c:marker val="1"/>
        <c:smooth val="0"/>
        <c:axId val="1178211903"/>
        <c:axId val="1178213343"/>
      </c:lineChart>
      <c:catAx>
        <c:axId val="1178211903"/>
        <c:scaling>
          <c:orientation val="minMax"/>
        </c:scaling>
        <c:delete val="0"/>
        <c:axPos val="b"/>
        <c:numFmt formatCode="General" sourceLinked="1"/>
        <c:majorTickMark val="cross"/>
        <c:minorTickMark val="none"/>
        <c:tickLblPos val="low"/>
        <c:spPr>
          <a:noFill/>
          <a:ln w="9525" cap="flat" cmpd="sng" algn="ctr">
            <a:solidFill>
              <a:srgbClr val="01000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178213343"/>
        <c:crosses val="autoZero"/>
        <c:auto val="1"/>
        <c:lblAlgn val="ctr"/>
        <c:lblOffset val="100"/>
        <c:noMultiLvlLbl val="0"/>
      </c:catAx>
      <c:valAx>
        <c:axId val="1178213343"/>
        <c:scaling>
          <c:orientation val="minMax"/>
        </c:scaling>
        <c:delete val="0"/>
        <c:axPos val="l"/>
        <c:majorGridlines>
          <c:spPr>
            <a:ln w="3175" cap="flat" cmpd="sng" algn="ctr">
              <a:solidFill>
                <a:srgbClr val="808080">
                  <a:alpha val="40000"/>
                </a:srgbClr>
              </a:solidFill>
              <a:prstDash val="solid"/>
              <a:round/>
              <a:headEnd type="none" w="med" len="med"/>
              <a:tailEnd type="none" w="med" len="med"/>
            </a:ln>
            <a:effectLst/>
          </c:spPr>
        </c:majorGridlines>
        <c:title>
          <c:tx>
            <c:rich>
              <a:bodyPr rot="0" spcFirstLastPara="1" vertOverflow="ellipsis" wrap="square" anchor="ctr" anchorCtr="1"/>
              <a:lstStyle/>
              <a:p>
                <a:pPr>
                  <a:defRPr sz="800" b="1" i="0" u="none" strike="noStrike" kern="1200" baseline="0">
                    <a:solidFill>
                      <a:srgbClr val="000000"/>
                    </a:solidFill>
                    <a:latin typeface="Arial"/>
                    <a:ea typeface="Arial"/>
                    <a:cs typeface="Arial"/>
                  </a:defRPr>
                </a:pPr>
                <a:r>
                  <a:rPr lang="en-AU"/>
                  <a:t>Per cent</a:t>
                </a:r>
              </a:p>
            </c:rich>
          </c:tx>
          <c:layout>
            <c:manualLayout>
              <c:xMode val="edge"/>
              <c:yMode val="edge"/>
              <c:x val="2.7173622329442729E-3"/>
              <c:y val="0"/>
            </c:manualLayout>
          </c:layout>
          <c:overlay val="0"/>
          <c:spPr>
            <a:noFill/>
            <a:ln>
              <a:noFill/>
            </a:ln>
            <a:effectLst/>
          </c:spPr>
          <c:txPr>
            <a:bodyPr rot="0" spcFirstLastPara="1" vertOverflow="ellipsis" wrap="square" anchor="ctr" anchorCtr="1"/>
            <a:lstStyle/>
            <a:p>
              <a:pPr>
                <a:defRPr sz="800" b="1" i="0" u="none" strike="noStrike" kern="1200" baseline="0">
                  <a:solidFill>
                    <a:srgbClr val="000000"/>
                  </a:solidFill>
                  <a:latin typeface="Arial"/>
                  <a:ea typeface="Arial"/>
                  <a:cs typeface="Arial"/>
                </a:defRPr>
              </a:pPr>
              <a:endParaRPr lang="en-US"/>
            </a:p>
          </c:txPr>
        </c:title>
        <c:numFmt formatCode="0" sourceLinked="0"/>
        <c:majorTickMark val="in"/>
        <c:minorTickMark val="none"/>
        <c:tickLblPos val="nextTo"/>
        <c:spPr>
          <a:noFill/>
          <a:ln w="9525">
            <a:noFill/>
            <a:prstDash val="solid"/>
          </a:ln>
          <a:effectLst/>
          <a:extLst>
            <a:ext uri="{91240B29-F687-4F45-9708-019B960494DF}">
              <a14:hiddenLine xmlns:a14="http://schemas.microsoft.com/office/drawing/2010/main" w="9525">
                <a:solidFill>
                  <a:srgbClr val="010000"/>
                </a:solidFill>
                <a:prstDash val="solid"/>
              </a14:hiddenLine>
            </a:ext>
          </a:ex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178211903"/>
        <c:crosses val="autoZero"/>
        <c:crossBetween val="between"/>
      </c:valAx>
      <c:spPr>
        <a:noFill/>
        <a:ln w="25400">
          <a:noFill/>
        </a:ln>
        <a:effectLst/>
        <a:extLst>
          <a:ext uri="{909E8E84-426E-40DD-AFC4-6F175D3DCCD1}">
            <a14:hiddenFill xmlns:a14="http://schemas.microsoft.com/office/drawing/2010/main">
              <a:noFill/>
            </a14:hiddenFill>
          </a:ext>
        </a:extLst>
      </c:spPr>
    </c:plotArea>
    <c:legend>
      <c:legendPos val="b"/>
      <c:layout>
        <c:manualLayout>
          <c:xMode val="edge"/>
          <c:yMode val="edge"/>
          <c:x val="0.19736663853246297"/>
          <c:y val="0.83087725390445266"/>
          <c:w val="0.59712561031634948"/>
          <c:h val="0.14266188611759803"/>
        </c:manualLayout>
      </c:layout>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1.0775466638158345E-2"/>
          <c:y val="4.6968235186720893E-2"/>
          <c:w val="0.97891761604254857"/>
          <c:h val="0.8662800063096624"/>
        </c:manualLayout>
      </c:layout>
      <c:barChart>
        <c:barDir val="col"/>
        <c:grouping val="stacked"/>
        <c:varyColors val="0"/>
        <c:ser>
          <c:idx val="2"/>
          <c:order val="2"/>
          <c:tx>
            <c:strRef>
              <c:f>'Figure 4'!$D$33</c:f>
              <c:strCache>
                <c:ptCount val="1"/>
              </c:strCache>
            </c:strRef>
          </c:tx>
          <c:spPr>
            <a:noFill/>
            <a:ln>
              <a:noFill/>
            </a:ln>
            <a:effectLst/>
          </c:spPr>
          <c:invertIfNegative val="0"/>
          <c:cat>
            <c:strRef>
              <c:f>'Figure 4'!$A$34:$A$63</c:f>
              <c:strCache>
                <c:ptCount val="30"/>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pt idx="22">
                  <c:v>2016-17</c:v>
                </c:pt>
                <c:pt idx="23">
                  <c:v>2017-18</c:v>
                </c:pt>
                <c:pt idx="24">
                  <c:v>2018-19</c:v>
                </c:pt>
                <c:pt idx="25">
                  <c:v>2019-20</c:v>
                </c:pt>
                <c:pt idx="26">
                  <c:v>2020-21</c:v>
                </c:pt>
                <c:pt idx="27">
                  <c:v>2021-22</c:v>
                </c:pt>
                <c:pt idx="28">
                  <c:v>2022-23</c:v>
                </c:pt>
                <c:pt idx="29">
                  <c:v>2023-24</c:v>
                </c:pt>
              </c:strCache>
            </c:strRef>
          </c:cat>
          <c:val>
            <c:numRef>
              <c:f>'Figure 4'!$D$34:$D$63</c:f>
              <c:numCache>
                <c:formatCode>#,##0.000</c:formatCode>
                <c:ptCount val="30"/>
                <c:pt idx="0">
                  <c:v>0</c:v>
                </c:pt>
                <c:pt idx="1">
                  <c:v>1.27029608792929E-2</c:v>
                </c:pt>
                <c:pt idx="2">
                  <c:v>3.8880661072319703E-2</c:v>
                </c:pt>
                <c:pt idx="3">
                  <c:v>6.8625015045942303E-2</c:v>
                </c:pt>
                <c:pt idx="4">
                  <c:v>9.0540100727583103E-2</c:v>
                </c:pt>
                <c:pt idx="5">
                  <c:v>9.1626873694963099E-2</c:v>
                </c:pt>
                <c:pt idx="6">
                  <c:v>8.6354803022584706E-2</c:v>
                </c:pt>
                <c:pt idx="7">
                  <c:v>0.121933606269935</c:v>
                </c:pt>
                <c:pt idx="8">
                  <c:v>0.123796961155134</c:v>
                </c:pt>
                <c:pt idx="9">
                  <c:v>0.144852753850925</c:v>
                </c:pt>
                <c:pt idx="10">
                  <c:v>0.13235874398869599</c:v>
                </c:pt>
                <c:pt idx="11">
                  <c:v>0.12898052982213201</c:v>
                </c:pt>
                <c:pt idx="12">
                  <c:v>0.12553437968877801</c:v>
                </c:pt>
                <c:pt idx="13">
                  <c:v>0.12505167941631901</c:v>
                </c:pt>
                <c:pt idx="14">
                  <c:v>0.12732327010396799</c:v>
                </c:pt>
                <c:pt idx="15">
                  <c:v>0.13509587217871999</c:v>
                </c:pt>
                <c:pt idx="16">
                  <c:v>0.13623944132778901</c:v>
                </c:pt>
                <c:pt idx="17">
                  <c:v>0.16247522212701901</c:v>
                </c:pt>
                <c:pt idx="18">
                  <c:v>0.17235143060833899</c:v>
                </c:pt>
                <c:pt idx="19">
                  <c:v>0.18381572880156899</c:v>
                </c:pt>
                <c:pt idx="20">
                  <c:v>0.18930015674058001</c:v>
                </c:pt>
                <c:pt idx="21">
                  <c:v>0.192118465047215</c:v>
                </c:pt>
                <c:pt idx="22">
                  <c:v>0.19990024354692201</c:v>
                </c:pt>
                <c:pt idx="23">
                  <c:v>0.202038051314017</c:v>
                </c:pt>
                <c:pt idx="24">
                  <c:v>0.19429261408333801</c:v>
                </c:pt>
                <c:pt idx="25">
                  <c:v>0.184484080191302</c:v>
                </c:pt>
                <c:pt idx="26">
                  <c:v>0.19972490273295301</c:v>
                </c:pt>
                <c:pt idx="27">
                  <c:v>0.23534014811725701</c:v>
                </c:pt>
                <c:pt idx="28">
                  <c:v>0.229957757775198</c:v>
                </c:pt>
                <c:pt idx="29">
                  <c:v>0.236208579707744</c:v>
                </c:pt>
              </c:numCache>
            </c:numRef>
          </c:val>
          <c:extLst>
            <c:ext xmlns:c16="http://schemas.microsoft.com/office/drawing/2014/chart" uri="{C3380CC4-5D6E-409C-BE32-E72D297353CC}">
              <c16:uniqueId val="{00000000-B5F4-4FE2-BB8D-65D634C0B35D}"/>
            </c:ext>
          </c:extLst>
        </c:ser>
        <c:ser>
          <c:idx val="3"/>
          <c:order val="3"/>
          <c:tx>
            <c:strRef>
              <c:f>'Figure 4'!$E$33</c:f>
              <c:strCache>
                <c:ptCount val="1"/>
                <c:pt idx="0">
                  <c:v>Inefficiency</c:v>
                </c:pt>
              </c:strCache>
            </c:strRef>
          </c:tx>
          <c:spPr>
            <a:solidFill>
              <a:schemeClr val="accent1"/>
            </a:solidFill>
            <a:ln>
              <a:noFill/>
            </a:ln>
            <a:effectLst/>
          </c:spPr>
          <c:invertIfNegative val="0"/>
          <c:cat>
            <c:strRef>
              <c:f>'Figure 4'!$A$34:$A$63</c:f>
              <c:strCache>
                <c:ptCount val="30"/>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pt idx="22">
                  <c:v>2016-17</c:v>
                </c:pt>
                <c:pt idx="23">
                  <c:v>2017-18</c:v>
                </c:pt>
                <c:pt idx="24">
                  <c:v>2018-19</c:v>
                </c:pt>
                <c:pt idx="25">
                  <c:v>2019-20</c:v>
                </c:pt>
                <c:pt idx="26">
                  <c:v>2020-21</c:v>
                </c:pt>
                <c:pt idx="27">
                  <c:v>2021-22</c:v>
                </c:pt>
                <c:pt idx="28">
                  <c:v>2022-23</c:v>
                </c:pt>
                <c:pt idx="29">
                  <c:v>2023-24</c:v>
                </c:pt>
              </c:strCache>
            </c:strRef>
          </c:cat>
          <c:val>
            <c:numRef>
              <c:f>'Figure 4'!$E$34:$E$63</c:f>
              <c:numCache>
                <c:formatCode>#,##0.000</c:formatCode>
                <c:ptCount val="30"/>
                <c:pt idx="0">
                  <c:v>0</c:v>
                </c:pt>
                <c:pt idx="1">
                  <c:v>1.0488257522649999E-2</c:v>
                </c:pt>
                <c:pt idx="2">
                  <c:v>1.4450975962472495E-2</c:v>
                </c:pt>
                <c:pt idx="3">
                  <c:v>5.586344143636901E-3</c:v>
                </c:pt>
                <c:pt idx="4">
                  <c:v>1.0784990786335893E-2</c:v>
                </c:pt>
                <c:pt idx="5">
                  <c:v>1.9518533044524902E-2</c:v>
                </c:pt>
                <c:pt idx="6">
                  <c:v>4.1809458136670294E-2</c:v>
                </c:pt>
                <c:pt idx="7">
                  <c:v>2.5892737255340983E-2</c:v>
                </c:pt>
                <c:pt idx="8">
                  <c:v>3.6836332681283002E-2</c:v>
                </c:pt>
                <c:pt idx="9">
                  <c:v>3.1813724540475014E-2</c:v>
                </c:pt>
                <c:pt idx="10">
                  <c:v>4.8097428424544009E-2</c:v>
                </c:pt>
                <c:pt idx="11">
                  <c:v>5.539817545341999E-2</c:v>
                </c:pt>
                <c:pt idx="12">
                  <c:v>6.8812390703461984E-2</c:v>
                </c:pt>
                <c:pt idx="13">
                  <c:v>7.4867296568166986E-2</c:v>
                </c:pt>
                <c:pt idx="14">
                  <c:v>7.5784945375626023E-2</c:v>
                </c:pt>
                <c:pt idx="15">
                  <c:v>7.0208157433861024E-2</c:v>
                </c:pt>
                <c:pt idx="16">
                  <c:v>7.1482320613352995E-2</c:v>
                </c:pt>
                <c:pt idx="17">
                  <c:v>5.5587141432696996E-2</c:v>
                </c:pt>
                <c:pt idx="18">
                  <c:v>5.9566406725998E-2</c:v>
                </c:pt>
                <c:pt idx="19">
                  <c:v>5.6983204239441004E-2</c:v>
                </c:pt>
                <c:pt idx="20">
                  <c:v>6.3463782983544964E-2</c:v>
                </c:pt>
                <c:pt idx="21">
                  <c:v>6.8855923473395003E-2</c:v>
                </c:pt>
                <c:pt idx="22">
                  <c:v>6.4790598917983971E-2</c:v>
                </c:pt>
                <c:pt idx="23">
                  <c:v>6.7077437540829982E-2</c:v>
                </c:pt>
                <c:pt idx="24">
                  <c:v>7.5824742706839005E-2</c:v>
                </c:pt>
                <c:pt idx="25">
                  <c:v>9.0349139981793031E-2</c:v>
                </c:pt>
                <c:pt idx="26">
                  <c:v>8.2313781590251989E-2</c:v>
                </c:pt>
                <c:pt idx="27">
                  <c:v>7.4393099145157016E-2</c:v>
                </c:pt>
                <c:pt idx="28">
                  <c:v>8.4909656133262013E-2</c:v>
                </c:pt>
                <c:pt idx="29">
                  <c:v>8.2303273957263001E-2</c:v>
                </c:pt>
              </c:numCache>
            </c:numRef>
          </c:val>
          <c:extLst>
            <c:ext xmlns:c16="http://schemas.microsoft.com/office/drawing/2014/chart" uri="{C3380CC4-5D6E-409C-BE32-E72D297353CC}">
              <c16:uniqueId val="{00000001-B5F4-4FE2-BB8D-65D634C0B35D}"/>
            </c:ext>
          </c:extLst>
        </c:ser>
        <c:dLbls>
          <c:showLegendKey val="0"/>
          <c:showVal val="0"/>
          <c:showCatName val="0"/>
          <c:showSerName val="0"/>
          <c:showPercent val="0"/>
          <c:showBubbleSize val="0"/>
        </c:dLbls>
        <c:gapWidth val="50"/>
        <c:overlap val="100"/>
        <c:axId val="433446032"/>
        <c:axId val="433460912"/>
      </c:barChart>
      <c:lineChart>
        <c:grouping val="standard"/>
        <c:varyColors val="0"/>
        <c:ser>
          <c:idx val="0"/>
          <c:order val="0"/>
          <c:tx>
            <c:strRef>
              <c:f>'Figure 4'!$B$33</c:f>
              <c:strCache>
                <c:ptCount val="1"/>
                <c:pt idx="0">
                  <c:v>MFP frontier</c:v>
                </c:pt>
              </c:strCache>
            </c:strRef>
          </c:tx>
          <c:spPr>
            <a:ln w="25400" cap="rnd">
              <a:solidFill>
                <a:schemeClr val="accent2"/>
              </a:solidFill>
              <a:round/>
            </a:ln>
            <a:effectLst/>
          </c:spPr>
          <c:marker>
            <c:symbol val="none"/>
          </c:marker>
          <c:cat>
            <c:strRef>
              <c:f>'Figure 4'!$A$34:$A$63</c:f>
              <c:strCache>
                <c:ptCount val="30"/>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pt idx="22">
                  <c:v>2016-17</c:v>
                </c:pt>
                <c:pt idx="23">
                  <c:v>2017-18</c:v>
                </c:pt>
                <c:pt idx="24">
                  <c:v>2018-19</c:v>
                </c:pt>
                <c:pt idx="25">
                  <c:v>2019-20</c:v>
                </c:pt>
                <c:pt idx="26">
                  <c:v>2020-21</c:v>
                </c:pt>
                <c:pt idx="27">
                  <c:v>2021-22</c:v>
                </c:pt>
                <c:pt idx="28">
                  <c:v>2022-23</c:v>
                </c:pt>
                <c:pt idx="29">
                  <c:v>2023-24</c:v>
                </c:pt>
              </c:strCache>
            </c:strRef>
          </c:cat>
          <c:val>
            <c:numRef>
              <c:f>'Figure 4'!$B$34:$B$63</c:f>
              <c:numCache>
                <c:formatCode>#,##0.000</c:formatCode>
                <c:ptCount val="30"/>
                <c:pt idx="0">
                  <c:v>0</c:v>
                </c:pt>
                <c:pt idx="1">
                  <c:v>2.3191218401942899E-2</c:v>
                </c:pt>
                <c:pt idx="2">
                  <c:v>5.3331637034792198E-2</c:v>
                </c:pt>
                <c:pt idx="3">
                  <c:v>7.4211359189579204E-2</c:v>
                </c:pt>
                <c:pt idx="4">
                  <c:v>0.101325091513919</c:v>
                </c:pt>
                <c:pt idx="5">
                  <c:v>0.111145406739488</c:v>
                </c:pt>
                <c:pt idx="6">
                  <c:v>0.128164261159255</c:v>
                </c:pt>
                <c:pt idx="7">
                  <c:v>0.14782634352527599</c:v>
                </c:pt>
                <c:pt idx="8">
                  <c:v>0.160633293836417</c:v>
                </c:pt>
                <c:pt idx="9">
                  <c:v>0.17666647839140001</c:v>
                </c:pt>
                <c:pt idx="10">
                  <c:v>0.18045617241324</c:v>
                </c:pt>
                <c:pt idx="11">
                  <c:v>0.184378705275552</c:v>
                </c:pt>
                <c:pt idx="12">
                  <c:v>0.19434677039223999</c:v>
                </c:pt>
                <c:pt idx="13">
                  <c:v>0.19991897598448599</c:v>
                </c:pt>
                <c:pt idx="14">
                  <c:v>0.20310821547959401</c:v>
                </c:pt>
                <c:pt idx="15">
                  <c:v>0.20530402961258101</c:v>
                </c:pt>
                <c:pt idx="16">
                  <c:v>0.207721761941142</c:v>
                </c:pt>
                <c:pt idx="17">
                  <c:v>0.218062363559716</c:v>
                </c:pt>
                <c:pt idx="18">
                  <c:v>0.23191783733433699</c:v>
                </c:pt>
                <c:pt idx="19">
                  <c:v>0.24079893304100999</c:v>
                </c:pt>
                <c:pt idx="20">
                  <c:v>0.25276393972412498</c:v>
                </c:pt>
                <c:pt idx="21">
                  <c:v>0.26097438852061</c:v>
                </c:pt>
                <c:pt idx="22">
                  <c:v>0.26469084246490598</c:v>
                </c:pt>
                <c:pt idx="23">
                  <c:v>0.26911548885484698</c:v>
                </c:pt>
                <c:pt idx="24">
                  <c:v>0.27011735679017701</c:v>
                </c:pt>
                <c:pt idx="25">
                  <c:v>0.27483322017309503</c:v>
                </c:pt>
                <c:pt idx="26">
                  <c:v>0.282038684323205</c:v>
                </c:pt>
                <c:pt idx="27">
                  <c:v>0.30973324726241402</c:v>
                </c:pt>
                <c:pt idx="28">
                  <c:v>0.31486741390846001</c:v>
                </c:pt>
                <c:pt idx="29">
                  <c:v>0.31851185366500701</c:v>
                </c:pt>
              </c:numCache>
            </c:numRef>
          </c:val>
          <c:smooth val="0"/>
          <c:extLst>
            <c:ext xmlns:c16="http://schemas.microsoft.com/office/drawing/2014/chart" uri="{C3380CC4-5D6E-409C-BE32-E72D297353CC}">
              <c16:uniqueId val="{00000002-B5F4-4FE2-BB8D-65D634C0B35D}"/>
            </c:ext>
          </c:extLst>
        </c:ser>
        <c:ser>
          <c:idx val="1"/>
          <c:order val="1"/>
          <c:tx>
            <c:strRef>
              <c:f>'Figure 4'!$C$33</c:f>
              <c:strCache>
                <c:ptCount val="1"/>
                <c:pt idx="0">
                  <c:v>Actual MFP</c:v>
                </c:pt>
              </c:strCache>
            </c:strRef>
          </c:tx>
          <c:spPr>
            <a:ln w="25400" cap="rnd">
              <a:solidFill>
                <a:schemeClr val="tx2"/>
              </a:solidFill>
              <a:round/>
            </a:ln>
            <a:effectLst/>
          </c:spPr>
          <c:marker>
            <c:symbol val="none"/>
          </c:marker>
          <c:cat>
            <c:strRef>
              <c:f>'Figure 4'!$A$34:$A$63</c:f>
              <c:strCache>
                <c:ptCount val="30"/>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pt idx="22">
                  <c:v>2016-17</c:v>
                </c:pt>
                <c:pt idx="23">
                  <c:v>2017-18</c:v>
                </c:pt>
                <c:pt idx="24">
                  <c:v>2018-19</c:v>
                </c:pt>
                <c:pt idx="25">
                  <c:v>2019-20</c:v>
                </c:pt>
                <c:pt idx="26">
                  <c:v>2020-21</c:v>
                </c:pt>
                <c:pt idx="27">
                  <c:v>2021-22</c:v>
                </c:pt>
                <c:pt idx="28">
                  <c:v>2022-23</c:v>
                </c:pt>
                <c:pt idx="29">
                  <c:v>2023-24</c:v>
                </c:pt>
              </c:strCache>
            </c:strRef>
          </c:cat>
          <c:val>
            <c:numRef>
              <c:f>'Figure 4'!$C$34:$C$63</c:f>
              <c:numCache>
                <c:formatCode>#,##0.000</c:formatCode>
                <c:ptCount val="30"/>
                <c:pt idx="0">
                  <c:v>0</c:v>
                </c:pt>
                <c:pt idx="1">
                  <c:v>1.27029608792929E-2</c:v>
                </c:pt>
                <c:pt idx="2">
                  <c:v>3.8880661072319703E-2</c:v>
                </c:pt>
                <c:pt idx="3">
                  <c:v>6.8625015045942303E-2</c:v>
                </c:pt>
                <c:pt idx="4">
                  <c:v>9.0540100727583103E-2</c:v>
                </c:pt>
                <c:pt idx="5">
                  <c:v>9.1626873694963099E-2</c:v>
                </c:pt>
                <c:pt idx="6">
                  <c:v>8.6354803022584706E-2</c:v>
                </c:pt>
                <c:pt idx="7">
                  <c:v>0.121933606269935</c:v>
                </c:pt>
                <c:pt idx="8">
                  <c:v>0.123796961155134</c:v>
                </c:pt>
                <c:pt idx="9">
                  <c:v>0.144852753850925</c:v>
                </c:pt>
                <c:pt idx="10">
                  <c:v>0.13235874398869599</c:v>
                </c:pt>
                <c:pt idx="11">
                  <c:v>0.12898052982213201</c:v>
                </c:pt>
                <c:pt idx="12">
                  <c:v>0.12553437968877801</c:v>
                </c:pt>
                <c:pt idx="13">
                  <c:v>0.12505167941631901</c:v>
                </c:pt>
                <c:pt idx="14">
                  <c:v>0.12732327010396799</c:v>
                </c:pt>
                <c:pt idx="15">
                  <c:v>0.13509587217871999</c:v>
                </c:pt>
                <c:pt idx="16">
                  <c:v>0.13623944132778901</c:v>
                </c:pt>
                <c:pt idx="17">
                  <c:v>0.16247522212701901</c:v>
                </c:pt>
                <c:pt idx="18">
                  <c:v>0.17235143060833899</c:v>
                </c:pt>
                <c:pt idx="19">
                  <c:v>0.18381572880156899</c:v>
                </c:pt>
                <c:pt idx="20">
                  <c:v>0.18930015674058001</c:v>
                </c:pt>
                <c:pt idx="21">
                  <c:v>0.192118465047215</c:v>
                </c:pt>
                <c:pt idx="22">
                  <c:v>0.19990024354692201</c:v>
                </c:pt>
                <c:pt idx="23">
                  <c:v>0.202038051314017</c:v>
                </c:pt>
                <c:pt idx="24">
                  <c:v>0.19429261408333801</c:v>
                </c:pt>
                <c:pt idx="25">
                  <c:v>0.184484080191302</c:v>
                </c:pt>
                <c:pt idx="26">
                  <c:v>0.19972490273295301</c:v>
                </c:pt>
                <c:pt idx="27">
                  <c:v>0.23534014811725701</c:v>
                </c:pt>
                <c:pt idx="28">
                  <c:v>0.229957757775198</c:v>
                </c:pt>
                <c:pt idx="29">
                  <c:v>0.236208579707744</c:v>
                </c:pt>
              </c:numCache>
            </c:numRef>
          </c:val>
          <c:smooth val="0"/>
          <c:extLst>
            <c:ext xmlns:c16="http://schemas.microsoft.com/office/drawing/2014/chart" uri="{C3380CC4-5D6E-409C-BE32-E72D297353CC}">
              <c16:uniqueId val="{00000003-B5F4-4FE2-BB8D-65D634C0B35D}"/>
            </c:ext>
          </c:extLst>
        </c:ser>
        <c:dLbls>
          <c:showLegendKey val="0"/>
          <c:showVal val="0"/>
          <c:showCatName val="0"/>
          <c:showSerName val="0"/>
          <c:showPercent val="0"/>
          <c:showBubbleSize val="0"/>
        </c:dLbls>
        <c:marker val="1"/>
        <c:smooth val="0"/>
        <c:axId val="433446032"/>
        <c:axId val="433460912"/>
      </c:lineChart>
      <c:catAx>
        <c:axId val="433446032"/>
        <c:scaling>
          <c:orientation val="minMax"/>
        </c:scaling>
        <c:delete val="0"/>
        <c:axPos val="b"/>
        <c:numFmt formatCode="General" sourceLinked="1"/>
        <c:majorTickMark val="out"/>
        <c:minorTickMark val="none"/>
        <c:tickLblPos val="low"/>
        <c:spPr>
          <a:noFill/>
          <a:ln w="9525" cap="flat" cmpd="sng" algn="ctr">
            <a:solidFill>
              <a:srgbClr val="01000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433460912"/>
        <c:crosses val="autoZero"/>
        <c:auto val="1"/>
        <c:lblAlgn val="ctr"/>
        <c:lblOffset val="100"/>
        <c:tickLblSkip val="3"/>
        <c:tickMarkSkip val="3"/>
        <c:noMultiLvlLbl val="0"/>
      </c:catAx>
      <c:valAx>
        <c:axId val="433460912"/>
        <c:scaling>
          <c:orientation val="minMax"/>
        </c:scaling>
        <c:delete val="0"/>
        <c:axPos val="l"/>
        <c:majorGridlines>
          <c:spPr>
            <a:ln w="3175" cap="flat" cmpd="sng" algn="ctr">
              <a:solidFill>
                <a:srgbClr val="808080">
                  <a:alpha val="40000"/>
                </a:srgbClr>
              </a:solidFill>
              <a:prstDash val="solid"/>
              <a:round/>
              <a:headEnd type="none" w="med" len="med"/>
              <a:tailEnd type="none" w="med" len="med"/>
            </a:ln>
            <a:effectLst/>
          </c:spPr>
        </c:majorGridlines>
        <c:title>
          <c:tx>
            <c:rich>
              <a:bodyPr rot="0" spcFirstLastPara="1" vertOverflow="ellipsis" wrap="square" anchor="ctr" anchorCtr="1"/>
              <a:lstStyle/>
              <a:p>
                <a:pPr>
                  <a:defRPr sz="800" b="1" i="0" u="none" strike="noStrike" kern="1200" baseline="0">
                    <a:solidFill>
                      <a:srgbClr val="000000"/>
                    </a:solidFill>
                    <a:latin typeface="Arial"/>
                    <a:ea typeface="Arial"/>
                    <a:cs typeface="Arial"/>
                  </a:defRPr>
                </a:pPr>
                <a:r>
                  <a:rPr lang="en-AU"/>
                  <a:t>Index, log scale</a:t>
                </a:r>
              </a:p>
            </c:rich>
          </c:tx>
          <c:layout>
            <c:manualLayout>
              <c:xMode val="edge"/>
              <c:yMode val="edge"/>
              <c:x val="2.6938666595395862E-3"/>
              <c:y val="0"/>
            </c:manualLayout>
          </c:layout>
          <c:overlay val="0"/>
          <c:spPr>
            <a:noFill/>
            <a:ln>
              <a:noFill/>
            </a:ln>
            <a:effectLst/>
          </c:spPr>
          <c:txPr>
            <a:bodyPr rot="0" spcFirstLastPara="1" vertOverflow="ellipsis" wrap="square" anchor="ctr" anchorCtr="1"/>
            <a:lstStyle/>
            <a:p>
              <a:pPr>
                <a:defRPr sz="800" b="1" i="0" u="none" strike="noStrike" kern="1200" baseline="0">
                  <a:solidFill>
                    <a:srgbClr val="000000"/>
                  </a:solidFill>
                  <a:latin typeface="Arial"/>
                  <a:ea typeface="Arial"/>
                  <a:cs typeface="Arial"/>
                </a:defRPr>
              </a:pPr>
              <a:endParaRPr lang="en-US"/>
            </a:p>
          </c:txPr>
        </c:title>
        <c:numFmt formatCode="0.00" sourceLinked="0"/>
        <c:majorTickMark val="in"/>
        <c:minorTickMark val="none"/>
        <c:tickLblPos val="nextTo"/>
        <c:spPr>
          <a:noFill/>
          <a:ln w="9525">
            <a:noFill/>
            <a:prstDash val="solid"/>
          </a:ln>
          <a:effectLst/>
          <a:extLst>
            <a:ext uri="{91240B29-F687-4F45-9708-019B960494DF}">
              <a14:hiddenLine xmlns:a14="http://schemas.microsoft.com/office/drawing/2010/main" w="9525">
                <a:solidFill>
                  <a:srgbClr val="010000"/>
                </a:solidFill>
                <a:prstDash val="solid"/>
              </a14:hiddenLine>
            </a:ext>
          </a:ex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433446032"/>
        <c:crosses val="autoZero"/>
        <c:crossBetween val="between"/>
      </c:valAx>
      <c:spPr>
        <a:noFill/>
        <a:ln w="25400">
          <a:noFill/>
        </a:ln>
        <a:effectLst/>
        <a:extLst>
          <a:ext uri="{909E8E84-426E-40DD-AFC4-6F175D3DCCD1}">
            <a14:hiddenFill xmlns:a14="http://schemas.microsoft.com/office/drawing/2010/main">
              <a:noFill/>
            </a14:hiddenFill>
          </a:ext>
        </a:extLst>
      </c:spPr>
    </c:plotArea>
    <c:legend>
      <c:legendPos val="b"/>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UI/_rels/customUI14.xml.rels><?xml version="1.0" encoding="UTF-8" standalone="yes"?>
<Relationships xmlns="http://schemas.openxmlformats.org/package/2006/relationships"><Relationship Id="H1" Type="http://schemas.openxmlformats.org/officeDocument/2006/relationships/image" Target="images/H1.png"/></Relationships>
</file>

<file path=customUI/customUI14.xml><customUI 
	xmlns="http://schemas.microsoft.com/office/2009/07/customui"
	onLoad="RibbonControlCDP.Onload"
	xmlns:nsCustom="Custom Namespace">
		<ribbon startFromScratch="false">
			<tabs>
				<tab idQ="nsCustom:TabTreasury">
					<!--<group idMso="GroupFont"/>-->
					<group idQ="nsCustom:gpFormatting" label="Formatting">

						<menu id="mnuParagraphStyles" label="Paragraph styles" imageMso="P" >

							<button id="btnUnNumParagraph" label="Unnumbered Paragraph           Ctrl+Shift+N" 
								onAction="RibbonControlCDP.ChangeParagraphText"/>
							<button id="btnQuoteIndent" label="Quote/Indent" onAction="RibbonControlCDP.ChangeParagraphText"/>
							<button id="btnSingleParagraph" label="Single Paragraph                    Ctrl+Shift+S" 
								onAction="RibbonControlCDP.ChangeParagraphText"/>


							<menuSeparator id="sep02" />

							<button id="btnBullet" label="Bullet   Ctrl+Shift+B" 	onAction="RibbonControlCDP.ChangeParagraphText"/>
							<button id="btnDash" label="Dash   Ctrl+Shift+D" onAction="RibbonControlCDP.ChangeParagraphText"/>
							<button id="btnDDot" label="Double Dot   Ctrl+Shift+O" onAction="RibbonControlCDP.ChangeParagraphText"/>

							<menuSeparator id="sep01" />

							<button id="btnLevel1" label="Numbered Paragraph Level 1    Alt+1" 
								onAction="RibbonControlCDP.ChangeParagraphText"/>
							<button id="btnLevel2" label="Numbered Paragraph Level 2    Alt+2" 
								onAction="RibbonControlCDP.ChangeParagraphText"/>
							<button id="btnLevel3" label="Numbered Paragraph Level 3    Alt+3" 
								onAction="RibbonControlCDP.ChangeParagraphText"/>


						
						</menu>


						<menu id="mnuHeadings" label="Heading styles" image="H1" >
							<button id="btnH1" label="Heading 1   Ctrl+Shift+1" onAction="RibbonControlCDP.ChangeHeadings"/>
							<button id="btnH2" label="Heading 2   Ctrl+Shift+2" onAction="RibbonControlCDP.ChangeHeadings"/>
							<button id="btnH3" label="Heading 3   Ctrl+Shift+3" onAction="RibbonControlCDP.ChangeHeadings"/>
							<button id="btnH4" label="Heading 4   Ctrl+Shift+4" onAction="RibbonControlCDP.ChangeHeadings"/>
							<button id="btnH5" label="Heading 5   Ctrl+Shift+5" onAction="RibbonControlCDP.ChangeHeadings"/>
							<button id="btnH6" label="Heading 6   Ctrl+Shift+6" onAction="RibbonControlCDP.ChangeHeadings"/>
							<button id="btnH1N" label="Heading 1 Numbered   Ctrl+Shift+7" onAction="RibbonControlCDP.ChangeHeadings"/>
							<button id="btnH2N" label="Heading 2 Numbered   Ctrl+Shift+8" onAction="RibbonControlCDP.ChangeHeadings"/>
							<button id="btnH3N" label="Heading 3 Numbered   Ctrl+Shift+9" onAction="RibbonControlCDP.ChangeHeadings"/>

							<menuSeparator id="sep03" />

							<button id="btnApp" label="Appendix Heading" onAction="RibbonControlCDP.ChangeHeadings"/>
					
						</menu>


					</group>

					<group idQ="nsCustom:gpCharts" label="Charts">
						<button id="btnSideBySideCharts" label="Insert Table for Side By Side Chart" onAction="RibbonControlCDP.ChangeCharts" imageMso="ChartEditDataSource" />
						

						<menu id="mnuChartFormatting" label="Chart formatting styles" imageMso="Chart3DColumnChart">
							<button id="btnChartMainHeading" label="Chart Main Heading            Ctrl+Shift+C" 
								onAction="RibbonControlCDP.ChangeCharts"/>
							<button id="btnChartSecondHeading" label="Chart Second Heading         Alt+Ctrl+C" 
								onAction="RibbonControlCDP.ChangeCharts"/>
							<button id="btnChartAlphaFootnote" label="Chart Footnote Alpha        Alt+Ctrl+T" 
								onAction="RibbonControlCDP.ChangeCharts"/>
							<button id="btnChartNoteSource" label="Chart Note/Source             Ctrl+Shift+F" 
								onAction="RibbonControlCDP.ChangeCharts"/>
							<button idMso="NumberingRestart" label="Restart Alpha Numbering"/>


						</menu>
						
						<button id="btnChartGraphic" label="Chart Graphic-fixes line spacing" onAction="RibbonControlCDP.ChangeCharts" 
								imageMso="ChartFormatAxis" screentip="Fixes the line spacing and makes a chart visible when a chart isn't showing correctly. "/>


					</group>



					<group idQ="nsCustom:gpTables" label="Tables">
						<menu id="mnuInsertTable" label="Insert Word table" imageMso="CreateTable" >
							<button id="btnInsert2ColTbl" label="Insert 2 column table" onAction="RibbonControlCDP.ChangeAutotext" />
							<button id="btnInsert3ColTbl" label="Insert 3 column table" onAction="RibbonControlCDP.ChangeAutotext" />	
	 						<button id="btnInsert4ColTbl" label="Insert 4 column table" onAction="RibbonControlCDP.ChangeAutotext" />						 													<button id="btnInsert5ColTbl" label="Insert 5 column table" onAction="RibbonControlCDP.ChangeAutotext" />
						</menu>
						<menu id="mnuTableStyles" label="Table formatting styles" imageMso="TableStyleBandedRowsWord">
							<button id="btnTableMainHead" label="Table Main Heading                Ctrl+Shift+A" 
								onAction="RibbonControlCDP.ChangeTables" getEnabled="CheckIfInTable"/>
							<button id="btnTableMainHeadCont" label="Table Main Heading Contd      Alt+A" 
								onAction="RibbonControlCDP.ChangeTables" getEnabled="CheckIfInTable"/>
							<button id="btnTableSecondHead" label="Table Second Heading" onAction="RibbonControlCDP.ChangeTables" getEnabled="CheckIfInTable"/>

							<menuSeparator id="sep07" />
				
							<button id="btnColumnHeadLeft" label="Column Heading Left" onAction="RibbonControlCDP.ChangeTables" getEnabled="CheckTable"/>
							<button id="btnColumnHeadRight" label="Column Heading Right" onAction="RibbonControlCDP.ChangeTables" getEnabled="CheckTable"/>
							<button id="btnColumnHeadCentred" label="Column Heading Centred" onAction="RibbonControlCDP.ChangeTables" getEnabled="CheckTable"/>
							
							<menuSeparator id="sep08" />

							<button id="btnTextLeft" label="Text Left" imageMso="AlignLeft"
								onAction="RibbonControlCDP.ChangeTables" getEnabled="CheckTable"/>
							<button id="btnTextRight" label="Text Right" imageMso="AlignRight"
								onAction="RibbonControlCDP.ChangeTables" getEnabled="CheckTable"/>
							<button id="btnTextCentred" label="Text Centred" imageMso="AlignCenter"
								onAction="RibbonControlCDP.ChangeTables" getEnabled="CheckTable"/>
							<button id="btnTextIndented" label="Text Indented" onAction="RibbonControlCDP.ChangeTables" getEnabled="CheckTable"/>

							<menuSeparator id="sep09" />

							<button id="btnTableAlphaFootnote" label="Table Footnote Alpha                   Alt+Ctrl+T" 
								onAction="RibbonControlCDP.ChangeTables" getEnabled="CheckIfInTable"/>
							<button id="btnTableNoteSource" label="Table Note/Source                        Ctrl+Shift+F" 
								onAction="RibbonControlCDP.ChangeTables" getEnabled="CheckIfInTable"/>
							<button idMso="NumberingRestart" label="Restart Alpha Numbering              Alt+Ctrl+`"/>

							<menuSeparator id="sep10" />

						
						</menu>
					</group>

						

					

					<group idQ="nsCustom:grpRecommendationCDP" label="Shaded Boxes and Box Styles">


						<menu id="mnuBoxes" label="Insert shaded box" imageMso="TableProperties" >
							<button id="btnBlueBox" label="Basic box (blue)" imageMso="ColorBlue" onAction="RibbonControlCDP.InsertBox"/>
							<button id="btnGreyBox" label="Grey box" imageMso="ColorGray" onAction="RibbonControlCDP.InsertBox"/>
							<button id="btnOrangeBox" label="Orange box" imageMso="ColorYellow" onAction="RibbonControlCDP.InsertBox"/>
					
						</menu>

						<menu id="mnuBoxStyles" label="Box styles" imageMso="BuildOrderChangeGallery" >
							<button id="btnBoxHeading" label="Box heading" onAction="RibbonControlCDP.InsertBox" getEnabled="CheckForBox"/>

							<menuSeparator id="sep04" />


							<button id="btnBoxText" label="Box text" onAction="RibbonControlCDP.InsertBox" getEnabled="CheckForBox"/>
							<button id="btnBoxBullet" label="Box bullet" onAction="RibbonControlCDP.InsertBox" getEnabled="CheckForBox"/>
							<button id="btnBoxDash" label="Box dash" onAction="RibbonControlCDP.InsertBox" getEnabled="CheckForBox"/>
							<button id="btnBoxDDot" label="Box double dot" onAction="RibbonControlCDP.InsertBox" getEnabled="CheckForBox"/>

					
						</menu>

						<button idMso="SectionBreakInsert" imageMso="BreakInsertDialog"/>

					</group>

					<group idQ="nsCustom:grpbHeaderFooterCDP" label="Headers and Footers">
						<menu id="mnuInsertPage" label="Insert New Page" imageMso="Thesaurus" >
							<button id="btnLandscapePage" label="Insert Landscape Page" onAction="RibbonControlCDP.ChangeHeaderFooter"/>
						</menu>

						<menu id="mnubLandscape" label="Landscape Headers and Footers" imageMso="PageOrientationLandscape" >
							<button id="btnLandscapeHeader" label="Add/Update Landscape Header" onAction="RibbonControlCDP.ChangeHeaderFooter"/>
							<button id="btnLandscapeFooter" label="Add/Update Landscape Footer" onAction="RibbonControlCDP.ChangeHeaderFooter"/>	
						</menu>

						<menu id="mnubPortrait" label="Portrait Headers and Footers" imageMso="PageOrientationPortrait" >
							<button id="btnPortraitEvenHeader" label="Add Even Portrait Header" onAction="RibbonControlCDP.ChangeHeaderFooter"/>
							<button id="btnPortraitOddHeader" label="Add Odd Portrait Header" onAction="RibbonControlCDP.ChangeHeaderFooter"/>
							<button id="btnPortraitEvenFooter" label="Add Even Portrait Footer" onAction="RibbonControlCDP.ChangeHeaderFooter"/>
							<button id="btnPortraitOddFooter" label="Add Odd Portrait Footer" onAction="RibbonControlCDP.ChangeHeaderFooter"/>
						</menu>
					</group>



				</tab>				
<!--All other comments go here-->
			</tabs>
		</ribbon>
</customUI>

</file>

<file path=docProps/app.xml><?xml version="1.0" encoding="utf-8"?>
<Properties xmlns="http://schemas.openxmlformats.org/officeDocument/2006/extended-properties" xmlns:vt="http://schemas.openxmlformats.org/officeDocument/2006/docPropsVTypes">
  <Template>Normal.dotm</Template>
  <TotalTime>0</TotalTime>
  <Pages>10</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Economic Reform Roundtable</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Reform Roundtable</dc:title>
  <dc:subject>Productivity</dc:subject>
  <dc:creator>Australian Government – The Treasury</dc:creator>
  <cp:lastModifiedBy/>
  <cp:revision>1</cp:revision>
  <dcterms:created xsi:type="dcterms:W3CDTF">2025-08-11T05:39:00Z</dcterms:created>
  <dcterms:modified xsi:type="dcterms:W3CDTF">2025-08-11T05:42:00Z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2025-08-11T05:43:00Z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7202a4ce-af6a-4903-85a6-cc22fb596f7d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